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1DBABF">
      <w:pPr>
        <w:jc w:val="center"/>
        <w:rPr>
          <w:rFonts w:hint="eastAsia" w:ascii="宋体" w:hAnsi="宋体" w:cs="宋体"/>
          <w:color w:val="000000" w:themeColor="text1"/>
          <w:highlight w:val="none"/>
          <w14:textFill>
            <w14:solidFill>
              <w14:schemeClr w14:val="tx1"/>
            </w14:solidFill>
          </w14:textFill>
        </w:rPr>
      </w:pPr>
    </w:p>
    <w:p w14:paraId="797E4931">
      <w:pPr>
        <w:rPr>
          <w:rFonts w:hint="eastAsia" w:ascii="宋体" w:hAnsi="宋体" w:cs="宋体"/>
          <w:color w:val="000000" w:themeColor="text1"/>
          <w:highlight w:val="none"/>
          <w14:textFill>
            <w14:solidFill>
              <w14:schemeClr w14:val="tx1"/>
            </w14:solidFill>
          </w14:textFill>
        </w:rPr>
      </w:pPr>
    </w:p>
    <w:p w14:paraId="40F0DB39">
      <w:pPr>
        <w:jc w:val="center"/>
        <w:rPr>
          <w:rFonts w:hint="eastAsia" w:ascii="宋体" w:hAnsi="宋体" w:cs="宋体"/>
          <w:b/>
          <w:bCs/>
          <w:color w:val="000000" w:themeColor="text1"/>
          <w:sz w:val="112"/>
          <w:szCs w:val="112"/>
          <w:highlight w:val="none"/>
          <w14:textFill>
            <w14:solidFill>
              <w14:schemeClr w14:val="tx1"/>
            </w14:solidFill>
          </w14:textFill>
        </w:rPr>
      </w:pPr>
    </w:p>
    <w:p w14:paraId="244A83B5">
      <w:pPr>
        <w:jc w:val="center"/>
        <w:rPr>
          <w:rFonts w:hint="eastAsia" w:ascii="宋体" w:hAnsi="宋体" w:cs="宋体"/>
          <w:b/>
          <w:bCs/>
          <w:color w:val="000000" w:themeColor="text1"/>
          <w:sz w:val="112"/>
          <w:szCs w:val="112"/>
          <w:highlight w:val="none"/>
          <w14:textFill>
            <w14:solidFill>
              <w14:schemeClr w14:val="tx1"/>
            </w14:solidFill>
          </w14:textFill>
        </w:rPr>
      </w:pPr>
      <w:r>
        <w:rPr>
          <w:rFonts w:hint="eastAsia" w:ascii="宋体" w:hAnsi="宋体" w:cs="宋体"/>
          <w:b/>
          <w:bCs/>
          <w:color w:val="000000" w:themeColor="text1"/>
          <w:sz w:val="112"/>
          <w:szCs w:val="112"/>
          <w:highlight w:val="none"/>
          <w14:textFill>
            <w14:solidFill>
              <w14:schemeClr w14:val="tx1"/>
            </w14:solidFill>
          </w14:textFill>
        </w:rPr>
        <w:t>政府采购</w:t>
      </w:r>
    </w:p>
    <w:p w14:paraId="51490666">
      <w:pPr>
        <w:jc w:val="center"/>
        <w:rPr>
          <w:rFonts w:hint="eastAsia" w:ascii="宋体" w:hAnsi="宋体" w:cs="宋体"/>
          <w:b/>
          <w:bCs/>
          <w:color w:val="000000" w:themeColor="text1"/>
          <w:sz w:val="112"/>
          <w:szCs w:val="112"/>
          <w:highlight w:val="none"/>
          <w14:textFill>
            <w14:solidFill>
              <w14:schemeClr w14:val="tx1"/>
            </w14:solidFill>
          </w14:textFill>
        </w:rPr>
      </w:pPr>
      <w:r>
        <w:rPr>
          <w:rFonts w:hint="eastAsia" w:ascii="宋体" w:hAnsi="宋体" w:cs="宋体"/>
          <w:b/>
          <w:bCs/>
          <w:color w:val="000000" w:themeColor="text1"/>
          <w:sz w:val="112"/>
          <w:szCs w:val="112"/>
          <w:highlight w:val="none"/>
          <w14:textFill>
            <w14:solidFill>
              <w14:schemeClr w14:val="tx1"/>
            </w14:solidFill>
          </w14:textFill>
        </w:rPr>
        <w:t>竞争性磋商文件</w:t>
      </w:r>
    </w:p>
    <w:p w14:paraId="3E581B8F">
      <w:pPr>
        <w:spacing w:line="700" w:lineRule="exact"/>
        <w:jc w:val="center"/>
        <w:rPr>
          <w:rFonts w:hint="eastAsia" w:ascii="宋体" w:hAnsi="宋体" w:cs="宋体"/>
          <w:color w:val="000000" w:themeColor="text1"/>
          <w:sz w:val="32"/>
          <w:highlight w:val="none"/>
          <w14:textFill>
            <w14:solidFill>
              <w14:schemeClr w14:val="tx1"/>
            </w14:solidFill>
          </w14:textFill>
        </w:rPr>
      </w:pPr>
    </w:p>
    <w:p w14:paraId="63E826FC">
      <w:pPr>
        <w:spacing w:line="700" w:lineRule="exact"/>
        <w:jc w:val="center"/>
        <w:rPr>
          <w:rFonts w:hint="eastAsia" w:ascii="宋体" w:hAnsi="宋体" w:cs="宋体"/>
          <w:color w:val="000000" w:themeColor="text1"/>
          <w:sz w:val="32"/>
          <w:highlight w:val="none"/>
          <w14:textFill>
            <w14:solidFill>
              <w14:schemeClr w14:val="tx1"/>
            </w14:solidFill>
          </w14:textFill>
        </w:rPr>
      </w:pPr>
    </w:p>
    <w:p w14:paraId="799D2A33">
      <w:pPr>
        <w:pStyle w:val="7"/>
        <w:rPr>
          <w:rFonts w:hint="eastAsia" w:ascii="宋体" w:hAnsi="宋体" w:eastAsia="宋体" w:cs="宋体"/>
          <w:color w:val="000000" w:themeColor="text1"/>
          <w:highlight w:val="none"/>
          <w14:textFill>
            <w14:solidFill>
              <w14:schemeClr w14:val="tx1"/>
            </w14:solidFill>
          </w14:textFill>
        </w:rPr>
      </w:pPr>
    </w:p>
    <w:p w14:paraId="4BD64376">
      <w:pPr>
        <w:spacing w:line="480" w:lineRule="auto"/>
        <w:rPr>
          <w:rFonts w:hint="eastAsia" w:ascii="宋体" w:hAnsi="宋体" w:cs="宋体"/>
          <w:b/>
          <w:bCs/>
          <w:color w:val="000000" w:themeColor="text1"/>
          <w:sz w:val="32"/>
          <w:szCs w:val="21"/>
          <w:highlight w:val="none"/>
          <w14:textFill>
            <w14:solidFill>
              <w14:schemeClr w14:val="tx1"/>
            </w14:solidFill>
          </w14:textFill>
        </w:rPr>
      </w:pPr>
      <w:r>
        <w:rPr>
          <w:rFonts w:hint="eastAsia" w:ascii="宋体" w:hAnsi="宋体" w:cs="宋体"/>
          <w:b/>
          <w:bCs/>
          <w:color w:val="000000" w:themeColor="text1"/>
          <w:sz w:val="32"/>
          <w:szCs w:val="21"/>
          <w:highlight w:val="none"/>
          <w14:textFill>
            <w14:solidFill>
              <w14:schemeClr w14:val="tx1"/>
            </w14:solidFill>
          </w14:textFill>
        </w:rPr>
        <w:t>项  目  号：WZQ25A00382</w:t>
      </w:r>
    </w:p>
    <w:p w14:paraId="3092C473">
      <w:pPr>
        <w:spacing w:line="480" w:lineRule="auto"/>
        <w:ind w:left="2394" w:hanging="2394" w:hangingChars="800"/>
        <w:rPr>
          <w:rFonts w:hint="eastAsia" w:ascii="宋体" w:hAnsi="宋体" w:cs="宋体"/>
          <w:b/>
          <w:bCs/>
          <w:color w:val="000000" w:themeColor="text1"/>
          <w:spacing w:val="-11"/>
          <w:sz w:val="32"/>
          <w:szCs w:val="40"/>
          <w:highlight w:val="none"/>
          <w14:textFill>
            <w14:solidFill>
              <w14:schemeClr w14:val="tx1"/>
            </w14:solidFill>
          </w14:textFill>
        </w:rPr>
      </w:pPr>
      <w:r>
        <w:rPr>
          <w:rFonts w:hint="eastAsia" w:ascii="宋体" w:hAnsi="宋体" w:cs="宋体"/>
          <w:b/>
          <w:bCs/>
          <w:color w:val="000000" w:themeColor="text1"/>
          <w:spacing w:val="-11"/>
          <w:sz w:val="32"/>
          <w:szCs w:val="21"/>
          <w:highlight w:val="none"/>
          <w14:textFill>
            <w14:solidFill>
              <w14:schemeClr w14:val="tx1"/>
            </w14:solidFill>
          </w14:textFill>
        </w:rPr>
        <w:t>磋商项目名称</w:t>
      </w:r>
      <w:r>
        <w:rPr>
          <w:rFonts w:hint="eastAsia" w:ascii="宋体" w:hAnsi="宋体" w:cs="宋体"/>
          <w:b/>
          <w:bCs/>
          <w:color w:val="000000" w:themeColor="text1"/>
          <w:spacing w:val="-11"/>
          <w:sz w:val="32"/>
          <w:szCs w:val="40"/>
          <w:highlight w:val="none"/>
          <w14:textFill>
            <w14:solidFill>
              <w14:schemeClr w14:val="tx1"/>
            </w14:solidFill>
          </w14:textFill>
        </w:rPr>
        <w:t>：重庆市万州区优抚康复医院建设项目（弱电及门诊叫号系统）</w:t>
      </w:r>
    </w:p>
    <w:p w14:paraId="17474E42">
      <w:pPr>
        <w:rPr>
          <w:rFonts w:hint="eastAsia" w:ascii="宋体" w:hAnsi="宋体" w:cs="宋体"/>
          <w:b/>
          <w:bCs/>
          <w:color w:val="000000" w:themeColor="text1"/>
          <w:sz w:val="36"/>
          <w:szCs w:val="22"/>
          <w:highlight w:val="none"/>
          <w14:textFill>
            <w14:solidFill>
              <w14:schemeClr w14:val="tx1"/>
            </w14:solidFill>
          </w14:textFill>
        </w:rPr>
      </w:pPr>
    </w:p>
    <w:p w14:paraId="21272942">
      <w:pPr>
        <w:rPr>
          <w:rFonts w:hint="eastAsia" w:ascii="宋体" w:hAnsi="宋体" w:cs="宋体"/>
          <w:b/>
          <w:bCs/>
          <w:color w:val="000000" w:themeColor="text1"/>
          <w:sz w:val="36"/>
          <w:szCs w:val="22"/>
          <w:highlight w:val="none"/>
          <w14:textFill>
            <w14:solidFill>
              <w14:schemeClr w14:val="tx1"/>
            </w14:solidFill>
          </w14:textFill>
        </w:rPr>
      </w:pPr>
    </w:p>
    <w:p w14:paraId="21B13283">
      <w:pPr>
        <w:pStyle w:val="7"/>
        <w:rPr>
          <w:rFonts w:hint="eastAsia" w:ascii="宋体" w:hAnsi="宋体" w:eastAsia="宋体" w:cs="宋体"/>
          <w:color w:val="000000" w:themeColor="text1"/>
          <w:highlight w:val="none"/>
          <w14:textFill>
            <w14:solidFill>
              <w14:schemeClr w14:val="tx1"/>
            </w14:solidFill>
          </w14:textFill>
        </w:rPr>
      </w:pPr>
    </w:p>
    <w:p w14:paraId="46B1462B">
      <w:pPr>
        <w:spacing w:line="480" w:lineRule="auto"/>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采购人：重庆市万州荣军优抚医院（重庆市万州康复辅具技术中心）</w:t>
      </w:r>
    </w:p>
    <w:p w14:paraId="3D4E88A8">
      <w:pPr>
        <w:spacing w:line="480" w:lineRule="auto"/>
        <w:jc w:val="center"/>
        <w:rPr>
          <w:rFonts w:hint="eastAsia" w:ascii="宋体" w:hAnsi="宋体" w:cs="宋体"/>
          <w:b/>
          <w:bCs/>
          <w:color w:val="000000" w:themeColor="text1"/>
          <w:sz w:val="32"/>
          <w:szCs w:val="32"/>
          <w:highlight w:val="none"/>
          <w14:textFill>
            <w14:solidFill>
              <w14:schemeClr w14:val="tx1"/>
            </w14:solidFill>
          </w14:textFill>
        </w:rPr>
      </w:pPr>
    </w:p>
    <w:p w14:paraId="73B88889">
      <w:pPr>
        <w:spacing w:line="480" w:lineRule="auto"/>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采购代理机构：重庆万欧工程管理咨询有限公司</w:t>
      </w:r>
    </w:p>
    <w:p w14:paraId="7F14442A">
      <w:pPr>
        <w:jc w:val="center"/>
        <w:rPr>
          <w:rFonts w:hint="eastAsia" w:ascii="宋体" w:hAnsi="宋体" w:cs="宋体"/>
          <w:color w:val="000000" w:themeColor="text1"/>
          <w:highlight w:val="none"/>
          <w14:textFill>
            <w14:solidFill>
              <w14:schemeClr w14:val="tx1"/>
            </w14:solidFill>
          </w14:textFill>
        </w:rPr>
      </w:pPr>
    </w:p>
    <w:p w14:paraId="45E55274">
      <w:pPr>
        <w:spacing w:line="480" w:lineRule="auto"/>
        <w:jc w:val="center"/>
        <w:rPr>
          <w:rFonts w:hint="eastAsia" w:ascii="宋体" w:hAnsi="宋体" w:cs="宋体"/>
          <w:b/>
          <w:bCs/>
          <w:color w:val="000000" w:themeColor="text1"/>
          <w:sz w:val="36"/>
          <w:szCs w:val="22"/>
          <w:highlight w:val="none"/>
          <w14:textFill>
            <w14:solidFill>
              <w14:schemeClr w14:val="tx1"/>
            </w14:solidFill>
          </w14:textFill>
        </w:rPr>
      </w:pPr>
      <w:r>
        <w:rPr>
          <w:rFonts w:hint="eastAsia" w:ascii="宋体" w:hAnsi="宋体" w:cs="宋体"/>
          <w:b/>
          <w:bCs/>
          <w:color w:val="000000" w:themeColor="text1"/>
          <w:sz w:val="36"/>
          <w:szCs w:val="22"/>
          <w:highlight w:val="none"/>
          <w14:textFill>
            <w14:solidFill>
              <w14:schemeClr w14:val="tx1"/>
            </w14:solidFill>
          </w14:textFill>
        </w:rPr>
        <w:t>二〇二五年</w:t>
      </w:r>
      <w:r>
        <w:rPr>
          <w:rFonts w:hint="eastAsia" w:ascii="宋体" w:hAnsi="宋体" w:cs="宋体"/>
          <w:b/>
          <w:bCs/>
          <w:color w:val="000000" w:themeColor="text1"/>
          <w:sz w:val="36"/>
          <w:szCs w:val="22"/>
          <w:highlight w:val="none"/>
          <w:lang w:eastAsia="zh-CN"/>
          <w14:textFill>
            <w14:solidFill>
              <w14:schemeClr w14:val="tx1"/>
            </w14:solidFill>
          </w14:textFill>
        </w:rPr>
        <w:t>七</w:t>
      </w:r>
      <w:r>
        <w:rPr>
          <w:rFonts w:hint="eastAsia" w:ascii="宋体" w:hAnsi="宋体" w:cs="宋体"/>
          <w:b/>
          <w:bCs/>
          <w:color w:val="000000" w:themeColor="text1"/>
          <w:sz w:val="36"/>
          <w:szCs w:val="22"/>
          <w:highlight w:val="none"/>
          <w14:textFill>
            <w14:solidFill>
              <w14:schemeClr w14:val="tx1"/>
            </w14:solidFill>
          </w14:textFill>
        </w:rPr>
        <w:t>月</w:t>
      </w:r>
    </w:p>
    <w:p w14:paraId="3138E4CE">
      <w:pPr>
        <w:spacing w:line="480" w:lineRule="auto"/>
        <w:jc w:val="center"/>
        <w:rPr>
          <w:rFonts w:hint="eastAsia" w:ascii="宋体" w:hAnsi="宋体" w:cs="宋体"/>
          <w:b/>
          <w:bCs/>
          <w:color w:val="000000" w:themeColor="text1"/>
          <w:sz w:val="36"/>
          <w:szCs w:val="22"/>
          <w:highlight w:val="none"/>
          <w14:textFill>
            <w14:solidFill>
              <w14:schemeClr w14:val="tx1"/>
            </w14:solidFill>
          </w14:textFill>
        </w:rPr>
        <w:sectPr>
          <w:headerReference r:id="rId4" w:type="first"/>
          <w:footerReference r:id="rId7" w:type="first"/>
          <w:headerReference r:id="rId3" w:type="default"/>
          <w:footerReference r:id="rId5" w:type="default"/>
          <w:footerReference r:id="rId6" w:type="even"/>
          <w:pgSz w:w="11907" w:h="16840"/>
          <w:pgMar w:top="1134" w:right="1191" w:bottom="1134" w:left="1304" w:header="851" w:footer="992" w:gutter="0"/>
          <w:pgNumType w:start="1"/>
          <w:cols w:space="720" w:num="1"/>
          <w:titlePg/>
          <w:docGrid w:linePitch="381" w:charSpace="-5735"/>
        </w:sectPr>
      </w:pPr>
    </w:p>
    <w:p w14:paraId="4635D332">
      <w:pPr>
        <w:jc w:val="center"/>
        <w:rPr>
          <w:rFonts w:hint="eastAsia" w:ascii="宋体" w:hAnsi="宋体" w:cs="宋体"/>
          <w:color w:val="000000" w:themeColor="text1"/>
          <w:sz w:val="40"/>
          <w:szCs w:val="24"/>
          <w:highlight w:val="none"/>
          <w14:textFill>
            <w14:solidFill>
              <w14:schemeClr w14:val="tx1"/>
            </w14:solidFill>
          </w14:textFill>
        </w:rPr>
      </w:pPr>
      <w:r>
        <w:rPr>
          <w:rFonts w:hint="eastAsia" w:ascii="宋体" w:hAnsi="宋体" w:cs="宋体"/>
          <w:color w:val="000000" w:themeColor="text1"/>
          <w:sz w:val="40"/>
          <w:szCs w:val="24"/>
          <w:highlight w:val="none"/>
          <w14:textFill>
            <w14:solidFill>
              <w14:schemeClr w14:val="tx1"/>
            </w14:solidFill>
          </w14:textFill>
        </w:rPr>
        <w:t>目   录</w:t>
      </w:r>
    </w:p>
    <w:p w14:paraId="37400FE2">
      <w:pPr>
        <w:pStyle w:val="15"/>
        <w:tabs>
          <w:tab w:val="right" w:leader="dot" w:pos="9412"/>
        </w:tabs>
        <w:ind w:left="0" w:leftChars="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fldChar w:fldCharType="begin"/>
      </w:r>
      <w:r>
        <w:rPr>
          <w:rFonts w:hint="eastAsia" w:ascii="宋体" w:hAnsi="宋体" w:cs="宋体"/>
          <w:color w:val="000000" w:themeColor="text1"/>
          <w:sz w:val="21"/>
          <w:szCs w:val="21"/>
          <w:highlight w:val="none"/>
          <w14:textFill>
            <w14:solidFill>
              <w14:schemeClr w14:val="tx1"/>
            </w14:solidFill>
          </w14:textFill>
        </w:rPr>
        <w:instrText xml:space="preserve"> TOC \o "1-3" \h \z </w:instrText>
      </w:r>
      <w:r>
        <w:rPr>
          <w:rFonts w:hint="eastAsia" w:ascii="宋体" w:hAnsi="宋体" w:cs="宋体"/>
          <w:color w:val="000000" w:themeColor="text1"/>
          <w:sz w:val="21"/>
          <w:szCs w:val="21"/>
          <w:highlight w:val="none"/>
          <w14:textFill>
            <w14:solidFill>
              <w14:schemeClr w14:val="tx1"/>
            </w14:solidFill>
          </w14:textFill>
        </w:rPr>
        <w:fldChar w:fldCharType="separate"/>
      </w: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"_Toc24111"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30"/>
          <w:highlight w:val="none"/>
          <w14:textFill>
            <w14:solidFill>
              <w14:schemeClr w14:val="tx1"/>
            </w14:solidFill>
          </w14:textFill>
        </w:rPr>
        <w:t>第一篇  采购邀请书</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_Toc24111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2</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p>
    <w:p w14:paraId="49D7141C">
      <w:pPr>
        <w:pStyle w:val="15"/>
        <w:tabs>
          <w:tab w:val="right" w:leader="dot" w:pos="9412"/>
        </w:tabs>
        <w:ind w:left="0" w:leftChars="0"/>
        <w:rPr>
          <w:rFonts w:hint="eastAsia" w:ascii="宋体" w:hAnsi="宋体" w:cs="宋体"/>
          <w:color w:val="000000" w:themeColor="text1"/>
          <w:szCs w:val="21"/>
          <w:highlight w:val="none"/>
          <w14:textFill>
            <w14:solidFill>
              <w14:schemeClr w14:val="tx1"/>
            </w14:solidFill>
          </w14:textFill>
        </w:rPr>
      </w:pPr>
    </w:p>
    <w:p w14:paraId="7432B3C0">
      <w:pPr>
        <w:pStyle w:val="15"/>
        <w:tabs>
          <w:tab w:val="right" w:leader="dot" w:pos="9412"/>
        </w:tabs>
        <w:ind w:left="0" w:leftChars="0"/>
        <w:rPr>
          <w:rFonts w:hint="eastAsia"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"_Toc4821"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30"/>
          <w:highlight w:val="none"/>
          <w14:textFill>
            <w14:solidFill>
              <w14:schemeClr w14:val="tx1"/>
            </w14:solidFill>
          </w14:textFill>
        </w:rPr>
        <w:t>第二篇  磋商项目技术需求</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_Toc4821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6</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p>
    <w:p w14:paraId="285156B4">
      <w:pPr>
        <w:pStyle w:val="15"/>
        <w:tabs>
          <w:tab w:val="right" w:leader="dot" w:pos="9412"/>
        </w:tabs>
        <w:ind w:left="0" w:leftChars="0"/>
        <w:rPr>
          <w:rFonts w:hint="eastAsia" w:ascii="宋体" w:hAnsi="宋体" w:cs="宋体"/>
          <w:color w:val="000000" w:themeColor="text1"/>
          <w:szCs w:val="21"/>
          <w:highlight w:val="none"/>
          <w14:textFill>
            <w14:solidFill>
              <w14:schemeClr w14:val="tx1"/>
            </w14:solidFill>
          </w14:textFill>
        </w:rPr>
      </w:pPr>
    </w:p>
    <w:p w14:paraId="6550F235">
      <w:pPr>
        <w:pStyle w:val="15"/>
        <w:tabs>
          <w:tab w:val="right" w:leader="dot" w:pos="9412"/>
        </w:tabs>
        <w:ind w:left="0" w:leftChars="0"/>
        <w:rPr>
          <w:rFonts w:hint="eastAsia"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"_Toc6710"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30"/>
          <w:highlight w:val="none"/>
          <w14:textFill>
            <w14:solidFill>
              <w14:schemeClr w14:val="tx1"/>
            </w14:solidFill>
          </w14:textFill>
        </w:rPr>
        <w:t>第三篇  项目商务需求</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_Toc6710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8</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p>
    <w:p w14:paraId="53AF24E3">
      <w:pPr>
        <w:pStyle w:val="15"/>
        <w:tabs>
          <w:tab w:val="right" w:leader="dot" w:pos="9412"/>
        </w:tabs>
        <w:ind w:left="0" w:leftChars="0"/>
        <w:rPr>
          <w:rFonts w:hint="eastAsia" w:ascii="宋体" w:hAnsi="宋体" w:cs="宋体"/>
          <w:color w:val="000000" w:themeColor="text1"/>
          <w:szCs w:val="21"/>
          <w:highlight w:val="none"/>
          <w14:textFill>
            <w14:solidFill>
              <w14:schemeClr w14:val="tx1"/>
            </w14:solidFill>
          </w14:textFill>
        </w:rPr>
      </w:pPr>
    </w:p>
    <w:p w14:paraId="2A751224">
      <w:pPr>
        <w:pStyle w:val="15"/>
        <w:tabs>
          <w:tab w:val="right" w:leader="dot" w:pos="9412"/>
        </w:tabs>
        <w:ind w:left="0" w:leftChars="0"/>
        <w:rPr>
          <w:rFonts w:hint="eastAsia"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"_Toc23334"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30"/>
          <w:highlight w:val="none"/>
          <w14:textFill>
            <w14:solidFill>
              <w14:schemeClr w14:val="tx1"/>
            </w14:solidFill>
          </w14:textFill>
        </w:rPr>
        <w:t>第四篇  磋商程序及方法、评审标准、无效响应和</w:t>
      </w:r>
      <w:r>
        <w:rPr>
          <w:rFonts w:hint="eastAsia" w:ascii="宋体" w:hAnsi="宋体" w:cs="宋体"/>
          <w:color w:val="000000" w:themeColor="text1"/>
          <w:szCs w:val="36"/>
          <w:highlight w:val="none"/>
          <w14:textFill>
            <w14:solidFill>
              <w14:schemeClr w14:val="tx1"/>
            </w14:solidFill>
          </w14:textFill>
        </w:rPr>
        <w:t>采购终止</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_Toc23334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12</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p>
    <w:p w14:paraId="4B137A1B">
      <w:pPr>
        <w:pStyle w:val="15"/>
        <w:tabs>
          <w:tab w:val="right" w:leader="dot" w:pos="9412"/>
        </w:tabs>
        <w:ind w:left="0" w:leftChars="0"/>
        <w:rPr>
          <w:rFonts w:hint="eastAsia" w:ascii="宋体" w:hAnsi="宋体" w:cs="宋体"/>
          <w:color w:val="000000" w:themeColor="text1"/>
          <w:szCs w:val="21"/>
          <w:highlight w:val="none"/>
          <w14:textFill>
            <w14:solidFill>
              <w14:schemeClr w14:val="tx1"/>
            </w14:solidFill>
          </w14:textFill>
        </w:rPr>
      </w:pPr>
    </w:p>
    <w:p w14:paraId="65437447">
      <w:pPr>
        <w:pStyle w:val="15"/>
        <w:tabs>
          <w:tab w:val="right" w:leader="dot" w:pos="9412"/>
        </w:tabs>
        <w:ind w:left="0" w:leftChars="0"/>
        <w:rPr>
          <w:rFonts w:hint="eastAsia"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"_Toc427" </w:instrText>
      </w:r>
      <w:r>
        <w:rPr>
          <w:color w:val="000000" w:themeColor="text1"/>
          <w:highlight w:val="none"/>
          <w14:textFill>
            <w14:solidFill>
              <w14:schemeClr w14:val="tx1"/>
            </w14:solidFill>
          </w14:textFill>
        </w:rPr>
        <w:fldChar w:fldCharType="separate"/>
      </w:r>
      <w:r>
        <w:rPr>
          <w:rFonts w:hint="eastAsia" w:ascii="宋体" w:hAnsi="宋体" w:cs="宋体"/>
          <w:bCs/>
          <w:color w:val="000000" w:themeColor="text1"/>
          <w:szCs w:val="30"/>
          <w:highlight w:val="none"/>
          <w14:textFill>
            <w14:solidFill>
              <w14:schemeClr w14:val="tx1"/>
            </w14:solidFill>
          </w14:textFill>
        </w:rPr>
        <w:t>第五篇  供应商须知</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_Toc427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16</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p>
    <w:p w14:paraId="1521C514">
      <w:pPr>
        <w:pStyle w:val="15"/>
        <w:tabs>
          <w:tab w:val="right" w:leader="dot" w:pos="9412"/>
        </w:tabs>
        <w:ind w:left="0" w:leftChars="0"/>
        <w:rPr>
          <w:rFonts w:hint="eastAsia" w:ascii="宋体" w:hAnsi="宋体" w:cs="宋体"/>
          <w:color w:val="000000" w:themeColor="text1"/>
          <w:szCs w:val="21"/>
          <w:highlight w:val="none"/>
          <w14:textFill>
            <w14:solidFill>
              <w14:schemeClr w14:val="tx1"/>
            </w14:solidFill>
          </w14:textFill>
        </w:rPr>
      </w:pPr>
    </w:p>
    <w:p w14:paraId="170E52BA">
      <w:pPr>
        <w:pStyle w:val="15"/>
        <w:tabs>
          <w:tab w:val="right" w:leader="dot" w:pos="9412"/>
        </w:tabs>
        <w:ind w:left="0" w:leftChars="0"/>
        <w:rPr>
          <w:rFonts w:hint="eastAsia"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"_Toc17664"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30"/>
          <w:highlight w:val="none"/>
          <w14:textFill>
            <w14:solidFill>
              <w14:schemeClr w14:val="tx1"/>
            </w14:solidFill>
          </w14:textFill>
        </w:rPr>
        <w:t>第六篇  政府采购合同</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_Toc17664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23</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p>
    <w:p w14:paraId="0C2D7E81">
      <w:pPr>
        <w:pStyle w:val="15"/>
        <w:tabs>
          <w:tab w:val="right" w:leader="dot" w:pos="9412"/>
        </w:tabs>
        <w:ind w:left="0" w:leftChars="0"/>
        <w:rPr>
          <w:rFonts w:hint="eastAsia" w:ascii="宋体" w:hAnsi="宋体" w:cs="宋体"/>
          <w:color w:val="000000" w:themeColor="text1"/>
          <w:szCs w:val="21"/>
          <w:highlight w:val="none"/>
          <w14:textFill>
            <w14:solidFill>
              <w14:schemeClr w14:val="tx1"/>
            </w14:solidFill>
          </w14:textFill>
        </w:rPr>
      </w:pPr>
    </w:p>
    <w:p w14:paraId="4E6626D4">
      <w:pPr>
        <w:pStyle w:val="15"/>
        <w:tabs>
          <w:tab w:val="right" w:leader="dot" w:pos="9412"/>
        </w:tabs>
        <w:ind w:left="0" w:leftChars="0"/>
        <w:rPr>
          <w:rFonts w:hint="eastAsia" w:ascii="宋体" w:hAnsi="宋体" w:cs="宋体"/>
          <w:color w:val="000000" w:themeColor="text1"/>
          <w:highlight w:val="none"/>
          <w14:textFill>
            <w14:solidFill>
              <w14:schemeClr w14:val="tx1"/>
            </w14:solidFill>
          </w14:textFill>
        </w:rPr>
      </w:pPr>
      <w:r>
        <w:rPr>
          <w:color w:val="000000" w:themeColor="text1"/>
          <w:highlight w:val="none"/>
          <w14:textFill>
            <w14:solidFill>
              <w14:schemeClr w14:val="tx1"/>
            </w14:solidFill>
          </w14:textFill>
        </w:rPr>
        <w:fldChar w:fldCharType="begin"/>
      </w:r>
      <w:r>
        <w:rPr>
          <w:color w:val="000000" w:themeColor="text1"/>
          <w:highlight w:val="none"/>
          <w14:textFill>
            <w14:solidFill>
              <w14:schemeClr w14:val="tx1"/>
            </w14:solidFill>
          </w14:textFill>
        </w:rPr>
        <w:instrText xml:space="preserve"> HYPERLINK \l "_Toc20913" </w:instrText>
      </w:r>
      <w:r>
        <w:rPr>
          <w:color w:val="000000" w:themeColor="text1"/>
          <w:highlight w:val="none"/>
          <w14:textFill>
            <w14:solidFill>
              <w14:schemeClr w14:val="tx1"/>
            </w14:solidFill>
          </w14:textFill>
        </w:rPr>
        <w:fldChar w:fldCharType="separate"/>
      </w:r>
      <w:r>
        <w:rPr>
          <w:rFonts w:hint="eastAsia" w:ascii="宋体" w:hAnsi="宋体" w:cs="宋体"/>
          <w:color w:val="000000" w:themeColor="text1"/>
          <w:szCs w:val="30"/>
          <w:highlight w:val="none"/>
          <w14:textFill>
            <w14:solidFill>
              <w14:schemeClr w14:val="tx1"/>
            </w14:solidFill>
          </w14:textFill>
        </w:rPr>
        <w:t>第七篇  电子响应文件编制要求</w:t>
      </w:r>
      <w:r>
        <w:rPr>
          <w:rFonts w:hint="eastAsia" w:ascii="宋体" w:hAnsi="宋体" w:cs="宋体"/>
          <w:color w:val="000000" w:themeColor="text1"/>
          <w:highlight w:val="none"/>
          <w14:textFill>
            <w14:solidFill>
              <w14:schemeClr w14:val="tx1"/>
            </w14:solidFill>
          </w14:textFill>
        </w:rPr>
        <w:tab/>
      </w:r>
      <w:r>
        <w:rPr>
          <w:rFonts w:hint="eastAsia" w:ascii="宋体" w:hAnsi="宋体" w:cs="宋体"/>
          <w:color w:val="000000" w:themeColor="text1"/>
          <w:highlight w:val="none"/>
          <w14:textFill>
            <w14:solidFill>
              <w14:schemeClr w14:val="tx1"/>
            </w14:solidFill>
          </w14:textFill>
        </w:rPr>
        <w:fldChar w:fldCharType="begin"/>
      </w:r>
      <w:r>
        <w:rPr>
          <w:rFonts w:hint="eastAsia" w:ascii="宋体" w:hAnsi="宋体" w:cs="宋体"/>
          <w:color w:val="000000" w:themeColor="text1"/>
          <w:highlight w:val="none"/>
          <w14:textFill>
            <w14:solidFill>
              <w14:schemeClr w14:val="tx1"/>
            </w14:solidFill>
          </w14:textFill>
        </w:rPr>
        <w:instrText xml:space="preserve"> PAGEREF _Toc20913 \h </w:instrText>
      </w:r>
      <w:r>
        <w:rPr>
          <w:rFonts w:hint="eastAsia" w:ascii="宋体" w:hAnsi="宋体" w:cs="宋体"/>
          <w:color w:val="000000" w:themeColor="text1"/>
          <w:highlight w:val="none"/>
          <w14:textFill>
            <w14:solidFill>
              <w14:schemeClr w14:val="tx1"/>
            </w14:solidFill>
          </w14:textFill>
        </w:rPr>
        <w:fldChar w:fldCharType="separate"/>
      </w:r>
      <w:r>
        <w:rPr>
          <w:rFonts w:hint="eastAsia" w:ascii="宋体" w:hAnsi="宋体" w:cs="宋体"/>
          <w:color w:val="000000" w:themeColor="text1"/>
          <w:highlight w:val="none"/>
          <w14:textFill>
            <w14:solidFill>
              <w14:schemeClr w14:val="tx1"/>
            </w14:solidFill>
          </w14:textFill>
        </w:rPr>
        <w:t>23</w:t>
      </w:r>
      <w:r>
        <w:rPr>
          <w:rFonts w:hint="eastAsia" w:ascii="宋体" w:hAnsi="宋体" w:cs="宋体"/>
          <w:color w:val="000000" w:themeColor="text1"/>
          <w:highlight w:val="none"/>
          <w14:textFill>
            <w14:solidFill>
              <w14:schemeClr w14:val="tx1"/>
            </w14:solidFill>
          </w14:textFill>
        </w:rPr>
        <w:fldChar w:fldCharType="end"/>
      </w:r>
      <w:r>
        <w:rPr>
          <w:rFonts w:hint="eastAsia" w:ascii="宋体" w:hAnsi="宋体" w:cs="宋体"/>
          <w:color w:val="000000" w:themeColor="text1"/>
          <w:highlight w:val="none"/>
          <w14:textFill>
            <w14:solidFill>
              <w14:schemeClr w14:val="tx1"/>
            </w14:solidFill>
          </w14:textFill>
        </w:rPr>
        <w:fldChar w:fldCharType="end"/>
      </w:r>
    </w:p>
    <w:p w14:paraId="295BF5A6">
      <w:pPr>
        <w:pStyle w:val="15"/>
        <w:tabs>
          <w:tab w:val="right" w:leader="dot" w:pos="9412"/>
        </w:tabs>
        <w:ind w:left="560"/>
        <w:rPr>
          <w:rFonts w:hint="eastAsia" w:ascii="宋体" w:hAnsi="宋体" w:cs="宋体"/>
          <w:color w:val="000000" w:themeColor="text1"/>
          <w:highlight w:val="none"/>
          <w14:textFill>
            <w14:solidFill>
              <w14:schemeClr w14:val="tx1"/>
            </w14:solidFill>
          </w14:textFill>
        </w:rPr>
      </w:pPr>
    </w:p>
    <w:p w14:paraId="6D11BE4A">
      <w:pPr>
        <w:pStyle w:val="15"/>
        <w:tabs>
          <w:tab w:val="right" w:leader="dot" w:pos="9402"/>
        </w:tabs>
        <w:spacing w:line="480" w:lineRule="exact"/>
        <w:ind w:left="560"/>
        <w:jc w:val="center"/>
        <w:rPr>
          <w:rFonts w:hint="eastAsia" w:ascii="宋体" w:hAnsi="宋体" w:cs="宋体"/>
          <w:color w:val="000000" w:themeColor="text1"/>
          <w:sz w:val="18"/>
          <w:szCs w:val="22"/>
          <w:highlight w:val="none"/>
          <w14:textFill>
            <w14:solidFill>
              <w14:schemeClr w14:val="tx1"/>
            </w14:solidFill>
          </w14:textFill>
        </w:rPr>
        <w:sectPr>
          <w:pgSz w:w="11907" w:h="16840"/>
          <w:pgMar w:top="1134" w:right="1191" w:bottom="1134" w:left="1304" w:header="851" w:footer="992" w:gutter="0"/>
          <w:pgNumType w:start="1"/>
          <w:cols w:space="720" w:num="1"/>
          <w:docGrid w:linePitch="381" w:charSpace="-5735"/>
        </w:sectPr>
      </w:pPr>
      <w:r>
        <w:rPr>
          <w:rFonts w:hint="eastAsia" w:ascii="宋体" w:hAnsi="宋体" w:cs="宋体"/>
          <w:color w:val="000000" w:themeColor="text1"/>
          <w:szCs w:val="21"/>
          <w:highlight w:val="none"/>
          <w14:textFill>
            <w14:solidFill>
              <w14:schemeClr w14:val="tx1"/>
            </w14:solidFill>
          </w14:textFill>
        </w:rPr>
        <w:fldChar w:fldCharType="end"/>
      </w:r>
    </w:p>
    <w:p w14:paraId="13F7E0FA">
      <w:pPr>
        <w:pStyle w:val="4"/>
        <w:spacing w:line="360" w:lineRule="auto"/>
        <w:jc w:val="center"/>
        <w:rPr>
          <w:rFonts w:hint="eastAsia" w:ascii="宋体" w:hAnsi="宋体" w:eastAsia="宋体" w:cs="宋体"/>
          <w:bCs/>
          <w:color w:val="000000" w:themeColor="text1"/>
          <w:szCs w:val="30"/>
          <w:highlight w:val="none"/>
          <w14:textFill>
            <w14:solidFill>
              <w14:schemeClr w14:val="tx1"/>
            </w14:solidFill>
          </w14:textFill>
        </w:rPr>
      </w:pPr>
      <w:bookmarkStart w:id="0" w:name="_Toc11641050"/>
      <w:bookmarkStart w:id="1" w:name="_Toc12789052"/>
      <w:bookmarkStart w:id="2" w:name="_Toc76462316"/>
      <w:bookmarkStart w:id="3" w:name="_Toc24111"/>
      <w:r>
        <w:rPr>
          <w:rFonts w:hint="eastAsia" w:ascii="宋体" w:hAnsi="宋体" w:eastAsia="宋体" w:cs="宋体"/>
          <w:bCs/>
          <w:color w:val="000000" w:themeColor="text1"/>
          <w:sz w:val="36"/>
          <w:szCs w:val="30"/>
          <w:highlight w:val="none"/>
          <w14:textFill>
            <w14:solidFill>
              <w14:schemeClr w14:val="tx1"/>
            </w14:solidFill>
          </w14:textFill>
        </w:rPr>
        <w:t>第一篇  采购邀请书</w:t>
      </w:r>
      <w:bookmarkEnd w:id="0"/>
      <w:bookmarkEnd w:id="1"/>
      <w:bookmarkEnd w:id="2"/>
      <w:bookmarkEnd w:id="3"/>
    </w:p>
    <w:p w14:paraId="4F060FF6">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重庆万欧工程管理咨询有限公司</w:t>
      </w:r>
      <w:r>
        <w:rPr>
          <w:rFonts w:hint="eastAsia" w:ascii="宋体" w:hAnsi="宋体" w:cs="宋体"/>
          <w:color w:val="000000" w:themeColor="text1"/>
          <w:sz w:val="24"/>
          <w:szCs w:val="24"/>
          <w:highlight w:val="none"/>
          <w14:textFill>
            <w14:solidFill>
              <w14:schemeClr w14:val="tx1"/>
            </w14:solidFill>
          </w14:textFill>
        </w:rPr>
        <w:t>（以下简称：采购代理机构）接受</w:t>
      </w:r>
      <w:r>
        <w:rPr>
          <w:rFonts w:hint="eastAsia" w:ascii="宋体" w:hAnsi="宋体" w:cs="宋体"/>
          <w:color w:val="000000" w:themeColor="text1"/>
          <w:sz w:val="24"/>
          <w:szCs w:val="24"/>
          <w:highlight w:val="none"/>
          <w:u w:val="single"/>
          <w14:textFill>
            <w14:solidFill>
              <w14:schemeClr w14:val="tx1"/>
            </w14:solidFill>
          </w14:textFill>
        </w:rPr>
        <w:t>重庆市万州荣军优抚医院（重庆市万州康复辅具技术中心）</w:t>
      </w:r>
      <w:r>
        <w:rPr>
          <w:rFonts w:hint="eastAsia" w:ascii="宋体" w:hAnsi="宋体" w:cs="宋体"/>
          <w:color w:val="000000" w:themeColor="text1"/>
          <w:sz w:val="24"/>
          <w:szCs w:val="24"/>
          <w:highlight w:val="none"/>
          <w14:textFill>
            <w14:solidFill>
              <w14:schemeClr w14:val="tx1"/>
            </w14:solidFill>
          </w14:textFill>
        </w:rPr>
        <w:t>（以下简称：采购人）的委托，对</w:t>
      </w:r>
      <w:r>
        <w:rPr>
          <w:rFonts w:hint="eastAsia" w:ascii="宋体" w:hAnsi="宋体" w:cs="宋体"/>
          <w:color w:val="000000" w:themeColor="text1"/>
          <w:sz w:val="24"/>
          <w:szCs w:val="24"/>
          <w:highlight w:val="none"/>
          <w:u w:val="single"/>
          <w14:textFill>
            <w14:solidFill>
              <w14:schemeClr w14:val="tx1"/>
            </w14:solidFill>
          </w14:textFill>
        </w:rPr>
        <w:t xml:space="preserve">重庆市万州区优抚康复医院建设项目（弱电及门诊叫号系统） </w:t>
      </w:r>
      <w:r>
        <w:rPr>
          <w:rFonts w:hint="eastAsia" w:ascii="宋体" w:hAnsi="宋体" w:cs="宋体"/>
          <w:color w:val="000000" w:themeColor="text1"/>
          <w:sz w:val="24"/>
          <w:szCs w:val="24"/>
          <w:highlight w:val="none"/>
          <w14:textFill>
            <w14:solidFill>
              <w14:schemeClr w14:val="tx1"/>
            </w14:solidFill>
          </w14:textFill>
        </w:rPr>
        <w:t>进行竞争性磋商采购。欢迎有资格的供应商前来参与磋商。</w:t>
      </w:r>
    </w:p>
    <w:p w14:paraId="1AEFF4EC">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bookmarkStart w:id="4" w:name="_Toc317775175"/>
      <w:bookmarkStart w:id="5" w:name="_Toc76462317"/>
      <w:bookmarkStart w:id="6" w:name="_Toc313893526"/>
      <w:bookmarkStart w:id="7" w:name="_Toc27419"/>
      <w:r>
        <w:rPr>
          <w:rFonts w:hint="eastAsia" w:ascii="宋体" w:hAnsi="宋体" w:eastAsia="宋体" w:cs="宋体"/>
          <w:color w:val="000000" w:themeColor="text1"/>
          <w:sz w:val="24"/>
          <w:highlight w:val="none"/>
          <w14:textFill>
            <w14:solidFill>
              <w14:schemeClr w14:val="tx1"/>
            </w14:solidFill>
          </w14:textFill>
        </w:rPr>
        <w:t>一、竞争性磋商内容</w:t>
      </w:r>
      <w:bookmarkEnd w:id="4"/>
      <w:bookmarkEnd w:id="5"/>
      <w:bookmarkEnd w:id="6"/>
      <w:bookmarkEnd w:id="7"/>
    </w:p>
    <w:tbl>
      <w:tblPr>
        <w:tblStyle w:val="17"/>
        <w:tblW w:w="965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681"/>
        <w:gridCol w:w="1465"/>
        <w:gridCol w:w="1433"/>
        <w:gridCol w:w="1607"/>
        <w:gridCol w:w="2472"/>
      </w:tblGrid>
      <w:tr w14:paraId="5DDC55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2681" w:type="dxa"/>
            <w:tcBorders>
              <w:top w:val="single" w:color="auto" w:sz="4" w:space="0"/>
              <w:left w:val="single" w:color="auto" w:sz="4" w:space="0"/>
              <w:right w:val="single" w:color="auto" w:sz="4" w:space="0"/>
            </w:tcBorders>
            <w:vAlign w:val="center"/>
          </w:tcPr>
          <w:p w14:paraId="7EDA6D17">
            <w:pPr>
              <w:widowControl/>
              <w:jc w:val="center"/>
              <w:rPr>
                <w:rFonts w:hint="eastAsia" w:ascii="方正仿宋_GBK" w:hAnsi="宋体" w:eastAsia="方正仿宋_GBK" w:cs="宋体"/>
                <w:b/>
                <w:bCs/>
                <w:color w:val="000000" w:themeColor="text1"/>
                <w:kern w:val="0"/>
                <w:sz w:val="21"/>
                <w:szCs w:val="24"/>
                <w:highlight w:val="none"/>
                <w14:textFill>
                  <w14:solidFill>
                    <w14:schemeClr w14:val="tx1"/>
                  </w14:solidFill>
                </w14:textFill>
              </w:rPr>
            </w:pPr>
            <w:bookmarkStart w:id="8" w:name="_Toc76462318"/>
            <w:bookmarkStart w:id="9" w:name="_Toc11681"/>
            <w:bookmarkStart w:id="10" w:name="_Toc373860293"/>
            <w:bookmarkStart w:id="11" w:name="_Toc317775178"/>
            <w:r>
              <w:rPr>
                <w:rFonts w:hint="eastAsia" w:ascii="宋体" w:hAnsi="宋体" w:cs="宋体"/>
                <w:b/>
                <w:bCs/>
                <w:color w:val="000000" w:themeColor="text1"/>
                <w:kern w:val="0"/>
                <w:sz w:val="21"/>
                <w:szCs w:val="24"/>
                <w:highlight w:val="none"/>
                <w14:textFill>
                  <w14:solidFill>
                    <w14:schemeClr w14:val="tx1"/>
                  </w14:solidFill>
                </w14:textFill>
              </w:rPr>
              <w:t>名</w:t>
            </w:r>
            <w:r>
              <w:rPr>
                <w:rFonts w:ascii="宋体" w:hAnsi="宋体" w:cs="宋体"/>
                <w:b/>
                <w:bCs/>
                <w:color w:val="000000" w:themeColor="text1"/>
                <w:kern w:val="0"/>
                <w:sz w:val="21"/>
                <w:szCs w:val="24"/>
                <w:highlight w:val="none"/>
                <w14:textFill>
                  <w14:solidFill>
                    <w14:schemeClr w14:val="tx1"/>
                  </w14:solidFill>
                </w14:textFill>
              </w:rPr>
              <w:t xml:space="preserve">       </w:t>
            </w:r>
            <w:r>
              <w:rPr>
                <w:rFonts w:hint="eastAsia" w:ascii="宋体" w:hAnsi="宋体" w:cs="宋体"/>
                <w:b/>
                <w:bCs/>
                <w:color w:val="000000" w:themeColor="text1"/>
                <w:kern w:val="0"/>
                <w:sz w:val="21"/>
                <w:szCs w:val="24"/>
                <w:highlight w:val="none"/>
                <w14:textFill>
                  <w14:solidFill>
                    <w14:schemeClr w14:val="tx1"/>
                  </w14:solidFill>
                </w14:textFill>
              </w:rPr>
              <w:t>称</w:t>
            </w:r>
          </w:p>
        </w:tc>
        <w:tc>
          <w:tcPr>
            <w:tcW w:w="1465" w:type="dxa"/>
            <w:tcBorders>
              <w:top w:val="single" w:color="auto" w:sz="4" w:space="0"/>
              <w:left w:val="single" w:color="auto" w:sz="4" w:space="0"/>
              <w:right w:val="single" w:color="auto" w:sz="4" w:space="0"/>
            </w:tcBorders>
            <w:vAlign w:val="center"/>
          </w:tcPr>
          <w:p w14:paraId="02D8AE28">
            <w:pPr>
              <w:widowControl/>
              <w:jc w:val="center"/>
              <w:rPr>
                <w:rFonts w:hint="eastAsia" w:ascii="方正仿宋_GBK" w:hAnsi="宋体" w:eastAsia="方正仿宋_GBK" w:cs="宋体"/>
                <w:b/>
                <w:bCs/>
                <w:color w:val="000000" w:themeColor="text1"/>
                <w:kern w:val="0"/>
                <w:sz w:val="21"/>
                <w:szCs w:val="24"/>
                <w:highlight w:val="none"/>
                <w14:textFill>
                  <w14:solidFill>
                    <w14:schemeClr w14:val="tx1"/>
                  </w14:solidFill>
                </w14:textFill>
              </w:rPr>
            </w:pPr>
            <w:r>
              <w:rPr>
                <w:rFonts w:hint="eastAsia" w:ascii="宋体" w:hAnsi="宋体" w:cs="宋体"/>
                <w:b/>
                <w:bCs/>
                <w:color w:val="000000" w:themeColor="text1"/>
                <w:kern w:val="0"/>
                <w:sz w:val="21"/>
                <w:szCs w:val="24"/>
                <w:highlight w:val="none"/>
                <w14:textFill>
                  <w14:solidFill>
                    <w14:schemeClr w14:val="tx1"/>
                  </w14:solidFill>
                </w14:textFill>
              </w:rPr>
              <w:t>最高限价（元）</w:t>
            </w:r>
          </w:p>
        </w:tc>
        <w:tc>
          <w:tcPr>
            <w:tcW w:w="1433" w:type="dxa"/>
            <w:tcBorders>
              <w:top w:val="single" w:color="auto" w:sz="4" w:space="0"/>
              <w:left w:val="single" w:color="auto" w:sz="4" w:space="0"/>
              <w:right w:val="single" w:color="auto" w:sz="4" w:space="0"/>
            </w:tcBorders>
            <w:vAlign w:val="center"/>
          </w:tcPr>
          <w:p w14:paraId="2F1F6B5C">
            <w:pPr>
              <w:widowControl/>
              <w:jc w:val="center"/>
              <w:rPr>
                <w:rFonts w:hint="eastAsia" w:ascii="宋体" w:hAnsi="宋体" w:cs="宋体"/>
                <w:b/>
                <w:bCs/>
                <w:color w:val="000000" w:themeColor="text1"/>
                <w:kern w:val="0"/>
                <w:sz w:val="21"/>
                <w:szCs w:val="24"/>
                <w:highlight w:val="none"/>
                <w14:textFill>
                  <w14:solidFill>
                    <w14:schemeClr w14:val="tx1"/>
                  </w14:solidFill>
                </w14:textFill>
              </w:rPr>
            </w:pPr>
            <w:r>
              <w:rPr>
                <w:rFonts w:hint="eastAsia" w:ascii="宋体" w:hAnsi="宋体" w:cs="宋体"/>
                <w:b/>
                <w:bCs/>
                <w:color w:val="000000" w:themeColor="text1"/>
                <w:kern w:val="0"/>
                <w:sz w:val="21"/>
                <w:szCs w:val="24"/>
                <w:highlight w:val="none"/>
                <w14:textFill>
                  <w14:solidFill>
                    <w14:schemeClr w14:val="tx1"/>
                  </w14:solidFill>
                </w14:textFill>
              </w:rPr>
              <w:t>保</w:t>
            </w:r>
            <w:r>
              <w:rPr>
                <w:rFonts w:ascii="宋体" w:hAnsi="宋体" w:cs="宋体"/>
                <w:b/>
                <w:bCs/>
                <w:color w:val="000000" w:themeColor="text1"/>
                <w:kern w:val="0"/>
                <w:sz w:val="21"/>
                <w:szCs w:val="24"/>
                <w:highlight w:val="none"/>
                <w14:textFill>
                  <w14:solidFill>
                    <w14:schemeClr w14:val="tx1"/>
                  </w14:solidFill>
                </w14:textFill>
              </w:rPr>
              <w:t xml:space="preserve">  </w:t>
            </w:r>
            <w:r>
              <w:rPr>
                <w:rFonts w:hint="eastAsia" w:ascii="宋体" w:hAnsi="宋体" w:cs="宋体"/>
                <w:b/>
                <w:bCs/>
                <w:color w:val="000000" w:themeColor="text1"/>
                <w:kern w:val="0"/>
                <w:sz w:val="21"/>
                <w:szCs w:val="24"/>
                <w:highlight w:val="none"/>
                <w14:textFill>
                  <w14:solidFill>
                    <w14:schemeClr w14:val="tx1"/>
                  </w14:solidFill>
                </w14:textFill>
              </w:rPr>
              <w:t>证</w:t>
            </w:r>
            <w:r>
              <w:rPr>
                <w:rFonts w:ascii="宋体" w:hAnsi="宋体" w:cs="宋体"/>
                <w:b/>
                <w:bCs/>
                <w:color w:val="000000" w:themeColor="text1"/>
                <w:kern w:val="0"/>
                <w:sz w:val="21"/>
                <w:szCs w:val="24"/>
                <w:highlight w:val="none"/>
                <w14:textFill>
                  <w14:solidFill>
                    <w14:schemeClr w14:val="tx1"/>
                  </w14:solidFill>
                </w14:textFill>
              </w:rPr>
              <w:t xml:space="preserve">  </w:t>
            </w:r>
            <w:r>
              <w:rPr>
                <w:rFonts w:hint="eastAsia" w:ascii="宋体" w:hAnsi="宋体" w:cs="宋体"/>
                <w:b/>
                <w:bCs/>
                <w:color w:val="000000" w:themeColor="text1"/>
                <w:kern w:val="0"/>
                <w:sz w:val="21"/>
                <w:szCs w:val="24"/>
                <w:highlight w:val="none"/>
                <w14:textFill>
                  <w14:solidFill>
                    <w14:schemeClr w14:val="tx1"/>
                  </w14:solidFill>
                </w14:textFill>
              </w:rPr>
              <w:t>金</w:t>
            </w:r>
          </w:p>
          <w:p w14:paraId="3B9813B1">
            <w:pPr>
              <w:jc w:val="center"/>
              <w:rPr>
                <w:rFonts w:hint="eastAsia" w:ascii="方正仿宋_GBK" w:hAnsi="宋体" w:eastAsia="方正仿宋_GBK" w:cs="宋体"/>
                <w:b/>
                <w:bCs/>
                <w:color w:val="000000" w:themeColor="text1"/>
                <w:kern w:val="0"/>
                <w:sz w:val="21"/>
                <w:szCs w:val="24"/>
                <w:highlight w:val="none"/>
                <w14:textFill>
                  <w14:solidFill>
                    <w14:schemeClr w14:val="tx1"/>
                  </w14:solidFill>
                </w14:textFill>
              </w:rPr>
            </w:pPr>
            <w:r>
              <w:rPr>
                <w:rFonts w:hint="eastAsia" w:ascii="宋体" w:hAnsi="宋体" w:cs="宋体"/>
                <w:b/>
                <w:bCs/>
                <w:color w:val="000000" w:themeColor="text1"/>
                <w:kern w:val="0"/>
                <w:sz w:val="21"/>
                <w:szCs w:val="24"/>
                <w:highlight w:val="none"/>
                <w14:textFill>
                  <w14:solidFill>
                    <w14:schemeClr w14:val="tx1"/>
                  </w14:solidFill>
                </w14:textFill>
              </w:rPr>
              <w:t>（元）</w:t>
            </w:r>
          </w:p>
        </w:tc>
        <w:tc>
          <w:tcPr>
            <w:tcW w:w="1607" w:type="dxa"/>
            <w:tcBorders>
              <w:top w:val="single" w:color="auto" w:sz="4" w:space="0"/>
              <w:left w:val="single" w:color="auto" w:sz="4" w:space="0"/>
              <w:right w:val="single" w:color="auto" w:sz="4" w:space="0"/>
            </w:tcBorders>
            <w:vAlign w:val="center"/>
          </w:tcPr>
          <w:p w14:paraId="7A7969BB">
            <w:pPr>
              <w:jc w:val="center"/>
              <w:rPr>
                <w:rFonts w:hint="eastAsia" w:ascii="方正仿宋_GBK" w:hAnsi="宋体" w:eastAsia="方正仿宋_GBK" w:cs="宋体"/>
                <w:b/>
                <w:bCs/>
                <w:color w:val="000000" w:themeColor="text1"/>
                <w:kern w:val="0"/>
                <w:sz w:val="21"/>
                <w:szCs w:val="24"/>
                <w:highlight w:val="none"/>
                <w14:textFill>
                  <w14:solidFill>
                    <w14:schemeClr w14:val="tx1"/>
                  </w14:solidFill>
                </w14:textFill>
              </w:rPr>
            </w:pPr>
            <w:r>
              <w:rPr>
                <w:rFonts w:hint="eastAsia" w:ascii="方正仿宋_GBK" w:hAnsi="宋体" w:eastAsia="方正仿宋_GBK" w:cs="宋体"/>
                <w:b/>
                <w:bCs/>
                <w:color w:val="000000" w:themeColor="text1"/>
                <w:kern w:val="0"/>
                <w:sz w:val="21"/>
                <w:szCs w:val="24"/>
                <w:highlight w:val="none"/>
                <w14:textFill>
                  <w14:solidFill>
                    <w14:schemeClr w14:val="tx1"/>
                  </w14:solidFill>
                </w14:textFill>
              </w:rPr>
              <w:t>成交供应商数量（名）</w:t>
            </w:r>
          </w:p>
        </w:tc>
        <w:tc>
          <w:tcPr>
            <w:tcW w:w="2472" w:type="dxa"/>
            <w:tcBorders>
              <w:top w:val="single" w:color="auto" w:sz="4" w:space="0"/>
              <w:left w:val="single" w:color="auto" w:sz="4" w:space="0"/>
              <w:right w:val="single" w:color="auto" w:sz="4" w:space="0"/>
            </w:tcBorders>
            <w:vAlign w:val="center"/>
          </w:tcPr>
          <w:p w14:paraId="5AE5D3AE">
            <w:pPr>
              <w:jc w:val="center"/>
              <w:rPr>
                <w:rFonts w:hint="eastAsia" w:ascii="方正仿宋_GBK" w:hAnsi="宋体" w:eastAsia="方正仿宋_GBK" w:cs="宋体"/>
                <w:b/>
                <w:bCs/>
                <w:color w:val="000000" w:themeColor="text1"/>
                <w:kern w:val="0"/>
                <w:sz w:val="21"/>
                <w:szCs w:val="24"/>
                <w:highlight w:val="none"/>
                <w14:textFill>
                  <w14:solidFill>
                    <w14:schemeClr w14:val="tx1"/>
                  </w14:solidFill>
                </w14:textFill>
              </w:rPr>
            </w:pPr>
            <w:r>
              <w:rPr>
                <w:rFonts w:hint="eastAsia" w:ascii="方正仿宋_GBK" w:hAnsi="宋体" w:eastAsia="方正仿宋_GBK" w:cs="宋体"/>
                <w:b/>
                <w:bCs/>
                <w:color w:val="000000" w:themeColor="text1"/>
                <w:kern w:val="0"/>
                <w:sz w:val="21"/>
                <w:szCs w:val="24"/>
                <w:highlight w:val="none"/>
                <w14:textFill>
                  <w14:solidFill>
                    <w14:schemeClr w14:val="tx1"/>
                  </w14:solidFill>
                </w14:textFill>
              </w:rPr>
              <w:t>采购标的对应的中小企业划分标准所属行业</w:t>
            </w:r>
          </w:p>
        </w:tc>
      </w:tr>
      <w:tr w14:paraId="016E95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78" w:hRule="atLeast"/>
          <w:jc w:val="center"/>
        </w:trPr>
        <w:tc>
          <w:tcPr>
            <w:tcW w:w="2681" w:type="dxa"/>
            <w:tcBorders>
              <w:top w:val="single" w:color="auto" w:sz="4" w:space="0"/>
              <w:left w:val="single" w:color="auto" w:sz="4" w:space="0"/>
              <w:bottom w:val="single" w:color="auto" w:sz="4" w:space="0"/>
              <w:right w:val="single" w:color="auto" w:sz="4" w:space="0"/>
            </w:tcBorders>
            <w:vAlign w:val="center"/>
          </w:tcPr>
          <w:p w14:paraId="11353B8A">
            <w:pPr>
              <w:snapToGrid w:val="0"/>
              <w:spacing w:line="300" w:lineRule="exact"/>
              <w:jc w:val="center"/>
              <w:rPr>
                <w:rFonts w:hint="eastAsia" w:ascii="方正仿宋_GBK" w:hAnsi="宋体" w:eastAsia="方正仿宋_GBK"/>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重庆市万州区优抚康复医院建设项目（弱电及门诊叫号系统）</w:t>
            </w:r>
          </w:p>
        </w:tc>
        <w:tc>
          <w:tcPr>
            <w:tcW w:w="1465" w:type="dxa"/>
            <w:tcBorders>
              <w:top w:val="single" w:color="auto" w:sz="4" w:space="0"/>
              <w:left w:val="single" w:color="auto" w:sz="4" w:space="0"/>
              <w:bottom w:val="single" w:color="auto" w:sz="4" w:space="0"/>
              <w:right w:val="single" w:color="auto" w:sz="4" w:space="0"/>
            </w:tcBorders>
            <w:vAlign w:val="center"/>
          </w:tcPr>
          <w:p w14:paraId="736C7DAD">
            <w:pPr>
              <w:snapToGrid w:val="0"/>
              <w:spacing w:line="300" w:lineRule="exact"/>
              <w:jc w:val="center"/>
              <w:rPr>
                <w:rFonts w:hint="default" w:ascii="宋体" w:hAnsi="宋体" w:cs="宋体"/>
                <w:color w:val="000000" w:themeColor="text1"/>
                <w:sz w:val="24"/>
                <w:szCs w:val="24"/>
                <w:highlight w:val="none"/>
                <w:lang w:val="en-US"/>
                <w14:textFill>
                  <w14:solidFill>
                    <w14:schemeClr w14:val="tx1"/>
                  </w14:solidFill>
                </w14:textFill>
              </w:rPr>
            </w:pPr>
            <w:r>
              <w:rPr>
                <w:rFonts w:hint="default" w:ascii="宋体" w:hAnsi="宋体" w:cs="宋体"/>
                <w:color w:val="000000" w:themeColor="text1"/>
                <w:sz w:val="24"/>
                <w:szCs w:val="24"/>
                <w:highlight w:val="none"/>
                <w:lang w:val="en-US"/>
                <w14:textFill>
                  <w14:solidFill>
                    <w14:schemeClr w14:val="tx1"/>
                  </w14:solidFill>
                </w14:textFill>
              </w:rPr>
              <w:t>1000000.00</w:t>
            </w:r>
          </w:p>
        </w:tc>
        <w:tc>
          <w:tcPr>
            <w:tcW w:w="1433" w:type="dxa"/>
            <w:tcBorders>
              <w:top w:val="single" w:color="auto" w:sz="4" w:space="0"/>
              <w:left w:val="single" w:color="auto" w:sz="4" w:space="0"/>
              <w:bottom w:val="single" w:color="auto" w:sz="4" w:space="0"/>
              <w:right w:val="single" w:color="auto" w:sz="4" w:space="0"/>
            </w:tcBorders>
            <w:vAlign w:val="center"/>
          </w:tcPr>
          <w:p w14:paraId="3494A0A1">
            <w:pPr>
              <w:snapToGrid w:val="0"/>
              <w:spacing w:line="300" w:lineRule="exact"/>
              <w:jc w:val="center"/>
              <w:rPr>
                <w:rFonts w:hint="eastAsia" w:ascii="宋体" w:hAnsi="宋体" w:cs="宋体"/>
                <w:color w:val="000000" w:themeColor="text1"/>
                <w:sz w:val="24"/>
                <w:szCs w:val="24"/>
                <w:highlight w:val="none"/>
                <w14:textFill>
                  <w14:solidFill>
                    <w14:schemeClr w14:val="tx1"/>
                  </w14:solidFill>
                </w14:textFill>
              </w:rPr>
            </w:pPr>
            <w:r>
              <w:rPr>
                <w:rFonts w:hint="default" w:ascii="宋体" w:hAnsi="宋体" w:cs="宋体"/>
                <w:color w:val="000000" w:themeColor="text1"/>
                <w:sz w:val="24"/>
                <w:szCs w:val="24"/>
                <w:highlight w:val="none"/>
                <w:lang w:val="en-US"/>
                <w14:textFill>
                  <w14:solidFill>
                    <w14:schemeClr w14:val="tx1"/>
                  </w14:solidFill>
                </w14:textFill>
              </w:rPr>
              <w:t>10000.00</w:t>
            </w:r>
            <w:r>
              <w:rPr>
                <w:rFonts w:ascii="宋体" w:hAnsi="宋体" w:cs="宋体"/>
                <w:color w:val="000000" w:themeColor="text1"/>
                <w:sz w:val="24"/>
                <w:szCs w:val="24"/>
                <w:highlight w:val="none"/>
                <w14:textFill>
                  <w14:solidFill>
                    <w14:schemeClr w14:val="tx1"/>
                  </w14:solidFill>
                </w14:textFill>
              </w:rPr>
              <w:t xml:space="preserve"> </w:t>
            </w:r>
          </w:p>
        </w:tc>
        <w:tc>
          <w:tcPr>
            <w:tcW w:w="1607" w:type="dxa"/>
            <w:tcBorders>
              <w:top w:val="single" w:color="auto" w:sz="4" w:space="0"/>
              <w:left w:val="single" w:color="auto" w:sz="4" w:space="0"/>
              <w:bottom w:val="single" w:color="auto" w:sz="4" w:space="0"/>
              <w:right w:val="single" w:color="auto" w:sz="4" w:space="0"/>
            </w:tcBorders>
            <w:vAlign w:val="center"/>
          </w:tcPr>
          <w:p w14:paraId="7D8B8125">
            <w:pPr>
              <w:snapToGrid w:val="0"/>
              <w:spacing w:line="300" w:lineRule="exac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2472" w:type="dxa"/>
            <w:tcBorders>
              <w:top w:val="single" w:color="auto" w:sz="4" w:space="0"/>
              <w:left w:val="single" w:color="auto" w:sz="4" w:space="0"/>
              <w:bottom w:val="single" w:color="auto" w:sz="4" w:space="0"/>
              <w:right w:val="single" w:color="auto" w:sz="4" w:space="0"/>
            </w:tcBorders>
            <w:vAlign w:val="center"/>
          </w:tcPr>
          <w:p w14:paraId="22361445">
            <w:pPr>
              <w:snapToGrid w:val="0"/>
              <w:spacing w:line="300" w:lineRule="exac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其他未列明行业</w:t>
            </w:r>
            <w:r>
              <w:rPr>
                <w:rFonts w:ascii="宋体" w:hAnsi="宋体" w:cs="宋体"/>
                <w:color w:val="000000" w:themeColor="text1"/>
                <w:sz w:val="24"/>
                <w:szCs w:val="24"/>
                <w:highlight w:val="none"/>
                <w14:textFill>
                  <w14:solidFill>
                    <w14:schemeClr w14:val="tx1"/>
                  </w14:solidFill>
                </w14:textFill>
              </w:rPr>
              <w:t xml:space="preserve"> </w:t>
            </w:r>
          </w:p>
        </w:tc>
      </w:tr>
    </w:tbl>
    <w:p w14:paraId="7BC4C024">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二、资金来源</w:t>
      </w:r>
      <w:bookmarkEnd w:id="8"/>
      <w:bookmarkEnd w:id="9"/>
    </w:p>
    <w:p w14:paraId="7D36603F">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中央预算内资金，预算金额为</w:t>
      </w:r>
      <w:r>
        <w:rPr>
          <w:rFonts w:hint="default" w:ascii="宋体" w:hAnsi="宋体" w:cs="宋体"/>
          <w:color w:val="000000" w:themeColor="text1"/>
          <w:sz w:val="24"/>
          <w:szCs w:val="24"/>
          <w:highlight w:val="none"/>
          <w:lang w:val="en-US"/>
          <w14:textFill>
            <w14:solidFill>
              <w14:schemeClr w14:val="tx1"/>
            </w14:solidFill>
          </w14:textFill>
        </w:rPr>
        <w:t>1000000.00</w:t>
      </w:r>
      <w:r>
        <w:rPr>
          <w:rFonts w:hint="eastAsia" w:ascii="宋体" w:hAnsi="宋体" w:cs="宋体"/>
          <w:color w:val="000000" w:themeColor="text1"/>
          <w:sz w:val="24"/>
          <w:szCs w:val="24"/>
          <w:highlight w:val="none"/>
          <w14:textFill>
            <w14:solidFill>
              <w14:schemeClr w14:val="tx1"/>
            </w14:solidFill>
          </w14:textFill>
        </w:rPr>
        <w:t>元。</w:t>
      </w:r>
    </w:p>
    <w:p w14:paraId="7BC08963">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bookmarkStart w:id="12" w:name="_Toc76462319"/>
      <w:bookmarkStart w:id="13" w:name="_Toc4322"/>
      <w:r>
        <w:rPr>
          <w:rFonts w:hint="eastAsia" w:ascii="宋体" w:hAnsi="宋体" w:eastAsia="宋体" w:cs="宋体"/>
          <w:color w:val="000000" w:themeColor="text1"/>
          <w:sz w:val="24"/>
          <w:highlight w:val="none"/>
          <w14:textFill>
            <w14:solidFill>
              <w14:schemeClr w14:val="tx1"/>
            </w14:solidFill>
          </w14:textFill>
        </w:rPr>
        <w:t>三、供应商资格条件</w:t>
      </w:r>
      <w:bookmarkEnd w:id="12"/>
      <w:bookmarkEnd w:id="13"/>
    </w:p>
    <w:p w14:paraId="232B07B5">
      <w:pPr>
        <w:spacing w:line="400" w:lineRule="exact"/>
        <w:ind w:firstLine="480" w:firstLineChars="200"/>
        <w:rPr>
          <w:rFonts w:hint="eastAsia" w:ascii="宋体" w:hAnsi="宋体" w:cs="宋体"/>
          <w:bCs/>
          <w:color w:val="000000" w:themeColor="text1"/>
          <w:sz w:val="24"/>
          <w:highlight w:val="none"/>
          <w14:textFill>
            <w14:solidFill>
              <w14:schemeClr w14:val="tx1"/>
            </w14:solidFill>
          </w14:textFill>
        </w:rPr>
      </w:pPr>
      <w:bookmarkStart w:id="14" w:name="_Toc29336"/>
      <w:bookmarkStart w:id="15" w:name="_Toc76462320"/>
      <w:r>
        <w:rPr>
          <w:rFonts w:hint="eastAsia" w:ascii="宋体" w:hAnsi="宋体" w:cs="宋体"/>
          <w:bCs/>
          <w:color w:val="000000" w:themeColor="text1"/>
          <w:sz w:val="24"/>
          <w:highlight w:val="none"/>
          <w14:textFill>
            <w14:solidFill>
              <w14:schemeClr w14:val="tx1"/>
            </w14:solidFill>
          </w14:textFill>
        </w:rPr>
        <w:t>（一）满足《中华人民共和国政府采购法》第二十二条规定；</w:t>
      </w:r>
    </w:p>
    <w:p w14:paraId="7A93A5FD">
      <w:pPr>
        <w:spacing w:line="400" w:lineRule="exact"/>
        <w:ind w:firstLine="480" w:firstLineChars="200"/>
        <w:rPr>
          <w:rFonts w:ascii="Segoe UI" w:hAnsi="Segoe UI" w:eastAsia="Segoe UI" w:cs="Segoe UI"/>
          <w:color w:val="000000" w:themeColor="text1"/>
          <w:sz w:val="24"/>
          <w:szCs w:val="24"/>
          <w:highlight w:val="none"/>
          <w:shd w:val="clear" w:color="auto" w:fill="FFFFFF"/>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（二）落实政府采购政策需满足的资格要求：</w:t>
      </w:r>
      <w:r>
        <w:rPr>
          <w:rFonts w:hint="eastAsia" w:ascii="宋体" w:hAnsi="宋体" w:cs="宋体"/>
          <w:bCs/>
          <w:color w:val="000000" w:themeColor="text1"/>
          <w:sz w:val="24"/>
          <w14:textFill>
            <w14:solidFill>
              <w14:schemeClr w14:val="tx1"/>
            </w14:solidFill>
          </w14:textFill>
        </w:rPr>
        <w:t>本项目属于专门面向中小企业采购的项目，供应商应为中小微企业（提供中小微企业声明函）或监狱企业（提供监狱企业证明文件）或残疾人福利性单位（提供残疾人福利性单位声明函）</w:t>
      </w:r>
      <w:r>
        <w:rPr>
          <w:rFonts w:hint="eastAsia" w:ascii="宋体" w:hAnsi="宋体" w:cs="宋体"/>
          <w:bCs/>
          <w:color w:val="000000" w:themeColor="text1"/>
          <w:sz w:val="24"/>
          <w:highlight w:val="none"/>
          <w14:textFill>
            <w14:solidFill>
              <w14:schemeClr w14:val="tx1"/>
            </w14:solidFill>
          </w14:textFill>
        </w:rPr>
        <w:t>。</w:t>
      </w:r>
    </w:p>
    <w:p w14:paraId="0D6F49C9">
      <w:pPr>
        <w:pStyle w:val="2"/>
        <w:ind w:firstLine="480" w:firstLineChars="200"/>
        <w:rPr>
          <w:rFonts w:hint="eastAsia" w:ascii="宋体" w:hAnsi="宋体" w:cs="宋体"/>
          <w:bCs/>
          <w:color w:val="000000" w:themeColor="text1"/>
          <w:sz w:val="24"/>
          <w:highlight w:val="none"/>
          <w14:textFill>
            <w14:solidFill>
              <w14:schemeClr w14:val="tx1"/>
            </w14:solidFill>
          </w14:textFill>
        </w:rPr>
      </w:pPr>
      <w:r>
        <w:rPr>
          <w:rFonts w:hint="eastAsia" w:ascii="宋体" w:hAnsi="宋体" w:cs="宋体"/>
          <w:bCs/>
          <w:color w:val="000000" w:themeColor="text1"/>
          <w:sz w:val="24"/>
          <w:highlight w:val="none"/>
          <w14:textFill>
            <w14:solidFill>
              <w14:schemeClr w14:val="tx1"/>
            </w14:solidFill>
          </w14:textFill>
        </w:rPr>
        <w:t>（三）本项目的特定资格要求：</w:t>
      </w:r>
      <w:r>
        <w:rPr>
          <w:rFonts w:hint="eastAsia" w:ascii="宋体" w:hAnsi="宋体" w:cs="宋体"/>
          <w:bCs/>
          <w:color w:val="000000" w:themeColor="text1"/>
          <w:sz w:val="24"/>
          <w:highlight w:val="none"/>
          <w:lang w:val="en-US" w:eastAsia="zh-CN"/>
          <w14:textFill>
            <w14:solidFill>
              <w14:schemeClr w14:val="tx1"/>
            </w14:solidFill>
          </w14:textFill>
        </w:rPr>
        <w:t>无</w:t>
      </w:r>
      <w:r>
        <w:rPr>
          <w:rFonts w:hint="eastAsia" w:ascii="宋体" w:hAnsi="宋体" w:cs="宋体"/>
          <w:bCs/>
          <w:color w:val="000000" w:themeColor="text1"/>
          <w:sz w:val="24"/>
          <w:highlight w:val="none"/>
          <w14:textFill>
            <w14:solidFill>
              <w14:schemeClr w14:val="tx1"/>
            </w14:solidFill>
          </w14:textFill>
        </w:rPr>
        <w:t>。</w:t>
      </w:r>
    </w:p>
    <w:p w14:paraId="5A274969">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四、磋商有关说明</w:t>
      </w:r>
      <w:bookmarkEnd w:id="10"/>
      <w:bookmarkEnd w:id="14"/>
      <w:bookmarkEnd w:id="15"/>
    </w:p>
    <w:p w14:paraId="54BCBD43">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（一）供应商应通过重庆市政府采购网（www.ccgp-chongqing.gov.cn）登记加入“重庆市政府采购供应商库”。</w:t>
      </w:r>
    </w:p>
    <w:p w14:paraId="5787AC8D">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凡有意参加磋商的供应商，请在规定的采购文件提供期限内登陆“重庆市政府采购网”→进入“个人中心”→“在线开评标”→“电子标书在线获取”处→搜索该项目，并在项目信息右侧点击“在线获取”按钮。完成本项目竞争性磋商文件以及图纸、澄清等磋商前公布的所有项目资料（本次磋商不提供纸质版竞争性磋商文件）的获取和下载，无论供应商下载或获取与否，均视为已知晓所有磋商实质性要求内容。</w:t>
      </w:r>
    </w:p>
    <w:p w14:paraId="03572FE7">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注：登陆“重庆市政府采购网”获取电子标书无须CA证书，CA证书仅用于制作电子响应文件、开标解密。</w:t>
      </w:r>
    </w:p>
    <w:p w14:paraId="1E039674">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竞争性磋商公告所附竞争性磋商文件仅供阅览使用，供应商只有在规定的采购文件提供期限内登陆“重庆市政府采购网”→进入“个人中心”→“在线开评标”→“电子标书在线获取”处→搜索该项目，并在项目信息右侧点击“在线获取”按钮，完成网上获取采购文件，供应商才被视为合法获取了采购文件，否则其电子响应文件递交将被拒绝。</w:t>
      </w:r>
    </w:p>
    <w:p w14:paraId="4689E19F">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即：若供应商未通过以上获取采购文件流程完成采购文件的下载、获取，供应商将无法在电子招投标系统中上传电子响应文件。</w:t>
      </w:r>
    </w:p>
    <w:p w14:paraId="2720430A">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意事项：本项目为重庆市政府采购电子招投标项目，首次参与电子招投标的供应商须申请重庆市政府采购网账号密码、办理CA证书（办理CA证书费用由供应商自行承担）并下载电子电子响应文件制作系统，制作电子响应文件进行互联网在线响应，具体操作流程请下载项目公告附件《采购公告附件（供应商必看手册）24-4版》进行查看。因未注册重庆市政府采购网账号、未办理CA证书、操作不当等原因造成无法递交电子响应文件或磋商响应失败的后果由供应商自行承担。</w:t>
      </w:r>
    </w:p>
    <w:p w14:paraId="7B25AFDE">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bookmarkStart w:id="16" w:name="_Toc373860294"/>
      <w:bookmarkStart w:id="17" w:name="_Toc76462321"/>
      <w:r>
        <w:rPr>
          <w:rFonts w:hint="eastAsia" w:ascii="宋体" w:hAnsi="宋体" w:cs="宋体"/>
          <w:color w:val="000000" w:themeColor="text1"/>
          <w:sz w:val="24"/>
          <w:szCs w:val="24"/>
          <w:highlight w:val="none"/>
          <w14:textFill>
            <w14:solidFill>
              <w14:schemeClr w14:val="tx1"/>
            </w14:solidFill>
          </w14:textFill>
        </w:rPr>
        <w:t>1.CA证书的办理流程：登录“重庆市政府采购网”→“个人中心”→“在线开评标”→“电子招投标中心”→“相关下载”栏目，下载附件《重庆市全流程电子招投标项目供应商办理正式CA签章流程手册》，并按照其中要求操作。</w:t>
      </w:r>
    </w:p>
    <w:p w14:paraId="4BACB8DB">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2.电子响应文件制作：登录“重庆市政府采购网”→“个人中心”→“在线开评标”→“电子招投标中心”→“相关下载”栏目，下载“电子响应文件制作工具下载_64(含32位)”、“统一签章客户端（正式版）” 安装包，并按照《政府采购全程电子化采购系统供应商操作手册（CA证书签章版）》、《【供应商必看】政府采购（CA版）供应商投标前软件安装手册》要求操作。</w:t>
      </w:r>
    </w:p>
    <w:p w14:paraId="06A68DE3">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（四）竞争性磋商文件公告期限：自采购公告发布之日起五个工作日。</w:t>
      </w:r>
    </w:p>
    <w:p w14:paraId="5CF57E10">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（五）竞争性磋商文件提供期限及竞争性磋商文件售价</w:t>
      </w:r>
    </w:p>
    <w:p w14:paraId="0EFC9BA6">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1.竞争性磋商文件提供期限：202</w:t>
      </w:r>
      <w:r>
        <w:rPr>
          <w:rFonts w:ascii="宋体" w:hAnsi="宋体" w:cs="宋体"/>
          <w:color w:val="000000" w:themeColor="text1"/>
          <w:sz w:val="24"/>
          <w:szCs w:val="24"/>
          <w:highlight w:val="none"/>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年</w:t>
      </w:r>
      <w:r>
        <w:rPr>
          <w:rFonts w:hint="default" w:ascii="宋体" w:hAnsi="宋体" w:cs="宋体"/>
          <w:color w:val="000000" w:themeColor="text1"/>
          <w:sz w:val="24"/>
          <w:szCs w:val="24"/>
          <w:highlight w:val="none"/>
          <w:lang w:val="en-US"/>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t>月</w:t>
      </w:r>
      <w:r>
        <w:rPr>
          <w:rFonts w:hint="default" w:ascii="宋体" w:hAnsi="宋体" w:cs="宋体"/>
          <w:color w:val="000000" w:themeColor="text1"/>
          <w:sz w:val="24"/>
          <w:szCs w:val="24"/>
          <w:highlight w:val="none"/>
          <w:lang w:val="en-US"/>
          <w14:textFill>
            <w14:solidFill>
              <w14:schemeClr w14:val="tx1"/>
            </w14:solidFill>
          </w14:textFill>
        </w:rPr>
        <w:t>16</w:t>
      </w:r>
      <w:r>
        <w:rPr>
          <w:rFonts w:hint="eastAsia" w:ascii="宋体" w:hAnsi="宋体" w:cs="宋体"/>
          <w:color w:val="000000" w:themeColor="text1"/>
          <w:sz w:val="24"/>
          <w:szCs w:val="24"/>
          <w:highlight w:val="none"/>
          <w14:textFill>
            <w14:solidFill>
              <w14:schemeClr w14:val="tx1"/>
            </w14:solidFill>
          </w14:textFill>
        </w:rPr>
        <w:t>日至202</w:t>
      </w:r>
      <w:r>
        <w:rPr>
          <w:rFonts w:ascii="宋体" w:hAnsi="宋体" w:cs="宋体"/>
          <w:color w:val="000000" w:themeColor="text1"/>
          <w:sz w:val="24"/>
          <w:szCs w:val="24"/>
          <w:highlight w:val="none"/>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年</w:t>
      </w:r>
      <w:r>
        <w:rPr>
          <w:rFonts w:hint="default" w:ascii="宋体" w:hAnsi="宋体" w:cs="宋体"/>
          <w:color w:val="000000" w:themeColor="text1"/>
          <w:sz w:val="24"/>
          <w:szCs w:val="24"/>
          <w:highlight w:val="none"/>
          <w:lang w:val="en-US"/>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t>月</w:t>
      </w:r>
      <w:r>
        <w:rPr>
          <w:rFonts w:hint="default" w:ascii="宋体" w:hAnsi="宋体" w:cs="宋体"/>
          <w:color w:val="000000" w:themeColor="text1"/>
          <w:sz w:val="24"/>
          <w:szCs w:val="24"/>
          <w:highlight w:val="none"/>
          <w:lang w:val="en-US"/>
          <w14:textFill>
            <w14:solidFill>
              <w14:schemeClr w14:val="tx1"/>
            </w14:solidFill>
          </w14:textFill>
        </w:rPr>
        <w:t>22</w:t>
      </w:r>
      <w:r>
        <w:rPr>
          <w:rFonts w:hint="eastAsia" w:ascii="宋体" w:hAnsi="宋体" w:cs="宋体"/>
          <w:color w:val="000000" w:themeColor="text1"/>
          <w:sz w:val="24"/>
          <w:szCs w:val="24"/>
          <w:highlight w:val="none"/>
          <w14:textFill>
            <w14:solidFill>
              <w14:schemeClr w14:val="tx1"/>
            </w14:solidFill>
          </w14:textFill>
        </w:rPr>
        <w:t>日 。</w:t>
      </w:r>
    </w:p>
    <w:p w14:paraId="00FABD44">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2.竞争性磋商文件售价：/</w:t>
      </w:r>
    </w:p>
    <w:p w14:paraId="15CAAEF1">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（六）电子响应文件递交</w:t>
      </w:r>
    </w:p>
    <w:p w14:paraId="1DAB659F">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电子响应文件递交方式：本项目采用网上递交方式，供应商于电子响应文件递交截止时间前，登录“重庆市政府采购网”，进入“在线开评标”栏目，在“我的投标项目”→“在线投标”板块内找到对应响应项目，进行电子响应文件递交。</w:t>
      </w:r>
    </w:p>
    <w:p w14:paraId="7F7B9139">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2.电子响应文件递交开始、截止时间：202</w:t>
      </w:r>
      <w:r>
        <w:rPr>
          <w:rFonts w:ascii="宋体" w:hAnsi="宋体" w:cs="宋体"/>
          <w:color w:val="000000" w:themeColor="text1"/>
          <w:sz w:val="24"/>
          <w:szCs w:val="24"/>
          <w:highlight w:val="none"/>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年</w:t>
      </w:r>
      <w:r>
        <w:rPr>
          <w:rFonts w:hint="default" w:ascii="宋体" w:hAnsi="宋体" w:cs="宋体"/>
          <w:color w:val="000000" w:themeColor="text1"/>
          <w:sz w:val="24"/>
          <w:szCs w:val="24"/>
          <w:highlight w:val="none"/>
          <w:lang w:val="en-US"/>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t>月</w:t>
      </w:r>
      <w:r>
        <w:rPr>
          <w:rFonts w:hint="eastAsia" w:ascii="宋体" w:hAnsi="宋体" w:cs="宋体"/>
          <w:color w:val="000000" w:themeColor="text1"/>
          <w:sz w:val="24"/>
          <w:szCs w:val="24"/>
          <w:highlight w:val="none"/>
          <w:lang w:val="en-US" w:eastAsia="zh-CN"/>
          <w14:textFill>
            <w14:solidFill>
              <w14:schemeClr w14:val="tx1"/>
            </w14:solidFill>
          </w14:textFill>
        </w:rPr>
        <w:t>16</w:t>
      </w:r>
      <w:r>
        <w:rPr>
          <w:rFonts w:hint="eastAsia" w:ascii="宋体" w:hAnsi="宋体" w:cs="宋体"/>
          <w:color w:val="000000" w:themeColor="text1"/>
          <w:sz w:val="24"/>
          <w:szCs w:val="24"/>
          <w:highlight w:val="none"/>
          <w14:textFill>
            <w14:solidFill>
              <w14:schemeClr w14:val="tx1"/>
            </w14:solidFill>
          </w14:textFill>
        </w:rPr>
        <w:t>日北京时间09:00—202</w:t>
      </w:r>
      <w:r>
        <w:rPr>
          <w:rFonts w:ascii="宋体" w:hAnsi="宋体" w:cs="宋体"/>
          <w:color w:val="000000" w:themeColor="text1"/>
          <w:sz w:val="24"/>
          <w:szCs w:val="24"/>
          <w:highlight w:val="none"/>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年</w:t>
      </w:r>
      <w:r>
        <w:rPr>
          <w:rFonts w:hint="default" w:ascii="宋体" w:hAnsi="宋体" w:cs="宋体"/>
          <w:color w:val="000000" w:themeColor="text1"/>
          <w:sz w:val="24"/>
          <w:szCs w:val="24"/>
          <w:highlight w:val="none"/>
          <w:lang w:val="en-US"/>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t>月</w:t>
      </w:r>
      <w:r>
        <w:rPr>
          <w:rFonts w:hint="default" w:ascii="宋体" w:hAnsi="宋体" w:cs="宋体"/>
          <w:color w:val="000000" w:themeColor="text1"/>
          <w:sz w:val="24"/>
          <w:szCs w:val="24"/>
          <w:highlight w:val="none"/>
          <w:lang w:val="en-US"/>
          <w14:textFill>
            <w14:solidFill>
              <w14:schemeClr w14:val="tx1"/>
            </w14:solidFill>
          </w14:textFill>
        </w:rPr>
        <w:t>28</w:t>
      </w:r>
      <w:r>
        <w:rPr>
          <w:rFonts w:hint="eastAsia" w:ascii="宋体" w:hAnsi="宋体" w:cs="宋体"/>
          <w:color w:val="000000" w:themeColor="text1"/>
          <w:sz w:val="24"/>
          <w:szCs w:val="24"/>
          <w:highlight w:val="none"/>
          <w14:textFill>
            <w14:solidFill>
              <w14:schemeClr w14:val="tx1"/>
            </w14:solidFill>
          </w14:textFill>
        </w:rPr>
        <w:t>日北京时间09:30。（以电子招投标平台显示的时间为准，其他时间不</w:t>
      </w:r>
      <w:bookmarkStart w:id="174" w:name="_GoBack"/>
      <w:bookmarkEnd w:id="174"/>
      <w:r>
        <w:rPr>
          <w:rFonts w:hint="eastAsia" w:ascii="宋体" w:hAnsi="宋体" w:cs="宋体"/>
          <w:color w:val="000000" w:themeColor="text1"/>
          <w:sz w:val="24"/>
          <w:szCs w:val="24"/>
          <w:highlight w:val="none"/>
          <w14:textFill>
            <w14:solidFill>
              <w14:schemeClr w14:val="tx1"/>
            </w14:solidFill>
          </w14:textFill>
        </w:rPr>
        <w:t>接受任何形式的送达）。</w:t>
      </w:r>
    </w:p>
    <w:p w14:paraId="040978E4">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（七）磋商信息</w:t>
      </w:r>
    </w:p>
    <w:p w14:paraId="2DE4099C">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1.磋商开始时间：202</w:t>
      </w:r>
      <w:r>
        <w:rPr>
          <w:rFonts w:ascii="宋体" w:hAnsi="宋体" w:cs="宋体"/>
          <w:color w:val="000000" w:themeColor="text1"/>
          <w:sz w:val="24"/>
          <w:szCs w:val="24"/>
          <w:highlight w:val="none"/>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年</w:t>
      </w:r>
      <w:r>
        <w:rPr>
          <w:rFonts w:hint="default" w:ascii="宋体" w:hAnsi="宋体" w:cs="宋体"/>
          <w:color w:val="000000" w:themeColor="text1"/>
          <w:sz w:val="24"/>
          <w:szCs w:val="24"/>
          <w:highlight w:val="none"/>
          <w:lang w:val="en-US"/>
          <w14:textFill>
            <w14:solidFill>
              <w14:schemeClr w14:val="tx1"/>
            </w14:solidFill>
          </w14:textFill>
        </w:rPr>
        <w:t>7</w:t>
      </w:r>
      <w:r>
        <w:rPr>
          <w:rFonts w:hint="eastAsia" w:ascii="宋体" w:hAnsi="宋体" w:cs="宋体"/>
          <w:color w:val="000000" w:themeColor="text1"/>
          <w:sz w:val="24"/>
          <w:szCs w:val="24"/>
          <w:highlight w:val="none"/>
          <w14:textFill>
            <w14:solidFill>
              <w14:schemeClr w14:val="tx1"/>
            </w14:solidFill>
          </w14:textFill>
        </w:rPr>
        <w:t>月</w:t>
      </w:r>
      <w:r>
        <w:rPr>
          <w:rFonts w:hint="default" w:ascii="宋体" w:hAnsi="宋体" w:cs="宋体"/>
          <w:color w:val="000000" w:themeColor="text1"/>
          <w:sz w:val="24"/>
          <w:szCs w:val="24"/>
          <w:highlight w:val="none"/>
          <w:lang w:val="en-US"/>
          <w14:textFill>
            <w14:solidFill>
              <w14:schemeClr w14:val="tx1"/>
            </w14:solidFill>
          </w14:textFill>
        </w:rPr>
        <w:t>28</w:t>
      </w:r>
      <w:r>
        <w:rPr>
          <w:rFonts w:hint="eastAsia" w:ascii="宋体" w:hAnsi="宋体" w:cs="宋体"/>
          <w:color w:val="000000" w:themeColor="text1"/>
          <w:sz w:val="24"/>
          <w:szCs w:val="24"/>
          <w:highlight w:val="none"/>
          <w14:textFill>
            <w14:solidFill>
              <w14:schemeClr w14:val="tx1"/>
            </w14:solidFill>
          </w14:textFill>
        </w:rPr>
        <w:t>日 09 时 30 分（北京时间）。</w:t>
      </w:r>
    </w:p>
    <w:p w14:paraId="2077782A">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磋商方式：本项目采用网上在线磋商方式，供应商的法定代表人或其授权代表须持CA证书和可以上网的电脑（用于在线磋商的电脑必须带有摄像头和麦克风、声卡等功能），于规定的磋商开始时间前30分钟登录“重庆市政府采购网”→“个人中心”→“在线开评标”→“ 开评标大厅”，进入电子开标室完成在线准备。在线磋商开始后供应商须根据采购代理机构引导来完成电子响应文件解密、视频在线磋商、在线二次报价等工作。</w:t>
      </w:r>
    </w:p>
    <w:p w14:paraId="7C04D230">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的法定代表人或其授权代表也可以持CA证书和可以无线上网的笔记本电脑（用于在线磋商的笔记本电脑必须带有摄像头和麦克风、声卡、等功能）、无线网卡于磋商开始时间前参加在线磋商。因供应商自身原因导致未能在规定时间内解密电子响应文件或参与在线磋商的，其后果由供应商自行承担。</w:t>
      </w:r>
    </w:p>
    <w:p w14:paraId="3E3EF28F">
      <w:pPr>
        <w:spacing w:line="440" w:lineRule="exact"/>
        <w:ind w:firstLine="480" w:firstLineChars="200"/>
        <w:rPr>
          <w:rFonts w:hint="eastAsia"/>
          <w:color w:val="000000" w:themeColor="text1"/>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3.线下指定磋商地点：重庆市万州区公共资源交易中心开标室（万州区政务服务中心7楼（陈家坝街道江南大道295号）。</w:t>
      </w:r>
    </w:p>
    <w:p w14:paraId="70F0AADF">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电子招投标系统磋商开始时间前的30分钟是供应商自主在线准备环节时间（是否在线准备由供应商主观决定，在线准备环节意义在于提前测试CA证书与当前电脑设备运行环境是否正常），在线准备环节不具备签到意义，特此声明。</w:t>
      </w:r>
    </w:p>
    <w:p w14:paraId="27D1E884">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（八）其他补充事宜</w:t>
      </w:r>
    </w:p>
    <w:p w14:paraId="41BF825F">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供应商如未在规定解密时长（系统默认30分钟解密时长，采购人/采购代理机构可根据现场响应情况进行延长/变更解密时长）内解密电子响应文件的情形约定：</w:t>
      </w:r>
    </w:p>
    <w:p w14:paraId="2F26554C">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因政府采购全程电子化系统客观原因影响解密时长的，采购人/采购代理机构可根据现场实际情况延长解密时长。供应商在仍不能正常解密的情况下，供应商可向采购人/采购代理机构申请，启用上传不加密的电子备份响应文件的方法作为补救措施；在规定的解密时长内，供应商既不解密，也未提供不加密的电子备份响应文件作为补救措施的，视为供应商主动放弃对该项目的响应资格。</w:t>
      </w:r>
    </w:p>
    <w:p w14:paraId="60DA2312">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因供应商主观原因未在规定解密时长内完成解密工作的，且未在规定解密时长内向采购人/采购代理机构申请启用上传不加密的电子备份响应文件的方法作为补救措施或者已申请启用电子备份响应文件后仍不在规定解密时长内提供有效不加密的电子备份响应文件的情况，都视为供应商在递交电子响应文件截止时间后撤销电子响应文件，响应无效且供应商不得再参与本项目后续采购活动。</w:t>
      </w:r>
    </w:p>
    <w:p w14:paraId="01BC5F5C">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2.本项目采用全流程电子招投标。各供应商需熟悉了解整个政府采购电子化开评标全过程。具体电子化采购规则以及操作指南请下载项目公告附件《采购公告附件（供应商必看手册）24-</w:t>
      </w:r>
      <w:r>
        <w:rPr>
          <w:rFonts w:hint="default" w:ascii="宋体" w:hAnsi="宋体" w:cs="宋体"/>
          <w:color w:val="000000" w:themeColor="text1"/>
          <w:sz w:val="24"/>
          <w:szCs w:val="24"/>
          <w:highlight w:val="none"/>
          <w:lang w:val="en-US"/>
          <w14:textFill>
            <w14:solidFill>
              <w14:schemeClr w14:val="tx1"/>
            </w14:solidFill>
          </w14:textFill>
        </w:rPr>
        <w:t>8</w:t>
      </w:r>
      <w:r>
        <w:rPr>
          <w:rFonts w:hint="eastAsia" w:ascii="宋体" w:hAnsi="宋体" w:cs="宋体"/>
          <w:color w:val="000000" w:themeColor="text1"/>
          <w:sz w:val="24"/>
          <w:szCs w:val="24"/>
          <w:highlight w:val="none"/>
          <w14:textFill>
            <w14:solidFill>
              <w14:schemeClr w14:val="tx1"/>
            </w14:solidFill>
          </w14:textFill>
        </w:rPr>
        <w:t>版》（《重庆市全流程电子招投标项目供应商办理正式CA签章流程手册》和《政府采购全程电子化采购系统供应商操作手册（CA证书签章版）》、《【供应商必看】政府采购（CA版）供应商投标前软件安装手册》），并按其对应手册要求完成操作。</w:t>
      </w:r>
    </w:p>
    <w:p w14:paraId="2EF5211C">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（九）现场踏勘</w:t>
      </w:r>
    </w:p>
    <w:p w14:paraId="5125EBDD">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采购人不统一组织现场踏勘，潜在供应商可自行前往项目所在地进行必要的现场踏勘，以充分了解影响项目报价等的相关因素，任何因忽视或误解情况而导致出现的问题，由潜在供应商自行承担责任。</w:t>
      </w:r>
    </w:p>
    <w:bookmarkEnd w:id="11"/>
    <w:bookmarkEnd w:id="16"/>
    <w:p w14:paraId="3ECC2BC0">
      <w:pPr>
        <w:pStyle w:val="4"/>
        <w:numPr>
          <w:ilvl w:val="0"/>
          <w:numId w:val="2"/>
        </w:numPr>
        <w:adjustRightInd w:val="0"/>
        <w:snapToGrid w:val="0"/>
        <w:spacing w:before="0" w:after="0" w:line="400" w:lineRule="exact"/>
        <w:ind w:firstLine="482"/>
        <w:rPr>
          <w:rFonts w:hint="eastAsia" w:ascii="宋体" w:hAnsi="宋体" w:eastAsia="宋体" w:cs="宋体"/>
          <w:color w:val="000000" w:themeColor="text1"/>
          <w:sz w:val="24"/>
          <w:highlight w:val="none"/>
          <w14:textFill>
            <w14:solidFill>
              <w14:schemeClr w14:val="tx1"/>
            </w14:solidFill>
          </w14:textFill>
        </w:rPr>
      </w:pPr>
      <w:bookmarkStart w:id="18" w:name="_Toc18234"/>
      <w:bookmarkStart w:id="19" w:name="_Toc479668114"/>
      <w:bookmarkStart w:id="20" w:name="_Toc480466698"/>
      <w:r>
        <w:rPr>
          <w:rFonts w:hint="eastAsia" w:ascii="宋体" w:hAnsi="宋体" w:eastAsia="宋体" w:cs="宋体"/>
          <w:color w:val="000000" w:themeColor="text1"/>
          <w:sz w:val="24"/>
          <w:highlight w:val="none"/>
          <w:lang w:eastAsia="zh-CN"/>
          <w14:textFill>
            <w14:solidFill>
              <w14:schemeClr w14:val="tx1"/>
            </w14:solidFill>
          </w14:textFill>
        </w:rPr>
        <w:t>磋商</w:t>
      </w:r>
      <w:r>
        <w:rPr>
          <w:rFonts w:hint="eastAsia" w:ascii="宋体" w:hAnsi="宋体" w:eastAsia="宋体" w:cs="宋体"/>
          <w:color w:val="000000" w:themeColor="text1"/>
          <w:sz w:val="24"/>
          <w:highlight w:val="none"/>
          <w14:textFill>
            <w14:solidFill>
              <w14:schemeClr w14:val="tx1"/>
            </w14:solidFill>
          </w14:textFill>
        </w:rPr>
        <w:t>保证金</w:t>
      </w:r>
      <w:bookmarkEnd w:id="18"/>
    </w:p>
    <w:p w14:paraId="18C77652">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bookmarkStart w:id="21" w:name="_Toc18295"/>
      <w:r>
        <w:rPr>
          <w:rFonts w:hint="eastAsia" w:ascii="宋体" w:hAnsi="宋体" w:eastAsia="宋体" w:cs="宋体"/>
          <w:color w:val="000000" w:themeColor="text1"/>
          <w:sz w:val="24"/>
          <w:szCs w:val="24"/>
          <w:highlight w:val="none"/>
          <w14:textFill>
            <w14:solidFill>
              <w14:schemeClr w14:val="tx1"/>
            </w14:solidFill>
          </w14:textFill>
        </w:rPr>
        <w:t>Ⅰ.保证金数额：见竞争性磋商内容。</w:t>
      </w:r>
    </w:p>
    <w:p w14:paraId="6A311C27">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Ⅱ.保证金递交和退还方式</w:t>
      </w:r>
    </w:p>
    <w:p w14:paraId="16F0DFD8">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磋商保证金的递交采用转账支票、汇票、本票或纸质保函的方式</w:t>
      </w:r>
    </w:p>
    <w:p w14:paraId="0C08A901">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（一）采用转账支票、汇票、本票方式递交磋商保证金的</w:t>
      </w:r>
    </w:p>
    <w:p w14:paraId="59B9F02B">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1.磋商保证金的递交</w:t>
      </w:r>
    </w:p>
    <w:p w14:paraId="6009AD73">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1.1供应商须按本项目规定的磋商保证金金额进行缴纳（保证金金额详见本篇，一、竞争性磋商内容），由供应商将磋商保证金汇至以下账户，磋商保证金的到账截止时间为竞争性磋商截止时间。</w:t>
      </w:r>
    </w:p>
    <w:p w14:paraId="51058D8F">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户  名：</w:t>
      </w:r>
      <w:r>
        <w:rPr>
          <w:rFonts w:hint="eastAsia" w:ascii="宋体" w:hAnsi="宋体" w:cs="宋体"/>
          <w:color w:val="000000" w:themeColor="text1"/>
          <w:sz w:val="24"/>
          <w:szCs w:val="24"/>
          <w:highlight w:val="none"/>
          <w14:textFill>
            <w14:solidFill>
              <w14:schemeClr w14:val="tx1"/>
            </w14:solidFill>
          </w14:textFill>
        </w:rPr>
        <w:t>重庆市万州荣军优抚医院（重庆市万州康复辅具技术中心）</w:t>
      </w:r>
    </w:p>
    <w:p w14:paraId="715EBEDC">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开户行：</w:t>
      </w:r>
      <w:r>
        <w:rPr>
          <w:rFonts w:hint="eastAsia" w:ascii="宋体" w:hAnsi="宋体" w:cs="宋体"/>
          <w:color w:val="000000" w:themeColor="text1"/>
          <w:sz w:val="24"/>
          <w:szCs w:val="24"/>
          <w:highlight w:val="none"/>
          <w:lang w:eastAsia="zh-CN"/>
          <w14:textFill>
            <w14:solidFill>
              <w14:schemeClr w14:val="tx1"/>
            </w14:solidFill>
          </w14:textFill>
        </w:rPr>
        <w:t>中国建设银行股份有限公司重庆万州天城支行</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6DF1A3C7">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账  号：</w:t>
      </w:r>
      <w:r>
        <w:rPr>
          <w:rFonts w:hint="eastAsia" w:ascii="宋体" w:hAnsi="宋体" w:eastAsia="宋体" w:cs="宋体"/>
          <w:color w:val="000000" w:themeColor="text1"/>
          <w:sz w:val="24"/>
          <w:szCs w:val="24"/>
          <w:highlight w:val="none"/>
          <w:lang w:val="en-US"/>
          <w14:textFill>
            <w14:solidFill>
              <w14:schemeClr w14:val="tx1"/>
            </w14:solidFill>
          </w14:textFill>
        </w:rPr>
        <w:t>50050130020000000915</w:t>
      </w:r>
      <w:r>
        <w:rPr>
          <w:rFonts w:hint="eastAsia" w:ascii="宋体" w:hAnsi="宋体" w:eastAsia="宋体" w:cs="宋体"/>
          <w:color w:val="000000" w:themeColor="text1"/>
          <w:sz w:val="24"/>
          <w:szCs w:val="24"/>
          <w:highlight w:val="none"/>
          <w14:textFill>
            <w14:solidFill>
              <w14:schemeClr w14:val="tx1"/>
            </w14:solidFill>
          </w14:textFill>
        </w:rPr>
        <w:t xml:space="preserve"> </w:t>
      </w:r>
    </w:p>
    <w:p w14:paraId="71856D34">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各供应商在银行转账（电汇）时，须充分考虑银行转账（电汇）的时间差风险，如同城转账、异地转账或汇款、跨行转账或电汇的时间要求。保证金具体到账情况均以重庆市万州荣军优抚医院（重庆市万州康复辅具技术中心）财务室的银行到账信息为准，迟到的磋商保证金视为无效。</w:t>
      </w:r>
    </w:p>
    <w:p w14:paraId="247B7F98">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 各供应商在递交磋商保证金时，到款账户为上述指定的磋商保证金专用账户。</w:t>
      </w:r>
    </w:p>
    <w:p w14:paraId="29DFE41F">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 各供应商在银行转账（电汇）时，在付款凭证备注栏中简称注明“项目名称、或分包名称、或招标编号”项目磋商保证金。</w:t>
      </w:r>
    </w:p>
    <w:p w14:paraId="619B09B6">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 各供应商在开标现场提供递交磋商保证金的银行转账（电汇）凭证复印件，明显标注用户名、开户行、账号，方便财务核实。</w:t>
      </w:r>
    </w:p>
    <w:p w14:paraId="16B1D067">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2.保证金退还方式</w:t>
      </w:r>
    </w:p>
    <w:p w14:paraId="3C699D4B">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2.1未成交供应商的保证金，在成交通知书发放后，重庆市万州荣军优抚医院（重庆市万州康复辅具技术中心）在五个工作日内按来款渠道直接退还。</w:t>
      </w:r>
    </w:p>
    <w:p w14:paraId="275EC334">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2.2成交供应商的保证金，在成交供应商与采购人签订合同后，重庆市万州荣军优抚医院（重庆市万州康复辅具技术中心）在五个工作日内按资金来款渠道直接退还。</w:t>
      </w:r>
    </w:p>
    <w:p w14:paraId="18ACA3C4">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（二）.以纸质磋商保函形式交纳磋商保证金的：</w:t>
      </w:r>
    </w:p>
    <w:p w14:paraId="429CF76D">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 纸质磋商保函交纳形式及要求：</w:t>
      </w:r>
    </w:p>
    <w:p w14:paraId="09B8E64F">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1.1缴纳形式：供应商提供不可撤销且见索即付的银行保函；</w:t>
      </w:r>
    </w:p>
    <w:p w14:paraId="5025F297">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具体要求：供应商须在响应文件中提供银行开具的纸质磋商保函正本原件扫描件，纸质磋商保函正本原件应当于磋商截止时间前在开标现场递交采购代理机构保管。纸质磋商保函应至少体现如下内容：①担保项目必须为磋商项目；②受益人必须为本项目采购人；③保函担保金额必须满足磋商项目要求；④保函生效时间必须在磋商截止时间前，有效期限必须至少包含整个磋商有效期；⑤保函须不可撤销且见索即付。</w:t>
      </w:r>
    </w:p>
    <w:p w14:paraId="588A299F">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若磋商截止时间延期，则纸质磋商保函递交的截止时间和磋商截止时间保持一致。</w:t>
      </w:r>
    </w:p>
    <w:p w14:paraId="628EF267">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不满足上述要求的纸质磋商保函无效。</w:t>
      </w:r>
    </w:p>
    <w:p w14:paraId="401C4D48">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1.3供应商须确保其递交的纸质磋商保函能在万州区相关银行核验真伪，并在响应文件中提供纸质磋商保函的核验地点、方式和联系人，否则该纸质磋商保函视为无效。</w:t>
      </w:r>
    </w:p>
    <w:p w14:paraId="491F3734">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1.4供应商在开标现场递交的纸质磋商保函正本原件应与响应文件中提供的纸质磋商保函正本原件扫描件一致，否则该供应商磋商无效。</w:t>
      </w:r>
    </w:p>
    <w:p w14:paraId="5D453527">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在发出成交通知书前，采购人应当对供应商（至少成交候选供应商或成交供应商）的纸质磋商保函开展核验。采购人按照供应商提供的核验地点、方式和联系人等信息无法对该纸质磋商保函进行核验的，或发现供应商递交的纸质磋商保函弄虚作假的，对已取得成交资格的供应商，取消成交资格，给采购人造成损失的，供应商依法承担赔偿责任。采购人对纸质磋商保函无法核验的，应当报行政监管部门依法依规处理；对纸质磋商保函弄虚作假的，应当报行政监管部门和公安机关依法依规处理。</w:t>
      </w:r>
    </w:p>
    <w:p w14:paraId="0F4F763E">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1.6若供应商为联合体，则由联合体主体方提供纸质磋商保函。</w:t>
      </w:r>
    </w:p>
    <w:p w14:paraId="6CB128E6">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2.纸质磋商保函的退还、注销：</w:t>
      </w:r>
    </w:p>
    <w:p w14:paraId="1EEA7DFC">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2.1成交结果公示期满后，采购代理机构向成交供应商发出成交通知书，同时向除成交供应商以外的其他供应商退还纸质磋商保函正本原件并书面通知相关银行本项目提前注销纸质磋商保函。具体注销事宜由供应商与银行协商。</w:t>
      </w:r>
    </w:p>
    <w:p w14:paraId="5A140014">
      <w:pPr>
        <w:spacing w:line="400" w:lineRule="exact"/>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2.2采购人应在法定时间内和成交供应商签订合同，并同时退还成交供应商纸质磋商保函正本原件并通知相关银行注销成交供应商纸质磋商保函。具体注销事宜由成交供应商与银行协商。</w:t>
      </w:r>
    </w:p>
    <w:p w14:paraId="3A2DCE92">
      <w:pPr>
        <w:snapToGrid w:val="0"/>
        <w:spacing w:line="400" w:lineRule="exact"/>
        <w:ind w:firstLine="1084" w:firstLineChars="450"/>
        <w:rPr>
          <w:rFonts w:hint="default" w:ascii="宋体" w:hAnsi="宋体" w:eastAsia="宋体" w:cs="宋体"/>
          <w:b/>
          <w:color w:val="000000" w:themeColor="text1"/>
          <w:sz w:val="24"/>
          <w:szCs w:val="24"/>
          <w:highlight w:val="none"/>
          <w:u w:val="single"/>
          <w:lang w:val="en-US"/>
          <w14:textFill>
            <w14:solidFill>
              <w14:schemeClr w14:val="tx1"/>
            </w14:solidFill>
          </w14:textFill>
        </w:rPr>
      </w:pPr>
      <w:r>
        <w:rPr>
          <w:rFonts w:hint="eastAsia" w:ascii="宋体" w:hAnsi="宋体" w:eastAsia="宋体" w:cs="宋体"/>
          <w:b/>
          <w:color w:val="000000" w:themeColor="text1"/>
          <w:sz w:val="24"/>
          <w:szCs w:val="24"/>
          <w:highlight w:val="none"/>
          <w14:textFill>
            <w14:solidFill>
              <w14:schemeClr w14:val="tx1"/>
            </w14:solidFill>
          </w14:textFill>
        </w:rPr>
        <w:t>财务室咨询电话：</w:t>
      </w:r>
      <w:r>
        <w:rPr>
          <w:rFonts w:hint="default" w:ascii="宋体" w:hAnsi="宋体" w:eastAsia="宋体" w:cs="宋体"/>
          <w:b/>
          <w:color w:val="000000" w:themeColor="text1"/>
          <w:sz w:val="24"/>
          <w:szCs w:val="24"/>
          <w:highlight w:val="none"/>
          <w:lang w:val="en-US"/>
          <w14:textFill>
            <w14:solidFill>
              <w14:schemeClr w14:val="tx1"/>
            </w14:solidFill>
          </w14:textFill>
        </w:rPr>
        <w:t xml:space="preserve">023-58372855   </w:t>
      </w:r>
    </w:p>
    <w:p w14:paraId="31FE6386">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六、采购项目需落实的政府采购政策</w:t>
      </w:r>
      <w:bookmarkEnd w:id="17"/>
      <w:bookmarkEnd w:id="19"/>
      <w:bookmarkEnd w:id="20"/>
      <w:bookmarkEnd w:id="21"/>
    </w:p>
    <w:p w14:paraId="5E41CE31">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（一）按照《财政部 生态环境部关于印发环境标志产品政府采购品目清单的通知》（财库〔2019〕18号）和《财政部 发展改革委关于印发节能产品政府采购品目清单的通知》（财库〔2019〕19号）的规定，落实国家节能环保政策。</w:t>
      </w:r>
    </w:p>
    <w:p w14:paraId="7D6893F2">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（二）按照财政部、工业和信息化部关于印发《政府采购促进中小企业发展管理办法》的通知（财库〔2020〕46号）的规定，落实促进中小企业发展政策。</w:t>
      </w:r>
    </w:p>
    <w:p w14:paraId="1C262202">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（三）按照《财政部、司法部关于政府采购支持监狱企业发展有关问题的通知》（财库〔2014〕68号）的规定，落实支持监狱企业发展政策。</w:t>
      </w:r>
    </w:p>
    <w:p w14:paraId="7CBF1647">
      <w:pPr>
        <w:snapToGrid w:val="0"/>
        <w:spacing w:line="39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（四）按照《三部门联合发布关于促进残疾人就业政府采购政策的通知》（财库〔2017〕 141号）的规定，落实支持残疾人福利性单位发展政策。</w:t>
      </w:r>
    </w:p>
    <w:p w14:paraId="5387AA40">
      <w:pPr>
        <w:pStyle w:val="4"/>
        <w:adjustRightInd w:val="0"/>
        <w:snapToGrid w:val="0"/>
        <w:spacing w:before="0" w:after="0" w:line="39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bookmarkStart w:id="22" w:name="_Toc76462322"/>
      <w:bookmarkStart w:id="23" w:name="_Toc480466699"/>
      <w:bookmarkStart w:id="24" w:name="_Toc18947"/>
      <w:r>
        <w:rPr>
          <w:rFonts w:hint="eastAsia" w:ascii="宋体" w:hAnsi="宋体" w:eastAsia="宋体" w:cs="宋体"/>
          <w:color w:val="000000" w:themeColor="text1"/>
          <w:sz w:val="24"/>
          <w:highlight w:val="none"/>
          <w14:textFill>
            <w14:solidFill>
              <w14:schemeClr w14:val="tx1"/>
            </w14:solidFill>
          </w14:textFill>
        </w:rPr>
        <w:t>七、其它有关规定</w:t>
      </w:r>
      <w:bookmarkEnd w:id="22"/>
      <w:bookmarkEnd w:id="23"/>
      <w:bookmarkEnd w:id="24"/>
    </w:p>
    <w:p w14:paraId="682E1326">
      <w:pPr>
        <w:snapToGrid w:val="0"/>
        <w:spacing w:line="390" w:lineRule="exact"/>
        <w:ind w:firstLine="360" w:firstLineChars="15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（一）单位负责人为同一人或者存在直接控股、管理关系的不同供应商，不得参加同一合同项（包）下的政府采购活动，否则均为无效响应。</w:t>
      </w:r>
    </w:p>
    <w:p w14:paraId="2A000525">
      <w:pPr>
        <w:snapToGrid w:val="0"/>
        <w:spacing w:line="390" w:lineRule="exact"/>
        <w:ind w:firstLine="360" w:firstLineChars="15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（二）为采购项目提供整体设计、规范编制或者项目管理、监理、检测等服务的供应商，不得再参加该采购项目的其他采购活动。</w:t>
      </w:r>
    </w:p>
    <w:p w14:paraId="2F1C2569">
      <w:pPr>
        <w:snapToGrid w:val="0"/>
        <w:spacing w:line="390" w:lineRule="exact"/>
        <w:ind w:firstLine="360" w:firstLineChars="15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本项目的澄清文件（如果有）一律在重庆市政府采购网（www.ccgp-chongqing.gov.cn）上发布，请各供应商注意下载或到采购代理机构处领取；无论供应商下载或领取与否，均视同供应商已知晓本项目澄清文件（如果有）的内容。</w:t>
      </w:r>
    </w:p>
    <w:p w14:paraId="4C6814EF">
      <w:pPr>
        <w:snapToGrid w:val="0"/>
        <w:spacing w:line="390" w:lineRule="exact"/>
        <w:ind w:firstLine="360" w:firstLineChars="15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（四）超过电子响应文件递交截止时间递交的响应文件，恕不接收。</w:t>
      </w:r>
    </w:p>
    <w:p w14:paraId="212A9281">
      <w:pPr>
        <w:snapToGrid w:val="0"/>
        <w:spacing w:line="390" w:lineRule="exact"/>
        <w:ind w:firstLine="360" w:firstLineChars="15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（五）磋商费用：无论磋商结果如何，供应商参与本项目磋商的所有费用均应由供应商自行承担。</w:t>
      </w:r>
    </w:p>
    <w:p w14:paraId="5F8062E4">
      <w:pPr>
        <w:snapToGrid w:val="0"/>
        <w:spacing w:line="390" w:lineRule="exact"/>
        <w:ind w:firstLine="360" w:firstLineChars="15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w:t>
      </w:r>
      <w:bookmarkStart w:id="25" w:name="_Toc480466700"/>
      <w:r>
        <w:rPr>
          <w:rFonts w:hint="eastAsia" w:ascii="宋体" w:hAnsi="宋体" w:cs="宋体"/>
          <w:color w:val="000000" w:themeColor="text1"/>
          <w:sz w:val="24"/>
          <w:szCs w:val="24"/>
          <w:highlight w:val="none"/>
          <w14:textFill>
            <w14:solidFill>
              <w14:schemeClr w14:val="tx1"/>
            </w14:solidFill>
          </w14:textFill>
        </w:rPr>
        <w:t>按照《财政部关于在政府采购活动中查询及使用信用记录有关问题的通知》财库〔2016〕125号，供应商列入失信被执行人、重大税收违法案件当事人名单、政府采购严重违法失信行为记录名单及其他不符合《中华人民共和国政府采购法》第二十二条规定条件的供应商，将拒绝其参与政府采购活动。</w:t>
      </w:r>
    </w:p>
    <w:p w14:paraId="681BF0A0">
      <w:pPr>
        <w:pStyle w:val="4"/>
        <w:adjustRightInd w:val="0"/>
        <w:snapToGrid w:val="0"/>
        <w:spacing w:before="0" w:after="0" w:line="39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bookmarkStart w:id="26" w:name="_Toc76462323"/>
      <w:bookmarkStart w:id="27" w:name="_Toc32641"/>
      <w:r>
        <w:rPr>
          <w:rFonts w:hint="eastAsia" w:ascii="宋体" w:hAnsi="宋体" w:eastAsia="宋体" w:cs="宋体"/>
          <w:color w:val="000000" w:themeColor="text1"/>
          <w:sz w:val="24"/>
          <w:highlight w:val="none"/>
          <w14:textFill>
            <w14:solidFill>
              <w14:schemeClr w14:val="tx1"/>
            </w14:solidFill>
          </w14:textFill>
        </w:rPr>
        <w:t>八、联系方式</w:t>
      </w:r>
      <w:bookmarkEnd w:id="25"/>
      <w:bookmarkEnd w:id="26"/>
      <w:bookmarkEnd w:id="27"/>
    </w:p>
    <w:p w14:paraId="11A4CB16">
      <w:pPr>
        <w:snapToGrid w:val="0"/>
        <w:spacing w:line="39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bookmarkStart w:id="28" w:name="_Toc4821"/>
      <w:bookmarkStart w:id="29" w:name="_Toc76462324"/>
      <w:r>
        <w:rPr>
          <w:rFonts w:hint="eastAsia" w:ascii="宋体" w:hAnsi="宋体" w:cs="宋体"/>
          <w:color w:val="000000" w:themeColor="text1"/>
          <w:sz w:val="24"/>
          <w:szCs w:val="24"/>
          <w:highlight w:val="none"/>
          <w14:textFill>
            <w14:solidFill>
              <w14:schemeClr w14:val="tx1"/>
            </w14:solidFill>
          </w14:textFill>
        </w:rPr>
        <w:t>（一）采购人：重庆市万州荣军优抚医院（重庆市万州康复辅具技术中心）</w:t>
      </w:r>
    </w:p>
    <w:p w14:paraId="52BC950F">
      <w:pPr>
        <w:snapToGrid w:val="0"/>
        <w:spacing w:line="39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联系人：吴老师</w:t>
      </w:r>
    </w:p>
    <w:p w14:paraId="49B97A04">
      <w:pPr>
        <w:snapToGrid w:val="0"/>
        <w:spacing w:line="39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  话：13996688200</w:t>
      </w:r>
    </w:p>
    <w:p w14:paraId="2515CE23">
      <w:pPr>
        <w:snapToGrid w:val="0"/>
        <w:spacing w:line="39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  址：重庆市万州区周家坝街道海关路115号 </w:t>
      </w:r>
    </w:p>
    <w:p w14:paraId="259F8489">
      <w:pPr>
        <w:snapToGrid w:val="0"/>
        <w:spacing w:line="39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p>
    <w:p w14:paraId="36A7F063">
      <w:pPr>
        <w:snapToGrid w:val="0"/>
        <w:spacing w:line="39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（二）采购代理机构：重庆万欧工程管理咨询有限公司  </w:t>
      </w:r>
    </w:p>
    <w:p w14:paraId="2AB34B26">
      <w:pPr>
        <w:snapToGrid w:val="0"/>
        <w:spacing w:line="39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联系人：</w:t>
      </w:r>
      <w:r>
        <w:rPr>
          <w:rFonts w:hint="eastAsia" w:ascii="宋体" w:hAnsi="宋体" w:cs="宋体"/>
          <w:color w:val="000000" w:themeColor="text1"/>
          <w:sz w:val="24"/>
          <w:szCs w:val="24"/>
          <w:highlight w:val="none"/>
          <w:lang w:eastAsia="zh-CN"/>
          <w14:textFill>
            <w14:solidFill>
              <w14:schemeClr w14:val="tx1"/>
            </w14:solidFill>
          </w14:textFill>
        </w:rPr>
        <w:t>赵老师</w:t>
      </w:r>
      <w:r>
        <w:rPr>
          <w:rFonts w:ascii="宋体" w:hAnsi="宋体" w:cs="宋体"/>
          <w:color w:val="000000" w:themeColor="text1"/>
          <w:sz w:val="24"/>
          <w:szCs w:val="24"/>
          <w:highlight w:val="non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 xml:space="preserve"> </w:t>
      </w:r>
    </w:p>
    <w:p w14:paraId="4C0397DC">
      <w:pPr>
        <w:snapToGrid w:val="0"/>
        <w:spacing w:line="39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  话：</w:t>
      </w:r>
      <w:r>
        <w:rPr>
          <w:rFonts w:hint="default" w:ascii="宋体" w:hAnsi="宋体" w:cs="宋体"/>
          <w:color w:val="000000" w:themeColor="text1"/>
          <w:sz w:val="24"/>
          <w:szCs w:val="24"/>
          <w:highlight w:val="none"/>
          <w:lang w:val="en-US"/>
          <w14:textFill>
            <w14:solidFill>
              <w14:schemeClr w14:val="tx1"/>
            </w14:solidFill>
          </w14:textFill>
        </w:rPr>
        <w:t>18696840306</w:t>
      </w:r>
      <w:r>
        <w:rPr>
          <w:rFonts w:ascii="宋体" w:hAnsi="宋体" w:cs="宋体"/>
          <w:color w:val="000000" w:themeColor="text1"/>
          <w:sz w:val="24"/>
          <w:szCs w:val="24"/>
          <w:highlight w:val="none"/>
          <w14:textFill>
            <w14:solidFill>
              <w14:schemeClr w14:val="tx1"/>
            </w14:solidFill>
          </w14:textFill>
        </w:rPr>
        <w:t xml:space="preserve"> </w:t>
      </w:r>
    </w:p>
    <w:p w14:paraId="22300B8B">
      <w:pPr>
        <w:snapToGrid w:val="0"/>
        <w:spacing w:line="390" w:lineRule="exact"/>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地  址：</w:t>
      </w:r>
      <w:bookmarkStart w:id="30" w:name="_Hlk148216267"/>
      <w:r>
        <w:rPr>
          <w:rFonts w:hint="eastAsia" w:ascii="宋体" w:hAnsi="宋体" w:cs="宋体"/>
          <w:color w:val="000000" w:themeColor="text1"/>
          <w:sz w:val="24"/>
          <w:szCs w:val="24"/>
          <w:highlight w:val="none"/>
          <w14:textFill>
            <w14:solidFill>
              <w14:schemeClr w14:val="tx1"/>
            </w14:solidFill>
          </w14:textFill>
        </w:rPr>
        <w:t>重庆市万州区沙龙路三段898号二楼203-204</w:t>
      </w:r>
    </w:p>
    <w:p w14:paraId="233FBC71">
      <w:pPr>
        <w:pStyle w:val="7"/>
        <w:rPr>
          <w:color w:val="000000" w:themeColor="text1"/>
          <w:highlight w:val="none"/>
          <w14:textFill>
            <w14:solidFill>
              <w14:schemeClr w14:val="tx1"/>
            </w14:solidFill>
          </w14:textFill>
        </w:rPr>
      </w:pPr>
    </w:p>
    <w:p w14:paraId="71AA1E29">
      <w:pPr>
        <w:snapToGrid w:val="0"/>
        <w:spacing w:line="390" w:lineRule="exact"/>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（三）电子招投标系统技术指导：重庆港澳大家软件产业有限公司</w:t>
      </w:r>
    </w:p>
    <w:p w14:paraId="62E01143">
      <w:pPr>
        <w:snapToGrid w:val="0"/>
        <w:spacing w:line="390" w:lineRule="exact"/>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联系人：谭老师</w:t>
      </w:r>
    </w:p>
    <w:p w14:paraId="2D74286A">
      <w:pPr>
        <w:snapToGrid w:val="0"/>
        <w:spacing w:line="390" w:lineRule="exact"/>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电话：023-88158029（工作日）   18315002442（节假日）</w:t>
      </w:r>
    </w:p>
    <w:p w14:paraId="0526B6B2">
      <w:pPr>
        <w:snapToGrid w:val="0"/>
        <w:spacing w:line="390" w:lineRule="exact"/>
        <w:ind w:firstLine="480"/>
        <w:jc w:val="left"/>
        <w:rPr>
          <w:rFonts w:hint="eastAsia" w:ascii="宋体" w:hAnsi="宋体" w:cs="宋体"/>
          <w:color w:val="000000" w:themeColor="text1"/>
          <w:sz w:val="24"/>
          <w:szCs w:val="24"/>
          <w:highlight w:val="none"/>
          <w14:textFill>
            <w14:solidFill>
              <w14:schemeClr w14:val="tx1"/>
            </w14:solidFill>
          </w14:textFill>
        </w:rPr>
      </w:pPr>
    </w:p>
    <w:p w14:paraId="6A4A4DB1">
      <w:pPr>
        <w:snapToGrid w:val="0"/>
        <w:spacing w:line="390" w:lineRule="exact"/>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（四）CA数字证书办理服务平台：东方中讯数字证书认证有限公司</w:t>
      </w:r>
    </w:p>
    <w:p w14:paraId="1A34529E">
      <w:pPr>
        <w:snapToGrid w:val="0"/>
        <w:spacing w:line="390" w:lineRule="exact"/>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联系人：何晓伦</w:t>
      </w:r>
    </w:p>
    <w:p w14:paraId="732D88BA">
      <w:pPr>
        <w:snapToGrid w:val="0"/>
        <w:spacing w:line="390" w:lineRule="exact"/>
        <w:ind w:firstLine="48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电话：023-88257082  023-63153662</w:t>
      </w:r>
    </w:p>
    <w:bookmarkEnd w:id="30"/>
    <w:p w14:paraId="7899258C">
      <w:pPr>
        <w:spacing w:line="390" w:lineRule="exact"/>
        <w:rPr>
          <w:rFonts w:hint="eastAsia" w:ascii="宋体" w:hAnsi="宋体" w:cs="宋体"/>
          <w:color w:val="000000" w:themeColor="text1"/>
          <w:sz w:val="36"/>
          <w:szCs w:val="30"/>
          <w:highlight w:val="none"/>
          <w14:textFill>
            <w14:solidFill>
              <w14:schemeClr w14:val="tx1"/>
            </w14:solidFill>
          </w14:textFill>
        </w:rPr>
      </w:pPr>
      <w:r>
        <w:rPr>
          <w:rFonts w:hint="eastAsia" w:ascii="宋体" w:hAnsi="宋体" w:cs="宋体"/>
          <w:color w:val="000000" w:themeColor="text1"/>
          <w:sz w:val="36"/>
          <w:szCs w:val="30"/>
          <w:highlight w:val="none"/>
          <w14:textFill>
            <w14:solidFill>
              <w14:schemeClr w14:val="tx1"/>
            </w14:solidFill>
          </w14:textFill>
        </w:rPr>
        <w:br w:type="page"/>
      </w:r>
    </w:p>
    <w:p w14:paraId="2E875E65">
      <w:pPr>
        <w:pStyle w:val="4"/>
        <w:spacing w:before="0" w:after="0" w:line="360" w:lineRule="auto"/>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Cs/>
          <w:color w:val="000000" w:themeColor="text1"/>
          <w:sz w:val="36"/>
          <w:szCs w:val="30"/>
          <w:highlight w:val="none"/>
          <w14:textFill>
            <w14:solidFill>
              <w14:schemeClr w14:val="tx1"/>
            </w14:solidFill>
          </w14:textFill>
        </w:rPr>
        <w:t>第二篇  磋商项目技术需求</w:t>
      </w:r>
      <w:bookmarkEnd w:id="28"/>
      <w:bookmarkEnd w:id="29"/>
      <w:bookmarkStart w:id="31" w:name="_Toc76462325"/>
      <w:bookmarkStart w:id="32" w:name="_Toc12789058"/>
    </w:p>
    <w:bookmarkEnd w:id="31"/>
    <w:p w14:paraId="013AC2AA">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bookmarkStart w:id="33" w:name="_Toc76462327"/>
      <w:r>
        <w:rPr>
          <w:rFonts w:hint="eastAsia" w:ascii="宋体" w:hAnsi="宋体" w:eastAsia="宋体" w:cs="宋体"/>
          <w:color w:val="000000" w:themeColor="text1"/>
          <w:sz w:val="24"/>
          <w:highlight w:val="none"/>
          <w14:textFill>
            <w14:solidFill>
              <w14:schemeClr w14:val="tx1"/>
            </w14:solidFill>
          </w14:textFill>
        </w:rPr>
        <w:t>一、采购项目一览表</w:t>
      </w:r>
    </w:p>
    <w:tbl>
      <w:tblPr>
        <w:tblStyle w:val="17"/>
        <w:tblW w:w="8611" w:type="dxa"/>
        <w:jc w:val="center"/>
        <w:tblLayout w:type="fixed"/>
        <w:tblCellMar>
          <w:top w:w="0" w:type="dxa"/>
          <w:left w:w="108" w:type="dxa"/>
          <w:bottom w:w="0" w:type="dxa"/>
          <w:right w:w="108" w:type="dxa"/>
        </w:tblCellMar>
      </w:tblPr>
      <w:tblGrid>
        <w:gridCol w:w="1134"/>
        <w:gridCol w:w="3969"/>
        <w:gridCol w:w="1120"/>
        <w:gridCol w:w="1194"/>
        <w:gridCol w:w="1194"/>
      </w:tblGrid>
      <w:tr w14:paraId="49817691">
        <w:tblPrEx>
          <w:tblCellMar>
            <w:top w:w="0" w:type="dxa"/>
            <w:left w:w="108" w:type="dxa"/>
            <w:bottom w:w="0" w:type="dxa"/>
            <w:right w:w="108" w:type="dxa"/>
          </w:tblCellMar>
        </w:tblPrEx>
        <w:trPr>
          <w:trHeight w:val="640" w:hRule="atLeast"/>
          <w:jc w:val="center"/>
        </w:trPr>
        <w:tc>
          <w:tcPr>
            <w:tcW w:w="1134" w:type="dxa"/>
            <w:tcBorders>
              <w:top w:val="single" w:color="000000" w:sz="4" w:space="0"/>
              <w:left w:val="single" w:color="000000" w:sz="4" w:space="0"/>
              <w:bottom w:val="single" w:color="000000" w:sz="4" w:space="0"/>
              <w:right w:val="single" w:color="000000" w:sz="4" w:space="0"/>
            </w:tcBorders>
            <w:noWrap/>
            <w:vAlign w:val="center"/>
          </w:tcPr>
          <w:p w14:paraId="7A38FD93">
            <w:pPr>
              <w:widowControl/>
              <w:jc w:val="center"/>
              <w:textAlignment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lang w:bidi="ar"/>
                <w14:textFill>
                  <w14:solidFill>
                    <w14:schemeClr w14:val="tx1"/>
                  </w14:solidFill>
                </w14:textFill>
              </w:rPr>
              <w:t>序号</w:t>
            </w:r>
          </w:p>
        </w:tc>
        <w:tc>
          <w:tcPr>
            <w:tcW w:w="3969" w:type="dxa"/>
            <w:tcBorders>
              <w:top w:val="single" w:color="000000" w:sz="4" w:space="0"/>
              <w:left w:val="single" w:color="000000" w:sz="4" w:space="0"/>
              <w:bottom w:val="single" w:color="000000" w:sz="4" w:space="0"/>
              <w:right w:val="single" w:color="000000" w:sz="4" w:space="0"/>
            </w:tcBorders>
            <w:noWrap/>
            <w:vAlign w:val="center"/>
          </w:tcPr>
          <w:p w14:paraId="0D9EBF38">
            <w:pPr>
              <w:widowControl/>
              <w:jc w:val="center"/>
              <w:textAlignment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lang w:bidi="ar"/>
                <w14:textFill>
                  <w14:solidFill>
                    <w14:schemeClr w14:val="tx1"/>
                  </w14:solidFill>
                </w14:textFill>
              </w:rPr>
              <w:t>子系统名称</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4E4B12DD">
            <w:pPr>
              <w:widowControl/>
              <w:jc w:val="center"/>
              <w:textAlignment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lang w:bidi="ar"/>
                <w14:textFill>
                  <w14:solidFill>
                    <w14:schemeClr w14:val="tx1"/>
                  </w14:solidFill>
                </w14:textFill>
              </w:rPr>
              <w:t>数量</w:t>
            </w:r>
          </w:p>
        </w:tc>
        <w:tc>
          <w:tcPr>
            <w:tcW w:w="1194" w:type="dxa"/>
            <w:tcBorders>
              <w:top w:val="single" w:color="000000" w:sz="4" w:space="0"/>
              <w:left w:val="single" w:color="000000" w:sz="4" w:space="0"/>
              <w:bottom w:val="single" w:color="000000" w:sz="4" w:space="0"/>
              <w:right w:val="single" w:color="000000" w:sz="4" w:space="0"/>
            </w:tcBorders>
            <w:noWrap/>
            <w:vAlign w:val="center"/>
          </w:tcPr>
          <w:p w14:paraId="6857A48E">
            <w:pPr>
              <w:widowControl/>
              <w:jc w:val="center"/>
              <w:textAlignment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lang w:bidi="ar"/>
                <w14:textFill>
                  <w14:solidFill>
                    <w14:schemeClr w14:val="tx1"/>
                  </w14:solidFill>
                </w14:textFill>
              </w:rPr>
              <w:t>单位</w:t>
            </w:r>
          </w:p>
        </w:tc>
        <w:tc>
          <w:tcPr>
            <w:tcW w:w="1194" w:type="dxa"/>
            <w:tcBorders>
              <w:top w:val="single" w:color="000000" w:sz="4" w:space="0"/>
              <w:left w:val="single" w:color="000000" w:sz="4" w:space="0"/>
              <w:bottom w:val="single" w:color="000000" w:sz="4" w:space="0"/>
              <w:right w:val="single" w:color="000000" w:sz="4" w:space="0"/>
            </w:tcBorders>
            <w:noWrap/>
            <w:vAlign w:val="center"/>
          </w:tcPr>
          <w:p w14:paraId="4AA2FA4B">
            <w:pPr>
              <w:widowControl/>
              <w:jc w:val="center"/>
              <w:textAlignment w:val="center"/>
              <w:rPr>
                <w:rFonts w:hint="eastAsia" w:ascii="宋体" w:hAnsi="宋体" w:cs="宋体"/>
                <w:b/>
                <w:bCs/>
                <w:color w:val="000000" w:themeColor="text1"/>
                <w:kern w:val="0"/>
                <w:sz w:val="24"/>
                <w:szCs w:val="24"/>
                <w:highlight w:val="none"/>
                <w:lang w:bidi="ar"/>
                <w14:textFill>
                  <w14:solidFill>
                    <w14:schemeClr w14:val="tx1"/>
                  </w14:solidFill>
                </w14:textFill>
              </w:rPr>
            </w:pPr>
            <w:r>
              <w:rPr>
                <w:rFonts w:hint="eastAsia" w:ascii="宋体" w:hAnsi="宋体" w:cs="宋体"/>
                <w:b/>
                <w:bCs/>
                <w:color w:val="000000" w:themeColor="text1"/>
                <w:kern w:val="0"/>
                <w:sz w:val="24"/>
                <w:szCs w:val="24"/>
                <w:highlight w:val="none"/>
                <w:lang w:bidi="ar"/>
                <w14:textFill>
                  <w14:solidFill>
                    <w14:schemeClr w14:val="tx1"/>
                  </w14:solidFill>
                </w14:textFill>
              </w:rPr>
              <w:t>备注</w:t>
            </w:r>
          </w:p>
        </w:tc>
      </w:tr>
      <w:tr w14:paraId="45481D9B">
        <w:tblPrEx>
          <w:tblCellMar>
            <w:top w:w="0" w:type="dxa"/>
            <w:left w:w="108" w:type="dxa"/>
            <w:bottom w:w="0" w:type="dxa"/>
            <w:right w:w="108" w:type="dxa"/>
          </w:tblCellMar>
        </w:tblPrEx>
        <w:trPr>
          <w:trHeight w:val="500" w:hRule="atLeast"/>
          <w:jc w:val="center"/>
        </w:trPr>
        <w:tc>
          <w:tcPr>
            <w:tcW w:w="1134" w:type="dxa"/>
            <w:tcBorders>
              <w:top w:val="single" w:color="000000" w:sz="4" w:space="0"/>
              <w:left w:val="single" w:color="000000" w:sz="4" w:space="0"/>
              <w:bottom w:val="single" w:color="000000" w:sz="4" w:space="0"/>
              <w:right w:val="single" w:color="000000" w:sz="4" w:space="0"/>
            </w:tcBorders>
            <w:noWrap/>
            <w:vAlign w:val="center"/>
          </w:tcPr>
          <w:p w14:paraId="06A05048">
            <w:pPr>
              <w:widowControl/>
              <w:jc w:val="center"/>
              <w:textAlignment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bidi="ar"/>
                <w14:textFill>
                  <w14:solidFill>
                    <w14:schemeClr w14:val="tx1"/>
                  </w14:solidFill>
                </w14:textFill>
              </w:rPr>
              <w:t>1</w:t>
            </w:r>
          </w:p>
        </w:tc>
        <w:tc>
          <w:tcPr>
            <w:tcW w:w="3969" w:type="dxa"/>
            <w:tcBorders>
              <w:top w:val="single" w:color="000000" w:sz="4" w:space="0"/>
              <w:left w:val="single" w:color="000000" w:sz="4" w:space="0"/>
              <w:bottom w:val="single" w:color="000000" w:sz="4" w:space="0"/>
              <w:right w:val="single" w:color="000000" w:sz="4" w:space="0"/>
            </w:tcBorders>
            <w:noWrap/>
            <w:vAlign w:val="center"/>
          </w:tcPr>
          <w:p w14:paraId="7F6A8EAD">
            <w:pPr>
              <w:widowControl/>
              <w:jc w:val="center"/>
              <w:textAlignment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网络设备</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324083FC">
            <w:pPr>
              <w:widowControl/>
              <w:jc w:val="center"/>
              <w:textAlignment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194" w:type="dxa"/>
            <w:tcBorders>
              <w:top w:val="single" w:color="000000" w:sz="4" w:space="0"/>
              <w:left w:val="single" w:color="000000" w:sz="4" w:space="0"/>
              <w:bottom w:val="single" w:color="000000" w:sz="4" w:space="0"/>
              <w:right w:val="single" w:color="000000" w:sz="4" w:space="0"/>
            </w:tcBorders>
            <w:noWrap/>
            <w:vAlign w:val="center"/>
          </w:tcPr>
          <w:p w14:paraId="6E778AAC">
            <w:pPr>
              <w:widowControl/>
              <w:jc w:val="center"/>
              <w:textAlignment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批</w:t>
            </w:r>
          </w:p>
        </w:tc>
        <w:tc>
          <w:tcPr>
            <w:tcW w:w="1194" w:type="dxa"/>
            <w:tcBorders>
              <w:top w:val="single" w:color="000000" w:sz="4" w:space="0"/>
              <w:left w:val="single" w:color="000000" w:sz="4" w:space="0"/>
              <w:bottom w:val="single" w:color="000000" w:sz="4" w:space="0"/>
              <w:right w:val="single" w:color="000000" w:sz="4" w:space="0"/>
            </w:tcBorders>
            <w:noWrap/>
            <w:vAlign w:val="center"/>
          </w:tcPr>
          <w:p w14:paraId="186817F0">
            <w:pPr>
              <w:widowControl/>
              <w:jc w:val="center"/>
              <w:textAlignment w:val="center"/>
              <w:rPr>
                <w:rFonts w:hint="eastAsia" w:ascii="宋体" w:hAnsi="宋体" w:cs="宋体"/>
                <w:color w:val="000000" w:themeColor="text1"/>
                <w:kern w:val="0"/>
                <w:sz w:val="24"/>
                <w:szCs w:val="24"/>
                <w:highlight w:val="none"/>
                <w:lang w:bidi="ar"/>
                <w14:textFill>
                  <w14:solidFill>
                    <w14:schemeClr w14:val="tx1"/>
                  </w14:solidFill>
                </w14:textFill>
              </w:rPr>
            </w:pPr>
          </w:p>
        </w:tc>
      </w:tr>
      <w:tr w14:paraId="2246E7B0">
        <w:tblPrEx>
          <w:tblCellMar>
            <w:top w:w="0" w:type="dxa"/>
            <w:left w:w="108" w:type="dxa"/>
            <w:bottom w:w="0" w:type="dxa"/>
            <w:right w:w="108" w:type="dxa"/>
          </w:tblCellMar>
        </w:tblPrEx>
        <w:trPr>
          <w:trHeight w:val="500" w:hRule="atLeast"/>
          <w:jc w:val="center"/>
        </w:trPr>
        <w:tc>
          <w:tcPr>
            <w:tcW w:w="1134" w:type="dxa"/>
            <w:tcBorders>
              <w:top w:val="single" w:color="000000" w:sz="4" w:space="0"/>
              <w:left w:val="single" w:color="000000" w:sz="4" w:space="0"/>
              <w:bottom w:val="single" w:color="000000" w:sz="4" w:space="0"/>
              <w:right w:val="single" w:color="000000" w:sz="4" w:space="0"/>
            </w:tcBorders>
            <w:noWrap/>
            <w:vAlign w:val="center"/>
          </w:tcPr>
          <w:p w14:paraId="4FA87FD4">
            <w:pPr>
              <w:widowControl/>
              <w:jc w:val="center"/>
              <w:textAlignment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lang w:bidi="ar"/>
                <w14:textFill>
                  <w14:solidFill>
                    <w14:schemeClr w14:val="tx1"/>
                  </w14:solidFill>
                </w14:textFill>
              </w:rPr>
              <w:t>2</w:t>
            </w:r>
          </w:p>
        </w:tc>
        <w:tc>
          <w:tcPr>
            <w:tcW w:w="3969" w:type="dxa"/>
            <w:tcBorders>
              <w:top w:val="single" w:color="000000" w:sz="4" w:space="0"/>
              <w:left w:val="single" w:color="000000" w:sz="4" w:space="0"/>
              <w:bottom w:val="single" w:color="000000" w:sz="4" w:space="0"/>
              <w:right w:val="single" w:color="000000" w:sz="4" w:space="0"/>
            </w:tcBorders>
            <w:noWrap/>
            <w:vAlign w:val="center"/>
          </w:tcPr>
          <w:p w14:paraId="1508C1D3">
            <w:pPr>
              <w:widowControl/>
              <w:jc w:val="center"/>
              <w:textAlignment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综合布线系统</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0B60EC7F">
            <w:pPr>
              <w:widowControl/>
              <w:jc w:val="center"/>
              <w:textAlignment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194" w:type="dxa"/>
            <w:tcBorders>
              <w:top w:val="single" w:color="000000" w:sz="4" w:space="0"/>
              <w:left w:val="single" w:color="000000" w:sz="4" w:space="0"/>
              <w:bottom w:val="single" w:color="000000" w:sz="4" w:space="0"/>
              <w:right w:val="single" w:color="000000" w:sz="4" w:space="0"/>
            </w:tcBorders>
            <w:noWrap/>
            <w:vAlign w:val="center"/>
          </w:tcPr>
          <w:p w14:paraId="38F84059">
            <w:pPr>
              <w:widowControl/>
              <w:jc w:val="center"/>
              <w:textAlignment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批</w:t>
            </w:r>
          </w:p>
        </w:tc>
        <w:tc>
          <w:tcPr>
            <w:tcW w:w="1194" w:type="dxa"/>
            <w:tcBorders>
              <w:top w:val="single" w:color="000000" w:sz="4" w:space="0"/>
              <w:left w:val="single" w:color="000000" w:sz="4" w:space="0"/>
              <w:bottom w:val="single" w:color="000000" w:sz="4" w:space="0"/>
              <w:right w:val="single" w:color="000000" w:sz="4" w:space="0"/>
            </w:tcBorders>
            <w:noWrap/>
            <w:vAlign w:val="center"/>
          </w:tcPr>
          <w:p w14:paraId="6DF160E5">
            <w:pPr>
              <w:widowControl/>
              <w:jc w:val="center"/>
              <w:textAlignment w:val="center"/>
              <w:rPr>
                <w:rFonts w:hint="eastAsia" w:ascii="宋体" w:hAnsi="宋体" w:cs="宋体"/>
                <w:color w:val="000000" w:themeColor="text1"/>
                <w:kern w:val="0"/>
                <w:sz w:val="24"/>
                <w:szCs w:val="24"/>
                <w:highlight w:val="none"/>
                <w:lang w:bidi="ar"/>
                <w14:textFill>
                  <w14:solidFill>
                    <w14:schemeClr w14:val="tx1"/>
                  </w14:solidFill>
                </w14:textFill>
              </w:rPr>
            </w:pPr>
          </w:p>
        </w:tc>
      </w:tr>
      <w:tr w14:paraId="77FF8A73">
        <w:tblPrEx>
          <w:tblCellMar>
            <w:top w:w="0" w:type="dxa"/>
            <w:left w:w="108" w:type="dxa"/>
            <w:bottom w:w="0" w:type="dxa"/>
            <w:right w:w="108" w:type="dxa"/>
          </w:tblCellMar>
        </w:tblPrEx>
        <w:trPr>
          <w:trHeight w:val="500" w:hRule="atLeast"/>
          <w:jc w:val="center"/>
        </w:trPr>
        <w:tc>
          <w:tcPr>
            <w:tcW w:w="1134" w:type="dxa"/>
            <w:tcBorders>
              <w:top w:val="single" w:color="000000" w:sz="4" w:space="0"/>
              <w:left w:val="single" w:color="000000" w:sz="4" w:space="0"/>
              <w:bottom w:val="single" w:color="000000" w:sz="4" w:space="0"/>
              <w:right w:val="single" w:color="000000" w:sz="4" w:space="0"/>
            </w:tcBorders>
            <w:noWrap/>
            <w:vAlign w:val="center"/>
          </w:tcPr>
          <w:p w14:paraId="3128109B">
            <w:pPr>
              <w:widowControl/>
              <w:jc w:val="center"/>
              <w:textAlignment w:val="center"/>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kern w:val="0"/>
                <w:sz w:val="24"/>
                <w:szCs w:val="24"/>
                <w:highlight w:val="none"/>
                <w:lang w:bidi="ar"/>
                <w14:textFill>
                  <w14:solidFill>
                    <w14:schemeClr w14:val="tx1"/>
                  </w14:solidFill>
                </w14:textFill>
              </w:rPr>
              <w:t>3</w:t>
            </w:r>
          </w:p>
        </w:tc>
        <w:tc>
          <w:tcPr>
            <w:tcW w:w="3969" w:type="dxa"/>
            <w:tcBorders>
              <w:top w:val="single" w:color="000000" w:sz="4" w:space="0"/>
              <w:left w:val="single" w:color="000000" w:sz="4" w:space="0"/>
              <w:bottom w:val="single" w:color="000000" w:sz="4" w:space="0"/>
              <w:right w:val="single" w:color="000000" w:sz="4" w:space="0"/>
            </w:tcBorders>
            <w:noWrap/>
            <w:vAlign w:val="center"/>
          </w:tcPr>
          <w:p w14:paraId="594F31B4">
            <w:pPr>
              <w:widowControl/>
              <w:jc w:val="center"/>
              <w:textAlignment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信息机房系统</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3FBDC7E8">
            <w:pPr>
              <w:widowControl/>
              <w:jc w:val="center"/>
              <w:textAlignment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194" w:type="dxa"/>
            <w:tcBorders>
              <w:top w:val="single" w:color="000000" w:sz="4" w:space="0"/>
              <w:left w:val="single" w:color="000000" w:sz="4" w:space="0"/>
              <w:bottom w:val="single" w:color="000000" w:sz="4" w:space="0"/>
              <w:right w:val="single" w:color="000000" w:sz="4" w:space="0"/>
            </w:tcBorders>
            <w:noWrap/>
            <w:vAlign w:val="center"/>
          </w:tcPr>
          <w:p w14:paraId="23EB914A">
            <w:pPr>
              <w:widowControl/>
              <w:jc w:val="center"/>
              <w:textAlignment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批</w:t>
            </w:r>
          </w:p>
        </w:tc>
        <w:tc>
          <w:tcPr>
            <w:tcW w:w="1194" w:type="dxa"/>
            <w:tcBorders>
              <w:top w:val="single" w:color="000000" w:sz="4" w:space="0"/>
              <w:left w:val="single" w:color="000000" w:sz="4" w:space="0"/>
              <w:bottom w:val="single" w:color="000000" w:sz="4" w:space="0"/>
              <w:right w:val="single" w:color="000000" w:sz="4" w:space="0"/>
            </w:tcBorders>
            <w:noWrap/>
            <w:vAlign w:val="center"/>
          </w:tcPr>
          <w:p w14:paraId="2F3C3B20">
            <w:pPr>
              <w:widowControl/>
              <w:jc w:val="center"/>
              <w:textAlignment w:val="center"/>
              <w:rPr>
                <w:rFonts w:hint="eastAsia" w:ascii="宋体" w:hAnsi="宋体" w:cs="宋体"/>
                <w:color w:val="000000" w:themeColor="text1"/>
                <w:kern w:val="0"/>
                <w:sz w:val="24"/>
                <w:szCs w:val="24"/>
                <w:highlight w:val="none"/>
                <w:lang w:bidi="ar"/>
                <w14:textFill>
                  <w14:solidFill>
                    <w14:schemeClr w14:val="tx1"/>
                  </w14:solidFill>
                </w14:textFill>
              </w:rPr>
            </w:pPr>
          </w:p>
        </w:tc>
      </w:tr>
      <w:tr w14:paraId="3193F9E9">
        <w:tblPrEx>
          <w:tblCellMar>
            <w:top w:w="0" w:type="dxa"/>
            <w:left w:w="108" w:type="dxa"/>
            <w:bottom w:w="0" w:type="dxa"/>
            <w:right w:w="108" w:type="dxa"/>
          </w:tblCellMar>
        </w:tblPrEx>
        <w:trPr>
          <w:trHeight w:val="500" w:hRule="atLeast"/>
          <w:jc w:val="center"/>
        </w:trPr>
        <w:tc>
          <w:tcPr>
            <w:tcW w:w="1134" w:type="dxa"/>
            <w:tcBorders>
              <w:top w:val="single" w:color="000000" w:sz="4" w:space="0"/>
              <w:left w:val="single" w:color="000000" w:sz="4" w:space="0"/>
              <w:bottom w:val="single" w:color="000000" w:sz="4" w:space="0"/>
              <w:right w:val="single" w:color="000000" w:sz="4" w:space="0"/>
            </w:tcBorders>
            <w:noWrap/>
            <w:vAlign w:val="center"/>
          </w:tcPr>
          <w:p w14:paraId="79310DFF">
            <w:pPr>
              <w:widowControl/>
              <w:jc w:val="center"/>
              <w:textAlignment w:val="center"/>
              <w:rPr>
                <w:rFonts w:hint="eastAsia" w:ascii="宋体" w:hAnsi="宋体" w:cs="宋体"/>
                <w:color w:val="000000" w:themeColor="text1"/>
                <w:kern w:val="0"/>
                <w:sz w:val="24"/>
                <w:szCs w:val="24"/>
                <w:highlight w:val="none"/>
                <w:lang w:bidi="ar"/>
                <w14:textFill>
                  <w14:solidFill>
                    <w14:schemeClr w14:val="tx1"/>
                  </w14:solidFill>
                </w14:textFill>
              </w:rPr>
            </w:pPr>
            <w:r>
              <w:rPr>
                <w:rFonts w:hint="eastAsia" w:ascii="宋体" w:hAnsi="宋体" w:cs="宋体"/>
                <w:color w:val="000000" w:themeColor="text1"/>
                <w:kern w:val="0"/>
                <w:sz w:val="24"/>
                <w:szCs w:val="24"/>
                <w:highlight w:val="none"/>
                <w:lang w:bidi="ar"/>
                <w14:textFill>
                  <w14:solidFill>
                    <w14:schemeClr w14:val="tx1"/>
                  </w14:solidFill>
                </w14:textFill>
              </w:rPr>
              <w:t>4</w:t>
            </w:r>
          </w:p>
        </w:tc>
        <w:tc>
          <w:tcPr>
            <w:tcW w:w="3969" w:type="dxa"/>
            <w:tcBorders>
              <w:top w:val="single" w:color="000000" w:sz="4" w:space="0"/>
              <w:left w:val="single" w:color="000000" w:sz="4" w:space="0"/>
              <w:bottom w:val="single" w:color="000000" w:sz="4" w:space="0"/>
              <w:right w:val="single" w:color="000000" w:sz="4" w:space="0"/>
            </w:tcBorders>
            <w:noWrap/>
            <w:vAlign w:val="center"/>
          </w:tcPr>
          <w:p w14:paraId="466FFA77">
            <w:pPr>
              <w:widowControl/>
              <w:jc w:val="center"/>
              <w:textAlignment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门诊叫号系统</w:t>
            </w:r>
          </w:p>
        </w:tc>
        <w:tc>
          <w:tcPr>
            <w:tcW w:w="1120" w:type="dxa"/>
            <w:tcBorders>
              <w:top w:val="single" w:color="000000" w:sz="4" w:space="0"/>
              <w:left w:val="single" w:color="000000" w:sz="4" w:space="0"/>
              <w:bottom w:val="single" w:color="000000" w:sz="4" w:space="0"/>
              <w:right w:val="single" w:color="000000" w:sz="4" w:space="0"/>
            </w:tcBorders>
            <w:noWrap/>
            <w:vAlign w:val="center"/>
          </w:tcPr>
          <w:p w14:paraId="20129BE7">
            <w:pPr>
              <w:widowControl/>
              <w:jc w:val="center"/>
              <w:textAlignment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p>
        </w:tc>
        <w:tc>
          <w:tcPr>
            <w:tcW w:w="1194" w:type="dxa"/>
            <w:tcBorders>
              <w:top w:val="single" w:color="000000" w:sz="4" w:space="0"/>
              <w:left w:val="single" w:color="000000" w:sz="4" w:space="0"/>
              <w:bottom w:val="single" w:color="000000" w:sz="4" w:space="0"/>
              <w:right w:val="single" w:color="000000" w:sz="4" w:space="0"/>
            </w:tcBorders>
            <w:noWrap/>
            <w:vAlign w:val="center"/>
          </w:tcPr>
          <w:p w14:paraId="72AEB79C">
            <w:pPr>
              <w:widowControl/>
              <w:jc w:val="center"/>
              <w:textAlignment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批</w:t>
            </w:r>
          </w:p>
        </w:tc>
        <w:tc>
          <w:tcPr>
            <w:tcW w:w="1194" w:type="dxa"/>
            <w:tcBorders>
              <w:top w:val="single" w:color="000000" w:sz="4" w:space="0"/>
              <w:left w:val="single" w:color="000000" w:sz="4" w:space="0"/>
              <w:bottom w:val="single" w:color="000000" w:sz="4" w:space="0"/>
              <w:right w:val="single" w:color="000000" w:sz="4" w:space="0"/>
            </w:tcBorders>
            <w:noWrap/>
            <w:vAlign w:val="center"/>
          </w:tcPr>
          <w:p w14:paraId="23E92102">
            <w:pPr>
              <w:widowControl/>
              <w:jc w:val="center"/>
              <w:textAlignment w:val="center"/>
              <w:rPr>
                <w:rFonts w:hint="eastAsia" w:ascii="宋体" w:hAnsi="宋体" w:cs="宋体"/>
                <w:color w:val="000000" w:themeColor="text1"/>
                <w:kern w:val="0"/>
                <w:sz w:val="24"/>
                <w:szCs w:val="24"/>
                <w:highlight w:val="none"/>
                <w:lang w:bidi="ar"/>
                <w14:textFill>
                  <w14:solidFill>
                    <w14:schemeClr w14:val="tx1"/>
                  </w14:solidFill>
                </w14:textFill>
              </w:rPr>
            </w:pPr>
          </w:p>
        </w:tc>
      </w:tr>
    </w:tbl>
    <w:p w14:paraId="415150F9">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bookmarkStart w:id="34" w:name="_Toc12318"/>
      <w:bookmarkStart w:id="35" w:name="_Toc19950"/>
      <w:r>
        <w:rPr>
          <w:rFonts w:hint="eastAsia" w:ascii="宋体" w:hAnsi="宋体" w:eastAsia="宋体" w:cs="宋体"/>
          <w:color w:val="000000" w:themeColor="text1"/>
          <w:sz w:val="24"/>
          <w:highlight w:val="none"/>
          <w14:textFill>
            <w14:solidFill>
              <w14:schemeClr w14:val="tx1"/>
            </w14:solidFill>
          </w14:textFill>
        </w:rPr>
        <w:t>二、采购项目技术参数及质量要求</w:t>
      </w:r>
      <w:bookmarkEnd w:id="34"/>
      <w:bookmarkEnd w:id="35"/>
    </w:p>
    <w:p w14:paraId="4E1DD7C6">
      <w:pPr>
        <w:pStyle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“※”标注的技术需求为符合性审查中的实质性要求，若不满足按无效投标处理。</w:t>
      </w:r>
    </w:p>
    <w:p w14:paraId="35ADFAD2">
      <w:pPr>
        <w:pStyle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“★”标注的技术需求为重要技术需求，若不满足将按照评标因素中相关规定处理。</w:t>
      </w:r>
    </w:p>
    <w:tbl>
      <w:tblPr>
        <w:tblStyle w:val="17"/>
        <w:tblW w:w="9418" w:type="dxa"/>
        <w:tblInd w:w="0" w:type="dxa"/>
        <w:tblLayout w:type="autofit"/>
        <w:tblCellMar>
          <w:top w:w="0" w:type="dxa"/>
          <w:left w:w="108" w:type="dxa"/>
          <w:bottom w:w="0" w:type="dxa"/>
          <w:right w:w="108" w:type="dxa"/>
        </w:tblCellMar>
      </w:tblPr>
      <w:tblGrid>
        <w:gridCol w:w="865"/>
        <w:gridCol w:w="1132"/>
        <w:gridCol w:w="5910"/>
        <w:gridCol w:w="829"/>
        <w:gridCol w:w="682"/>
      </w:tblGrid>
      <w:tr w14:paraId="6F77FC72">
        <w:tblPrEx>
          <w:tblCellMar>
            <w:top w:w="0" w:type="dxa"/>
            <w:left w:w="108" w:type="dxa"/>
            <w:bottom w:w="0" w:type="dxa"/>
            <w:right w:w="108" w:type="dxa"/>
          </w:tblCellMar>
        </w:tblPrEx>
        <w:trPr>
          <w:trHeight w:val="313" w:hRule="atLeast"/>
        </w:trPr>
        <w:tc>
          <w:tcPr>
            <w:tcW w:w="865" w:type="dxa"/>
            <w:tcBorders>
              <w:top w:val="single" w:color="auto" w:sz="4" w:space="0"/>
              <w:left w:val="single" w:color="auto" w:sz="4" w:space="0"/>
              <w:bottom w:val="single" w:color="auto" w:sz="4" w:space="0"/>
              <w:right w:val="single" w:color="auto" w:sz="4" w:space="0"/>
            </w:tcBorders>
            <w:shd w:val="clear" w:color="auto" w:fill="auto"/>
            <w:vAlign w:val="center"/>
          </w:tcPr>
          <w:p w14:paraId="71764F1B">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序号</w:t>
            </w:r>
          </w:p>
        </w:tc>
        <w:tc>
          <w:tcPr>
            <w:tcW w:w="1132" w:type="dxa"/>
            <w:tcBorders>
              <w:top w:val="single" w:color="auto" w:sz="4" w:space="0"/>
              <w:left w:val="nil"/>
              <w:bottom w:val="single" w:color="auto" w:sz="4" w:space="0"/>
              <w:right w:val="single" w:color="auto" w:sz="4" w:space="0"/>
            </w:tcBorders>
            <w:shd w:val="clear" w:color="auto" w:fill="auto"/>
            <w:vAlign w:val="center"/>
          </w:tcPr>
          <w:p w14:paraId="3851B957">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名称</w:t>
            </w:r>
          </w:p>
        </w:tc>
        <w:tc>
          <w:tcPr>
            <w:tcW w:w="5910" w:type="dxa"/>
            <w:tcBorders>
              <w:top w:val="single" w:color="auto" w:sz="4" w:space="0"/>
              <w:left w:val="nil"/>
              <w:bottom w:val="single" w:color="auto" w:sz="4" w:space="0"/>
              <w:right w:val="single" w:color="auto" w:sz="4" w:space="0"/>
            </w:tcBorders>
            <w:shd w:val="clear" w:color="auto" w:fill="auto"/>
            <w:vAlign w:val="center"/>
          </w:tcPr>
          <w:p w14:paraId="0E20E7B5">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规格参数</w:t>
            </w:r>
          </w:p>
        </w:tc>
        <w:tc>
          <w:tcPr>
            <w:tcW w:w="829" w:type="dxa"/>
            <w:tcBorders>
              <w:top w:val="single" w:color="auto" w:sz="4" w:space="0"/>
              <w:left w:val="nil"/>
              <w:bottom w:val="single" w:color="auto" w:sz="4" w:space="0"/>
              <w:right w:val="single" w:color="auto" w:sz="4" w:space="0"/>
            </w:tcBorders>
            <w:shd w:val="clear" w:color="000000" w:fill="FFFFFF"/>
            <w:vAlign w:val="center"/>
          </w:tcPr>
          <w:p w14:paraId="06CD2482">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数量</w:t>
            </w:r>
          </w:p>
        </w:tc>
        <w:tc>
          <w:tcPr>
            <w:tcW w:w="682" w:type="dxa"/>
            <w:tcBorders>
              <w:top w:val="single" w:color="auto" w:sz="4" w:space="0"/>
              <w:left w:val="nil"/>
              <w:bottom w:val="single" w:color="auto" w:sz="4" w:space="0"/>
              <w:right w:val="single" w:color="auto" w:sz="4" w:space="0"/>
            </w:tcBorders>
            <w:shd w:val="clear" w:color="auto" w:fill="auto"/>
            <w:vAlign w:val="center"/>
          </w:tcPr>
          <w:p w14:paraId="076E60D9">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单位</w:t>
            </w:r>
          </w:p>
        </w:tc>
      </w:tr>
      <w:tr w14:paraId="34532D38">
        <w:tblPrEx>
          <w:tblCellMar>
            <w:top w:w="0" w:type="dxa"/>
            <w:left w:w="108" w:type="dxa"/>
            <w:bottom w:w="0" w:type="dxa"/>
            <w:right w:w="108" w:type="dxa"/>
          </w:tblCellMar>
        </w:tblPrEx>
        <w:trPr>
          <w:trHeight w:val="324" w:hRule="atLeast"/>
        </w:trPr>
        <w:tc>
          <w:tcPr>
            <w:tcW w:w="9418"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3689B3F1">
            <w:pPr>
              <w:widowControl/>
              <w:adjustRightInd/>
              <w:snapToGrid/>
              <w:spacing w:line="240" w:lineRule="auto"/>
              <w:ind w:firstLine="0" w:firstLineChars="0"/>
              <w:jc w:val="left"/>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b/>
                <w:bCs/>
                <w:color w:val="000000" w:themeColor="text1"/>
                <w:sz w:val="24"/>
                <w:szCs w:val="24"/>
                <w:highlight w:val="none"/>
                <w:lang w:eastAsia="zh-CN"/>
                <w14:textFill>
                  <w14:solidFill>
                    <w14:schemeClr w14:val="tx1"/>
                  </w14:solidFill>
                </w14:textFill>
              </w:rPr>
              <w:t>一、网络设备</w:t>
            </w:r>
          </w:p>
        </w:tc>
      </w:tr>
      <w:tr w14:paraId="1B513DF8">
        <w:tblPrEx>
          <w:tblCellMar>
            <w:top w:w="0" w:type="dxa"/>
            <w:left w:w="108" w:type="dxa"/>
            <w:bottom w:w="0" w:type="dxa"/>
            <w:right w:w="108" w:type="dxa"/>
          </w:tblCellMar>
        </w:tblPrEx>
        <w:trPr>
          <w:trHeight w:val="1355"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30EB5439">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1132" w:type="dxa"/>
            <w:tcBorders>
              <w:top w:val="nil"/>
              <w:left w:val="nil"/>
              <w:bottom w:val="single" w:color="auto" w:sz="4" w:space="0"/>
              <w:right w:val="single" w:color="auto" w:sz="4" w:space="0"/>
            </w:tcBorders>
            <w:shd w:val="clear" w:color="auto" w:fill="auto"/>
            <w:vAlign w:val="center"/>
          </w:tcPr>
          <w:p w14:paraId="0A674549">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外网出口路由</w:t>
            </w:r>
          </w:p>
        </w:tc>
        <w:tc>
          <w:tcPr>
            <w:tcW w:w="5910" w:type="dxa"/>
            <w:tcBorders>
              <w:top w:val="nil"/>
              <w:left w:val="nil"/>
              <w:bottom w:val="single" w:color="auto" w:sz="4" w:space="0"/>
              <w:right w:val="single" w:color="auto" w:sz="4" w:space="0"/>
            </w:tcBorders>
            <w:shd w:val="clear" w:color="auto" w:fill="auto"/>
            <w:vAlign w:val="center"/>
          </w:tcPr>
          <w:p w14:paraId="3BC69711">
            <w:pPr>
              <w:pStyle w:val="2"/>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1.固化≥8个千兆电口，≥1个千兆光口，推荐带终端数500台，推荐带宽2000Mbps。</w:t>
            </w:r>
          </w:p>
          <w:p w14:paraId="6F5DE9B8">
            <w:pPr>
              <w:pStyle w:val="2"/>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2.支持Easy VPN、IPSec VPN、SSL VPN，支持Web认证、PPPoE Server、本地服务器认证，支持应用流控、应用控制、URL阻断，支持应用路由、策略路由等多类型路由。</w:t>
            </w:r>
          </w:p>
          <w:p w14:paraId="7D5EA601">
            <w:pPr>
              <w:pStyle w:val="2"/>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★3.支持URL特征库，URL条目≥2500万条，支持URL分类和自定义 URL、URL数据库及应用特征库支持永久免费升级，URL 数据库和应用特征库支持远程HTTP自动升级</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提供设备界面截图</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p>
          <w:p w14:paraId="72516A10">
            <w:pPr>
              <w:pStyle w:val="2"/>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4.支持状态检测防火墙功能，实现网络安全防护(</w:t>
            </w:r>
            <w:r>
              <w:rPr>
                <w:rFonts w:hint="eastAsia" w:ascii="宋体" w:hAnsi="宋体" w:cs="宋体"/>
                <w:b/>
                <w:bCs/>
                <w:color w:val="000000" w:themeColor="text1"/>
                <w:kern w:val="0"/>
                <w:sz w:val="24"/>
                <w:szCs w:val="24"/>
                <w:highlight w:val="none"/>
                <w14:textFill>
                  <w14:solidFill>
                    <w14:schemeClr w14:val="tx1"/>
                  </w14:solidFill>
                </w14:textFill>
              </w:rPr>
              <w:t>提供配置界面截图</w:t>
            </w:r>
            <w:r>
              <w:rPr>
                <w:rFonts w:hint="eastAsia" w:ascii="宋体" w:hAnsi="宋体" w:cs="宋体"/>
                <w:color w:val="000000" w:themeColor="text1"/>
                <w:kern w:val="0"/>
                <w:sz w:val="24"/>
                <w:szCs w:val="24"/>
                <w:highlight w:val="none"/>
                <w14:textFill>
                  <w14:solidFill>
                    <w14:schemeClr w14:val="tx1"/>
                  </w14:solidFill>
                </w14:textFill>
              </w:rPr>
              <w:t>)。</w:t>
            </w:r>
          </w:p>
          <w:p w14:paraId="733C515F">
            <w:pPr>
              <w:pStyle w:val="2"/>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5.支持免费的IPSec VPN，并提供免费IpsecVPN 接入授权(</w:t>
            </w:r>
            <w:r>
              <w:rPr>
                <w:rFonts w:hint="eastAsia" w:ascii="宋体" w:hAnsi="宋体" w:cs="宋体"/>
                <w:b/>
                <w:bCs/>
                <w:color w:val="000000" w:themeColor="text1"/>
                <w:kern w:val="0"/>
                <w:sz w:val="24"/>
                <w:szCs w:val="24"/>
                <w:highlight w:val="none"/>
                <w14:textFill>
                  <w14:solidFill>
                    <w14:schemeClr w14:val="tx1"/>
                  </w14:solidFill>
                </w14:textFill>
              </w:rPr>
              <w:t>提供功能配置界面截图</w:t>
            </w:r>
            <w:r>
              <w:rPr>
                <w:rFonts w:hint="eastAsia" w:ascii="宋体" w:hAnsi="宋体" w:cs="宋体"/>
                <w:color w:val="000000" w:themeColor="text1"/>
                <w:kern w:val="0"/>
                <w:sz w:val="24"/>
                <w:szCs w:val="24"/>
                <w:highlight w:val="none"/>
                <w14:textFill>
                  <w14:solidFill>
                    <w14:schemeClr w14:val="tx1"/>
                  </w14:solidFill>
                </w14:textFill>
              </w:rPr>
              <w:t>)。</w:t>
            </w:r>
          </w:p>
        </w:tc>
        <w:tc>
          <w:tcPr>
            <w:tcW w:w="829" w:type="dxa"/>
            <w:tcBorders>
              <w:top w:val="nil"/>
              <w:left w:val="nil"/>
              <w:bottom w:val="single" w:color="auto" w:sz="4" w:space="0"/>
              <w:right w:val="single" w:color="auto" w:sz="4" w:space="0"/>
            </w:tcBorders>
            <w:shd w:val="clear" w:color="000000" w:fill="FFFFFF"/>
            <w:vAlign w:val="center"/>
          </w:tcPr>
          <w:p w14:paraId="5A3EC538">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682" w:type="dxa"/>
            <w:tcBorders>
              <w:top w:val="nil"/>
              <w:left w:val="nil"/>
              <w:bottom w:val="single" w:color="auto" w:sz="4" w:space="0"/>
              <w:right w:val="single" w:color="auto" w:sz="4" w:space="0"/>
            </w:tcBorders>
            <w:shd w:val="clear" w:color="auto" w:fill="auto"/>
            <w:vAlign w:val="center"/>
          </w:tcPr>
          <w:p w14:paraId="500EBF6A">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r>
      <w:tr w14:paraId="31B8181E">
        <w:tblPrEx>
          <w:tblCellMar>
            <w:top w:w="0" w:type="dxa"/>
            <w:left w:w="108" w:type="dxa"/>
            <w:bottom w:w="0" w:type="dxa"/>
            <w:right w:w="108" w:type="dxa"/>
          </w:tblCellMar>
        </w:tblPrEx>
        <w:trPr>
          <w:trHeight w:val="997"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126C3929">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1132" w:type="dxa"/>
            <w:tcBorders>
              <w:top w:val="nil"/>
              <w:left w:val="nil"/>
              <w:bottom w:val="single" w:color="auto" w:sz="4" w:space="0"/>
              <w:right w:val="single" w:color="auto" w:sz="4" w:space="0"/>
            </w:tcBorders>
            <w:shd w:val="clear" w:color="auto" w:fill="auto"/>
            <w:vAlign w:val="center"/>
          </w:tcPr>
          <w:p w14:paraId="39799704">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48接入交换机</w:t>
            </w:r>
          </w:p>
        </w:tc>
        <w:tc>
          <w:tcPr>
            <w:tcW w:w="5910" w:type="dxa"/>
            <w:tcBorders>
              <w:top w:val="nil"/>
              <w:left w:val="nil"/>
              <w:bottom w:val="single" w:color="auto" w:sz="4" w:space="0"/>
              <w:right w:val="single" w:color="auto" w:sz="4" w:space="0"/>
            </w:tcBorders>
            <w:shd w:val="clear" w:color="auto" w:fill="auto"/>
            <w:vAlign w:val="center"/>
          </w:tcPr>
          <w:p w14:paraId="4115E53D">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交换容量</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432Gbps，包转发率</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108Mpps，48口10/100/1000Mbps自适应电口交换机，固化</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4个SFP千兆光口，支持VLAN、ACL、端口镜像、端口聚合等功能。</w:t>
            </w:r>
          </w:p>
        </w:tc>
        <w:tc>
          <w:tcPr>
            <w:tcW w:w="829" w:type="dxa"/>
            <w:tcBorders>
              <w:top w:val="nil"/>
              <w:left w:val="nil"/>
              <w:bottom w:val="single" w:color="auto" w:sz="4" w:space="0"/>
              <w:right w:val="single" w:color="auto" w:sz="4" w:space="0"/>
            </w:tcBorders>
            <w:shd w:val="clear" w:color="000000" w:fill="FFFFFF"/>
            <w:vAlign w:val="center"/>
          </w:tcPr>
          <w:p w14:paraId="1F67EB0D">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p>
        </w:tc>
        <w:tc>
          <w:tcPr>
            <w:tcW w:w="682" w:type="dxa"/>
            <w:tcBorders>
              <w:top w:val="nil"/>
              <w:left w:val="nil"/>
              <w:bottom w:val="single" w:color="auto" w:sz="4" w:space="0"/>
              <w:right w:val="single" w:color="auto" w:sz="4" w:space="0"/>
            </w:tcBorders>
            <w:shd w:val="clear" w:color="auto" w:fill="auto"/>
            <w:vAlign w:val="center"/>
          </w:tcPr>
          <w:p w14:paraId="5734A89E">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r>
      <w:tr w14:paraId="3A0213A0">
        <w:tblPrEx>
          <w:tblCellMar>
            <w:top w:w="0" w:type="dxa"/>
            <w:left w:w="108" w:type="dxa"/>
            <w:bottom w:w="0" w:type="dxa"/>
            <w:right w:w="108" w:type="dxa"/>
          </w:tblCellMar>
        </w:tblPrEx>
        <w:trPr>
          <w:trHeight w:val="1327"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21F4F178">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1132" w:type="dxa"/>
            <w:tcBorders>
              <w:top w:val="nil"/>
              <w:left w:val="nil"/>
              <w:bottom w:val="single" w:color="auto" w:sz="4" w:space="0"/>
              <w:right w:val="single" w:color="auto" w:sz="4" w:space="0"/>
            </w:tcBorders>
            <w:shd w:val="clear" w:color="auto" w:fill="auto"/>
            <w:vAlign w:val="center"/>
          </w:tcPr>
          <w:p w14:paraId="7533847C">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24接入交换机</w:t>
            </w:r>
          </w:p>
        </w:tc>
        <w:tc>
          <w:tcPr>
            <w:tcW w:w="5910" w:type="dxa"/>
            <w:tcBorders>
              <w:top w:val="nil"/>
              <w:left w:val="nil"/>
              <w:bottom w:val="single" w:color="auto" w:sz="4" w:space="0"/>
              <w:right w:val="single" w:color="auto" w:sz="4" w:space="0"/>
            </w:tcBorders>
            <w:shd w:val="clear" w:color="auto" w:fill="auto"/>
            <w:vAlign w:val="center"/>
          </w:tcPr>
          <w:p w14:paraId="456814A5">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交换容量</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336Gbps，包转发率</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108Mpps24口10/100/1000Mbps自适应电口交换机，固化</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4个SFP千兆光口，支持VLAN、ACL、端口镜像、端口聚合等功能。</w:t>
            </w:r>
          </w:p>
        </w:tc>
        <w:tc>
          <w:tcPr>
            <w:tcW w:w="829" w:type="dxa"/>
            <w:tcBorders>
              <w:top w:val="nil"/>
              <w:left w:val="nil"/>
              <w:bottom w:val="single" w:color="auto" w:sz="4" w:space="0"/>
              <w:right w:val="single" w:color="auto" w:sz="4" w:space="0"/>
            </w:tcBorders>
            <w:shd w:val="clear" w:color="000000" w:fill="FFFFFF"/>
            <w:vAlign w:val="center"/>
          </w:tcPr>
          <w:p w14:paraId="5B892ED6">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682" w:type="dxa"/>
            <w:tcBorders>
              <w:top w:val="nil"/>
              <w:left w:val="nil"/>
              <w:bottom w:val="single" w:color="auto" w:sz="4" w:space="0"/>
              <w:right w:val="single" w:color="auto" w:sz="4" w:space="0"/>
            </w:tcBorders>
            <w:shd w:val="clear" w:color="auto" w:fill="auto"/>
            <w:vAlign w:val="center"/>
          </w:tcPr>
          <w:p w14:paraId="67B3BA81">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r>
      <w:tr w14:paraId="4C73E6C5">
        <w:tblPrEx>
          <w:tblCellMar>
            <w:top w:w="0" w:type="dxa"/>
            <w:left w:w="108" w:type="dxa"/>
            <w:bottom w:w="0" w:type="dxa"/>
            <w:right w:w="108" w:type="dxa"/>
          </w:tblCellMar>
        </w:tblPrEx>
        <w:trPr>
          <w:trHeight w:val="1266"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0535A79A">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1132" w:type="dxa"/>
            <w:tcBorders>
              <w:top w:val="nil"/>
              <w:left w:val="nil"/>
              <w:bottom w:val="single" w:color="auto" w:sz="4" w:space="0"/>
              <w:right w:val="single" w:color="auto" w:sz="4" w:space="0"/>
            </w:tcBorders>
            <w:shd w:val="clear" w:color="auto" w:fill="auto"/>
            <w:vAlign w:val="center"/>
          </w:tcPr>
          <w:p w14:paraId="60FCDA92">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内网核心交换机</w:t>
            </w:r>
          </w:p>
        </w:tc>
        <w:tc>
          <w:tcPr>
            <w:tcW w:w="5910" w:type="dxa"/>
            <w:tcBorders>
              <w:top w:val="nil"/>
              <w:left w:val="nil"/>
              <w:bottom w:val="single" w:color="auto" w:sz="4" w:space="0"/>
              <w:right w:val="single" w:color="auto" w:sz="4" w:space="0"/>
            </w:tcBorders>
            <w:shd w:val="clear" w:color="auto" w:fill="auto"/>
            <w:vAlign w:val="center"/>
          </w:tcPr>
          <w:p w14:paraId="1048722C">
            <w:pPr>
              <w:widowControl/>
              <w:numPr>
                <w:ilvl w:val="0"/>
                <w:numId w:val="3"/>
              </w:numPr>
              <w:adjustRightInd/>
              <w:snapToGrid/>
              <w:spacing w:line="240" w:lineRule="auto"/>
              <w:ind w:firstLine="0" w:firstLineChars="0"/>
              <w:rPr>
                <w:rFonts w:hint="eastAsia" w:ascii="宋体" w:hAnsi="宋体" w:eastAsia="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三层网管交换机，交换容量</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598Gbps/5.98Tbps</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包转发率</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148Mpps/222Mpps，</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24个千兆光口，</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8个10/100/1000Mbps自适应复用电口，固化</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4个SFP+万兆光口，支持静态路由、三层聚合口、ACL、端口镜像等功能</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25CFD7C0">
            <w:pPr>
              <w:widowControl/>
              <w:jc w:val="left"/>
              <w:rPr>
                <w:rFonts w:hint="eastAsia" w:ascii="宋体" w:hAnsi="宋体" w:cs="宋体"/>
                <w:color w:val="000000" w:themeColor="text1"/>
                <w:kern w:val="0"/>
                <w:sz w:val="24"/>
                <w:szCs w:val="24"/>
                <w:highlight w:val="none"/>
                <w14:textFill>
                  <w14:solidFill>
                    <w14:schemeClr w14:val="tx1"/>
                  </w14:solidFill>
                </w14:textFill>
              </w:rPr>
            </w:pPr>
            <w:r>
              <w:rPr>
                <w:rFonts w:hint="default" w:ascii="宋体" w:hAnsi="宋体" w:cs="宋体"/>
                <w:color w:val="000000" w:themeColor="text1"/>
                <w:kern w:val="0"/>
                <w:sz w:val="24"/>
                <w:szCs w:val="24"/>
                <w:highlight w:val="none"/>
                <w:lang w:val="en-US"/>
                <w14:textFill>
                  <w14:solidFill>
                    <w14:schemeClr w14:val="tx1"/>
                  </w14:solidFill>
                </w14:textFill>
              </w:rPr>
              <w:t>2.</w:t>
            </w:r>
            <w:r>
              <w:rPr>
                <w:rFonts w:hint="eastAsia" w:ascii="宋体" w:hAnsi="宋体" w:cs="宋体"/>
                <w:color w:val="000000" w:themeColor="text1"/>
                <w:kern w:val="0"/>
                <w:sz w:val="24"/>
                <w:szCs w:val="24"/>
                <w:highlight w:val="none"/>
                <w14:textFill>
                  <w14:solidFill>
                    <w14:schemeClr w14:val="tx1"/>
                  </w14:solidFill>
                </w14:textFill>
              </w:rPr>
              <w:t>为保障设备能稳定运行，要求设备工作温度0℃-50℃。</w:t>
            </w:r>
          </w:p>
          <w:p w14:paraId="32390194">
            <w:pPr>
              <w:pStyle w:val="2"/>
              <w:rPr>
                <w:rFonts w:hint="eastAsia"/>
                <w:color w:val="000000" w:themeColor="text1"/>
                <w:highlight w:val="none"/>
                <w:lang w:eastAsia="zh-CN"/>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hint="default" w:ascii="宋体" w:hAnsi="宋体" w:cs="宋体"/>
                <w:color w:val="000000" w:themeColor="text1"/>
                <w:kern w:val="0"/>
                <w:sz w:val="24"/>
                <w:szCs w:val="24"/>
                <w:highlight w:val="none"/>
                <w:lang w:val="en-US"/>
                <w14:textFill>
                  <w14:solidFill>
                    <w14:schemeClr w14:val="tx1"/>
                  </w14:solidFill>
                </w14:textFill>
              </w:rPr>
              <w:t>3.</w:t>
            </w:r>
            <w:r>
              <w:rPr>
                <w:rFonts w:hint="eastAsia" w:ascii="宋体" w:hAnsi="宋体" w:cs="宋体"/>
                <w:color w:val="000000" w:themeColor="text1"/>
                <w:kern w:val="0"/>
                <w:sz w:val="24"/>
                <w:szCs w:val="24"/>
                <w:highlight w:val="none"/>
                <w14:textFill>
                  <w14:solidFill>
                    <w14:schemeClr w14:val="tx1"/>
                  </w14:solidFill>
                </w14:textFill>
              </w:rPr>
              <w:t>设备支持云管理功能，支持网络设备基本信息监控功能，可以查看端口状态图/CPU、内存使用率/连通状态/设备状态、端口列表等；支持版本推送、一键升级、定时升级功能；支持一键设备发现； 支持配置批量复用下发、复制配置、备份配置。</w:t>
            </w:r>
            <w:r>
              <w:rPr>
                <w:rFonts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提供具有CNAS或者CMA认证标识的第三方权威机构检验报告证明并加盖供应商公章。</w:t>
            </w:r>
            <w:r>
              <w:rPr>
                <w:rFonts w:ascii="宋体" w:hAnsi="宋体" w:cs="宋体"/>
                <w:color w:val="000000" w:themeColor="text1"/>
                <w:kern w:val="0"/>
                <w:sz w:val="24"/>
                <w:szCs w:val="24"/>
                <w:highlight w:val="none"/>
                <w14:textFill>
                  <w14:solidFill>
                    <w14:schemeClr w14:val="tx1"/>
                  </w14:solidFill>
                </w14:textFill>
              </w:rPr>
              <w:t>)</w:t>
            </w:r>
          </w:p>
        </w:tc>
        <w:tc>
          <w:tcPr>
            <w:tcW w:w="829" w:type="dxa"/>
            <w:tcBorders>
              <w:top w:val="nil"/>
              <w:left w:val="nil"/>
              <w:bottom w:val="single" w:color="auto" w:sz="4" w:space="0"/>
              <w:right w:val="single" w:color="auto" w:sz="4" w:space="0"/>
            </w:tcBorders>
            <w:shd w:val="clear" w:color="000000" w:fill="FFFFFF"/>
            <w:vAlign w:val="center"/>
          </w:tcPr>
          <w:p w14:paraId="2CAB8E5B">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682" w:type="dxa"/>
            <w:tcBorders>
              <w:top w:val="nil"/>
              <w:left w:val="nil"/>
              <w:bottom w:val="single" w:color="auto" w:sz="4" w:space="0"/>
              <w:right w:val="single" w:color="auto" w:sz="4" w:space="0"/>
            </w:tcBorders>
            <w:shd w:val="clear" w:color="auto" w:fill="auto"/>
            <w:vAlign w:val="center"/>
          </w:tcPr>
          <w:p w14:paraId="388C4022">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r>
      <w:tr w14:paraId="4DA2C65D">
        <w:tblPrEx>
          <w:tblCellMar>
            <w:top w:w="0" w:type="dxa"/>
            <w:left w:w="108" w:type="dxa"/>
            <w:bottom w:w="0" w:type="dxa"/>
            <w:right w:w="108" w:type="dxa"/>
          </w:tblCellMar>
        </w:tblPrEx>
        <w:trPr>
          <w:trHeight w:val="1656"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61D2D788">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1132" w:type="dxa"/>
            <w:tcBorders>
              <w:top w:val="nil"/>
              <w:left w:val="nil"/>
              <w:bottom w:val="single" w:color="auto" w:sz="4" w:space="0"/>
              <w:right w:val="single" w:color="auto" w:sz="4" w:space="0"/>
            </w:tcBorders>
            <w:shd w:val="clear" w:color="auto" w:fill="auto"/>
            <w:vAlign w:val="center"/>
          </w:tcPr>
          <w:p w14:paraId="092BBCDB">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外网核心交换机</w:t>
            </w:r>
          </w:p>
        </w:tc>
        <w:tc>
          <w:tcPr>
            <w:tcW w:w="5910" w:type="dxa"/>
            <w:tcBorders>
              <w:top w:val="nil"/>
              <w:left w:val="nil"/>
              <w:bottom w:val="single" w:color="auto" w:sz="4" w:space="0"/>
              <w:right w:val="single" w:color="auto" w:sz="4" w:space="0"/>
            </w:tcBorders>
            <w:shd w:val="clear" w:color="auto" w:fill="auto"/>
            <w:vAlign w:val="center"/>
          </w:tcPr>
          <w:p w14:paraId="32E873BC">
            <w:pPr>
              <w:widowControl/>
              <w:numPr>
                <w:ilvl w:val="0"/>
                <w:numId w:val="4"/>
              </w:numPr>
              <w:adjustRightInd/>
              <w:snapToGrid/>
              <w:spacing w:line="240" w:lineRule="auto"/>
              <w:ind w:firstLine="0" w:firstLineChars="0"/>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三层网管交换机，交换容量</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598Gbps/5.98Tbps</w:t>
            </w:r>
            <w:r>
              <w:rPr>
                <w:rFonts w:hint="eastAsia" w:ascii="宋体" w:hAnsi="宋体" w:cs="宋体"/>
                <w:color w:val="000000" w:themeColor="text1"/>
                <w:sz w:val="24"/>
                <w:szCs w:val="24"/>
                <w:highlight w:val="none"/>
                <w:lang w:eastAsia="zh-CN"/>
                <w14:textFill>
                  <w14:solidFill>
                    <w14:schemeClr w14:val="tx1"/>
                  </w14:solidFill>
                </w14:textFill>
              </w:rPr>
              <w:t>。</w:t>
            </w:r>
          </w:p>
          <w:p w14:paraId="2395EF50">
            <w:pPr>
              <w:widowControl/>
              <w:numPr>
                <w:ilvl w:val="0"/>
                <w:numId w:val="4"/>
              </w:numPr>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包转发率</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148Mpps/222Mpps，</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24个千兆光口，</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8个10/100/1000Mbps自适应复用电口，固化</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4个SFP+万兆光口，支持静态路由、三层聚合口、ACL、端口镜像等功能。</w:t>
            </w:r>
          </w:p>
          <w:p w14:paraId="3566ED87">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hint="default" w:ascii="宋体" w:hAnsi="宋体" w:cs="宋体"/>
                <w:color w:val="000000" w:themeColor="text1"/>
                <w:kern w:val="0"/>
                <w:sz w:val="24"/>
                <w:szCs w:val="24"/>
                <w:highlight w:val="none"/>
                <w:lang w:val="en-US"/>
                <w14:textFill>
                  <w14:solidFill>
                    <w14:schemeClr w14:val="tx1"/>
                  </w14:solidFill>
                </w14:textFill>
              </w:rPr>
              <w:t>3.</w:t>
            </w:r>
            <w:r>
              <w:rPr>
                <w:rFonts w:hint="eastAsia" w:ascii="宋体" w:hAnsi="宋体" w:cs="宋体"/>
                <w:color w:val="000000" w:themeColor="text1"/>
                <w:kern w:val="0"/>
                <w:sz w:val="24"/>
                <w:szCs w:val="24"/>
                <w:highlight w:val="none"/>
                <w14:textFill>
                  <w14:solidFill>
                    <w14:schemeClr w14:val="tx1"/>
                  </w14:solidFill>
                </w14:textFill>
              </w:rPr>
              <w:t>支持网管平台管理，通过可上网的PC或者手机，即可完成部署，即插即用，支持可视化整网拓扑、前面板端口通断状态呈现、CPU、内存利用率、设备配置等功能，</w:t>
            </w:r>
            <w:r>
              <w:rPr>
                <w:rFonts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提供功能截图。</w:t>
            </w:r>
            <w:r>
              <w:rPr>
                <w:rFonts w:ascii="宋体" w:hAnsi="宋体" w:cs="宋体"/>
                <w:color w:val="000000" w:themeColor="text1"/>
                <w:kern w:val="0"/>
                <w:sz w:val="24"/>
                <w:szCs w:val="24"/>
                <w:highlight w:val="none"/>
                <w14:textFill>
                  <w14:solidFill>
                    <w14:schemeClr w14:val="tx1"/>
                  </w14:solidFill>
                </w14:textFill>
              </w:rPr>
              <w:t>)</w:t>
            </w:r>
          </w:p>
        </w:tc>
        <w:tc>
          <w:tcPr>
            <w:tcW w:w="829" w:type="dxa"/>
            <w:tcBorders>
              <w:top w:val="nil"/>
              <w:left w:val="nil"/>
              <w:bottom w:val="single" w:color="auto" w:sz="4" w:space="0"/>
              <w:right w:val="single" w:color="auto" w:sz="4" w:space="0"/>
            </w:tcBorders>
            <w:shd w:val="clear" w:color="000000" w:fill="FFFFFF"/>
            <w:vAlign w:val="center"/>
          </w:tcPr>
          <w:p w14:paraId="4A8E4567">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682" w:type="dxa"/>
            <w:tcBorders>
              <w:top w:val="nil"/>
              <w:left w:val="nil"/>
              <w:bottom w:val="single" w:color="auto" w:sz="4" w:space="0"/>
              <w:right w:val="single" w:color="auto" w:sz="4" w:space="0"/>
            </w:tcBorders>
            <w:shd w:val="clear" w:color="auto" w:fill="auto"/>
            <w:vAlign w:val="center"/>
          </w:tcPr>
          <w:p w14:paraId="6F4BD5AF">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r>
      <w:tr w14:paraId="220E4AB3">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73CABFE7">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1132" w:type="dxa"/>
            <w:tcBorders>
              <w:top w:val="nil"/>
              <w:left w:val="nil"/>
              <w:bottom w:val="single" w:color="auto" w:sz="4" w:space="0"/>
              <w:right w:val="single" w:color="auto" w:sz="4" w:space="0"/>
            </w:tcBorders>
            <w:shd w:val="clear" w:color="auto" w:fill="auto"/>
            <w:vAlign w:val="center"/>
          </w:tcPr>
          <w:p w14:paraId="1B7BC344">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SFP光模块</w:t>
            </w:r>
          </w:p>
        </w:tc>
        <w:tc>
          <w:tcPr>
            <w:tcW w:w="5910" w:type="dxa"/>
            <w:tcBorders>
              <w:top w:val="nil"/>
              <w:left w:val="nil"/>
              <w:bottom w:val="single" w:color="auto" w:sz="4" w:space="0"/>
              <w:right w:val="single" w:color="auto" w:sz="4" w:space="0"/>
            </w:tcBorders>
            <w:shd w:val="clear" w:color="auto" w:fill="auto"/>
            <w:vAlign w:val="center"/>
          </w:tcPr>
          <w:p w14:paraId="6A6CB59E">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千兆单模SFP光模块，波长1310nm，最大传输距离10km</w:t>
            </w:r>
          </w:p>
        </w:tc>
        <w:tc>
          <w:tcPr>
            <w:tcW w:w="829" w:type="dxa"/>
            <w:tcBorders>
              <w:top w:val="nil"/>
              <w:left w:val="nil"/>
              <w:bottom w:val="single" w:color="auto" w:sz="4" w:space="0"/>
              <w:right w:val="single" w:color="auto" w:sz="4" w:space="0"/>
            </w:tcBorders>
            <w:shd w:val="clear" w:color="000000" w:fill="FFFFFF"/>
            <w:vAlign w:val="center"/>
          </w:tcPr>
          <w:p w14:paraId="2B97CC8B">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36</w:t>
            </w:r>
          </w:p>
        </w:tc>
        <w:tc>
          <w:tcPr>
            <w:tcW w:w="682" w:type="dxa"/>
            <w:tcBorders>
              <w:top w:val="nil"/>
              <w:left w:val="nil"/>
              <w:bottom w:val="single" w:color="auto" w:sz="4" w:space="0"/>
              <w:right w:val="single" w:color="auto" w:sz="4" w:space="0"/>
            </w:tcBorders>
            <w:shd w:val="clear" w:color="auto" w:fill="auto"/>
            <w:vAlign w:val="center"/>
          </w:tcPr>
          <w:p w14:paraId="31C7A855">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块</w:t>
            </w:r>
          </w:p>
        </w:tc>
      </w:tr>
      <w:tr w14:paraId="14129584">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033CEAE2">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p>
        </w:tc>
        <w:tc>
          <w:tcPr>
            <w:tcW w:w="1132" w:type="dxa"/>
            <w:tcBorders>
              <w:top w:val="nil"/>
              <w:left w:val="nil"/>
              <w:bottom w:val="single" w:color="auto" w:sz="4" w:space="0"/>
              <w:right w:val="single" w:color="auto" w:sz="4" w:space="0"/>
            </w:tcBorders>
            <w:shd w:val="clear" w:color="auto" w:fill="auto"/>
            <w:vAlign w:val="center"/>
          </w:tcPr>
          <w:p w14:paraId="1B6BFA7B">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调试费用</w:t>
            </w:r>
          </w:p>
        </w:tc>
        <w:tc>
          <w:tcPr>
            <w:tcW w:w="5910" w:type="dxa"/>
            <w:tcBorders>
              <w:top w:val="nil"/>
              <w:left w:val="nil"/>
              <w:bottom w:val="single" w:color="auto" w:sz="4" w:space="0"/>
              <w:right w:val="single" w:color="auto" w:sz="4" w:space="0"/>
            </w:tcBorders>
            <w:shd w:val="clear" w:color="auto" w:fill="auto"/>
            <w:vAlign w:val="center"/>
          </w:tcPr>
          <w:p w14:paraId="5CCA031C">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设备安装调试费用</w:t>
            </w:r>
          </w:p>
        </w:tc>
        <w:tc>
          <w:tcPr>
            <w:tcW w:w="829" w:type="dxa"/>
            <w:tcBorders>
              <w:top w:val="nil"/>
              <w:left w:val="nil"/>
              <w:bottom w:val="single" w:color="auto" w:sz="4" w:space="0"/>
              <w:right w:val="single" w:color="auto" w:sz="4" w:space="0"/>
            </w:tcBorders>
            <w:shd w:val="clear" w:color="000000" w:fill="FFFFFF"/>
            <w:vAlign w:val="center"/>
          </w:tcPr>
          <w:p w14:paraId="286B5D78">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682" w:type="dxa"/>
            <w:tcBorders>
              <w:top w:val="nil"/>
              <w:left w:val="nil"/>
              <w:bottom w:val="single" w:color="auto" w:sz="4" w:space="0"/>
              <w:right w:val="single" w:color="auto" w:sz="4" w:space="0"/>
            </w:tcBorders>
            <w:shd w:val="clear" w:color="auto" w:fill="auto"/>
            <w:vAlign w:val="center"/>
          </w:tcPr>
          <w:p w14:paraId="401064ED">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w:t>
            </w:r>
          </w:p>
        </w:tc>
      </w:tr>
      <w:tr w14:paraId="417FC254">
        <w:tblPrEx>
          <w:tblCellMar>
            <w:top w:w="0" w:type="dxa"/>
            <w:left w:w="108" w:type="dxa"/>
            <w:bottom w:w="0" w:type="dxa"/>
            <w:right w:w="108" w:type="dxa"/>
          </w:tblCellMar>
        </w:tblPrEx>
        <w:trPr>
          <w:trHeight w:val="424" w:hRule="atLeast"/>
        </w:trPr>
        <w:tc>
          <w:tcPr>
            <w:tcW w:w="9418" w:type="dxa"/>
            <w:gridSpan w:val="5"/>
            <w:tcBorders>
              <w:top w:val="nil"/>
              <w:left w:val="single" w:color="auto" w:sz="4" w:space="0"/>
              <w:bottom w:val="single" w:color="auto" w:sz="4" w:space="0"/>
              <w:right w:val="single" w:color="auto" w:sz="4" w:space="0"/>
            </w:tcBorders>
            <w:shd w:val="clear" w:color="auto" w:fill="auto"/>
            <w:vAlign w:val="center"/>
          </w:tcPr>
          <w:p w14:paraId="5CADB1AD">
            <w:pPr>
              <w:widowControl/>
              <w:adjustRightInd/>
              <w:snapToGrid/>
              <w:spacing w:line="240" w:lineRule="auto"/>
              <w:ind w:firstLine="0" w:firstLineChars="0"/>
              <w:jc w:val="both"/>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二、综合布线工程</w:t>
            </w:r>
          </w:p>
        </w:tc>
      </w:tr>
      <w:tr w14:paraId="0A0C6B4E">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3C9BF4FA">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1132" w:type="dxa"/>
            <w:tcBorders>
              <w:top w:val="nil"/>
              <w:left w:val="nil"/>
              <w:bottom w:val="single" w:color="auto" w:sz="4" w:space="0"/>
              <w:right w:val="single" w:color="auto" w:sz="4" w:space="0"/>
            </w:tcBorders>
            <w:shd w:val="clear" w:color="auto" w:fill="auto"/>
            <w:vAlign w:val="center"/>
          </w:tcPr>
          <w:p w14:paraId="607091A8">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六类网线</w:t>
            </w:r>
          </w:p>
        </w:tc>
        <w:tc>
          <w:tcPr>
            <w:tcW w:w="5910" w:type="dxa"/>
            <w:tcBorders>
              <w:top w:val="nil"/>
              <w:left w:val="nil"/>
              <w:bottom w:val="single" w:color="auto" w:sz="4" w:space="0"/>
              <w:right w:val="single" w:color="auto" w:sz="4" w:space="0"/>
            </w:tcBorders>
            <w:shd w:val="clear" w:color="auto" w:fill="auto"/>
            <w:vAlign w:val="center"/>
          </w:tcPr>
          <w:p w14:paraId="27CC12D0">
            <w:pPr>
              <w:widowControl/>
              <w:jc w:val="left"/>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pP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t>1、六类非屏蔽网线</w:t>
            </w:r>
          </w:p>
          <w:p w14:paraId="1E14CCAC">
            <w:pPr>
              <w:pStyle w:val="2"/>
              <w:rPr>
                <w:rFonts w:hint="eastAsia"/>
                <w:color w:val="000000" w:themeColor="text1"/>
                <w:highlight w:val="none"/>
                <w14:textFill>
                  <w14:solidFill>
                    <w14:schemeClr w14:val="tx1"/>
                  </w14:solidFill>
                </w14:textFill>
              </w:rPr>
            </w:pP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t xml:space="preserve">2、材质：PVC </w:t>
            </w: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br w:type="textWrapping"/>
            </w: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t xml:space="preserve">3、外径：6.3±0.3mm </w:t>
            </w: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br w:type="textWrapping"/>
            </w: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t xml:space="preserve">4、：99.99%无氧铜 </w:t>
            </w: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br w:type="textWrapping"/>
            </w: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t>5、直径：23AWG</w:t>
            </w: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br w:type="textWrapping"/>
            </w: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t xml:space="preserve">6、绝缘外径：1.1±0.05mm </w:t>
            </w: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br w:type="textWrapping"/>
            </w: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t>7、阻抗：100±15</w:t>
            </w:r>
            <w:r>
              <w:rPr>
                <w:rFonts w:cs="Calibri" w:asciiTheme="minorEastAsia" w:hAnsiTheme="minorEastAsia" w:eastAsiaTheme="minorEastAsia"/>
                <w:color w:val="000000" w:themeColor="text1"/>
                <w:kern w:val="0"/>
                <w:sz w:val="24"/>
                <w:szCs w:val="24"/>
                <w:highlight w:val="none"/>
                <w14:textFill>
                  <w14:solidFill>
                    <w14:schemeClr w14:val="tx1"/>
                  </w14:solidFill>
                </w14:textFill>
              </w:rPr>
              <w:t>Ω</w:t>
            </w: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t xml:space="preserve"> </w:t>
            </w: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br w:type="textWrapping"/>
            </w: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t xml:space="preserve">8、间介电强度，DC，1min：1Kv/1min </w:t>
            </w: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br w:type="textWrapping"/>
            </w: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t>★9、导体最大电阻：≤7.5</w:t>
            </w:r>
            <w:r>
              <w:rPr>
                <w:rFonts w:cs="Calibri" w:asciiTheme="minorEastAsia" w:hAnsiTheme="minorEastAsia" w:eastAsiaTheme="minorEastAsia"/>
                <w:color w:val="000000" w:themeColor="text1"/>
                <w:kern w:val="0"/>
                <w:sz w:val="24"/>
                <w:szCs w:val="24"/>
                <w:highlight w:val="none"/>
                <w14:textFill>
                  <w14:solidFill>
                    <w14:schemeClr w14:val="tx1"/>
                  </w14:solidFill>
                </w14:textFill>
              </w:rPr>
              <w:t>Ω</w:t>
            </w: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t>/100m （</w:t>
            </w:r>
            <w:r>
              <w:rPr>
                <w:rFonts w:hint="eastAsia" w:cs="宋体" w:asciiTheme="minorEastAsia" w:hAnsiTheme="minorEastAsia" w:eastAsiaTheme="minorEastAsia"/>
                <w:b/>
                <w:bCs/>
                <w:color w:val="000000" w:themeColor="text1"/>
                <w:kern w:val="0"/>
                <w:sz w:val="24"/>
                <w:szCs w:val="24"/>
                <w:highlight w:val="none"/>
                <w14:textFill>
                  <w14:solidFill>
                    <w14:schemeClr w14:val="tx1"/>
                  </w14:solidFill>
                </w14:textFill>
              </w:rPr>
              <w:t>提供具有CNAS或者CMA认证标识的第三方检测机构出具的检测报告扫描件，并加盖供应商公章</w:t>
            </w:r>
            <w:r>
              <w:rPr>
                <w:rFonts w:hint="eastAsia" w:cs="宋体" w:asciiTheme="minorEastAsia" w:hAnsiTheme="minorEastAsia" w:eastAsiaTheme="minorEastAsia"/>
                <w:color w:val="000000" w:themeColor="text1"/>
                <w:kern w:val="0"/>
                <w:sz w:val="24"/>
                <w:szCs w:val="24"/>
                <w:highlight w:val="none"/>
                <w14:textFill>
                  <w14:solidFill>
                    <w14:schemeClr w14:val="tx1"/>
                  </w14:solidFill>
                </w14:textFill>
              </w:rPr>
              <w:t>）</w:t>
            </w:r>
          </w:p>
        </w:tc>
        <w:tc>
          <w:tcPr>
            <w:tcW w:w="829" w:type="dxa"/>
            <w:tcBorders>
              <w:top w:val="nil"/>
              <w:left w:val="nil"/>
              <w:bottom w:val="single" w:color="auto" w:sz="4" w:space="0"/>
              <w:right w:val="single" w:color="auto" w:sz="4" w:space="0"/>
            </w:tcBorders>
            <w:shd w:val="clear" w:color="000000" w:fill="FFFFFF"/>
            <w:vAlign w:val="center"/>
          </w:tcPr>
          <w:p w14:paraId="348E6AD2">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130</w:t>
            </w:r>
          </w:p>
        </w:tc>
        <w:tc>
          <w:tcPr>
            <w:tcW w:w="682" w:type="dxa"/>
            <w:tcBorders>
              <w:top w:val="nil"/>
              <w:left w:val="nil"/>
              <w:bottom w:val="single" w:color="auto" w:sz="4" w:space="0"/>
              <w:right w:val="single" w:color="auto" w:sz="4" w:space="0"/>
            </w:tcBorders>
            <w:shd w:val="clear" w:color="auto" w:fill="auto"/>
            <w:vAlign w:val="center"/>
          </w:tcPr>
          <w:p w14:paraId="32100E89">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箱</w:t>
            </w:r>
          </w:p>
        </w:tc>
      </w:tr>
      <w:tr w14:paraId="08412668">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423E985C">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1132" w:type="dxa"/>
            <w:tcBorders>
              <w:top w:val="nil"/>
              <w:left w:val="nil"/>
              <w:bottom w:val="single" w:color="auto" w:sz="4" w:space="0"/>
              <w:right w:val="single" w:color="auto" w:sz="4" w:space="0"/>
            </w:tcBorders>
            <w:shd w:val="clear" w:color="auto" w:fill="auto"/>
            <w:vAlign w:val="center"/>
          </w:tcPr>
          <w:p w14:paraId="7D94C335">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室内光缆</w:t>
            </w:r>
          </w:p>
        </w:tc>
        <w:tc>
          <w:tcPr>
            <w:tcW w:w="5910" w:type="dxa"/>
            <w:tcBorders>
              <w:top w:val="nil"/>
              <w:left w:val="nil"/>
              <w:bottom w:val="single" w:color="auto" w:sz="4" w:space="0"/>
              <w:right w:val="single" w:color="auto" w:sz="4" w:space="0"/>
            </w:tcBorders>
            <w:shd w:val="clear" w:color="auto" w:fill="auto"/>
            <w:vAlign w:val="center"/>
          </w:tcPr>
          <w:p w14:paraId="550EBE7F">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24芯单模室内光缆</w:t>
            </w:r>
          </w:p>
        </w:tc>
        <w:tc>
          <w:tcPr>
            <w:tcW w:w="829" w:type="dxa"/>
            <w:tcBorders>
              <w:top w:val="nil"/>
              <w:left w:val="nil"/>
              <w:bottom w:val="single" w:color="auto" w:sz="4" w:space="0"/>
              <w:right w:val="single" w:color="auto" w:sz="4" w:space="0"/>
            </w:tcBorders>
            <w:shd w:val="clear" w:color="000000" w:fill="FFFFFF"/>
            <w:vAlign w:val="center"/>
          </w:tcPr>
          <w:p w14:paraId="67919AE6">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900</w:t>
            </w:r>
          </w:p>
        </w:tc>
        <w:tc>
          <w:tcPr>
            <w:tcW w:w="682" w:type="dxa"/>
            <w:tcBorders>
              <w:top w:val="nil"/>
              <w:left w:val="nil"/>
              <w:bottom w:val="single" w:color="auto" w:sz="4" w:space="0"/>
              <w:right w:val="single" w:color="auto" w:sz="4" w:space="0"/>
            </w:tcBorders>
            <w:shd w:val="clear" w:color="auto" w:fill="auto"/>
            <w:vAlign w:val="center"/>
          </w:tcPr>
          <w:p w14:paraId="4A46ABE2">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米</w:t>
            </w:r>
          </w:p>
        </w:tc>
      </w:tr>
      <w:tr w14:paraId="65A9E6D2">
        <w:tblPrEx>
          <w:tblCellMar>
            <w:top w:w="0" w:type="dxa"/>
            <w:left w:w="108" w:type="dxa"/>
            <w:bottom w:w="0" w:type="dxa"/>
            <w:right w:w="108" w:type="dxa"/>
          </w:tblCellMar>
        </w:tblPrEx>
        <w:trPr>
          <w:trHeight w:val="485"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3AE6F6F9">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1132" w:type="dxa"/>
            <w:tcBorders>
              <w:top w:val="nil"/>
              <w:left w:val="nil"/>
              <w:bottom w:val="single" w:color="auto" w:sz="4" w:space="0"/>
              <w:right w:val="single" w:color="auto" w:sz="4" w:space="0"/>
            </w:tcBorders>
            <w:shd w:val="clear" w:color="auto" w:fill="auto"/>
            <w:vAlign w:val="center"/>
          </w:tcPr>
          <w:p w14:paraId="7BAFDA82">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配线</w:t>
            </w:r>
          </w:p>
        </w:tc>
        <w:tc>
          <w:tcPr>
            <w:tcW w:w="5910" w:type="dxa"/>
            <w:tcBorders>
              <w:top w:val="nil"/>
              <w:left w:val="nil"/>
              <w:bottom w:val="single" w:color="auto" w:sz="4" w:space="0"/>
              <w:right w:val="single" w:color="auto" w:sz="4" w:space="0"/>
            </w:tcBorders>
            <w:shd w:val="clear" w:color="auto" w:fill="auto"/>
            <w:vAlign w:val="center"/>
          </w:tcPr>
          <w:p w14:paraId="754F8332">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RVV2x1.0mm</w:t>
            </w:r>
            <w:r>
              <w:rPr>
                <w:rFonts w:hint="eastAsia" w:ascii="宋体" w:hAnsi="宋体" w:eastAsia="宋体" w:cs="宋体"/>
                <w:color w:val="000000" w:themeColor="text1"/>
                <w:sz w:val="24"/>
                <w:szCs w:val="24"/>
                <w:highlight w:val="none"/>
                <w:vertAlign w:val="superscript"/>
                <w14:textFill>
                  <w14:solidFill>
                    <w14:schemeClr w14:val="tx1"/>
                  </w14:solidFill>
                </w14:textFill>
              </w:rPr>
              <w:t>2</w:t>
            </w:r>
          </w:p>
        </w:tc>
        <w:tc>
          <w:tcPr>
            <w:tcW w:w="829" w:type="dxa"/>
            <w:tcBorders>
              <w:top w:val="nil"/>
              <w:left w:val="nil"/>
              <w:bottom w:val="single" w:color="auto" w:sz="4" w:space="0"/>
              <w:right w:val="single" w:color="auto" w:sz="4" w:space="0"/>
            </w:tcBorders>
            <w:shd w:val="clear" w:color="000000" w:fill="FFFFFF"/>
            <w:vAlign w:val="center"/>
          </w:tcPr>
          <w:p w14:paraId="3BFB5F17">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1200</w:t>
            </w:r>
          </w:p>
        </w:tc>
        <w:tc>
          <w:tcPr>
            <w:tcW w:w="682" w:type="dxa"/>
            <w:tcBorders>
              <w:top w:val="nil"/>
              <w:left w:val="nil"/>
              <w:bottom w:val="single" w:color="auto" w:sz="4" w:space="0"/>
              <w:right w:val="single" w:color="auto" w:sz="4" w:space="0"/>
            </w:tcBorders>
            <w:shd w:val="clear" w:color="auto" w:fill="auto"/>
            <w:vAlign w:val="center"/>
          </w:tcPr>
          <w:p w14:paraId="1E10300F">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米</w:t>
            </w:r>
          </w:p>
        </w:tc>
      </w:tr>
      <w:tr w14:paraId="4C900AB7">
        <w:tblPrEx>
          <w:tblCellMar>
            <w:top w:w="0" w:type="dxa"/>
            <w:left w:w="108" w:type="dxa"/>
            <w:bottom w:w="0" w:type="dxa"/>
            <w:right w:w="108" w:type="dxa"/>
          </w:tblCellMar>
        </w:tblPrEx>
        <w:trPr>
          <w:trHeight w:val="485"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3F25ADC9">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1132" w:type="dxa"/>
            <w:tcBorders>
              <w:top w:val="nil"/>
              <w:left w:val="nil"/>
              <w:bottom w:val="single" w:color="auto" w:sz="4" w:space="0"/>
              <w:right w:val="single" w:color="auto" w:sz="4" w:space="0"/>
            </w:tcBorders>
            <w:shd w:val="clear" w:color="auto" w:fill="auto"/>
            <w:vAlign w:val="center"/>
          </w:tcPr>
          <w:p w14:paraId="20E4C23F">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配线</w:t>
            </w:r>
          </w:p>
        </w:tc>
        <w:tc>
          <w:tcPr>
            <w:tcW w:w="5910" w:type="dxa"/>
            <w:tcBorders>
              <w:top w:val="nil"/>
              <w:left w:val="nil"/>
              <w:bottom w:val="single" w:color="auto" w:sz="4" w:space="0"/>
              <w:right w:val="single" w:color="auto" w:sz="4" w:space="0"/>
            </w:tcBorders>
            <w:shd w:val="clear" w:color="auto" w:fill="auto"/>
            <w:vAlign w:val="center"/>
          </w:tcPr>
          <w:p w14:paraId="1E092042">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RVV3x2.5mm</w:t>
            </w:r>
            <w:r>
              <w:rPr>
                <w:rFonts w:hint="eastAsia" w:ascii="宋体" w:hAnsi="宋体" w:eastAsia="宋体" w:cs="宋体"/>
                <w:color w:val="000000" w:themeColor="text1"/>
                <w:sz w:val="24"/>
                <w:szCs w:val="24"/>
                <w:highlight w:val="none"/>
                <w:vertAlign w:val="superscript"/>
                <w14:textFill>
                  <w14:solidFill>
                    <w14:schemeClr w14:val="tx1"/>
                  </w14:solidFill>
                </w14:textFill>
              </w:rPr>
              <w:t>2</w:t>
            </w:r>
          </w:p>
        </w:tc>
        <w:tc>
          <w:tcPr>
            <w:tcW w:w="829" w:type="dxa"/>
            <w:tcBorders>
              <w:top w:val="nil"/>
              <w:left w:val="nil"/>
              <w:bottom w:val="single" w:color="auto" w:sz="4" w:space="0"/>
              <w:right w:val="single" w:color="auto" w:sz="4" w:space="0"/>
            </w:tcBorders>
            <w:shd w:val="clear" w:color="000000" w:fill="FFFFFF"/>
            <w:vAlign w:val="center"/>
          </w:tcPr>
          <w:p w14:paraId="4C49F651">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300</w:t>
            </w:r>
          </w:p>
        </w:tc>
        <w:tc>
          <w:tcPr>
            <w:tcW w:w="682" w:type="dxa"/>
            <w:tcBorders>
              <w:top w:val="nil"/>
              <w:left w:val="nil"/>
              <w:bottom w:val="single" w:color="auto" w:sz="4" w:space="0"/>
              <w:right w:val="single" w:color="auto" w:sz="4" w:space="0"/>
            </w:tcBorders>
            <w:shd w:val="clear" w:color="auto" w:fill="auto"/>
            <w:vAlign w:val="center"/>
          </w:tcPr>
          <w:p w14:paraId="50511F79">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米</w:t>
            </w:r>
          </w:p>
        </w:tc>
      </w:tr>
      <w:tr w14:paraId="05DB50B5">
        <w:tblPrEx>
          <w:tblCellMar>
            <w:top w:w="0" w:type="dxa"/>
            <w:left w:w="108" w:type="dxa"/>
            <w:bottom w:w="0" w:type="dxa"/>
            <w:right w:w="108" w:type="dxa"/>
          </w:tblCellMar>
        </w:tblPrEx>
        <w:trPr>
          <w:trHeight w:val="485"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686585CF">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1132" w:type="dxa"/>
            <w:tcBorders>
              <w:top w:val="nil"/>
              <w:left w:val="nil"/>
              <w:bottom w:val="single" w:color="auto" w:sz="4" w:space="0"/>
              <w:right w:val="single" w:color="auto" w:sz="4" w:space="0"/>
            </w:tcBorders>
            <w:shd w:val="clear" w:color="auto" w:fill="auto"/>
            <w:vAlign w:val="center"/>
          </w:tcPr>
          <w:p w14:paraId="438D4786">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配线</w:t>
            </w:r>
          </w:p>
        </w:tc>
        <w:tc>
          <w:tcPr>
            <w:tcW w:w="5910" w:type="dxa"/>
            <w:tcBorders>
              <w:top w:val="nil"/>
              <w:left w:val="nil"/>
              <w:bottom w:val="single" w:color="auto" w:sz="4" w:space="0"/>
              <w:right w:val="single" w:color="auto" w:sz="4" w:space="0"/>
            </w:tcBorders>
            <w:shd w:val="clear" w:color="auto" w:fill="auto"/>
            <w:vAlign w:val="center"/>
          </w:tcPr>
          <w:p w14:paraId="59B2509A">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RVV3x6.0mm</w:t>
            </w:r>
            <w:r>
              <w:rPr>
                <w:rFonts w:hint="eastAsia" w:ascii="宋体" w:hAnsi="宋体" w:eastAsia="宋体" w:cs="宋体"/>
                <w:color w:val="000000" w:themeColor="text1"/>
                <w:sz w:val="24"/>
                <w:szCs w:val="24"/>
                <w:highlight w:val="none"/>
                <w:vertAlign w:val="superscript"/>
                <w14:textFill>
                  <w14:solidFill>
                    <w14:schemeClr w14:val="tx1"/>
                  </w14:solidFill>
                </w14:textFill>
              </w:rPr>
              <w:t>2</w:t>
            </w:r>
          </w:p>
        </w:tc>
        <w:tc>
          <w:tcPr>
            <w:tcW w:w="829" w:type="dxa"/>
            <w:tcBorders>
              <w:top w:val="nil"/>
              <w:left w:val="nil"/>
              <w:bottom w:val="single" w:color="auto" w:sz="4" w:space="0"/>
              <w:right w:val="single" w:color="auto" w:sz="4" w:space="0"/>
            </w:tcBorders>
            <w:shd w:val="clear" w:color="000000" w:fill="FFFFFF"/>
            <w:vAlign w:val="center"/>
          </w:tcPr>
          <w:p w14:paraId="3BD44136">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100</w:t>
            </w:r>
          </w:p>
        </w:tc>
        <w:tc>
          <w:tcPr>
            <w:tcW w:w="682" w:type="dxa"/>
            <w:tcBorders>
              <w:top w:val="nil"/>
              <w:left w:val="nil"/>
              <w:bottom w:val="single" w:color="auto" w:sz="4" w:space="0"/>
              <w:right w:val="single" w:color="auto" w:sz="4" w:space="0"/>
            </w:tcBorders>
            <w:shd w:val="clear" w:color="auto" w:fill="auto"/>
            <w:vAlign w:val="center"/>
          </w:tcPr>
          <w:p w14:paraId="3C855902">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米</w:t>
            </w:r>
          </w:p>
        </w:tc>
      </w:tr>
      <w:tr w14:paraId="26E563DA">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2E936D66">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1132" w:type="dxa"/>
            <w:tcBorders>
              <w:top w:val="nil"/>
              <w:left w:val="nil"/>
              <w:bottom w:val="single" w:color="auto" w:sz="4" w:space="0"/>
              <w:right w:val="single" w:color="auto" w:sz="4" w:space="0"/>
            </w:tcBorders>
            <w:shd w:val="clear" w:color="auto" w:fill="auto"/>
            <w:vAlign w:val="center"/>
          </w:tcPr>
          <w:p w14:paraId="156F45D3">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信息插座</w:t>
            </w:r>
          </w:p>
        </w:tc>
        <w:tc>
          <w:tcPr>
            <w:tcW w:w="5910" w:type="dxa"/>
            <w:tcBorders>
              <w:top w:val="nil"/>
              <w:left w:val="nil"/>
              <w:bottom w:val="single" w:color="auto" w:sz="4" w:space="0"/>
              <w:right w:val="single" w:color="auto" w:sz="4" w:space="0"/>
            </w:tcBorders>
            <w:shd w:val="clear" w:color="auto" w:fill="auto"/>
            <w:vAlign w:val="center"/>
          </w:tcPr>
          <w:p w14:paraId="0C5E210A">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单口信息插座（六类非屏蔽模块+面板+底盒）</w:t>
            </w:r>
          </w:p>
        </w:tc>
        <w:tc>
          <w:tcPr>
            <w:tcW w:w="829" w:type="dxa"/>
            <w:tcBorders>
              <w:top w:val="nil"/>
              <w:left w:val="nil"/>
              <w:bottom w:val="single" w:color="auto" w:sz="4" w:space="0"/>
              <w:right w:val="single" w:color="auto" w:sz="4" w:space="0"/>
            </w:tcBorders>
            <w:shd w:val="clear" w:color="000000" w:fill="FFFFFF"/>
            <w:vAlign w:val="center"/>
          </w:tcPr>
          <w:p w14:paraId="2B9DE24C">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67</w:t>
            </w:r>
          </w:p>
        </w:tc>
        <w:tc>
          <w:tcPr>
            <w:tcW w:w="682" w:type="dxa"/>
            <w:tcBorders>
              <w:top w:val="nil"/>
              <w:left w:val="nil"/>
              <w:bottom w:val="single" w:color="auto" w:sz="4" w:space="0"/>
              <w:right w:val="single" w:color="auto" w:sz="4" w:space="0"/>
            </w:tcBorders>
            <w:shd w:val="clear" w:color="auto" w:fill="auto"/>
            <w:vAlign w:val="center"/>
          </w:tcPr>
          <w:p w14:paraId="20F309FC">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38212E6E">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371136BB">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p>
        </w:tc>
        <w:tc>
          <w:tcPr>
            <w:tcW w:w="1132" w:type="dxa"/>
            <w:tcBorders>
              <w:top w:val="nil"/>
              <w:left w:val="nil"/>
              <w:bottom w:val="single" w:color="auto" w:sz="4" w:space="0"/>
              <w:right w:val="single" w:color="auto" w:sz="4" w:space="0"/>
            </w:tcBorders>
            <w:shd w:val="clear" w:color="auto" w:fill="auto"/>
            <w:vAlign w:val="center"/>
          </w:tcPr>
          <w:p w14:paraId="4BE82F97">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信息插座</w:t>
            </w:r>
          </w:p>
        </w:tc>
        <w:tc>
          <w:tcPr>
            <w:tcW w:w="5910" w:type="dxa"/>
            <w:tcBorders>
              <w:top w:val="nil"/>
              <w:left w:val="nil"/>
              <w:bottom w:val="single" w:color="auto" w:sz="4" w:space="0"/>
              <w:right w:val="single" w:color="auto" w:sz="4" w:space="0"/>
            </w:tcBorders>
            <w:shd w:val="clear" w:color="auto" w:fill="auto"/>
            <w:vAlign w:val="center"/>
          </w:tcPr>
          <w:p w14:paraId="5247C86D">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双口信息插座（六类非屏蔽模块+面板+底盒）</w:t>
            </w:r>
          </w:p>
        </w:tc>
        <w:tc>
          <w:tcPr>
            <w:tcW w:w="829" w:type="dxa"/>
            <w:tcBorders>
              <w:top w:val="nil"/>
              <w:left w:val="nil"/>
              <w:bottom w:val="single" w:color="auto" w:sz="4" w:space="0"/>
              <w:right w:val="single" w:color="auto" w:sz="4" w:space="0"/>
            </w:tcBorders>
            <w:shd w:val="clear" w:color="000000" w:fill="FFFFFF"/>
            <w:vAlign w:val="center"/>
          </w:tcPr>
          <w:p w14:paraId="16549FA7">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195</w:t>
            </w:r>
          </w:p>
        </w:tc>
        <w:tc>
          <w:tcPr>
            <w:tcW w:w="682" w:type="dxa"/>
            <w:tcBorders>
              <w:top w:val="nil"/>
              <w:left w:val="nil"/>
              <w:bottom w:val="single" w:color="auto" w:sz="4" w:space="0"/>
              <w:right w:val="single" w:color="auto" w:sz="4" w:space="0"/>
            </w:tcBorders>
            <w:shd w:val="clear" w:color="auto" w:fill="auto"/>
            <w:vAlign w:val="center"/>
          </w:tcPr>
          <w:p w14:paraId="0C3254AF">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765144E2">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2B6FCCDD">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p>
        </w:tc>
        <w:tc>
          <w:tcPr>
            <w:tcW w:w="1132" w:type="dxa"/>
            <w:tcBorders>
              <w:top w:val="nil"/>
              <w:left w:val="nil"/>
              <w:bottom w:val="single" w:color="auto" w:sz="4" w:space="0"/>
              <w:right w:val="single" w:color="auto" w:sz="4" w:space="0"/>
            </w:tcBorders>
            <w:shd w:val="clear" w:color="auto" w:fill="auto"/>
            <w:vAlign w:val="center"/>
          </w:tcPr>
          <w:p w14:paraId="65E3E260">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弱电桥架</w:t>
            </w:r>
          </w:p>
        </w:tc>
        <w:tc>
          <w:tcPr>
            <w:tcW w:w="5910" w:type="dxa"/>
            <w:tcBorders>
              <w:top w:val="nil"/>
              <w:left w:val="nil"/>
              <w:bottom w:val="single" w:color="auto" w:sz="4" w:space="0"/>
              <w:right w:val="single" w:color="auto" w:sz="4" w:space="0"/>
            </w:tcBorders>
            <w:shd w:val="clear" w:color="auto" w:fill="auto"/>
            <w:vAlign w:val="center"/>
          </w:tcPr>
          <w:p w14:paraId="6CECDAC4">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200x100弱电桥架(厚度1.2mm，‌横向，竖向桥架相同，含辅件)</w:t>
            </w:r>
          </w:p>
        </w:tc>
        <w:tc>
          <w:tcPr>
            <w:tcW w:w="829" w:type="dxa"/>
            <w:tcBorders>
              <w:top w:val="nil"/>
              <w:left w:val="nil"/>
              <w:bottom w:val="single" w:color="auto" w:sz="4" w:space="0"/>
              <w:right w:val="single" w:color="auto" w:sz="4" w:space="0"/>
            </w:tcBorders>
            <w:shd w:val="clear" w:color="000000" w:fill="FFFFFF"/>
            <w:vAlign w:val="center"/>
          </w:tcPr>
          <w:p w14:paraId="202E4981">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1200</w:t>
            </w:r>
          </w:p>
        </w:tc>
        <w:tc>
          <w:tcPr>
            <w:tcW w:w="682" w:type="dxa"/>
            <w:tcBorders>
              <w:top w:val="nil"/>
              <w:left w:val="nil"/>
              <w:bottom w:val="single" w:color="auto" w:sz="4" w:space="0"/>
              <w:right w:val="single" w:color="auto" w:sz="4" w:space="0"/>
            </w:tcBorders>
            <w:shd w:val="clear" w:color="auto" w:fill="auto"/>
            <w:vAlign w:val="center"/>
          </w:tcPr>
          <w:p w14:paraId="34584484">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米</w:t>
            </w:r>
          </w:p>
        </w:tc>
      </w:tr>
      <w:tr w14:paraId="433FCD44">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3B07EB1B">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w:t>
            </w:r>
          </w:p>
        </w:tc>
        <w:tc>
          <w:tcPr>
            <w:tcW w:w="1132" w:type="dxa"/>
            <w:tcBorders>
              <w:top w:val="nil"/>
              <w:left w:val="nil"/>
              <w:bottom w:val="single" w:color="auto" w:sz="4" w:space="0"/>
              <w:right w:val="single" w:color="auto" w:sz="4" w:space="0"/>
            </w:tcBorders>
            <w:shd w:val="clear" w:color="auto" w:fill="auto"/>
            <w:vAlign w:val="center"/>
          </w:tcPr>
          <w:p w14:paraId="3EB3B6AA">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24U机柜</w:t>
            </w:r>
          </w:p>
        </w:tc>
        <w:tc>
          <w:tcPr>
            <w:tcW w:w="5910" w:type="dxa"/>
            <w:tcBorders>
              <w:top w:val="nil"/>
              <w:left w:val="nil"/>
              <w:bottom w:val="single" w:color="auto" w:sz="4" w:space="0"/>
              <w:right w:val="single" w:color="auto" w:sz="4" w:space="0"/>
            </w:tcBorders>
            <w:shd w:val="clear" w:color="auto" w:fill="auto"/>
            <w:vAlign w:val="center"/>
          </w:tcPr>
          <w:p w14:paraId="1B063344">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24U网络机柜（600mm*600mm*1200mm）</w:t>
            </w:r>
          </w:p>
        </w:tc>
        <w:tc>
          <w:tcPr>
            <w:tcW w:w="829" w:type="dxa"/>
            <w:tcBorders>
              <w:top w:val="nil"/>
              <w:left w:val="nil"/>
              <w:bottom w:val="single" w:color="auto" w:sz="4" w:space="0"/>
              <w:right w:val="single" w:color="auto" w:sz="4" w:space="0"/>
            </w:tcBorders>
            <w:shd w:val="clear" w:color="000000" w:fill="FFFFFF"/>
            <w:vAlign w:val="center"/>
          </w:tcPr>
          <w:p w14:paraId="5BBA9A70">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c>
          <w:tcPr>
            <w:tcW w:w="682" w:type="dxa"/>
            <w:tcBorders>
              <w:top w:val="nil"/>
              <w:left w:val="nil"/>
              <w:bottom w:val="single" w:color="auto" w:sz="4" w:space="0"/>
              <w:right w:val="single" w:color="auto" w:sz="4" w:space="0"/>
            </w:tcBorders>
            <w:shd w:val="clear" w:color="auto" w:fill="auto"/>
            <w:vAlign w:val="center"/>
          </w:tcPr>
          <w:p w14:paraId="70300E52">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r>
      <w:tr w14:paraId="1865705E">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463CFBCE">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c>
          <w:tcPr>
            <w:tcW w:w="1132" w:type="dxa"/>
            <w:tcBorders>
              <w:top w:val="nil"/>
              <w:left w:val="nil"/>
              <w:bottom w:val="single" w:color="auto" w:sz="4" w:space="0"/>
              <w:right w:val="single" w:color="auto" w:sz="4" w:space="0"/>
            </w:tcBorders>
            <w:shd w:val="clear" w:color="auto" w:fill="auto"/>
            <w:vAlign w:val="center"/>
          </w:tcPr>
          <w:p w14:paraId="41D7064D">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42U机柜</w:t>
            </w:r>
          </w:p>
        </w:tc>
        <w:tc>
          <w:tcPr>
            <w:tcW w:w="5910" w:type="dxa"/>
            <w:tcBorders>
              <w:top w:val="nil"/>
              <w:left w:val="nil"/>
              <w:bottom w:val="single" w:color="auto" w:sz="4" w:space="0"/>
              <w:right w:val="single" w:color="auto" w:sz="4" w:space="0"/>
            </w:tcBorders>
            <w:shd w:val="clear" w:color="auto" w:fill="auto"/>
            <w:vAlign w:val="center"/>
          </w:tcPr>
          <w:p w14:paraId="314A7BDE">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42U服务器机柜（600mm*1000mm*2000mm）</w:t>
            </w:r>
          </w:p>
        </w:tc>
        <w:tc>
          <w:tcPr>
            <w:tcW w:w="829" w:type="dxa"/>
            <w:tcBorders>
              <w:top w:val="nil"/>
              <w:left w:val="nil"/>
              <w:bottom w:val="single" w:color="auto" w:sz="4" w:space="0"/>
              <w:right w:val="single" w:color="auto" w:sz="4" w:space="0"/>
            </w:tcBorders>
            <w:shd w:val="clear" w:color="000000" w:fill="FFFFFF"/>
            <w:vAlign w:val="center"/>
          </w:tcPr>
          <w:p w14:paraId="587CE645">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682" w:type="dxa"/>
            <w:tcBorders>
              <w:top w:val="nil"/>
              <w:left w:val="nil"/>
              <w:bottom w:val="single" w:color="auto" w:sz="4" w:space="0"/>
              <w:right w:val="single" w:color="auto" w:sz="4" w:space="0"/>
            </w:tcBorders>
            <w:shd w:val="clear" w:color="auto" w:fill="auto"/>
            <w:vAlign w:val="center"/>
          </w:tcPr>
          <w:p w14:paraId="330EE0BB">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r>
      <w:tr w14:paraId="02FB0243">
        <w:tblPrEx>
          <w:tblCellMar>
            <w:top w:w="0" w:type="dxa"/>
            <w:left w:w="108" w:type="dxa"/>
            <w:bottom w:w="0" w:type="dxa"/>
            <w:right w:w="108" w:type="dxa"/>
          </w:tblCellMar>
        </w:tblPrEx>
        <w:trPr>
          <w:trHeight w:val="485"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76002BDD">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p>
        </w:tc>
        <w:tc>
          <w:tcPr>
            <w:tcW w:w="1132" w:type="dxa"/>
            <w:tcBorders>
              <w:top w:val="nil"/>
              <w:left w:val="nil"/>
              <w:bottom w:val="single" w:color="auto" w:sz="4" w:space="0"/>
              <w:right w:val="single" w:color="auto" w:sz="4" w:space="0"/>
            </w:tcBorders>
            <w:shd w:val="clear" w:color="auto" w:fill="auto"/>
            <w:vAlign w:val="center"/>
          </w:tcPr>
          <w:p w14:paraId="64BB3E4E">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理线架</w:t>
            </w:r>
          </w:p>
        </w:tc>
        <w:tc>
          <w:tcPr>
            <w:tcW w:w="5910" w:type="dxa"/>
            <w:tcBorders>
              <w:top w:val="nil"/>
              <w:left w:val="nil"/>
              <w:bottom w:val="single" w:color="auto" w:sz="4" w:space="0"/>
              <w:right w:val="single" w:color="auto" w:sz="4" w:space="0"/>
            </w:tcBorders>
            <w:shd w:val="clear" w:color="auto" w:fill="auto"/>
            <w:vAlign w:val="center"/>
          </w:tcPr>
          <w:p w14:paraId="2953511B">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1U网络理线架</w:t>
            </w:r>
          </w:p>
        </w:tc>
        <w:tc>
          <w:tcPr>
            <w:tcW w:w="829" w:type="dxa"/>
            <w:tcBorders>
              <w:top w:val="nil"/>
              <w:left w:val="nil"/>
              <w:bottom w:val="single" w:color="auto" w:sz="4" w:space="0"/>
              <w:right w:val="single" w:color="auto" w:sz="4" w:space="0"/>
            </w:tcBorders>
            <w:shd w:val="clear" w:color="000000" w:fill="FFFFFF"/>
            <w:vAlign w:val="center"/>
          </w:tcPr>
          <w:p w14:paraId="278D8882">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w:t>
            </w:r>
          </w:p>
        </w:tc>
        <w:tc>
          <w:tcPr>
            <w:tcW w:w="682" w:type="dxa"/>
            <w:tcBorders>
              <w:top w:val="nil"/>
              <w:left w:val="nil"/>
              <w:bottom w:val="single" w:color="auto" w:sz="4" w:space="0"/>
              <w:right w:val="single" w:color="auto" w:sz="4" w:space="0"/>
            </w:tcBorders>
            <w:shd w:val="clear" w:color="auto" w:fill="auto"/>
            <w:vAlign w:val="center"/>
          </w:tcPr>
          <w:p w14:paraId="510E83B2">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769208D2">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0E2B8E50">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p>
        </w:tc>
        <w:tc>
          <w:tcPr>
            <w:tcW w:w="1132" w:type="dxa"/>
            <w:tcBorders>
              <w:top w:val="nil"/>
              <w:left w:val="nil"/>
              <w:bottom w:val="single" w:color="auto" w:sz="4" w:space="0"/>
              <w:right w:val="single" w:color="auto" w:sz="4" w:space="0"/>
            </w:tcBorders>
            <w:shd w:val="clear" w:color="auto" w:fill="auto"/>
            <w:vAlign w:val="center"/>
          </w:tcPr>
          <w:p w14:paraId="3281DBBB">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ODF配线架</w:t>
            </w:r>
          </w:p>
        </w:tc>
        <w:tc>
          <w:tcPr>
            <w:tcW w:w="5910" w:type="dxa"/>
            <w:tcBorders>
              <w:top w:val="nil"/>
              <w:left w:val="nil"/>
              <w:bottom w:val="single" w:color="auto" w:sz="4" w:space="0"/>
              <w:right w:val="single" w:color="auto" w:sz="4" w:space="0"/>
            </w:tcBorders>
            <w:shd w:val="clear" w:color="auto" w:fill="auto"/>
            <w:vAlign w:val="center"/>
          </w:tcPr>
          <w:p w14:paraId="5C730241">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24芯模块式ODF配线架,高度2U，含耦合器</w:t>
            </w:r>
          </w:p>
        </w:tc>
        <w:tc>
          <w:tcPr>
            <w:tcW w:w="829" w:type="dxa"/>
            <w:tcBorders>
              <w:top w:val="nil"/>
              <w:left w:val="nil"/>
              <w:bottom w:val="single" w:color="auto" w:sz="4" w:space="0"/>
              <w:right w:val="single" w:color="auto" w:sz="4" w:space="0"/>
            </w:tcBorders>
            <w:shd w:val="clear" w:color="000000" w:fill="FFFFFF"/>
            <w:vAlign w:val="center"/>
          </w:tcPr>
          <w:p w14:paraId="7D9111E5">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w:t>
            </w:r>
          </w:p>
        </w:tc>
        <w:tc>
          <w:tcPr>
            <w:tcW w:w="682" w:type="dxa"/>
            <w:tcBorders>
              <w:top w:val="nil"/>
              <w:left w:val="nil"/>
              <w:bottom w:val="single" w:color="auto" w:sz="4" w:space="0"/>
              <w:right w:val="single" w:color="auto" w:sz="4" w:space="0"/>
            </w:tcBorders>
            <w:shd w:val="clear" w:color="auto" w:fill="auto"/>
            <w:vAlign w:val="center"/>
          </w:tcPr>
          <w:p w14:paraId="6A5D2623">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54C6D09D">
        <w:tblPrEx>
          <w:tblCellMar>
            <w:top w:w="0" w:type="dxa"/>
            <w:left w:w="108" w:type="dxa"/>
            <w:bottom w:w="0" w:type="dxa"/>
            <w:right w:w="108" w:type="dxa"/>
          </w:tblCellMar>
        </w:tblPrEx>
        <w:trPr>
          <w:trHeight w:val="485"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3B357FB5">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w:t>
            </w:r>
          </w:p>
        </w:tc>
        <w:tc>
          <w:tcPr>
            <w:tcW w:w="1132" w:type="dxa"/>
            <w:tcBorders>
              <w:top w:val="nil"/>
              <w:left w:val="nil"/>
              <w:bottom w:val="single" w:color="auto" w:sz="4" w:space="0"/>
              <w:right w:val="single" w:color="auto" w:sz="4" w:space="0"/>
            </w:tcBorders>
            <w:shd w:val="clear" w:color="auto" w:fill="auto"/>
            <w:vAlign w:val="center"/>
          </w:tcPr>
          <w:p w14:paraId="68AF7FE1">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尾纤</w:t>
            </w:r>
          </w:p>
        </w:tc>
        <w:tc>
          <w:tcPr>
            <w:tcW w:w="5910" w:type="dxa"/>
            <w:tcBorders>
              <w:top w:val="nil"/>
              <w:left w:val="nil"/>
              <w:bottom w:val="single" w:color="auto" w:sz="4" w:space="0"/>
              <w:right w:val="single" w:color="auto" w:sz="4" w:space="0"/>
            </w:tcBorders>
            <w:shd w:val="clear" w:color="auto" w:fill="auto"/>
            <w:vAlign w:val="center"/>
          </w:tcPr>
          <w:p w14:paraId="51E8DA02">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单模LC光纤尾纤</w:t>
            </w:r>
          </w:p>
        </w:tc>
        <w:tc>
          <w:tcPr>
            <w:tcW w:w="829" w:type="dxa"/>
            <w:tcBorders>
              <w:top w:val="nil"/>
              <w:left w:val="nil"/>
              <w:bottom w:val="single" w:color="auto" w:sz="4" w:space="0"/>
              <w:right w:val="single" w:color="auto" w:sz="4" w:space="0"/>
            </w:tcBorders>
            <w:shd w:val="clear" w:color="000000" w:fill="FFFFFF"/>
            <w:vAlign w:val="center"/>
          </w:tcPr>
          <w:p w14:paraId="6C4A5983">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504</w:t>
            </w:r>
          </w:p>
        </w:tc>
        <w:tc>
          <w:tcPr>
            <w:tcW w:w="682" w:type="dxa"/>
            <w:tcBorders>
              <w:top w:val="nil"/>
              <w:left w:val="nil"/>
              <w:bottom w:val="single" w:color="auto" w:sz="4" w:space="0"/>
              <w:right w:val="single" w:color="auto" w:sz="4" w:space="0"/>
            </w:tcBorders>
            <w:shd w:val="clear" w:color="auto" w:fill="auto"/>
            <w:vAlign w:val="center"/>
          </w:tcPr>
          <w:p w14:paraId="341C7A4C">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w:t>
            </w:r>
          </w:p>
        </w:tc>
      </w:tr>
      <w:tr w14:paraId="60D8EE84">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6B1B88E5">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w:t>
            </w:r>
          </w:p>
        </w:tc>
        <w:tc>
          <w:tcPr>
            <w:tcW w:w="1132" w:type="dxa"/>
            <w:tcBorders>
              <w:top w:val="nil"/>
              <w:left w:val="nil"/>
              <w:bottom w:val="single" w:color="auto" w:sz="4" w:space="0"/>
              <w:right w:val="single" w:color="auto" w:sz="4" w:space="0"/>
            </w:tcBorders>
            <w:shd w:val="clear" w:color="auto" w:fill="auto"/>
            <w:vAlign w:val="center"/>
          </w:tcPr>
          <w:p w14:paraId="1EDC1DD4">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光纤跳线</w:t>
            </w:r>
          </w:p>
        </w:tc>
        <w:tc>
          <w:tcPr>
            <w:tcW w:w="5910" w:type="dxa"/>
            <w:tcBorders>
              <w:top w:val="nil"/>
              <w:left w:val="nil"/>
              <w:bottom w:val="single" w:color="auto" w:sz="4" w:space="0"/>
              <w:right w:val="single" w:color="auto" w:sz="4" w:space="0"/>
            </w:tcBorders>
            <w:shd w:val="clear" w:color="auto" w:fill="auto"/>
            <w:vAlign w:val="center"/>
          </w:tcPr>
          <w:p w14:paraId="17131C3A">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双芯单模LC-LC光纤跳线</w:t>
            </w:r>
          </w:p>
        </w:tc>
        <w:tc>
          <w:tcPr>
            <w:tcW w:w="829" w:type="dxa"/>
            <w:tcBorders>
              <w:top w:val="nil"/>
              <w:left w:val="nil"/>
              <w:bottom w:val="single" w:color="auto" w:sz="4" w:space="0"/>
              <w:right w:val="single" w:color="auto" w:sz="4" w:space="0"/>
            </w:tcBorders>
            <w:shd w:val="clear" w:color="000000" w:fill="FFFFFF"/>
            <w:vAlign w:val="center"/>
          </w:tcPr>
          <w:p w14:paraId="0FAC2644">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48</w:t>
            </w:r>
          </w:p>
        </w:tc>
        <w:tc>
          <w:tcPr>
            <w:tcW w:w="682" w:type="dxa"/>
            <w:tcBorders>
              <w:top w:val="nil"/>
              <w:left w:val="nil"/>
              <w:bottom w:val="single" w:color="auto" w:sz="4" w:space="0"/>
              <w:right w:val="single" w:color="auto" w:sz="4" w:space="0"/>
            </w:tcBorders>
            <w:shd w:val="clear" w:color="auto" w:fill="auto"/>
            <w:vAlign w:val="center"/>
          </w:tcPr>
          <w:p w14:paraId="0D94F228">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根</w:t>
            </w:r>
          </w:p>
        </w:tc>
      </w:tr>
      <w:tr w14:paraId="2478C5B2">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04AFC3A5">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w:t>
            </w:r>
          </w:p>
        </w:tc>
        <w:tc>
          <w:tcPr>
            <w:tcW w:w="1132" w:type="dxa"/>
            <w:tcBorders>
              <w:top w:val="nil"/>
              <w:left w:val="nil"/>
              <w:bottom w:val="single" w:color="auto" w:sz="4" w:space="0"/>
              <w:right w:val="single" w:color="auto" w:sz="4" w:space="0"/>
            </w:tcBorders>
            <w:shd w:val="clear" w:color="auto" w:fill="auto"/>
            <w:vAlign w:val="center"/>
          </w:tcPr>
          <w:p w14:paraId="2A13E861">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光缆熔接</w:t>
            </w:r>
          </w:p>
        </w:tc>
        <w:tc>
          <w:tcPr>
            <w:tcW w:w="5910" w:type="dxa"/>
            <w:tcBorders>
              <w:top w:val="nil"/>
              <w:left w:val="nil"/>
              <w:bottom w:val="single" w:color="auto" w:sz="4" w:space="0"/>
              <w:right w:val="single" w:color="auto" w:sz="4" w:space="0"/>
            </w:tcBorders>
            <w:shd w:val="clear" w:color="auto" w:fill="auto"/>
            <w:vAlign w:val="center"/>
          </w:tcPr>
          <w:p w14:paraId="50D708FD">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光缆熔接</w:t>
            </w:r>
          </w:p>
        </w:tc>
        <w:tc>
          <w:tcPr>
            <w:tcW w:w="829" w:type="dxa"/>
            <w:tcBorders>
              <w:top w:val="nil"/>
              <w:left w:val="nil"/>
              <w:bottom w:val="single" w:color="auto" w:sz="4" w:space="0"/>
              <w:right w:val="single" w:color="auto" w:sz="4" w:space="0"/>
            </w:tcBorders>
            <w:shd w:val="clear" w:color="000000" w:fill="FFFFFF"/>
            <w:vAlign w:val="center"/>
          </w:tcPr>
          <w:p w14:paraId="4D7FBE3D">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504</w:t>
            </w:r>
          </w:p>
        </w:tc>
        <w:tc>
          <w:tcPr>
            <w:tcW w:w="682" w:type="dxa"/>
            <w:tcBorders>
              <w:top w:val="nil"/>
              <w:left w:val="nil"/>
              <w:bottom w:val="single" w:color="auto" w:sz="4" w:space="0"/>
              <w:right w:val="single" w:color="auto" w:sz="4" w:space="0"/>
            </w:tcBorders>
            <w:shd w:val="clear" w:color="auto" w:fill="auto"/>
            <w:vAlign w:val="center"/>
          </w:tcPr>
          <w:p w14:paraId="786D059A">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芯</w:t>
            </w:r>
          </w:p>
        </w:tc>
      </w:tr>
      <w:tr w14:paraId="4ADB5ECE">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2E2A4DE8">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w:t>
            </w:r>
          </w:p>
        </w:tc>
        <w:tc>
          <w:tcPr>
            <w:tcW w:w="1132" w:type="dxa"/>
            <w:tcBorders>
              <w:top w:val="nil"/>
              <w:left w:val="nil"/>
              <w:bottom w:val="single" w:color="auto" w:sz="4" w:space="0"/>
              <w:right w:val="single" w:color="auto" w:sz="4" w:space="0"/>
            </w:tcBorders>
            <w:shd w:val="clear" w:color="auto" w:fill="auto"/>
            <w:vAlign w:val="center"/>
          </w:tcPr>
          <w:p w14:paraId="0DD35A82">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配线管槽</w:t>
            </w:r>
          </w:p>
        </w:tc>
        <w:tc>
          <w:tcPr>
            <w:tcW w:w="5910" w:type="dxa"/>
            <w:tcBorders>
              <w:top w:val="nil"/>
              <w:left w:val="nil"/>
              <w:bottom w:val="single" w:color="auto" w:sz="4" w:space="0"/>
              <w:right w:val="single" w:color="auto" w:sz="4" w:space="0"/>
            </w:tcBorders>
            <w:shd w:val="clear" w:color="auto" w:fill="auto"/>
            <w:vAlign w:val="center"/>
          </w:tcPr>
          <w:p w14:paraId="536DF181">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配线所需PVC管槽</w:t>
            </w:r>
          </w:p>
        </w:tc>
        <w:tc>
          <w:tcPr>
            <w:tcW w:w="829" w:type="dxa"/>
            <w:tcBorders>
              <w:top w:val="nil"/>
              <w:left w:val="nil"/>
              <w:bottom w:val="single" w:color="auto" w:sz="4" w:space="0"/>
              <w:right w:val="single" w:color="auto" w:sz="4" w:space="0"/>
            </w:tcBorders>
            <w:shd w:val="clear" w:color="000000" w:fill="FFFFFF"/>
            <w:vAlign w:val="center"/>
          </w:tcPr>
          <w:p w14:paraId="6F5D8B70">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6000</w:t>
            </w:r>
          </w:p>
        </w:tc>
        <w:tc>
          <w:tcPr>
            <w:tcW w:w="682" w:type="dxa"/>
            <w:tcBorders>
              <w:top w:val="nil"/>
              <w:left w:val="nil"/>
              <w:bottom w:val="single" w:color="auto" w:sz="4" w:space="0"/>
              <w:right w:val="single" w:color="auto" w:sz="4" w:space="0"/>
            </w:tcBorders>
            <w:shd w:val="clear" w:color="auto" w:fill="auto"/>
            <w:vAlign w:val="center"/>
          </w:tcPr>
          <w:p w14:paraId="74F597D0">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米</w:t>
            </w:r>
          </w:p>
        </w:tc>
      </w:tr>
      <w:tr w14:paraId="287D0A7A">
        <w:tblPrEx>
          <w:tblCellMar>
            <w:top w:w="0" w:type="dxa"/>
            <w:left w:w="108" w:type="dxa"/>
            <w:bottom w:w="0" w:type="dxa"/>
            <w:right w:w="108" w:type="dxa"/>
          </w:tblCellMar>
        </w:tblPrEx>
        <w:trPr>
          <w:trHeight w:val="485"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5EC1D34A">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17</w:t>
            </w:r>
          </w:p>
        </w:tc>
        <w:tc>
          <w:tcPr>
            <w:tcW w:w="1132" w:type="dxa"/>
            <w:tcBorders>
              <w:top w:val="nil"/>
              <w:left w:val="nil"/>
              <w:bottom w:val="single" w:color="auto" w:sz="4" w:space="0"/>
              <w:right w:val="single" w:color="auto" w:sz="4" w:space="0"/>
            </w:tcBorders>
            <w:shd w:val="clear" w:color="auto" w:fill="auto"/>
            <w:vAlign w:val="center"/>
          </w:tcPr>
          <w:p w14:paraId="478A2C60">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辅材</w:t>
            </w:r>
          </w:p>
        </w:tc>
        <w:tc>
          <w:tcPr>
            <w:tcW w:w="5910" w:type="dxa"/>
            <w:tcBorders>
              <w:top w:val="nil"/>
              <w:left w:val="nil"/>
              <w:bottom w:val="single" w:color="auto" w:sz="4" w:space="0"/>
              <w:right w:val="single" w:color="auto" w:sz="4" w:space="0"/>
            </w:tcBorders>
            <w:shd w:val="clear" w:color="auto" w:fill="auto"/>
            <w:vAlign w:val="center"/>
          </w:tcPr>
          <w:p w14:paraId="03669377">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水晶头、扎带、线标、配管转接头、插线板；</w:t>
            </w:r>
          </w:p>
        </w:tc>
        <w:tc>
          <w:tcPr>
            <w:tcW w:w="829" w:type="dxa"/>
            <w:tcBorders>
              <w:top w:val="nil"/>
              <w:left w:val="nil"/>
              <w:bottom w:val="single" w:color="auto" w:sz="4" w:space="0"/>
              <w:right w:val="single" w:color="auto" w:sz="4" w:space="0"/>
            </w:tcBorders>
            <w:shd w:val="clear" w:color="000000" w:fill="FFFFFF"/>
            <w:vAlign w:val="center"/>
          </w:tcPr>
          <w:p w14:paraId="4DA6DF41">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682" w:type="dxa"/>
            <w:tcBorders>
              <w:top w:val="nil"/>
              <w:left w:val="nil"/>
              <w:bottom w:val="single" w:color="auto" w:sz="4" w:space="0"/>
              <w:right w:val="single" w:color="auto" w:sz="4" w:space="0"/>
            </w:tcBorders>
            <w:shd w:val="clear" w:color="auto" w:fill="auto"/>
            <w:vAlign w:val="center"/>
          </w:tcPr>
          <w:p w14:paraId="5976B6C6">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w:t>
            </w:r>
          </w:p>
        </w:tc>
      </w:tr>
      <w:tr w14:paraId="6E212573">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099FF921">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18</w:t>
            </w:r>
          </w:p>
        </w:tc>
        <w:tc>
          <w:tcPr>
            <w:tcW w:w="1132" w:type="dxa"/>
            <w:tcBorders>
              <w:top w:val="nil"/>
              <w:left w:val="nil"/>
              <w:bottom w:val="single" w:color="auto" w:sz="4" w:space="0"/>
              <w:right w:val="single" w:color="auto" w:sz="4" w:space="0"/>
            </w:tcBorders>
            <w:shd w:val="clear" w:color="auto" w:fill="auto"/>
            <w:vAlign w:val="center"/>
          </w:tcPr>
          <w:p w14:paraId="1DAB547B">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砖墙剔槽</w:t>
            </w:r>
          </w:p>
        </w:tc>
        <w:tc>
          <w:tcPr>
            <w:tcW w:w="5910" w:type="dxa"/>
            <w:tcBorders>
              <w:top w:val="nil"/>
              <w:left w:val="nil"/>
              <w:bottom w:val="single" w:color="auto" w:sz="4" w:space="0"/>
              <w:right w:val="single" w:color="auto" w:sz="4" w:space="0"/>
            </w:tcBorders>
            <w:shd w:val="clear" w:color="auto" w:fill="auto"/>
            <w:vAlign w:val="center"/>
          </w:tcPr>
          <w:p w14:paraId="74DB0975">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砖墙剔槽回填</w:t>
            </w:r>
          </w:p>
        </w:tc>
        <w:tc>
          <w:tcPr>
            <w:tcW w:w="829" w:type="dxa"/>
            <w:tcBorders>
              <w:top w:val="nil"/>
              <w:left w:val="nil"/>
              <w:bottom w:val="single" w:color="auto" w:sz="4" w:space="0"/>
              <w:right w:val="single" w:color="auto" w:sz="4" w:space="0"/>
            </w:tcBorders>
            <w:shd w:val="clear" w:color="000000" w:fill="FFFFFF"/>
            <w:vAlign w:val="center"/>
          </w:tcPr>
          <w:p w14:paraId="4F327106">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2000</w:t>
            </w:r>
          </w:p>
        </w:tc>
        <w:tc>
          <w:tcPr>
            <w:tcW w:w="682" w:type="dxa"/>
            <w:tcBorders>
              <w:top w:val="nil"/>
              <w:left w:val="nil"/>
              <w:bottom w:val="single" w:color="auto" w:sz="4" w:space="0"/>
              <w:right w:val="single" w:color="auto" w:sz="4" w:space="0"/>
            </w:tcBorders>
            <w:shd w:val="clear" w:color="auto" w:fill="auto"/>
            <w:vAlign w:val="center"/>
          </w:tcPr>
          <w:p w14:paraId="7BB0D8E0">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米</w:t>
            </w:r>
          </w:p>
        </w:tc>
      </w:tr>
      <w:tr w14:paraId="5D717073">
        <w:tblPrEx>
          <w:tblCellMar>
            <w:top w:w="0" w:type="dxa"/>
            <w:left w:w="108" w:type="dxa"/>
            <w:bottom w:w="0" w:type="dxa"/>
            <w:right w:w="108" w:type="dxa"/>
          </w:tblCellMar>
        </w:tblPrEx>
        <w:trPr>
          <w:trHeight w:val="99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3391D425">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19</w:t>
            </w:r>
          </w:p>
        </w:tc>
        <w:tc>
          <w:tcPr>
            <w:tcW w:w="1132" w:type="dxa"/>
            <w:tcBorders>
              <w:top w:val="nil"/>
              <w:left w:val="nil"/>
              <w:bottom w:val="single" w:color="auto" w:sz="4" w:space="0"/>
              <w:right w:val="single" w:color="auto" w:sz="4" w:space="0"/>
            </w:tcBorders>
            <w:shd w:val="clear" w:color="auto" w:fill="auto"/>
            <w:vAlign w:val="center"/>
          </w:tcPr>
          <w:p w14:paraId="69F0E123">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弱电桥架安装费用</w:t>
            </w:r>
          </w:p>
        </w:tc>
        <w:tc>
          <w:tcPr>
            <w:tcW w:w="5910" w:type="dxa"/>
            <w:tcBorders>
              <w:top w:val="nil"/>
              <w:left w:val="nil"/>
              <w:bottom w:val="single" w:color="auto" w:sz="4" w:space="0"/>
              <w:right w:val="single" w:color="auto" w:sz="4" w:space="0"/>
            </w:tcBorders>
            <w:shd w:val="clear" w:color="auto" w:fill="auto"/>
            <w:vAlign w:val="center"/>
          </w:tcPr>
          <w:p w14:paraId="6795179A">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弱电桥架安装费用</w:t>
            </w:r>
          </w:p>
        </w:tc>
        <w:tc>
          <w:tcPr>
            <w:tcW w:w="829" w:type="dxa"/>
            <w:tcBorders>
              <w:top w:val="nil"/>
              <w:left w:val="nil"/>
              <w:bottom w:val="single" w:color="auto" w:sz="4" w:space="0"/>
              <w:right w:val="single" w:color="auto" w:sz="4" w:space="0"/>
            </w:tcBorders>
            <w:shd w:val="clear" w:color="000000" w:fill="FFFFFF"/>
            <w:vAlign w:val="center"/>
          </w:tcPr>
          <w:p w14:paraId="71BEB273">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1200</w:t>
            </w:r>
          </w:p>
        </w:tc>
        <w:tc>
          <w:tcPr>
            <w:tcW w:w="682" w:type="dxa"/>
            <w:tcBorders>
              <w:top w:val="nil"/>
              <w:left w:val="nil"/>
              <w:bottom w:val="single" w:color="auto" w:sz="4" w:space="0"/>
              <w:right w:val="single" w:color="auto" w:sz="4" w:space="0"/>
            </w:tcBorders>
            <w:shd w:val="clear" w:color="auto" w:fill="auto"/>
            <w:vAlign w:val="center"/>
          </w:tcPr>
          <w:p w14:paraId="6AF9449C">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米</w:t>
            </w:r>
          </w:p>
        </w:tc>
      </w:tr>
      <w:tr w14:paraId="37FE1439">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45F50169">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w:t>
            </w:r>
          </w:p>
        </w:tc>
        <w:tc>
          <w:tcPr>
            <w:tcW w:w="1132" w:type="dxa"/>
            <w:tcBorders>
              <w:top w:val="nil"/>
              <w:left w:val="nil"/>
              <w:bottom w:val="single" w:color="auto" w:sz="4" w:space="0"/>
              <w:right w:val="single" w:color="auto" w:sz="4" w:space="0"/>
            </w:tcBorders>
            <w:shd w:val="clear" w:color="auto" w:fill="auto"/>
            <w:vAlign w:val="center"/>
          </w:tcPr>
          <w:p w14:paraId="1F320967">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综合布线费用</w:t>
            </w:r>
          </w:p>
        </w:tc>
        <w:tc>
          <w:tcPr>
            <w:tcW w:w="5910" w:type="dxa"/>
            <w:tcBorders>
              <w:top w:val="nil"/>
              <w:left w:val="nil"/>
              <w:bottom w:val="single" w:color="auto" w:sz="4" w:space="0"/>
              <w:right w:val="single" w:color="auto" w:sz="4" w:space="0"/>
            </w:tcBorders>
            <w:shd w:val="clear" w:color="auto" w:fill="auto"/>
            <w:vAlign w:val="center"/>
          </w:tcPr>
          <w:p w14:paraId="52A566EC">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综合布线安装费用（线路墙面暗敷，包含457个信息点位、125个无线点位，59个广播点位，900米光缆）</w:t>
            </w:r>
          </w:p>
        </w:tc>
        <w:tc>
          <w:tcPr>
            <w:tcW w:w="829" w:type="dxa"/>
            <w:tcBorders>
              <w:top w:val="nil"/>
              <w:left w:val="nil"/>
              <w:bottom w:val="single" w:color="auto" w:sz="4" w:space="0"/>
              <w:right w:val="single" w:color="auto" w:sz="4" w:space="0"/>
            </w:tcBorders>
            <w:shd w:val="clear" w:color="000000" w:fill="FFFFFF"/>
            <w:vAlign w:val="center"/>
          </w:tcPr>
          <w:p w14:paraId="258B51F3">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682" w:type="dxa"/>
            <w:tcBorders>
              <w:top w:val="nil"/>
              <w:left w:val="nil"/>
              <w:bottom w:val="single" w:color="auto" w:sz="4" w:space="0"/>
              <w:right w:val="single" w:color="auto" w:sz="4" w:space="0"/>
            </w:tcBorders>
            <w:shd w:val="clear" w:color="auto" w:fill="auto"/>
            <w:vAlign w:val="center"/>
          </w:tcPr>
          <w:p w14:paraId="47403A2F">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w:t>
            </w:r>
          </w:p>
        </w:tc>
      </w:tr>
      <w:tr w14:paraId="75D2D1AC">
        <w:tblPrEx>
          <w:tblCellMar>
            <w:top w:w="0" w:type="dxa"/>
            <w:left w:w="108" w:type="dxa"/>
            <w:bottom w:w="0" w:type="dxa"/>
            <w:right w:w="108" w:type="dxa"/>
          </w:tblCellMar>
        </w:tblPrEx>
        <w:trPr>
          <w:trHeight w:val="280" w:hRule="atLeast"/>
        </w:trPr>
        <w:tc>
          <w:tcPr>
            <w:tcW w:w="9418"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621AC9FA">
            <w:pPr>
              <w:widowControl/>
              <w:adjustRightInd/>
              <w:snapToGrid/>
              <w:spacing w:line="240" w:lineRule="auto"/>
              <w:ind w:firstLine="0" w:firstLineChars="0"/>
              <w:jc w:val="left"/>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三、信息机房</w:t>
            </w:r>
          </w:p>
        </w:tc>
      </w:tr>
      <w:tr w14:paraId="6DA1E1B3">
        <w:tblPrEx>
          <w:tblCellMar>
            <w:top w:w="0" w:type="dxa"/>
            <w:left w:w="108" w:type="dxa"/>
            <w:bottom w:w="0" w:type="dxa"/>
            <w:right w:w="108" w:type="dxa"/>
          </w:tblCellMar>
        </w:tblPrEx>
        <w:trPr>
          <w:trHeight w:val="1327" w:hRule="atLeast"/>
        </w:trPr>
        <w:tc>
          <w:tcPr>
            <w:tcW w:w="865" w:type="dxa"/>
            <w:tcBorders>
              <w:top w:val="single" w:color="auto" w:sz="4" w:space="0"/>
              <w:left w:val="single" w:color="auto" w:sz="4" w:space="0"/>
              <w:bottom w:val="single" w:color="auto" w:sz="4" w:space="0"/>
              <w:right w:val="single" w:color="auto" w:sz="4" w:space="0"/>
            </w:tcBorders>
            <w:shd w:val="clear" w:color="auto" w:fill="auto"/>
            <w:vAlign w:val="center"/>
          </w:tcPr>
          <w:p w14:paraId="724FF58C">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1132" w:type="dxa"/>
            <w:tcBorders>
              <w:top w:val="single" w:color="auto" w:sz="4" w:space="0"/>
              <w:left w:val="nil"/>
              <w:bottom w:val="single" w:color="auto" w:sz="4" w:space="0"/>
              <w:right w:val="single" w:color="auto" w:sz="4" w:space="0"/>
            </w:tcBorders>
            <w:shd w:val="clear" w:color="auto" w:fill="auto"/>
            <w:vAlign w:val="center"/>
          </w:tcPr>
          <w:p w14:paraId="5B712223">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微孔天花</w:t>
            </w:r>
          </w:p>
        </w:tc>
        <w:tc>
          <w:tcPr>
            <w:tcW w:w="5910" w:type="dxa"/>
            <w:tcBorders>
              <w:top w:val="single" w:color="auto" w:sz="4" w:space="0"/>
              <w:left w:val="nil"/>
              <w:bottom w:val="single" w:color="auto" w:sz="4" w:space="0"/>
              <w:right w:val="single" w:color="auto" w:sz="4" w:space="0"/>
            </w:tcBorders>
            <w:shd w:val="clear" w:color="auto" w:fill="auto"/>
            <w:vAlign w:val="center"/>
          </w:tcPr>
          <w:p w14:paraId="37D5E535">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cs="宋体"/>
                <w:color w:val="000000" w:themeColor="text1"/>
                <w:sz w:val="24"/>
                <w:szCs w:val="24"/>
                <w:highlight w:val="none"/>
                <w:lang w:val="en-US"/>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 xml:space="preserve">L600mmxW600mmxT0.8mm，采用的基材为3003H24国家标准铝材热扎优质铝合金板材； </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2、基材厚度0.8mm，表面平整无痕，拼接无缝；</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3、板面涂层采用静电粉末喷涂，正面涂层厚度不小于60μm；背面贴高级吸音无纺布；整板采用一次冲压成型，不采用间歇式翻折工艺加工；</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 xml:space="preserve">4、0.7mm和0.8mm厚度的孔径为1.8mm。1.0mm厚度孔径为2.2mm； </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5、通过GB8624-2012《建筑材料及制品燃烧性能分级》A级检验；</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6、通过GB/T23444-2006 质量检测；</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 xml:space="preserve">7、通过GB/T24001环境管理体系认证； </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8、通过GB/T19001质量管理体系认证。</w:t>
            </w:r>
          </w:p>
        </w:tc>
        <w:tc>
          <w:tcPr>
            <w:tcW w:w="829" w:type="dxa"/>
            <w:tcBorders>
              <w:top w:val="single" w:color="auto" w:sz="4" w:space="0"/>
              <w:left w:val="nil"/>
              <w:bottom w:val="single" w:color="auto" w:sz="4" w:space="0"/>
              <w:right w:val="single" w:color="auto" w:sz="4" w:space="0"/>
            </w:tcBorders>
            <w:shd w:val="clear" w:color="000000" w:fill="FFFFFF"/>
            <w:vAlign w:val="center"/>
          </w:tcPr>
          <w:p w14:paraId="4B9EE0A9">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w:t>
            </w:r>
          </w:p>
        </w:tc>
        <w:tc>
          <w:tcPr>
            <w:tcW w:w="682" w:type="dxa"/>
            <w:tcBorders>
              <w:top w:val="single" w:color="auto" w:sz="4" w:space="0"/>
              <w:left w:val="nil"/>
              <w:bottom w:val="single" w:color="auto" w:sz="4" w:space="0"/>
              <w:right w:val="single" w:color="auto" w:sz="4" w:space="0"/>
            </w:tcBorders>
            <w:shd w:val="clear" w:color="auto" w:fill="auto"/>
            <w:vAlign w:val="center"/>
          </w:tcPr>
          <w:p w14:paraId="240B229A">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tc>
      </w:tr>
      <w:tr w14:paraId="769359FC">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628BC3E0">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1132" w:type="dxa"/>
            <w:tcBorders>
              <w:top w:val="nil"/>
              <w:left w:val="nil"/>
              <w:bottom w:val="single" w:color="auto" w:sz="4" w:space="0"/>
              <w:right w:val="single" w:color="auto" w:sz="4" w:space="0"/>
            </w:tcBorders>
            <w:shd w:val="clear" w:color="auto" w:fill="auto"/>
            <w:vAlign w:val="center"/>
          </w:tcPr>
          <w:p w14:paraId="0AE70D0F">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LED平板灯</w:t>
            </w:r>
          </w:p>
        </w:tc>
        <w:tc>
          <w:tcPr>
            <w:tcW w:w="5910" w:type="dxa"/>
            <w:tcBorders>
              <w:top w:val="nil"/>
              <w:left w:val="nil"/>
              <w:bottom w:val="single" w:color="auto" w:sz="4" w:space="0"/>
              <w:right w:val="single" w:color="auto" w:sz="4" w:space="0"/>
            </w:tcBorders>
            <w:shd w:val="clear" w:color="auto" w:fill="auto"/>
            <w:vAlign w:val="center"/>
          </w:tcPr>
          <w:p w14:paraId="56EB5AA4">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600×600mm，38W护眼LED平板灯。</w:t>
            </w:r>
          </w:p>
        </w:tc>
        <w:tc>
          <w:tcPr>
            <w:tcW w:w="829" w:type="dxa"/>
            <w:tcBorders>
              <w:top w:val="nil"/>
              <w:left w:val="nil"/>
              <w:bottom w:val="single" w:color="auto" w:sz="4" w:space="0"/>
              <w:right w:val="single" w:color="auto" w:sz="4" w:space="0"/>
            </w:tcBorders>
            <w:shd w:val="clear" w:color="000000" w:fill="FFFFFF"/>
            <w:vAlign w:val="center"/>
          </w:tcPr>
          <w:p w14:paraId="4E5C922F">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682" w:type="dxa"/>
            <w:tcBorders>
              <w:top w:val="nil"/>
              <w:left w:val="nil"/>
              <w:bottom w:val="single" w:color="auto" w:sz="4" w:space="0"/>
              <w:right w:val="single" w:color="auto" w:sz="4" w:space="0"/>
            </w:tcBorders>
            <w:shd w:val="clear" w:color="auto" w:fill="auto"/>
            <w:vAlign w:val="center"/>
          </w:tcPr>
          <w:p w14:paraId="59B4E844">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r>
      <w:tr w14:paraId="1B6486CF">
        <w:tblPrEx>
          <w:tblCellMar>
            <w:top w:w="0" w:type="dxa"/>
            <w:left w:w="108" w:type="dxa"/>
            <w:bottom w:w="0" w:type="dxa"/>
            <w:right w:w="108" w:type="dxa"/>
          </w:tblCellMar>
        </w:tblPrEx>
        <w:trPr>
          <w:trHeight w:val="2057"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01187136">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1132" w:type="dxa"/>
            <w:tcBorders>
              <w:top w:val="nil"/>
              <w:left w:val="nil"/>
              <w:bottom w:val="single" w:color="auto" w:sz="4" w:space="0"/>
              <w:right w:val="single" w:color="auto" w:sz="4" w:space="0"/>
            </w:tcBorders>
            <w:shd w:val="clear" w:color="auto" w:fill="auto"/>
            <w:vAlign w:val="center"/>
          </w:tcPr>
          <w:p w14:paraId="0161D54F">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防静电地板</w:t>
            </w:r>
          </w:p>
        </w:tc>
        <w:tc>
          <w:tcPr>
            <w:tcW w:w="5910" w:type="dxa"/>
            <w:tcBorders>
              <w:top w:val="nil"/>
              <w:left w:val="nil"/>
              <w:bottom w:val="single" w:color="auto" w:sz="4" w:space="0"/>
              <w:right w:val="single" w:color="auto" w:sz="4" w:space="0"/>
            </w:tcBorders>
            <w:shd w:val="clear" w:color="auto" w:fill="auto"/>
            <w:vAlign w:val="center"/>
          </w:tcPr>
          <w:p w14:paraId="55C530CD">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全钢无边防静电地板，600*600*35mm，面层采用1.2mm厚防开裂防静电HPL贴面,四周有45°倒角处理，耐磨转数≥3000r；</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2、上层钢板0.7mm，下层钢板0.6mm，深冲拉伸板；</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3、底部中间特有双十字加强筋，另增加凸点，半球深度达到21mm以上，底部四周边条加宽处理，上有直条压筋以增加强度；</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4、集中荷载≥3560N，极限荷载≥10680N，均布载荷：≥16000N/m2；</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5、水泥填充，加发泡剂，保证水泥填充均匀，少许纤维，加强韧性；</w:t>
            </w:r>
          </w:p>
        </w:tc>
        <w:tc>
          <w:tcPr>
            <w:tcW w:w="829" w:type="dxa"/>
            <w:tcBorders>
              <w:top w:val="nil"/>
              <w:left w:val="nil"/>
              <w:bottom w:val="single" w:color="auto" w:sz="4" w:space="0"/>
              <w:right w:val="single" w:color="auto" w:sz="4" w:space="0"/>
            </w:tcBorders>
            <w:shd w:val="clear" w:color="000000" w:fill="FFFFFF"/>
            <w:vAlign w:val="center"/>
          </w:tcPr>
          <w:p w14:paraId="4D9E18FD">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23</w:t>
            </w:r>
          </w:p>
        </w:tc>
        <w:tc>
          <w:tcPr>
            <w:tcW w:w="682" w:type="dxa"/>
            <w:tcBorders>
              <w:top w:val="nil"/>
              <w:left w:val="nil"/>
              <w:bottom w:val="single" w:color="auto" w:sz="4" w:space="0"/>
              <w:right w:val="single" w:color="auto" w:sz="4" w:space="0"/>
            </w:tcBorders>
            <w:shd w:val="clear" w:color="auto" w:fill="auto"/>
            <w:vAlign w:val="center"/>
          </w:tcPr>
          <w:p w14:paraId="76346E85">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w:t>
            </w:r>
          </w:p>
        </w:tc>
      </w:tr>
      <w:tr w14:paraId="75B0839E">
        <w:tblPrEx>
          <w:tblCellMar>
            <w:top w:w="0" w:type="dxa"/>
            <w:left w:w="108" w:type="dxa"/>
            <w:bottom w:w="0" w:type="dxa"/>
            <w:right w:w="108" w:type="dxa"/>
          </w:tblCellMar>
        </w:tblPrEx>
        <w:trPr>
          <w:trHeight w:val="485"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182BEA9D">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1132" w:type="dxa"/>
            <w:tcBorders>
              <w:top w:val="nil"/>
              <w:left w:val="nil"/>
              <w:bottom w:val="single" w:color="auto" w:sz="4" w:space="0"/>
              <w:right w:val="single" w:color="auto" w:sz="4" w:space="0"/>
            </w:tcBorders>
            <w:shd w:val="clear" w:color="auto" w:fill="auto"/>
            <w:vAlign w:val="center"/>
          </w:tcPr>
          <w:p w14:paraId="7802394A">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踢脚线</w:t>
            </w:r>
          </w:p>
        </w:tc>
        <w:tc>
          <w:tcPr>
            <w:tcW w:w="5910" w:type="dxa"/>
            <w:tcBorders>
              <w:top w:val="nil"/>
              <w:left w:val="nil"/>
              <w:bottom w:val="single" w:color="auto" w:sz="4" w:space="0"/>
              <w:right w:val="single" w:color="auto" w:sz="4" w:space="0"/>
            </w:tcBorders>
            <w:shd w:val="clear" w:color="auto" w:fill="auto"/>
            <w:vAlign w:val="center"/>
          </w:tcPr>
          <w:p w14:paraId="14BA4B15">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金属踢脚线。</w:t>
            </w:r>
          </w:p>
        </w:tc>
        <w:tc>
          <w:tcPr>
            <w:tcW w:w="829" w:type="dxa"/>
            <w:tcBorders>
              <w:top w:val="nil"/>
              <w:left w:val="nil"/>
              <w:bottom w:val="single" w:color="auto" w:sz="4" w:space="0"/>
              <w:right w:val="single" w:color="auto" w:sz="4" w:space="0"/>
            </w:tcBorders>
            <w:shd w:val="clear" w:color="000000" w:fill="FFFFFF"/>
            <w:vAlign w:val="center"/>
          </w:tcPr>
          <w:p w14:paraId="0346D279">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22</w:t>
            </w:r>
          </w:p>
        </w:tc>
        <w:tc>
          <w:tcPr>
            <w:tcW w:w="682" w:type="dxa"/>
            <w:tcBorders>
              <w:top w:val="nil"/>
              <w:left w:val="nil"/>
              <w:bottom w:val="single" w:color="auto" w:sz="4" w:space="0"/>
              <w:right w:val="single" w:color="auto" w:sz="4" w:space="0"/>
            </w:tcBorders>
            <w:shd w:val="clear" w:color="auto" w:fill="auto"/>
            <w:vAlign w:val="center"/>
          </w:tcPr>
          <w:p w14:paraId="0F8A1D3C">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米</w:t>
            </w:r>
          </w:p>
        </w:tc>
      </w:tr>
      <w:tr w14:paraId="7FFE3C67">
        <w:tblPrEx>
          <w:tblCellMar>
            <w:top w:w="0" w:type="dxa"/>
            <w:left w:w="108" w:type="dxa"/>
            <w:bottom w:w="0" w:type="dxa"/>
            <w:right w:w="108" w:type="dxa"/>
          </w:tblCellMar>
        </w:tblPrEx>
        <w:trPr>
          <w:trHeight w:val="485"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6D158D11">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1132" w:type="dxa"/>
            <w:tcBorders>
              <w:top w:val="nil"/>
              <w:left w:val="nil"/>
              <w:bottom w:val="single" w:color="auto" w:sz="4" w:space="0"/>
              <w:right w:val="single" w:color="auto" w:sz="4" w:space="0"/>
            </w:tcBorders>
            <w:shd w:val="clear" w:color="auto" w:fill="auto"/>
            <w:vAlign w:val="center"/>
          </w:tcPr>
          <w:p w14:paraId="4426E0B8">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散力架</w:t>
            </w:r>
          </w:p>
        </w:tc>
        <w:tc>
          <w:tcPr>
            <w:tcW w:w="5910" w:type="dxa"/>
            <w:tcBorders>
              <w:top w:val="nil"/>
              <w:left w:val="nil"/>
              <w:bottom w:val="single" w:color="auto" w:sz="4" w:space="0"/>
              <w:right w:val="single" w:color="auto" w:sz="4" w:space="0"/>
            </w:tcBorders>
            <w:shd w:val="clear" w:color="auto" w:fill="auto"/>
            <w:vAlign w:val="center"/>
          </w:tcPr>
          <w:p w14:paraId="3253EE95">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定做机房散力架（600mm*1000mm*150~250mm）</w:t>
            </w:r>
          </w:p>
        </w:tc>
        <w:tc>
          <w:tcPr>
            <w:tcW w:w="829" w:type="dxa"/>
            <w:tcBorders>
              <w:top w:val="nil"/>
              <w:left w:val="nil"/>
              <w:bottom w:val="single" w:color="auto" w:sz="4" w:space="0"/>
              <w:right w:val="single" w:color="auto" w:sz="4" w:space="0"/>
            </w:tcBorders>
            <w:shd w:val="clear" w:color="000000" w:fill="FFFFFF"/>
            <w:vAlign w:val="center"/>
          </w:tcPr>
          <w:p w14:paraId="6918EEAD">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682" w:type="dxa"/>
            <w:tcBorders>
              <w:top w:val="nil"/>
              <w:left w:val="nil"/>
              <w:bottom w:val="single" w:color="auto" w:sz="4" w:space="0"/>
              <w:right w:val="single" w:color="auto" w:sz="4" w:space="0"/>
            </w:tcBorders>
            <w:shd w:val="clear" w:color="auto" w:fill="auto"/>
            <w:vAlign w:val="center"/>
          </w:tcPr>
          <w:p w14:paraId="02469A61">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r>
      <w:tr w14:paraId="1695C1B9">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42223B37">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1132" w:type="dxa"/>
            <w:tcBorders>
              <w:top w:val="nil"/>
              <w:left w:val="nil"/>
              <w:bottom w:val="single" w:color="auto" w:sz="4" w:space="0"/>
              <w:right w:val="single" w:color="auto" w:sz="4" w:space="0"/>
            </w:tcBorders>
            <w:shd w:val="clear" w:color="auto" w:fill="auto"/>
            <w:vAlign w:val="center"/>
          </w:tcPr>
          <w:p w14:paraId="414FA5AD">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手提式灭火器</w:t>
            </w:r>
          </w:p>
        </w:tc>
        <w:tc>
          <w:tcPr>
            <w:tcW w:w="5910" w:type="dxa"/>
            <w:tcBorders>
              <w:top w:val="nil"/>
              <w:left w:val="nil"/>
              <w:bottom w:val="single" w:color="auto" w:sz="4" w:space="0"/>
              <w:right w:val="single" w:color="auto" w:sz="4" w:space="0"/>
            </w:tcBorders>
            <w:shd w:val="clear" w:color="auto" w:fill="auto"/>
            <w:vAlign w:val="center"/>
          </w:tcPr>
          <w:p w14:paraId="65FA9549">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MF/ABC5</w:t>
            </w:r>
          </w:p>
        </w:tc>
        <w:tc>
          <w:tcPr>
            <w:tcW w:w="829" w:type="dxa"/>
            <w:tcBorders>
              <w:top w:val="nil"/>
              <w:left w:val="nil"/>
              <w:bottom w:val="single" w:color="auto" w:sz="4" w:space="0"/>
              <w:right w:val="single" w:color="auto" w:sz="4" w:space="0"/>
            </w:tcBorders>
            <w:shd w:val="clear" w:color="000000" w:fill="FFFFFF"/>
            <w:vAlign w:val="center"/>
          </w:tcPr>
          <w:p w14:paraId="4074BB4B">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682" w:type="dxa"/>
            <w:tcBorders>
              <w:top w:val="nil"/>
              <w:left w:val="nil"/>
              <w:bottom w:val="single" w:color="auto" w:sz="4" w:space="0"/>
              <w:right w:val="single" w:color="auto" w:sz="4" w:space="0"/>
            </w:tcBorders>
            <w:shd w:val="clear" w:color="auto" w:fill="auto"/>
            <w:vAlign w:val="center"/>
          </w:tcPr>
          <w:p w14:paraId="32CDDDE8">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59126E2A">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1E1A1A38">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p>
        </w:tc>
        <w:tc>
          <w:tcPr>
            <w:tcW w:w="1132" w:type="dxa"/>
            <w:tcBorders>
              <w:top w:val="nil"/>
              <w:left w:val="nil"/>
              <w:bottom w:val="single" w:color="auto" w:sz="4" w:space="0"/>
              <w:right w:val="single" w:color="auto" w:sz="4" w:space="0"/>
            </w:tcBorders>
            <w:shd w:val="clear" w:color="auto" w:fill="auto"/>
            <w:vAlign w:val="center"/>
          </w:tcPr>
          <w:p w14:paraId="1A5AB561">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灭火器工具箱</w:t>
            </w:r>
          </w:p>
        </w:tc>
        <w:tc>
          <w:tcPr>
            <w:tcW w:w="5910" w:type="dxa"/>
            <w:tcBorders>
              <w:top w:val="nil"/>
              <w:left w:val="nil"/>
              <w:bottom w:val="single" w:color="auto" w:sz="4" w:space="0"/>
              <w:right w:val="single" w:color="auto" w:sz="4" w:space="0"/>
            </w:tcBorders>
            <w:shd w:val="clear" w:color="auto" w:fill="auto"/>
            <w:vAlign w:val="center"/>
          </w:tcPr>
          <w:p w14:paraId="77B841FC">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双层灭火器工具箱</w:t>
            </w:r>
          </w:p>
        </w:tc>
        <w:tc>
          <w:tcPr>
            <w:tcW w:w="829" w:type="dxa"/>
            <w:tcBorders>
              <w:top w:val="nil"/>
              <w:left w:val="nil"/>
              <w:bottom w:val="single" w:color="auto" w:sz="4" w:space="0"/>
              <w:right w:val="single" w:color="auto" w:sz="4" w:space="0"/>
            </w:tcBorders>
            <w:shd w:val="clear" w:color="000000" w:fill="FFFFFF"/>
            <w:vAlign w:val="center"/>
          </w:tcPr>
          <w:p w14:paraId="327CBB40">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682" w:type="dxa"/>
            <w:tcBorders>
              <w:top w:val="nil"/>
              <w:left w:val="nil"/>
              <w:bottom w:val="single" w:color="auto" w:sz="4" w:space="0"/>
              <w:right w:val="single" w:color="auto" w:sz="4" w:space="0"/>
            </w:tcBorders>
            <w:shd w:val="clear" w:color="auto" w:fill="auto"/>
            <w:vAlign w:val="center"/>
          </w:tcPr>
          <w:p w14:paraId="2B87AD22">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个</w:t>
            </w:r>
          </w:p>
        </w:tc>
      </w:tr>
      <w:tr w14:paraId="1F9C4958">
        <w:tblPrEx>
          <w:tblCellMar>
            <w:top w:w="0" w:type="dxa"/>
            <w:left w:w="108" w:type="dxa"/>
            <w:bottom w:w="0" w:type="dxa"/>
            <w:right w:w="108" w:type="dxa"/>
          </w:tblCellMar>
        </w:tblPrEx>
        <w:trPr>
          <w:trHeight w:val="485"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7F425311">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p>
        </w:tc>
        <w:tc>
          <w:tcPr>
            <w:tcW w:w="1132" w:type="dxa"/>
            <w:tcBorders>
              <w:top w:val="nil"/>
              <w:left w:val="nil"/>
              <w:bottom w:val="single" w:color="auto" w:sz="4" w:space="0"/>
              <w:right w:val="single" w:color="auto" w:sz="4" w:space="0"/>
            </w:tcBorders>
            <w:shd w:val="clear" w:color="auto" w:fill="auto"/>
            <w:vAlign w:val="center"/>
          </w:tcPr>
          <w:p w14:paraId="08731592">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动力柜</w:t>
            </w:r>
          </w:p>
        </w:tc>
        <w:tc>
          <w:tcPr>
            <w:tcW w:w="5910" w:type="dxa"/>
            <w:tcBorders>
              <w:top w:val="nil"/>
              <w:left w:val="nil"/>
              <w:bottom w:val="single" w:color="auto" w:sz="4" w:space="0"/>
              <w:right w:val="single" w:color="auto" w:sz="4" w:space="0"/>
            </w:tcBorders>
            <w:shd w:val="clear" w:color="auto" w:fill="auto"/>
            <w:vAlign w:val="center"/>
          </w:tcPr>
          <w:p w14:paraId="17E3D6D7">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定做成套机房配电柜（配电柜、空开、电线等）</w:t>
            </w:r>
          </w:p>
        </w:tc>
        <w:tc>
          <w:tcPr>
            <w:tcW w:w="829" w:type="dxa"/>
            <w:tcBorders>
              <w:top w:val="nil"/>
              <w:left w:val="nil"/>
              <w:bottom w:val="single" w:color="auto" w:sz="4" w:space="0"/>
              <w:right w:val="single" w:color="auto" w:sz="4" w:space="0"/>
            </w:tcBorders>
            <w:shd w:val="clear" w:color="000000" w:fill="FFFFFF"/>
            <w:vAlign w:val="center"/>
          </w:tcPr>
          <w:p w14:paraId="32FFD1F7">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682" w:type="dxa"/>
            <w:tcBorders>
              <w:top w:val="nil"/>
              <w:left w:val="nil"/>
              <w:bottom w:val="single" w:color="auto" w:sz="4" w:space="0"/>
              <w:right w:val="single" w:color="auto" w:sz="4" w:space="0"/>
            </w:tcBorders>
            <w:shd w:val="clear" w:color="auto" w:fill="auto"/>
            <w:vAlign w:val="center"/>
          </w:tcPr>
          <w:p w14:paraId="4B9AE250">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60A93CA4">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7E89BF7F">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w:t>
            </w:r>
          </w:p>
        </w:tc>
        <w:tc>
          <w:tcPr>
            <w:tcW w:w="1132" w:type="dxa"/>
            <w:tcBorders>
              <w:top w:val="nil"/>
              <w:left w:val="nil"/>
              <w:bottom w:val="single" w:color="auto" w:sz="4" w:space="0"/>
              <w:right w:val="single" w:color="auto" w:sz="4" w:space="0"/>
            </w:tcBorders>
            <w:shd w:val="clear" w:color="auto" w:fill="auto"/>
            <w:vAlign w:val="center"/>
          </w:tcPr>
          <w:p w14:paraId="0617C4F6">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机房防雷接地</w:t>
            </w:r>
          </w:p>
        </w:tc>
        <w:tc>
          <w:tcPr>
            <w:tcW w:w="5910" w:type="dxa"/>
            <w:tcBorders>
              <w:top w:val="nil"/>
              <w:left w:val="nil"/>
              <w:bottom w:val="single" w:color="auto" w:sz="4" w:space="0"/>
              <w:right w:val="single" w:color="auto" w:sz="4" w:space="0"/>
            </w:tcBorders>
            <w:shd w:val="clear" w:color="auto" w:fill="auto"/>
            <w:vAlign w:val="center"/>
          </w:tcPr>
          <w:p w14:paraId="749F4C2D">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定做机柜防雷接地</w:t>
            </w:r>
          </w:p>
        </w:tc>
        <w:tc>
          <w:tcPr>
            <w:tcW w:w="829" w:type="dxa"/>
            <w:tcBorders>
              <w:top w:val="nil"/>
              <w:left w:val="nil"/>
              <w:bottom w:val="single" w:color="auto" w:sz="4" w:space="0"/>
              <w:right w:val="single" w:color="auto" w:sz="4" w:space="0"/>
            </w:tcBorders>
            <w:shd w:val="clear" w:color="000000" w:fill="FFFFFF"/>
            <w:vAlign w:val="center"/>
          </w:tcPr>
          <w:p w14:paraId="781A5C24">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682" w:type="dxa"/>
            <w:tcBorders>
              <w:top w:val="nil"/>
              <w:left w:val="nil"/>
              <w:bottom w:val="single" w:color="auto" w:sz="4" w:space="0"/>
              <w:right w:val="single" w:color="auto" w:sz="4" w:space="0"/>
            </w:tcBorders>
            <w:shd w:val="clear" w:color="auto" w:fill="auto"/>
            <w:vAlign w:val="center"/>
          </w:tcPr>
          <w:p w14:paraId="086BB476">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w:t>
            </w:r>
          </w:p>
        </w:tc>
      </w:tr>
      <w:tr w14:paraId="51EDC701">
        <w:tblPrEx>
          <w:tblCellMar>
            <w:top w:w="0" w:type="dxa"/>
            <w:left w:w="108" w:type="dxa"/>
            <w:bottom w:w="0" w:type="dxa"/>
            <w:right w:w="108" w:type="dxa"/>
          </w:tblCellMar>
        </w:tblPrEx>
        <w:trPr>
          <w:trHeight w:val="485"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1D2520AB">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c>
          <w:tcPr>
            <w:tcW w:w="1132" w:type="dxa"/>
            <w:tcBorders>
              <w:top w:val="nil"/>
              <w:left w:val="nil"/>
              <w:bottom w:val="single" w:color="auto" w:sz="4" w:space="0"/>
              <w:right w:val="single" w:color="auto" w:sz="4" w:space="0"/>
            </w:tcBorders>
            <w:shd w:val="clear" w:color="auto" w:fill="auto"/>
            <w:vAlign w:val="center"/>
          </w:tcPr>
          <w:p w14:paraId="670AE11D">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辅材</w:t>
            </w:r>
          </w:p>
        </w:tc>
        <w:tc>
          <w:tcPr>
            <w:tcW w:w="5910" w:type="dxa"/>
            <w:tcBorders>
              <w:top w:val="nil"/>
              <w:left w:val="nil"/>
              <w:bottom w:val="single" w:color="auto" w:sz="4" w:space="0"/>
              <w:right w:val="single" w:color="auto" w:sz="4" w:space="0"/>
            </w:tcBorders>
            <w:shd w:val="clear" w:color="auto" w:fill="auto"/>
            <w:vAlign w:val="center"/>
          </w:tcPr>
          <w:p w14:paraId="7F0D9E04">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电胶带、扎带、线标、配管转接头、插线板；</w:t>
            </w:r>
          </w:p>
        </w:tc>
        <w:tc>
          <w:tcPr>
            <w:tcW w:w="829" w:type="dxa"/>
            <w:tcBorders>
              <w:top w:val="nil"/>
              <w:left w:val="nil"/>
              <w:bottom w:val="single" w:color="auto" w:sz="4" w:space="0"/>
              <w:right w:val="single" w:color="auto" w:sz="4" w:space="0"/>
            </w:tcBorders>
            <w:shd w:val="clear" w:color="000000" w:fill="FFFFFF"/>
            <w:vAlign w:val="center"/>
          </w:tcPr>
          <w:p w14:paraId="60BC8A4C">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682" w:type="dxa"/>
            <w:tcBorders>
              <w:top w:val="nil"/>
              <w:left w:val="nil"/>
              <w:bottom w:val="single" w:color="auto" w:sz="4" w:space="0"/>
              <w:right w:val="single" w:color="auto" w:sz="4" w:space="0"/>
            </w:tcBorders>
            <w:shd w:val="clear" w:color="auto" w:fill="auto"/>
            <w:vAlign w:val="center"/>
          </w:tcPr>
          <w:p w14:paraId="5E76C09B">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w:t>
            </w:r>
          </w:p>
        </w:tc>
      </w:tr>
      <w:tr w14:paraId="5AE9D372">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1FF85128">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p>
        </w:tc>
        <w:tc>
          <w:tcPr>
            <w:tcW w:w="1132" w:type="dxa"/>
            <w:tcBorders>
              <w:top w:val="nil"/>
              <w:left w:val="nil"/>
              <w:bottom w:val="single" w:color="auto" w:sz="4" w:space="0"/>
              <w:right w:val="single" w:color="auto" w:sz="4" w:space="0"/>
            </w:tcBorders>
            <w:shd w:val="clear" w:color="auto" w:fill="auto"/>
            <w:vAlign w:val="center"/>
          </w:tcPr>
          <w:p w14:paraId="571D3513">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机房安装费用</w:t>
            </w:r>
          </w:p>
        </w:tc>
        <w:tc>
          <w:tcPr>
            <w:tcW w:w="5910" w:type="dxa"/>
            <w:tcBorders>
              <w:top w:val="nil"/>
              <w:left w:val="nil"/>
              <w:bottom w:val="single" w:color="auto" w:sz="4" w:space="0"/>
              <w:right w:val="single" w:color="auto" w:sz="4" w:space="0"/>
            </w:tcBorders>
            <w:shd w:val="clear" w:color="auto" w:fill="auto"/>
            <w:vAlign w:val="center"/>
          </w:tcPr>
          <w:p w14:paraId="72A903A1">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信息机房安装费用</w:t>
            </w:r>
          </w:p>
        </w:tc>
        <w:tc>
          <w:tcPr>
            <w:tcW w:w="829" w:type="dxa"/>
            <w:tcBorders>
              <w:top w:val="nil"/>
              <w:left w:val="nil"/>
              <w:bottom w:val="single" w:color="auto" w:sz="4" w:space="0"/>
              <w:right w:val="single" w:color="auto" w:sz="4" w:space="0"/>
            </w:tcBorders>
            <w:shd w:val="clear" w:color="000000" w:fill="FFFFFF"/>
            <w:vAlign w:val="center"/>
          </w:tcPr>
          <w:p w14:paraId="3EE3ABFF">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682" w:type="dxa"/>
            <w:tcBorders>
              <w:top w:val="nil"/>
              <w:left w:val="nil"/>
              <w:bottom w:val="single" w:color="auto" w:sz="4" w:space="0"/>
              <w:right w:val="single" w:color="auto" w:sz="4" w:space="0"/>
            </w:tcBorders>
            <w:shd w:val="clear" w:color="auto" w:fill="auto"/>
            <w:vAlign w:val="center"/>
          </w:tcPr>
          <w:p w14:paraId="258EE876">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w:t>
            </w:r>
          </w:p>
        </w:tc>
      </w:tr>
      <w:tr w14:paraId="0A8FEE9C">
        <w:tblPrEx>
          <w:tblCellMar>
            <w:top w:w="0" w:type="dxa"/>
            <w:left w:w="108" w:type="dxa"/>
            <w:bottom w:w="0" w:type="dxa"/>
            <w:right w:w="108" w:type="dxa"/>
          </w:tblCellMar>
        </w:tblPrEx>
        <w:trPr>
          <w:trHeight w:val="485" w:hRule="atLeast"/>
        </w:trPr>
        <w:tc>
          <w:tcPr>
            <w:tcW w:w="9418" w:type="dxa"/>
            <w:gridSpan w:val="5"/>
            <w:tcBorders>
              <w:top w:val="single" w:color="auto" w:sz="4" w:space="0"/>
              <w:left w:val="single" w:color="auto" w:sz="4" w:space="0"/>
              <w:bottom w:val="single" w:color="auto" w:sz="4" w:space="0"/>
              <w:right w:val="single" w:color="auto" w:sz="4" w:space="0"/>
            </w:tcBorders>
            <w:shd w:val="clear" w:color="auto" w:fill="auto"/>
            <w:vAlign w:val="center"/>
          </w:tcPr>
          <w:p w14:paraId="3CBAC088">
            <w:pPr>
              <w:widowControl/>
              <w:adjustRightInd/>
              <w:snapToGrid/>
              <w:spacing w:line="240" w:lineRule="auto"/>
              <w:ind w:firstLine="0" w:firstLineChars="0"/>
              <w:jc w:val="both"/>
              <w:rPr>
                <w:rFonts w:hint="eastAsia" w:ascii="宋体" w:hAnsi="宋体" w:eastAsia="宋体" w:cs="宋体"/>
                <w:b/>
                <w:bCs/>
                <w:color w:val="000000" w:themeColor="text1"/>
                <w:sz w:val="24"/>
                <w:szCs w:val="24"/>
                <w:highlight w:val="none"/>
                <w14:textFill>
                  <w14:solidFill>
                    <w14:schemeClr w14:val="tx1"/>
                  </w14:solidFill>
                </w14:textFill>
              </w:rPr>
            </w:pPr>
            <w:r>
              <w:rPr>
                <w:rFonts w:hint="eastAsia" w:ascii="宋体" w:hAnsi="宋体" w:eastAsia="宋体" w:cs="宋体"/>
                <w:b/>
                <w:bCs/>
                <w:color w:val="000000" w:themeColor="text1"/>
                <w:sz w:val="24"/>
                <w:szCs w:val="24"/>
                <w:highlight w:val="none"/>
                <w14:textFill>
                  <w14:solidFill>
                    <w14:schemeClr w14:val="tx1"/>
                  </w14:solidFill>
                </w14:textFill>
              </w:rPr>
              <w:t>四、门诊叫号系统</w:t>
            </w:r>
          </w:p>
        </w:tc>
      </w:tr>
      <w:tr w14:paraId="22543D1A">
        <w:tblPrEx>
          <w:tblCellMar>
            <w:top w:w="0" w:type="dxa"/>
            <w:left w:w="108" w:type="dxa"/>
            <w:bottom w:w="0" w:type="dxa"/>
            <w:right w:w="108" w:type="dxa"/>
          </w:tblCellMar>
        </w:tblPrEx>
        <w:trPr>
          <w:trHeight w:val="90" w:hRule="atLeast"/>
        </w:trPr>
        <w:tc>
          <w:tcPr>
            <w:tcW w:w="865" w:type="dxa"/>
            <w:tcBorders>
              <w:top w:val="single" w:color="auto" w:sz="4" w:space="0"/>
              <w:left w:val="single" w:color="auto" w:sz="4" w:space="0"/>
              <w:bottom w:val="single" w:color="auto" w:sz="4" w:space="0"/>
              <w:right w:val="single" w:color="auto" w:sz="4" w:space="0"/>
            </w:tcBorders>
            <w:shd w:val="clear" w:color="auto" w:fill="auto"/>
            <w:vAlign w:val="center"/>
          </w:tcPr>
          <w:p w14:paraId="45DA73ED">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1132" w:type="dxa"/>
            <w:tcBorders>
              <w:top w:val="single" w:color="auto" w:sz="4" w:space="0"/>
              <w:left w:val="nil"/>
              <w:bottom w:val="single" w:color="auto" w:sz="4" w:space="0"/>
              <w:right w:val="single" w:color="auto" w:sz="4" w:space="0"/>
            </w:tcBorders>
            <w:shd w:val="clear" w:color="auto" w:fill="auto"/>
            <w:vAlign w:val="center"/>
          </w:tcPr>
          <w:p w14:paraId="511FF2A0">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诊室区一体机</w:t>
            </w:r>
          </w:p>
        </w:tc>
        <w:tc>
          <w:tcPr>
            <w:tcW w:w="5910" w:type="dxa"/>
            <w:tcBorders>
              <w:top w:val="single" w:color="auto" w:sz="4" w:space="0"/>
              <w:left w:val="nil"/>
              <w:bottom w:val="single" w:color="auto" w:sz="4" w:space="0"/>
              <w:right w:val="single" w:color="auto" w:sz="4" w:space="0"/>
            </w:tcBorders>
            <w:shd w:val="clear" w:color="auto" w:fill="auto"/>
            <w:vAlign w:val="center"/>
          </w:tcPr>
          <w:p w14:paraId="4BD1E03C">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cs="宋体"/>
                <w:color w:val="000000" w:themeColor="text1"/>
                <w:sz w:val="24"/>
                <w:szCs w:val="24"/>
                <w:highlight w:val="none"/>
                <w:lang w:val="en-US"/>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CPU：≥64bit A53，主频≥1.5GHZ</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GPU：≥Mali T450</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内存：≥1GB</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4</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存储：≥8GB</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5</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系统：≥Android 9.0</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6</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尺寸：≥22寸</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屏显比例：16：9</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7</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分辨率：≥1920*1080</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8</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通信接口：支持10/100Mbps</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9</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音频格式：支持MP3/WAV/FLV/AC3</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高清视频格式：支持RM/RMVB/AVI/3GP/MKV/SLH/MOV/MP4</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图片格式：支持JPEG/BMP/PNG</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声音输出：支持8Ω/2W</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10</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外壳要求：考虑疫情影响和医用环境中设备应具备可消毒，所投显示设备的外壳材料采用抗菌材料（</w:t>
            </w:r>
            <w:r>
              <w:rPr>
                <w:rFonts w:hint="eastAsia" w:ascii="宋体" w:hAnsi="宋体" w:eastAsia="宋体" w:cs="宋体"/>
                <w:b w:val="0"/>
                <w:bCs w:val="0"/>
                <w:color w:val="000000" w:themeColor="text1"/>
                <w:sz w:val="24"/>
                <w:szCs w:val="24"/>
                <w:highlight w:val="none"/>
                <w14:textFill>
                  <w14:solidFill>
                    <w14:schemeClr w14:val="tx1"/>
                  </w14:solidFill>
                </w14:textFill>
              </w:rPr>
              <w:t>抗菌种类包含但不限于大肠杆菌、肺炎克雷伯氏菌、铜绿假单胞菌和金黄色葡萄球菌</w:t>
            </w:r>
            <w:r>
              <w:rPr>
                <w:rFonts w:hint="eastAsia" w:ascii="宋体" w:hAnsi="宋体" w:eastAsia="宋体" w:cs="宋体"/>
                <w:color w:val="000000" w:themeColor="text1"/>
                <w:sz w:val="24"/>
                <w:szCs w:val="24"/>
                <w:highlight w:val="none"/>
                <w14:textFill>
                  <w14:solidFill>
                    <w14:schemeClr w14:val="tx1"/>
                  </w14:solidFill>
                </w14:textFill>
              </w:rPr>
              <w:t>）</w:t>
            </w:r>
          </w:p>
        </w:tc>
        <w:tc>
          <w:tcPr>
            <w:tcW w:w="829" w:type="dxa"/>
            <w:tcBorders>
              <w:top w:val="single" w:color="auto" w:sz="4" w:space="0"/>
              <w:left w:val="nil"/>
              <w:bottom w:val="single" w:color="auto" w:sz="4" w:space="0"/>
              <w:right w:val="single" w:color="auto" w:sz="4" w:space="0"/>
            </w:tcBorders>
            <w:shd w:val="clear" w:color="000000" w:fill="FFFFFF"/>
            <w:vAlign w:val="center"/>
          </w:tcPr>
          <w:p w14:paraId="2AA0DE7F">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24</w:t>
            </w:r>
          </w:p>
        </w:tc>
        <w:tc>
          <w:tcPr>
            <w:tcW w:w="682" w:type="dxa"/>
            <w:tcBorders>
              <w:top w:val="single" w:color="auto" w:sz="4" w:space="0"/>
              <w:left w:val="nil"/>
              <w:bottom w:val="single" w:color="auto" w:sz="4" w:space="0"/>
              <w:right w:val="single" w:color="auto" w:sz="4" w:space="0"/>
            </w:tcBorders>
            <w:shd w:val="clear" w:color="auto" w:fill="auto"/>
            <w:vAlign w:val="center"/>
          </w:tcPr>
          <w:p w14:paraId="13988950">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r>
      <w:tr w14:paraId="3504C796">
        <w:tblPrEx>
          <w:tblCellMar>
            <w:top w:w="0" w:type="dxa"/>
            <w:left w:w="108" w:type="dxa"/>
            <w:bottom w:w="0" w:type="dxa"/>
            <w:right w:w="108" w:type="dxa"/>
          </w:tblCellMar>
        </w:tblPrEx>
        <w:trPr>
          <w:trHeight w:val="2622"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167DF439">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1132" w:type="dxa"/>
            <w:tcBorders>
              <w:top w:val="nil"/>
              <w:left w:val="nil"/>
              <w:bottom w:val="single" w:color="auto" w:sz="4" w:space="0"/>
              <w:right w:val="single" w:color="auto" w:sz="4" w:space="0"/>
            </w:tcBorders>
            <w:shd w:val="clear" w:color="auto" w:fill="auto"/>
            <w:vAlign w:val="center"/>
          </w:tcPr>
          <w:p w14:paraId="03247CA2">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窗口区一体机</w:t>
            </w:r>
          </w:p>
        </w:tc>
        <w:tc>
          <w:tcPr>
            <w:tcW w:w="5910" w:type="dxa"/>
            <w:tcBorders>
              <w:top w:val="nil"/>
              <w:left w:val="nil"/>
              <w:bottom w:val="single" w:color="auto" w:sz="4" w:space="0"/>
              <w:right w:val="single" w:color="auto" w:sz="4" w:space="0"/>
            </w:tcBorders>
            <w:shd w:val="clear" w:color="auto" w:fill="auto"/>
            <w:vAlign w:val="center"/>
          </w:tcPr>
          <w:p w14:paraId="53577542">
            <w:pPr>
              <w:widowControl/>
              <w:numPr>
                <w:ilvl w:val="0"/>
                <w:numId w:val="5"/>
              </w:numPr>
              <w:adjustRightInd/>
              <w:snapToGrid/>
              <w:spacing w:line="240" w:lineRule="auto"/>
              <w:ind w:firstLine="0" w:firstLineChars="0"/>
              <w:rPr>
                <w:rFonts w:hint="eastAsia" w:ascii="宋体" w:hAnsi="宋体" w:cs="宋体"/>
                <w:color w:val="000000" w:themeColor="text1"/>
                <w:sz w:val="24"/>
                <w:szCs w:val="24"/>
                <w:highlight w:val="none"/>
                <w:lang w:eastAsia="zh-CN"/>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 xml:space="preserve">CPU：≥A55*8 </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GPU：≥G52*4</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内存：≥2GB</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4</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存储：≥32GB</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5</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系统：≥Android 12</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6</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尺寸：≥43寸</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7</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屏显比例：16：9</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分辨率：≥1920*1080</w:t>
            </w:r>
            <w:r>
              <w:rPr>
                <w:rFonts w:hint="eastAsia" w:ascii="宋体" w:hAnsi="宋体" w:cs="宋体"/>
                <w:color w:val="000000" w:themeColor="text1"/>
                <w:sz w:val="24"/>
                <w:szCs w:val="24"/>
                <w:highlight w:val="none"/>
                <w:lang w:eastAsia="zh-CN"/>
                <w14:textFill>
                  <w14:solidFill>
                    <w14:schemeClr w14:val="tx1"/>
                  </w14:solidFill>
                </w14:textFill>
              </w:rPr>
              <w:t>；</w:t>
            </w:r>
          </w:p>
          <w:p w14:paraId="2E3C8DBE">
            <w:pPr>
              <w:widowControl/>
              <w:numPr>
                <w:ilvl w:val="0"/>
                <w:numId w:val="0"/>
              </w:numPr>
              <w:adjustRightInd/>
              <w:snapToGrid/>
              <w:spacing w:line="240" w:lineRule="auto"/>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cs="宋体"/>
                <w:color w:val="000000" w:themeColor="text1"/>
                <w:sz w:val="24"/>
                <w:szCs w:val="24"/>
                <w:highlight w:val="none"/>
                <w:lang w:val="en-US"/>
                <w14:textFill>
                  <w14:solidFill>
                    <w14:schemeClr w14:val="tx1"/>
                  </w14:solidFill>
                </w14:textFill>
              </w:rPr>
              <w:t>8</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通信接口：支持10/100Mbps</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9</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音频格式：支持MP3/WMA/AAC</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高清视频格式：支持RMVB/AVI/MPG/MKV/SLH/VOB/MP4</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图片格式：支持JPEG/BMP/PNG</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声音输出：支持8Ω/5W</w:t>
            </w:r>
          </w:p>
          <w:p w14:paraId="0BF00EE1">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cs="宋体"/>
                <w:color w:val="000000" w:themeColor="text1"/>
                <w:sz w:val="24"/>
                <w:szCs w:val="24"/>
                <w:highlight w:val="none"/>
                <w:lang w:val="en-US"/>
                <w14:textFill>
                  <w14:solidFill>
                    <w14:schemeClr w14:val="tx1"/>
                  </w14:solidFill>
                </w14:textFill>
              </w:rPr>
              <w:t>11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支持实时更新；支持任意分屏显示，可划分多个显示区域发布不同类型素材；支持分布式部署，集中化管理，支持远程开关机、支持远程升级；支持定时开关机，支持定时下载、定时播放、下载限速、断点续传。</w:t>
            </w:r>
          </w:p>
        </w:tc>
        <w:tc>
          <w:tcPr>
            <w:tcW w:w="829" w:type="dxa"/>
            <w:tcBorders>
              <w:top w:val="nil"/>
              <w:left w:val="nil"/>
              <w:bottom w:val="single" w:color="auto" w:sz="4" w:space="0"/>
              <w:right w:val="single" w:color="auto" w:sz="4" w:space="0"/>
            </w:tcBorders>
            <w:shd w:val="clear" w:color="000000" w:fill="FFFFFF"/>
            <w:vAlign w:val="center"/>
          </w:tcPr>
          <w:p w14:paraId="24371F38">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682" w:type="dxa"/>
            <w:tcBorders>
              <w:top w:val="nil"/>
              <w:left w:val="nil"/>
              <w:bottom w:val="single" w:color="auto" w:sz="4" w:space="0"/>
              <w:right w:val="single" w:color="auto" w:sz="4" w:space="0"/>
            </w:tcBorders>
            <w:shd w:val="clear" w:color="auto" w:fill="auto"/>
            <w:vAlign w:val="center"/>
          </w:tcPr>
          <w:p w14:paraId="0C6F741A">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r>
      <w:tr w14:paraId="1980E905">
        <w:tblPrEx>
          <w:tblCellMar>
            <w:top w:w="0" w:type="dxa"/>
            <w:left w:w="108" w:type="dxa"/>
            <w:bottom w:w="0" w:type="dxa"/>
            <w:right w:w="108" w:type="dxa"/>
          </w:tblCellMar>
        </w:tblPrEx>
        <w:trPr>
          <w:trHeight w:val="3569"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46B85553">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3</w:t>
            </w:r>
          </w:p>
        </w:tc>
        <w:tc>
          <w:tcPr>
            <w:tcW w:w="1132" w:type="dxa"/>
            <w:tcBorders>
              <w:top w:val="nil"/>
              <w:left w:val="nil"/>
              <w:bottom w:val="single" w:color="auto" w:sz="4" w:space="0"/>
              <w:right w:val="single" w:color="auto" w:sz="4" w:space="0"/>
            </w:tcBorders>
            <w:shd w:val="clear" w:color="auto" w:fill="auto"/>
            <w:vAlign w:val="center"/>
          </w:tcPr>
          <w:p w14:paraId="22A53B5C">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候诊区一体机</w:t>
            </w:r>
          </w:p>
        </w:tc>
        <w:tc>
          <w:tcPr>
            <w:tcW w:w="5910" w:type="dxa"/>
            <w:tcBorders>
              <w:top w:val="nil"/>
              <w:left w:val="nil"/>
              <w:bottom w:val="single" w:color="auto" w:sz="4" w:space="0"/>
              <w:right w:val="single" w:color="auto" w:sz="4" w:space="0"/>
            </w:tcBorders>
            <w:shd w:val="clear" w:color="auto" w:fill="auto"/>
            <w:vAlign w:val="center"/>
          </w:tcPr>
          <w:p w14:paraId="678BF9FA">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cs="宋体"/>
                <w:color w:val="000000" w:themeColor="text1"/>
                <w:sz w:val="24"/>
                <w:szCs w:val="24"/>
                <w:highlight w:val="none"/>
                <w:lang w:val="en-US"/>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 xml:space="preserve">CPU：≥A55*8 </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GPU：≥G52*4</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内存：≥2GB</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4</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存储：≥8GB</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5</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系统：≥Android 12</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6</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尺寸：≥55寸</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屏显比例：16：9</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分辨率：≥3840*2160</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7</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通信接口：支持RJ45(100Mbps)</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8</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音频格式：支持MP3/WMA/AAC/OGG</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高清视频格式:支持RMVB/AVI/MPG/MKV/SLH/TS/ASF/FLV/Web M</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图片格式：支持JPEG/BMP/PNG</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声音输出：支持8Ω/5W</w:t>
            </w:r>
          </w:p>
          <w:p w14:paraId="321BB55E">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hint="default" w:ascii="宋体" w:hAnsi="宋体" w:cs="宋体"/>
                <w:color w:val="000000" w:themeColor="text1"/>
                <w:kern w:val="0"/>
                <w:sz w:val="24"/>
                <w:szCs w:val="24"/>
                <w:highlight w:val="none"/>
                <w:lang w:val="en-US"/>
                <w14:textFill>
                  <w14:solidFill>
                    <w14:schemeClr w14:val="tx1"/>
                  </w14:solidFill>
                </w14:textFill>
              </w:rPr>
              <w:t>9</w:t>
            </w:r>
            <w:r>
              <w:rPr>
                <w:rFonts w:hint="eastAsia" w:ascii="宋体" w:hAnsi="宋体" w:cs="宋体"/>
                <w:color w:val="000000" w:themeColor="text1"/>
                <w:kern w:val="0"/>
                <w:sz w:val="24"/>
                <w:szCs w:val="24"/>
                <w:highlight w:val="none"/>
                <w:lang w:val="en-US" w:eastAsia="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设备医疗环境设备抗菌要求：供货商所投产品“候诊区一体机”具有按检测依据为：GB/T31402-2015《塑料 塑料表面抗菌性能试验方法》，检测结果达到</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 xml:space="preserve">铜绿假单胞菌抗菌活性值(R):0.69;抗菌率(%):≥79;金黄色葡萄球菌抗菌活性值(R):2.1;抗菌率(%):≥99 </w:t>
            </w:r>
          </w:p>
          <w:p w14:paraId="0D98D26A">
            <w:pPr>
              <w:pStyle w:val="2"/>
              <w:rPr>
                <w:rFonts w:hint="eastAsia"/>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提供具有CNAS或者CMA认证标识的第三方权威机构检验报告证明并加盖供应商公章</w:t>
            </w:r>
            <w:r>
              <w:rPr>
                <w:rFonts w:hint="eastAsia" w:ascii="宋体" w:hAnsi="宋体" w:cs="宋体"/>
                <w:color w:val="000000" w:themeColor="text1"/>
                <w:kern w:val="0"/>
                <w:sz w:val="24"/>
                <w:szCs w:val="24"/>
                <w:highlight w:val="none"/>
                <w14:textFill>
                  <w14:solidFill>
                    <w14:schemeClr w14:val="tx1"/>
                  </w14:solidFill>
                </w14:textFill>
              </w:rPr>
              <w:t>)</w:t>
            </w:r>
          </w:p>
        </w:tc>
        <w:tc>
          <w:tcPr>
            <w:tcW w:w="829" w:type="dxa"/>
            <w:tcBorders>
              <w:top w:val="nil"/>
              <w:left w:val="nil"/>
              <w:bottom w:val="single" w:color="auto" w:sz="4" w:space="0"/>
              <w:right w:val="single" w:color="auto" w:sz="4" w:space="0"/>
            </w:tcBorders>
            <w:shd w:val="clear" w:color="000000" w:fill="FFFFFF"/>
            <w:vAlign w:val="center"/>
          </w:tcPr>
          <w:p w14:paraId="3DDA4F68">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682" w:type="dxa"/>
            <w:tcBorders>
              <w:top w:val="nil"/>
              <w:left w:val="nil"/>
              <w:bottom w:val="single" w:color="auto" w:sz="4" w:space="0"/>
              <w:right w:val="single" w:color="auto" w:sz="4" w:space="0"/>
            </w:tcBorders>
            <w:shd w:val="clear" w:color="auto" w:fill="auto"/>
            <w:vAlign w:val="center"/>
          </w:tcPr>
          <w:p w14:paraId="3CF83D2A">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r>
      <w:tr w14:paraId="4031AB01">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3A119473">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w:t>
            </w:r>
          </w:p>
        </w:tc>
        <w:tc>
          <w:tcPr>
            <w:tcW w:w="1132" w:type="dxa"/>
            <w:tcBorders>
              <w:top w:val="nil"/>
              <w:left w:val="nil"/>
              <w:bottom w:val="single" w:color="auto" w:sz="4" w:space="0"/>
              <w:right w:val="single" w:color="auto" w:sz="4" w:space="0"/>
            </w:tcBorders>
            <w:shd w:val="clear" w:color="auto" w:fill="auto"/>
            <w:vAlign w:val="center"/>
          </w:tcPr>
          <w:p w14:paraId="1D4310AF">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诊间报到机</w:t>
            </w:r>
          </w:p>
        </w:tc>
        <w:tc>
          <w:tcPr>
            <w:tcW w:w="5910" w:type="dxa"/>
            <w:tcBorders>
              <w:top w:val="nil"/>
              <w:left w:val="nil"/>
              <w:bottom w:val="single" w:color="auto" w:sz="4" w:space="0"/>
              <w:right w:val="single" w:color="auto" w:sz="4" w:space="0"/>
            </w:tcBorders>
            <w:shd w:val="clear" w:color="auto" w:fill="auto"/>
            <w:vAlign w:val="center"/>
          </w:tcPr>
          <w:p w14:paraId="6DDD5137">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cs="宋体"/>
                <w:color w:val="000000" w:themeColor="text1"/>
                <w:sz w:val="24"/>
                <w:szCs w:val="24"/>
                <w:highlight w:val="none"/>
                <w:lang w:val="en-US"/>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CPU：≥四核32 位Cortex-A55，主频≥1.8GHz</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GPU：≥ARM G52 2EE</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内存：≥2GB DDR</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4</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存储：≥16GB EMMC</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5</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系统：≥Android 11.0</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6</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尺寸：≥22寸</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屏显比例：16：9分辨率：≥1920*1080</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7</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通信接口：支持RJ45(100Mbps)</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8</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触摸：支持电容触摸</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9</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音频格式：支持MP3/WMA/AAC</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高清视频格式：支持RMVB/AVI/MPG/MKV/SLH/VOB/MP4</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图片格式：支持JPEG/BMP/PNG</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声音输出：支持8Ω/2W</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10</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其它：支持M1读卡、磁条刷卡、条码扫描、社保读卡、身份证、摄像头、打印</w:t>
            </w:r>
          </w:p>
        </w:tc>
        <w:tc>
          <w:tcPr>
            <w:tcW w:w="829" w:type="dxa"/>
            <w:tcBorders>
              <w:top w:val="nil"/>
              <w:left w:val="nil"/>
              <w:bottom w:val="single" w:color="auto" w:sz="4" w:space="0"/>
              <w:right w:val="single" w:color="auto" w:sz="4" w:space="0"/>
            </w:tcBorders>
            <w:shd w:val="clear" w:color="auto" w:fill="auto"/>
            <w:vAlign w:val="center"/>
          </w:tcPr>
          <w:p w14:paraId="002B0052">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w:t>
            </w:r>
          </w:p>
        </w:tc>
        <w:tc>
          <w:tcPr>
            <w:tcW w:w="682" w:type="dxa"/>
            <w:tcBorders>
              <w:top w:val="nil"/>
              <w:left w:val="nil"/>
              <w:bottom w:val="single" w:color="auto" w:sz="4" w:space="0"/>
              <w:right w:val="single" w:color="auto" w:sz="4" w:space="0"/>
            </w:tcBorders>
            <w:shd w:val="clear" w:color="auto" w:fill="auto"/>
            <w:vAlign w:val="center"/>
          </w:tcPr>
          <w:p w14:paraId="046863D2">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r>
      <w:tr w14:paraId="0DC6AE3A">
        <w:tblPrEx>
          <w:tblCellMar>
            <w:top w:w="0" w:type="dxa"/>
            <w:left w:w="108" w:type="dxa"/>
            <w:bottom w:w="0" w:type="dxa"/>
            <w:right w:w="108" w:type="dxa"/>
          </w:tblCellMar>
        </w:tblPrEx>
        <w:trPr>
          <w:trHeight w:val="4660"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21A81954">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1132" w:type="dxa"/>
            <w:tcBorders>
              <w:top w:val="nil"/>
              <w:left w:val="nil"/>
              <w:bottom w:val="single" w:color="auto" w:sz="4" w:space="0"/>
              <w:right w:val="single" w:color="auto" w:sz="4" w:space="0"/>
            </w:tcBorders>
            <w:shd w:val="clear" w:color="auto" w:fill="auto"/>
            <w:vAlign w:val="center"/>
          </w:tcPr>
          <w:p w14:paraId="18A8D5CB">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壁挂报道机</w:t>
            </w:r>
          </w:p>
        </w:tc>
        <w:tc>
          <w:tcPr>
            <w:tcW w:w="5910" w:type="dxa"/>
            <w:tcBorders>
              <w:top w:val="nil"/>
              <w:left w:val="nil"/>
              <w:bottom w:val="single" w:color="auto" w:sz="4" w:space="0"/>
              <w:right w:val="single" w:color="auto" w:sz="4" w:space="0"/>
            </w:tcBorders>
            <w:shd w:val="clear" w:color="auto" w:fill="auto"/>
            <w:vAlign w:val="center"/>
          </w:tcPr>
          <w:p w14:paraId="1D78808D">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cs="宋体"/>
                <w:color w:val="000000" w:themeColor="text1"/>
                <w:sz w:val="24"/>
                <w:szCs w:val="24"/>
                <w:highlight w:val="none"/>
                <w:lang w:val="en-US"/>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CPU：≥四核32 位Cortex-A55，主频最高1.8GHz</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GPU：≥ARM G52 2EE</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内存：≥2GB DDR</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4</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存储：≥16GB EMMC</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5</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系统：≥Android 11.0</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6</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尺寸：≥22寸</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7</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屏显比例：16：9</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8</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分辨率：≥1920 x 1080</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9</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均匀性：&gt;80%</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10</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视角：U/D/R/L(CR＞10)：89 /89 /89/89</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I/O接口视频接口：HDMI OUT</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音频接口：耳机 3.5mm音频</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13</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数据接口：USB 3.0*1 USB_OTG*1  TF卡槽*1</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14</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通信接口：RJ45(100Mbps)</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15</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触摸：电容触摸</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16</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功率整机额定功率：≤48W</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17</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待机功率：≤1W</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18</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工作电压：AC220V 50HZ</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19</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整机性能声音输出：4Ω/2W</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20</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喇叭：内置2个</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21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其它：支持M1读卡、磁条刷卡、条码扫描、身份证</w:t>
            </w:r>
          </w:p>
        </w:tc>
        <w:tc>
          <w:tcPr>
            <w:tcW w:w="829" w:type="dxa"/>
            <w:tcBorders>
              <w:top w:val="nil"/>
              <w:left w:val="nil"/>
              <w:bottom w:val="single" w:color="auto" w:sz="4" w:space="0"/>
              <w:right w:val="single" w:color="auto" w:sz="4" w:space="0"/>
            </w:tcBorders>
            <w:shd w:val="clear" w:color="auto" w:fill="auto"/>
            <w:vAlign w:val="center"/>
          </w:tcPr>
          <w:p w14:paraId="15D049A7">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5</w:t>
            </w:r>
          </w:p>
        </w:tc>
        <w:tc>
          <w:tcPr>
            <w:tcW w:w="682" w:type="dxa"/>
            <w:tcBorders>
              <w:top w:val="nil"/>
              <w:left w:val="nil"/>
              <w:bottom w:val="single" w:color="auto" w:sz="4" w:space="0"/>
              <w:right w:val="single" w:color="auto" w:sz="4" w:space="0"/>
            </w:tcBorders>
            <w:shd w:val="clear" w:color="auto" w:fill="auto"/>
            <w:vAlign w:val="center"/>
          </w:tcPr>
          <w:p w14:paraId="49097D1C">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r>
      <w:tr w14:paraId="343E298A">
        <w:tblPrEx>
          <w:tblCellMar>
            <w:top w:w="0" w:type="dxa"/>
            <w:left w:w="108" w:type="dxa"/>
            <w:bottom w:w="0" w:type="dxa"/>
            <w:right w:w="108" w:type="dxa"/>
          </w:tblCellMar>
        </w:tblPrEx>
        <w:trPr>
          <w:trHeight w:val="1072"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7A23E753">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6</w:t>
            </w:r>
          </w:p>
        </w:tc>
        <w:tc>
          <w:tcPr>
            <w:tcW w:w="1132" w:type="dxa"/>
            <w:tcBorders>
              <w:top w:val="nil"/>
              <w:left w:val="nil"/>
              <w:bottom w:val="single" w:color="auto" w:sz="4" w:space="0"/>
              <w:right w:val="single" w:color="auto" w:sz="4" w:space="0"/>
            </w:tcBorders>
            <w:shd w:val="clear" w:color="auto" w:fill="auto"/>
            <w:vAlign w:val="center"/>
          </w:tcPr>
          <w:p w14:paraId="299813CD">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服务器</w:t>
            </w:r>
          </w:p>
        </w:tc>
        <w:tc>
          <w:tcPr>
            <w:tcW w:w="5910" w:type="dxa"/>
            <w:tcBorders>
              <w:top w:val="nil"/>
              <w:left w:val="nil"/>
              <w:bottom w:val="single" w:color="auto" w:sz="4" w:space="0"/>
              <w:right w:val="single" w:color="auto" w:sz="4" w:space="0"/>
            </w:tcBorders>
            <w:shd w:val="clear" w:color="auto" w:fill="auto"/>
            <w:vAlign w:val="center"/>
          </w:tcPr>
          <w:p w14:paraId="2DFF665C">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2U机架式，12个硬盘位，上架导轨；2颗国产化处理器，单颗不低于 32核心，</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2.6Hhz主频， 2根16G DDR4 ECC REG , 1块960G SSD 硬盘，4个千兆网口，900W 1+1冗余电源。提供MySQL数据库。</w:t>
            </w:r>
          </w:p>
        </w:tc>
        <w:tc>
          <w:tcPr>
            <w:tcW w:w="829" w:type="dxa"/>
            <w:tcBorders>
              <w:top w:val="nil"/>
              <w:left w:val="nil"/>
              <w:bottom w:val="single" w:color="auto" w:sz="4" w:space="0"/>
              <w:right w:val="single" w:color="auto" w:sz="4" w:space="0"/>
            </w:tcBorders>
            <w:shd w:val="clear" w:color="000000" w:fill="FFFFFF"/>
            <w:vAlign w:val="center"/>
          </w:tcPr>
          <w:p w14:paraId="21B99ADC">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682" w:type="dxa"/>
            <w:tcBorders>
              <w:top w:val="nil"/>
              <w:left w:val="nil"/>
              <w:bottom w:val="single" w:color="auto" w:sz="4" w:space="0"/>
              <w:right w:val="single" w:color="auto" w:sz="4" w:space="0"/>
            </w:tcBorders>
            <w:shd w:val="clear" w:color="auto" w:fill="auto"/>
            <w:vAlign w:val="center"/>
          </w:tcPr>
          <w:p w14:paraId="23320B38">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台</w:t>
            </w:r>
          </w:p>
        </w:tc>
      </w:tr>
      <w:tr w14:paraId="615E7DE9">
        <w:tblPrEx>
          <w:tblCellMar>
            <w:top w:w="0" w:type="dxa"/>
            <w:left w:w="108" w:type="dxa"/>
            <w:bottom w:w="0" w:type="dxa"/>
            <w:right w:w="108" w:type="dxa"/>
          </w:tblCellMar>
        </w:tblPrEx>
        <w:trPr>
          <w:trHeight w:val="443"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4CFA0D21">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7</w:t>
            </w:r>
          </w:p>
        </w:tc>
        <w:tc>
          <w:tcPr>
            <w:tcW w:w="1132" w:type="dxa"/>
            <w:tcBorders>
              <w:top w:val="nil"/>
              <w:left w:val="nil"/>
              <w:bottom w:val="single" w:color="auto" w:sz="4" w:space="0"/>
              <w:right w:val="single" w:color="auto" w:sz="4" w:space="0"/>
            </w:tcBorders>
            <w:shd w:val="clear" w:color="auto" w:fill="auto"/>
            <w:vAlign w:val="center"/>
          </w:tcPr>
          <w:p w14:paraId="248662A5">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服务器系统</w:t>
            </w:r>
          </w:p>
        </w:tc>
        <w:tc>
          <w:tcPr>
            <w:tcW w:w="5910" w:type="dxa"/>
            <w:tcBorders>
              <w:top w:val="nil"/>
              <w:left w:val="nil"/>
              <w:bottom w:val="single" w:color="auto" w:sz="4" w:space="0"/>
              <w:right w:val="single" w:color="auto" w:sz="4" w:space="0"/>
            </w:tcBorders>
            <w:shd w:val="clear" w:color="auto" w:fill="auto"/>
            <w:vAlign w:val="center"/>
          </w:tcPr>
          <w:p w14:paraId="52E796D2">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国产服务器操作系统</w:t>
            </w:r>
          </w:p>
        </w:tc>
        <w:tc>
          <w:tcPr>
            <w:tcW w:w="829" w:type="dxa"/>
            <w:tcBorders>
              <w:top w:val="nil"/>
              <w:left w:val="nil"/>
              <w:bottom w:val="single" w:color="auto" w:sz="4" w:space="0"/>
              <w:right w:val="single" w:color="auto" w:sz="4" w:space="0"/>
            </w:tcBorders>
            <w:shd w:val="clear" w:color="000000" w:fill="FFFFFF"/>
            <w:vAlign w:val="center"/>
          </w:tcPr>
          <w:p w14:paraId="7631F5FA">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682" w:type="dxa"/>
            <w:tcBorders>
              <w:top w:val="nil"/>
              <w:left w:val="nil"/>
              <w:bottom w:val="single" w:color="auto" w:sz="4" w:space="0"/>
              <w:right w:val="single" w:color="auto" w:sz="4" w:space="0"/>
            </w:tcBorders>
            <w:shd w:val="clear" w:color="auto" w:fill="auto"/>
            <w:vAlign w:val="center"/>
          </w:tcPr>
          <w:p w14:paraId="2D9C19A6">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02CB3743">
        <w:tblPrEx>
          <w:tblCellMar>
            <w:top w:w="0" w:type="dxa"/>
            <w:left w:w="108" w:type="dxa"/>
            <w:bottom w:w="0" w:type="dxa"/>
            <w:right w:w="108" w:type="dxa"/>
          </w:tblCellMar>
        </w:tblPrEx>
        <w:trPr>
          <w:trHeight w:val="1327"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478A4DFA">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p>
        </w:tc>
        <w:tc>
          <w:tcPr>
            <w:tcW w:w="1132" w:type="dxa"/>
            <w:tcBorders>
              <w:top w:val="nil"/>
              <w:left w:val="nil"/>
              <w:bottom w:val="single" w:color="auto" w:sz="4" w:space="0"/>
              <w:right w:val="single" w:color="auto" w:sz="4" w:space="0"/>
            </w:tcBorders>
            <w:shd w:val="clear" w:color="auto" w:fill="auto"/>
            <w:vAlign w:val="center"/>
          </w:tcPr>
          <w:p w14:paraId="178A668E">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中间件</w:t>
            </w:r>
          </w:p>
        </w:tc>
        <w:tc>
          <w:tcPr>
            <w:tcW w:w="5910" w:type="dxa"/>
            <w:tcBorders>
              <w:top w:val="nil"/>
              <w:left w:val="nil"/>
              <w:bottom w:val="single" w:color="auto" w:sz="4" w:space="0"/>
              <w:right w:val="single" w:color="auto" w:sz="4" w:space="0"/>
            </w:tcBorders>
            <w:shd w:val="clear" w:color="auto" w:fill="auto"/>
            <w:vAlign w:val="center"/>
          </w:tcPr>
          <w:p w14:paraId="0DFA4623">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eastAsia="zh-CN"/>
                <w14:textFill>
                  <w14:solidFill>
                    <w14:schemeClr w14:val="tx1"/>
                  </w14:solidFill>
                </w14:textFill>
              </w:rPr>
              <w:t>国产化</w:t>
            </w:r>
            <w:r>
              <w:rPr>
                <w:rFonts w:hint="eastAsia" w:ascii="宋体" w:hAnsi="宋体" w:eastAsia="宋体" w:cs="宋体"/>
                <w:color w:val="000000" w:themeColor="text1"/>
                <w:sz w:val="24"/>
                <w:szCs w:val="24"/>
                <w:highlight w:val="none"/>
                <w14:textFill>
                  <w14:solidFill>
                    <w14:schemeClr w14:val="tx1"/>
                  </w14:solidFill>
                </w14:textFill>
              </w:rPr>
              <w:t>中间件，软件具备Web应用、EJB应用、虚拟主机、应用服务器集群、等基本工作，提供类库管理、集成环境管理、图形化监控、JVM配置、垃圾回收配置等工具，支持实例部署、数据库连接服务，为业务系统提供运行环境。</w:t>
            </w:r>
          </w:p>
        </w:tc>
        <w:tc>
          <w:tcPr>
            <w:tcW w:w="829" w:type="dxa"/>
            <w:tcBorders>
              <w:top w:val="nil"/>
              <w:left w:val="nil"/>
              <w:bottom w:val="single" w:color="auto" w:sz="4" w:space="0"/>
              <w:right w:val="single" w:color="auto" w:sz="4" w:space="0"/>
            </w:tcBorders>
            <w:shd w:val="clear" w:color="000000" w:fill="FFFFFF"/>
            <w:vAlign w:val="center"/>
          </w:tcPr>
          <w:p w14:paraId="06B28AF5">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682" w:type="dxa"/>
            <w:tcBorders>
              <w:top w:val="nil"/>
              <w:left w:val="nil"/>
              <w:bottom w:val="single" w:color="auto" w:sz="4" w:space="0"/>
              <w:right w:val="single" w:color="auto" w:sz="4" w:space="0"/>
            </w:tcBorders>
            <w:shd w:val="clear" w:color="auto" w:fill="auto"/>
            <w:vAlign w:val="center"/>
          </w:tcPr>
          <w:p w14:paraId="473E2A3B">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79B261DB">
        <w:tblPrEx>
          <w:tblCellMar>
            <w:top w:w="0" w:type="dxa"/>
            <w:left w:w="108" w:type="dxa"/>
            <w:bottom w:w="0" w:type="dxa"/>
            <w:right w:w="108" w:type="dxa"/>
          </w:tblCellMar>
        </w:tblPrEx>
        <w:trPr>
          <w:trHeight w:val="1820"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6266F025">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9</w:t>
            </w:r>
          </w:p>
        </w:tc>
        <w:tc>
          <w:tcPr>
            <w:tcW w:w="1132" w:type="dxa"/>
            <w:tcBorders>
              <w:top w:val="nil"/>
              <w:left w:val="nil"/>
              <w:bottom w:val="single" w:color="auto" w:sz="4" w:space="0"/>
              <w:right w:val="single" w:color="auto" w:sz="4" w:space="0"/>
            </w:tcBorders>
            <w:shd w:val="clear" w:color="auto" w:fill="auto"/>
            <w:vAlign w:val="center"/>
          </w:tcPr>
          <w:p w14:paraId="2FC53C67">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分诊管理系统</w:t>
            </w:r>
          </w:p>
        </w:tc>
        <w:tc>
          <w:tcPr>
            <w:tcW w:w="5910" w:type="dxa"/>
            <w:tcBorders>
              <w:top w:val="nil"/>
              <w:left w:val="nil"/>
              <w:bottom w:val="single" w:color="auto" w:sz="4" w:space="0"/>
              <w:right w:val="single" w:color="auto" w:sz="4" w:space="0"/>
            </w:tcBorders>
            <w:shd w:val="clear" w:color="auto" w:fill="auto"/>
            <w:vAlign w:val="center"/>
          </w:tcPr>
          <w:p w14:paraId="53D9EAC2">
            <w:pPr>
              <w:widowControl/>
              <w:numPr>
                <w:ilvl w:val="0"/>
                <w:numId w:val="6"/>
              </w:numPr>
              <w:adjustRightInd/>
              <w:snapToGrid/>
              <w:spacing w:line="240" w:lineRule="auto"/>
              <w:ind w:firstLine="0" w:firstLineChars="0"/>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后台的管理端以B/S架构的方式呈现适配国产化操作系统，医院局域网内的任何一台PC机均可通过IE浏览器进行访问，通过不同用户的管理权限，可对系统后台进行管理操作。能够在同一平台下实现分诊叫号、健康宣教、医疗信息发布等功能，各个功能模块可统一管理或独立运行。</w:t>
            </w:r>
          </w:p>
          <w:p w14:paraId="7811963C">
            <w:pPr>
              <w:widowControl/>
              <w:numPr>
                <w:ilvl w:val="0"/>
                <w:numId w:val="6"/>
              </w:numPr>
              <w:adjustRightInd/>
              <w:snapToGrid/>
              <w:spacing w:line="240" w:lineRule="auto"/>
              <w:ind w:firstLine="0" w:firstLineChars="0"/>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叫号软件能够与HIS、LIS、PACS系统进行数据对接，兼容性良好。</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3</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系统配套的显示设备需采用网络播控终端与显示屏一体化的工业级设计，所有终端以网络进行连接，系统采用Android系统，终端设备具备一键恢复功能以提高系统稳定性。</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eastAsia" w:ascii="宋体" w:hAnsi="宋体" w:cs="宋体"/>
                <w:color w:val="000000" w:themeColor="text1"/>
                <w:kern w:val="0"/>
                <w:sz w:val="24"/>
                <w:szCs w:val="24"/>
                <w:highlight w:val="none"/>
                <w14:textFill>
                  <w14:solidFill>
                    <w14:schemeClr w14:val="tx1"/>
                  </w14:solidFill>
                </w14:textFill>
              </w:rPr>
              <w:t>★</w:t>
            </w:r>
            <w:r>
              <w:rPr>
                <w:rFonts w:hint="default" w:ascii="宋体" w:hAnsi="宋体" w:cs="宋体"/>
                <w:color w:val="000000" w:themeColor="text1"/>
                <w:kern w:val="0"/>
                <w:sz w:val="24"/>
                <w:szCs w:val="24"/>
                <w:highlight w:val="none"/>
                <w:lang w:val="en-US" w:eastAsia="zh-CN" w:bidi="ar-SA"/>
                <w14:textFill>
                  <w14:solidFill>
                    <w14:schemeClr w14:val="tx1"/>
                  </w14:solidFill>
                </w14:textFill>
              </w:rPr>
              <w:t>4</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系统安全性要求，提供勒索防护服务工具</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提供计算机软件著作权登记证书并加盖供应商鲜章</w:t>
            </w:r>
            <w:r>
              <w:rPr>
                <w:rFonts w:hint="eastAsia" w:ascii="宋体" w:hAnsi="宋体" w:cs="宋体"/>
                <w:color w:val="000000" w:themeColor="text1"/>
                <w:kern w:val="0"/>
                <w:sz w:val="24"/>
                <w:szCs w:val="24"/>
                <w:highlight w:val="none"/>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应拥有微隔离、网络蜜罐、网络防御、文件主动防御、防篡改、内核加固、防勒索、外链管理等安全加固模块。能对ASP、ASPX、PHP、JSP等常见的网页木马文件进行无限制脱壳解密，Web恶意脚本的查杀识别准确率不低于测试样本总数的95%；有主动防御技术，对于文件的复制、移动、修改、重命名以及下载上传等都能做到监控；拥有文件防篡改功能；有系统账户保护功能，防止操作系统账户被修改或增加；</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针对</w:t>
            </w:r>
            <w:r>
              <w:rPr>
                <w:rFonts w:hint="eastAsia" w:ascii="宋体" w:hAnsi="宋体" w:cs="宋体"/>
                <w:b/>
                <w:bCs/>
                <w:color w:val="000000" w:themeColor="text1"/>
                <w:kern w:val="0"/>
                <w:sz w:val="24"/>
                <w:szCs w:val="24"/>
                <w:highlight w:val="none"/>
                <w:lang w:eastAsia="zh-CN"/>
                <w14:textFill>
                  <w14:solidFill>
                    <w14:schemeClr w14:val="tx1"/>
                  </w14:solidFill>
                </w14:textFill>
              </w:rPr>
              <w:t>以上</w:t>
            </w:r>
            <w:r>
              <w:rPr>
                <w:rFonts w:hint="eastAsia" w:ascii="宋体" w:hAnsi="宋体" w:cs="宋体"/>
                <w:b/>
                <w:bCs/>
                <w:color w:val="000000" w:themeColor="text1"/>
                <w:kern w:val="0"/>
                <w:sz w:val="24"/>
                <w:szCs w:val="24"/>
                <w:highlight w:val="none"/>
                <w14:textFill>
                  <w14:solidFill>
                    <w14:schemeClr w14:val="tx1"/>
                  </w14:solidFill>
                </w14:textFill>
              </w:rPr>
              <w:t>指标应提供具有CNAS或者CMA认证标识的第三方权威机构出具的软件测试报告</w:t>
            </w:r>
            <w:r>
              <w:rPr>
                <w:rFonts w:hint="eastAsia" w:ascii="宋体" w:hAnsi="宋体" w:cs="宋体"/>
                <w:b/>
                <w:bCs/>
                <w:color w:val="000000" w:themeColor="text1"/>
                <w:kern w:val="0"/>
                <w:sz w:val="24"/>
                <w:szCs w:val="24"/>
                <w:highlight w:val="none"/>
                <w:lang w:eastAsia="zh-CN"/>
                <w14:textFill>
                  <w14:solidFill>
                    <w14:schemeClr w14:val="tx1"/>
                  </w14:solidFill>
                </w14:textFill>
              </w:rPr>
              <w:t>扫描</w:t>
            </w:r>
            <w:r>
              <w:rPr>
                <w:rFonts w:hint="eastAsia" w:ascii="宋体" w:hAnsi="宋体" w:cs="宋体"/>
                <w:b/>
                <w:bCs/>
                <w:color w:val="000000" w:themeColor="text1"/>
                <w:kern w:val="0"/>
                <w:sz w:val="24"/>
                <w:szCs w:val="24"/>
                <w:highlight w:val="none"/>
                <w14:textFill>
                  <w14:solidFill>
                    <w14:schemeClr w14:val="tx1"/>
                  </w14:solidFill>
                </w14:textFill>
              </w:rPr>
              <w:t>件并加盖供应商鲜章。提供具有CNAS或者CMA认证标识的第三方权威机构出具的实验室认可证书的</w:t>
            </w:r>
            <w:r>
              <w:rPr>
                <w:rFonts w:hint="eastAsia" w:ascii="宋体" w:hAnsi="宋体" w:cs="宋体"/>
                <w:b/>
                <w:bCs/>
                <w:color w:val="000000" w:themeColor="text1"/>
                <w:kern w:val="0"/>
                <w:sz w:val="24"/>
                <w:szCs w:val="24"/>
                <w:highlight w:val="none"/>
                <w:lang w:eastAsia="zh-CN"/>
                <w14:textFill>
                  <w14:solidFill>
                    <w14:schemeClr w14:val="tx1"/>
                  </w14:solidFill>
                </w14:textFill>
              </w:rPr>
              <w:t>扫描</w:t>
            </w:r>
            <w:r>
              <w:rPr>
                <w:rFonts w:hint="eastAsia" w:ascii="宋体" w:hAnsi="宋体" w:cs="宋体"/>
                <w:b/>
                <w:bCs/>
                <w:color w:val="000000" w:themeColor="text1"/>
                <w:kern w:val="0"/>
                <w:sz w:val="24"/>
                <w:szCs w:val="24"/>
                <w:highlight w:val="none"/>
                <w14:textFill>
                  <w14:solidFill>
                    <w14:schemeClr w14:val="tx1"/>
                  </w14:solidFill>
                </w14:textFill>
              </w:rPr>
              <w:t>件，并加盖供应商鲜章。</w:t>
            </w:r>
            <w:r>
              <w:rPr>
                <w:rFonts w:hint="eastAsia" w:ascii="宋体" w:hAnsi="宋体" w:cs="宋体"/>
                <w:color w:val="000000" w:themeColor="text1"/>
                <w:kern w:val="0"/>
                <w:sz w:val="24"/>
                <w:szCs w:val="24"/>
                <w:highlight w:val="none"/>
                <w:lang w:eastAsia="zh-CN"/>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微隔离：拥有自学习功能，支持设置流量学习的方向（双向、出站、入站）和流量学习的类型（全部、外网、内网），能在设定的时间范围内，按流量方向（出站/入站/双向）和流量类型（外网/内网/双向）自主学习整个网络的访问情况并自动生成规则，学习结果支持融合入站或出站规则，使用者可以根据学习结果自行下发规则。</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网络蜜罐：能根据设定的规则（如端口号、描述、协议等）自动开启伪装端口。允许设置连接次数阈值、数据包数阈值和间隔时间等，能根据对伪装端端口的访问自动判别是否非法访问。</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防勒索：基于驱动级拦截技术实现针对勒索病毒及恶意代码的防护，不依赖于特征库识别方式防御勒索病毒攻击，开启防御后保护目录只拥有防勒索策略中的权限和可读权限。能自行设定防勒索规则，如：特定进程、特定范围、特定文件、特定格式等。</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5</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系统须支持设置开启同时呼叫功能，方便患者挂多科室、多队列时，开启同时排队功能。</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须支持分诊叫号显示、交互页面管理功能，页面风格、页面属性，页面样式可选择，也可支持定制设计。</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6</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 xml:space="preserve">系统软件可将视/音频图片、文字等多媒体素材发送到各显示屏上，能够实现各种素材的同屏、混合播放；系统支持对有线电视节目、自办节目、网络流媒体等节目源的接入、管理和发布功能；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7</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系统须支持叫号策略管理，支持初诊、特殊、回诊、过号、复诊、预约、转诊等多种患者类型的叫号优先级别、间隔调整；</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8</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系统应支持队列开启预约签到后可设定提前签到时间，如提前10分钟、提前30分钟等。</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9</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支持队列开启预约签到后，可设定预约迟到规则，患者未在预约时间内签到，可设定插队机制、排至队尾、下一预约时段队尾等。</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10</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全系统内所有终端需具备多区域差异化定时多媒体内容播放功能，如午休时间，系统可自动切换到信息发布功能，叫号屏可自动播放电视节目、健康教育、医院公告等内容，可播放医院自己的宣教片。</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11</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诊室门口屏应具备智能显示功能，如诊室出诊医生为多人时，可根据本诊室医生端登入的医生数量，自动在诊室门口叫号屏显示对应的医师信息，无需人工干预进行诊室门口屏界面调整。各个诊区的叫号管理不分割，医师登陆任意工作站即可进行叫号。</w:t>
            </w:r>
          </w:p>
          <w:p w14:paraId="29A9BF98">
            <w:pPr>
              <w:widowControl/>
              <w:adjustRightInd/>
              <w:snapToGrid/>
              <w:spacing w:line="240" w:lineRule="auto"/>
              <w:ind w:firstLine="0" w:firstLineChars="0"/>
              <w:rPr>
                <w:rFonts w:hint="eastAsia"/>
                <w:color w:val="000000" w:themeColor="text1"/>
                <w:highlight w:val="none"/>
                <w14:textFill>
                  <w14:solidFill>
                    <w14:schemeClr w14:val="tx1"/>
                  </w14:solidFill>
                </w14:textFill>
              </w:rPr>
            </w:pPr>
            <w:r>
              <w:rPr>
                <w:rFonts w:hint="default" w:ascii="宋体" w:hAnsi="宋体" w:cs="宋体"/>
                <w:color w:val="000000" w:themeColor="text1"/>
                <w:kern w:val="0"/>
                <w:sz w:val="24"/>
                <w:szCs w:val="24"/>
                <w:highlight w:val="none"/>
                <w:lang w:val="en-US" w:eastAsia="zh-CN" w:bidi="ar-SA"/>
                <w14:textFill>
                  <w14:solidFill>
                    <w14:schemeClr w14:val="tx1"/>
                  </w14:solidFill>
                </w14:textFill>
              </w:rPr>
              <w:t>12</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提供门诊患者健康教育视频服务功能，支持患者移动端设备如手机访问及使用，可访问云端服务器实现宣教内容的交互式点播查看。系统可单独运行或与医院互联网医院系统进行对接后供患者使用。系统后台的操作内容主要包括：视频编辑、视频管理、分类管理、科室管理、播放量统计等相关功能。</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13</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系统应具备数据统计分析功能，可实现等候人数、挂号人数、过号人数、医生平均就诊时长、患者平均等候时长等数据展示功能，并在决策人员办公室通过曲线图、柱状图等形式展现。</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14</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排队叫号系统需具备手机端排队信息推送功能，实现患者排队信息查询、叫号预备推送等功能</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须具有急诊科预检分诊功能，支持对病人进行急诊分级，并把不同级别的病人分配到适当的治疗区。预检分诊后病人分流状态显示：处于抢救室（红区）、密切观察诊疗室（黄区）、普通急诊科室等（绿区）。</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15</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为方便急诊科护士更精准的对患者进行预检分诊，分诊系统须提供一套急诊分级知识库，护士根据患者的主诉，及主诉判断标准进行统一的分诊分级；确定不同等级患者候诊时的评估需要，并通过系统智能提醒护士予以适时评估，保证患者得到适时诊治；同时系统应支持开展多项病情评分，如疼痛评分、创伤评分、ESI评分、GCS评分、REMS评分、MEWS评分等。</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16</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系统须具有智能管控能力，支持与医院IBMS系统进行系统对接，可实现对终端设备进行远程智能管控。</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系统须支持分诊叫号数据自动备份功能，可按日、按周、按月多种方式进行自动备份。同时支持数据保留时长自定义设置，数据源若超出自定义时长，将自动将数据移库，以增加平台空间。</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17</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系统要求能将LED单、双基色屏、全彩屏等显示设备并入系统平台统一管理。</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18</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具有联网和远程控制功能，支持跨路由控制，对终端可以远程管理和维护。支持局域网，分管理端和播放端，系统采用B/S架构。</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19</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操作在管理端进行，管理端可以是局域网上的任意多台计算机。</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20</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支持手动维护医生信息，可上传医生照片、职称、业务擅长以及排班信息的自动同步和管理；</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21</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系统应能够与HIS、PACS、LIS等信息系统进行数据交互，支持按照序号或签到顺序自动生成排队队列；</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系统可根据各个科室的就诊流程，灵活配置叫号机制，适应各种队列排序方式、各种呼叫模式、各种显示样式、各种语音效果。</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22</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 xml:space="preserve">系统应支持候诊区一级分诊以及诊室门口二级分诊或特殊科室需要的多级分诊模式，候诊区叫号将多名患者呼叫到诊室门口等候，诊室门口叫号将患者逐一呼叫至诊室就诊；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23</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患者隐私保护：患者姓名中的第二个字用“*”代替。</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24</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 xml:space="preserve">要求候诊区域一级分诊屏、医生所在诊室门口的二级分诊屏显示各自对应的叫号信息，并实现对应的叫号语音同步播报； </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25</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系统须支持全自动形成队列、人工报到形成队列（患者自助报到、护士操作报到）以及自动及人工混合报到三种模式；</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26</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系统须支持分诊管理服务平台角色类型划分，如分诊台管理、队列管理、终端管理、数据源管理、温馨提示、午别设置、分诊统计、页面管理等。</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27</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护士站电脑安装护士工作站管理软件，能够实现在其管控区域内对患者的就诊状态检索、排队队列管理以及预约等操作；</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28</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分诊台须支持管理科室类型属性选择，可按照所属科室类型进行选择管理方式；</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29</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医生电脑安装医生工作站管理软件，能够根据需求实现顺序叫号或选择叫号功能；</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30</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系统须支持医院根据各科室/队列特殊情况，进行自定义添加不同患者类型，方便调整插队；支持不同状态患者插队间隔数量、首位延后人数的自定义设置。</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系统运维人员可随时根据业务科室需求调整前端页面。</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系统须支持诊室门口、列表屏、分诊台语音呼叫自定义设置；</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31</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系统须支持叮咚等此类提示音的开启功能；</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系统须支持语音呼叫人声选择，如普通话女声、普通话男声、粤语等；</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32</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系统须支持数字读法选择功能，如“电报读法、正常读法”</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系统须支持呼叫重复次数选择，重复次数可自定义。系统须支持语音速度选择，可自定义设置语音速度；系统须支持语音播报方式选择，支持姓名呼叫方式，姓氏呼叫方式，序号呼叫方式，提示音呼叫方式等；</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语音播报指引内容可自定义编辑。</w:t>
            </w:r>
          </w:p>
        </w:tc>
        <w:tc>
          <w:tcPr>
            <w:tcW w:w="829" w:type="dxa"/>
            <w:tcBorders>
              <w:top w:val="nil"/>
              <w:left w:val="nil"/>
              <w:bottom w:val="single" w:color="auto" w:sz="4" w:space="0"/>
              <w:right w:val="single" w:color="auto" w:sz="4" w:space="0"/>
            </w:tcBorders>
            <w:shd w:val="clear" w:color="000000" w:fill="FFFFFF"/>
            <w:vAlign w:val="center"/>
          </w:tcPr>
          <w:p w14:paraId="0B5D3A2C">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682" w:type="dxa"/>
            <w:tcBorders>
              <w:top w:val="nil"/>
              <w:left w:val="nil"/>
              <w:bottom w:val="single" w:color="auto" w:sz="4" w:space="0"/>
              <w:right w:val="single" w:color="auto" w:sz="4" w:space="0"/>
            </w:tcBorders>
            <w:shd w:val="clear" w:color="auto" w:fill="auto"/>
            <w:vAlign w:val="center"/>
          </w:tcPr>
          <w:p w14:paraId="72D58E70">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21BF4121">
        <w:tblPrEx>
          <w:tblCellMar>
            <w:top w:w="0" w:type="dxa"/>
            <w:left w:w="108" w:type="dxa"/>
            <w:bottom w:w="0" w:type="dxa"/>
            <w:right w:w="108" w:type="dxa"/>
          </w:tblCellMar>
        </w:tblPrEx>
        <w:trPr>
          <w:trHeight w:val="90"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13F12137">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10</w:t>
            </w:r>
          </w:p>
        </w:tc>
        <w:tc>
          <w:tcPr>
            <w:tcW w:w="1132" w:type="dxa"/>
            <w:tcBorders>
              <w:top w:val="nil"/>
              <w:left w:val="nil"/>
              <w:bottom w:val="single" w:color="auto" w:sz="4" w:space="0"/>
              <w:right w:val="single" w:color="auto" w:sz="4" w:space="0"/>
            </w:tcBorders>
            <w:shd w:val="clear" w:color="auto" w:fill="auto"/>
            <w:vAlign w:val="center"/>
          </w:tcPr>
          <w:p w14:paraId="5D0DC2CB">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业务显示系统</w:t>
            </w:r>
          </w:p>
        </w:tc>
        <w:tc>
          <w:tcPr>
            <w:tcW w:w="5910" w:type="dxa"/>
            <w:tcBorders>
              <w:top w:val="nil"/>
              <w:left w:val="nil"/>
              <w:bottom w:val="single" w:color="auto" w:sz="4" w:space="0"/>
              <w:right w:val="single" w:color="auto" w:sz="4" w:space="0"/>
            </w:tcBorders>
            <w:shd w:val="clear" w:color="auto" w:fill="auto"/>
            <w:vAlign w:val="center"/>
          </w:tcPr>
          <w:p w14:paraId="1C48C787">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cs="宋体"/>
                <w:color w:val="000000" w:themeColor="text1"/>
                <w:sz w:val="24"/>
                <w:szCs w:val="24"/>
                <w:highlight w:val="none"/>
                <w:lang w:val="en-US"/>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统为医院提供一套综合的网络业务管理平台适配国产化操作系统，平台涉及到网络以及多种硬件和软件，它将汇聚在中心服务器端的各式各样的医院宣教信息（如：视频、图片、文本、Flash、数据、网页等）通过网络（可以是局域网、广域网）按需求迅速、准确地推向分布在各处的多媒体一体机设备上显示。系统功能包括设备管理、设备监控、元素管理、模版管理、任务管理、权限管理等功能模块。</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统安全性要求，为业务系统服务器提供安全态势感知系统云账号。支持采集和展示网络防御、文件防御、防篡改、防勒索、内核加固等模块中的日志，以安全大数据为基础进行研判分析，从全局视角提升对安全威胁的发现识别、理解分析、报表分析等能力。（</w:t>
            </w:r>
            <w:r>
              <w:rPr>
                <w:rFonts w:hint="eastAsia" w:ascii="宋体" w:hAnsi="宋体" w:eastAsia="宋体" w:cs="宋体"/>
                <w:b/>
                <w:bCs/>
                <w:color w:val="000000" w:themeColor="text1"/>
                <w:sz w:val="24"/>
                <w:szCs w:val="24"/>
                <w:highlight w:val="none"/>
                <w14:textFill>
                  <w14:solidFill>
                    <w14:schemeClr w14:val="tx1"/>
                  </w14:solidFill>
                </w14:textFill>
              </w:rPr>
              <w:t>提供功能截图</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为业务系统服务器提供7*24小时计算机AI（计算机人工智能，非人工）值守云服务，并分析攻击级别后由该工具自动通过APP图文内容推送或语音报警电话通知安全工程师进行相关应急处理。支持对业务系统 、勒索防护服务工具、安全态势感知系统进行集中管控，可实现统一后台管理和单点登录。（</w:t>
            </w:r>
            <w:r>
              <w:rPr>
                <w:rFonts w:hint="eastAsia" w:ascii="宋体" w:hAnsi="宋体" w:eastAsia="宋体" w:cs="宋体"/>
                <w:b/>
                <w:bCs/>
                <w:color w:val="000000" w:themeColor="text1"/>
                <w:sz w:val="24"/>
                <w:szCs w:val="24"/>
                <w:highlight w:val="none"/>
                <w14:textFill>
                  <w14:solidFill>
                    <w14:schemeClr w14:val="tx1"/>
                  </w14:solidFill>
                </w14:textFill>
              </w:rPr>
              <w:t>提供功能可实现承诺书并加盖供应商鲜章</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4</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可播放各种格式的图片、文档、FLASH、网页及音视频。支持同时叠加多个元素同时播放。</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5</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多媒体播放模版可自定义设置多个区域多个模块，播放不同内容，同时支持异形模版展示，如月亮型区域划分、六边形区域划分，并可在区域内播放图片、视频、文字等。</w:t>
            </w:r>
            <w:r>
              <w:rPr>
                <w:rFonts w:hint="eastAsia" w:ascii="宋体" w:hAnsi="宋体" w:cs="宋体"/>
                <w:b/>
                <w:bCs/>
                <w:color w:val="000000" w:themeColor="text1"/>
                <w:kern w:val="0"/>
                <w:sz w:val="24"/>
                <w:szCs w:val="24"/>
                <w:highlight w:val="none"/>
                <w14:textFill>
                  <w14:solidFill>
                    <w14:schemeClr w14:val="tx1"/>
                  </w14:solidFill>
                </w14:textFill>
              </w:rPr>
              <w:t>（提供相关截图）</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6</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图像明亮清晰，不受显示屏尺寸大小限制可满屏播放，视频播放连续，无动画和马赛克，画面流畅。</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7</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每个液晶屏幕上可以播放不同的节目，每个液晶屏幕上可以自由分割出多画面同时播放，支持各种高清播放格式文件。</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8</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可以指定终端空闲时间下载，宽带占用率低，不会影响正常的网络办公。在网络断开或服务器瘫痪的条件下，不影响显示端的正常播放。</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9</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可通过制定、编辑节目播放列表，网络管理播放顺序。</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10</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播放列表设定多个媒体内容的播放时间次序。可定时播放、指定时间播放、随时插播，可以对发布时间（开始，持续，结束）、发布顺序等进行编制和定义管理。</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显示屏幕划分成多个区域，每个区域可根据我院需求播放不同的多媒体节目，可设置不同大小。我院可以利用系统中提供的固定模版，也可以通过系统的模版制作模块，自己任意拖拉制作新的分割画面模版。可预定所有区域的播放日期和时间，也可对每个区域设定一个独立的播放时间表。</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系统提供多种不同的屏幕划分显示模版供选择，同时还可以自己编辑新的布局模版，这些布局可以作为模板，在节目编排时使用。</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可以随时随地的向各显示播放端发布“滚动字幕（跑马灯信息）”，而且“滚动字幕”的字体类型、大小、颜色、滚动速度与位置都允许调整。</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13</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具有紧急信息和临时信息的插入播放功能，紧急信息或临时播放完毕能够自动切换到原播放节目。</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14</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可以在主控端控制和调节各个显示终端的声音大小。</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15</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系统要求支持一机多用的设置，根据我院要求，随时改变其功能，点播、直播、信息发布功能随意切换，一屏多用，节省资源。</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16</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支持各种多媒体档案格式，包含： MPEG-2, AVI, RMVB、WMV、DAT、 JPEG、 BMP、TXT、MP3等；支持网络上流行的各类格式，如RMVB、FLV；并能够很好的兼容后续的新的媒体格式；</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系统支持各类素材的分类管理，格式转换灵活，可对素材进行预览；</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支持提供常规节目模板库；管理员可自行设计制作模板，或在模板基础上进行定制修改形成新的模板，可以保存、复用；可以导入导出节目模板；</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17</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可以简单而轻松地编辑和自动生成播放列表；一个节目可以排在一个时段、或连续多个时段播出，或全天播出同一节目。节目表一次可设定31天的播放内容；</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18</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对所有显示终端设备进行有效的管理，包括IP管理、时间校对管理、显示终端分组管理等；</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19</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对系统的用户及用户组、发布点及发布组、多级管理等功能进行权限的设置，以方便系统的管理及维护。</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20</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播出单审核功能：系统具备播出单审核与预览功能，操作员编辑后的播出单，需要通过对应的审核员进行审核，审核后的播出单才能进行发布，审核不通过的进行打回，通过站内消息通知操作员。</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21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实时查看各终端的网络联机状态监控其运行情况，提供播放日志，管理人员可以直接浏览、查询和导出。日志文件的数据包括播放文件的时间信息及次数、文件下载时间、开关机时间等等；</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22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远程设置终端的定时播放/音量/重启功能，当终端出现异常情况，系统可远程重启终端播放器，使之恢复正常。支持远程升级，可通过网络进行智能软件升级，无需到现场进行操作；可对所有终端实施分组管理模式，同一组的终端可以进行统一设置</w:t>
            </w:r>
          </w:p>
        </w:tc>
        <w:tc>
          <w:tcPr>
            <w:tcW w:w="829" w:type="dxa"/>
            <w:tcBorders>
              <w:top w:val="nil"/>
              <w:left w:val="nil"/>
              <w:bottom w:val="single" w:color="auto" w:sz="4" w:space="0"/>
              <w:right w:val="single" w:color="auto" w:sz="4" w:space="0"/>
            </w:tcBorders>
            <w:shd w:val="clear" w:color="000000" w:fill="FFFFFF"/>
            <w:vAlign w:val="center"/>
          </w:tcPr>
          <w:p w14:paraId="4AF60B42">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682" w:type="dxa"/>
            <w:tcBorders>
              <w:top w:val="nil"/>
              <w:left w:val="nil"/>
              <w:bottom w:val="single" w:color="auto" w:sz="4" w:space="0"/>
              <w:right w:val="single" w:color="auto" w:sz="4" w:space="0"/>
            </w:tcBorders>
            <w:shd w:val="clear" w:color="auto" w:fill="auto"/>
            <w:vAlign w:val="center"/>
          </w:tcPr>
          <w:p w14:paraId="086DAA6C">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53848FD5">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4CF9D454">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11</w:t>
            </w:r>
          </w:p>
        </w:tc>
        <w:tc>
          <w:tcPr>
            <w:tcW w:w="1132" w:type="dxa"/>
            <w:tcBorders>
              <w:top w:val="nil"/>
              <w:left w:val="nil"/>
              <w:bottom w:val="single" w:color="auto" w:sz="4" w:space="0"/>
              <w:right w:val="single" w:color="auto" w:sz="4" w:space="0"/>
            </w:tcBorders>
            <w:shd w:val="clear" w:color="auto" w:fill="auto"/>
            <w:vAlign w:val="center"/>
          </w:tcPr>
          <w:p w14:paraId="0EC7E003">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导诊叫号系统</w:t>
            </w:r>
          </w:p>
        </w:tc>
        <w:tc>
          <w:tcPr>
            <w:tcW w:w="5910" w:type="dxa"/>
            <w:tcBorders>
              <w:top w:val="nil"/>
              <w:left w:val="nil"/>
              <w:bottom w:val="single" w:color="auto" w:sz="4" w:space="0"/>
              <w:right w:val="single" w:color="auto" w:sz="4" w:space="0"/>
            </w:tcBorders>
            <w:shd w:val="clear" w:color="auto" w:fill="auto"/>
            <w:vAlign w:val="center"/>
          </w:tcPr>
          <w:p w14:paraId="413C50B2">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cs="宋体"/>
                <w:color w:val="000000" w:themeColor="text1"/>
                <w:sz w:val="24"/>
                <w:szCs w:val="24"/>
                <w:highlight w:val="none"/>
                <w:lang w:val="en-US"/>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系统适配国产化操作系统可根据诊间环境大小及特点设定诊间等候区等候人数1-3人不等；</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患者多的时候，可以开启二级分诊模式。</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系统支持对复诊、过号患者与初诊患者进行间隔呼叫的设定，设定规设定灵活简便。</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4</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系统须支持全自动形成队列、人工报到形成队列（患者自助报到、护士操作报到）以及自动及人工混合报到三种模式；</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5</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支持一对多（单个医生看诊多个队列）和多对一（多个医生看诊同一个队列）叫号模式；</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6</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支持一诊室一医生、一诊室多医生的排队叫号模式；</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7</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支持患者刷卡/扫描签到排队模式；支持非签到自动排队模式；支持自助取号排队模式；</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8</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支持当日挂号与预约患者混合排队模式，预约患者在预约时段内优先就诊。</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9</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系统须支持队列预检功能，例如检查科室或老师带学生模式。</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sz w:val="24"/>
                <w:szCs w:val="24"/>
                <w:highlight w:val="none"/>
                <w:lang w:eastAsia="zh-CN"/>
                <w14:textFill>
                  <w14:solidFill>
                    <w14:schemeClr w14:val="tx1"/>
                  </w14:solidFill>
                </w14:textFill>
              </w:rPr>
              <w:t>须</w:t>
            </w:r>
            <w:r>
              <w:rPr>
                <w:rFonts w:hint="eastAsia" w:ascii="宋体" w:hAnsi="宋体" w:cs="宋体"/>
                <w:b/>
                <w:bCs/>
                <w:color w:val="000000" w:themeColor="text1"/>
                <w:kern w:val="0"/>
                <w:sz w:val="24"/>
                <w:szCs w:val="24"/>
                <w:highlight w:val="none"/>
                <w14:textFill>
                  <w14:solidFill>
                    <w14:schemeClr w14:val="tx1"/>
                  </w14:solidFill>
                </w14:textFill>
              </w:rPr>
              <w:t>提供功能截图</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10</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中午午休时间，系统可自动切换到信息发布显示，叫号屏播放医院自己的宣教片。</w:t>
            </w:r>
          </w:p>
        </w:tc>
        <w:tc>
          <w:tcPr>
            <w:tcW w:w="829" w:type="dxa"/>
            <w:tcBorders>
              <w:top w:val="nil"/>
              <w:left w:val="nil"/>
              <w:bottom w:val="single" w:color="auto" w:sz="4" w:space="0"/>
              <w:right w:val="single" w:color="auto" w:sz="4" w:space="0"/>
            </w:tcBorders>
            <w:shd w:val="clear" w:color="000000" w:fill="FFFFFF"/>
            <w:vAlign w:val="center"/>
          </w:tcPr>
          <w:p w14:paraId="5D6779A7">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682" w:type="dxa"/>
            <w:tcBorders>
              <w:top w:val="nil"/>
              <w:left w:val="nil"/>
              <w:bottom w:val="single" w:color="auto" w:sz="4" w:space="0"/>
              <w:right w:val="single" w:color="auto" w:sz="4" w:space="0"/>
            </w:tcBorders>
            <w:shd w:val="clear" w:color="auto" w:fill="auto"/>
            <w:vAlign w:val="center"/>
          </w:tcPr>
          <w:p w14:paraId="37FEEA45">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78BBFD2B">
        <w:tblPrEx>
          <w:tblCellMar>
            <w:top w:w="0" w:type="dxa"/>
            <w:left w:w="108" w:type="dxa"/>
            <w:bottom w:w="0" w:type="dxa"/>
            <w:right w:w="108" w:type="dxa"/>
          </w:tblCellMar>
        </w:tblPrEx>
        <w:trPr>
          <w:trHeight w:val="835"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51C1A386">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12</w:t>
            </w:r>
          </w:p>
        </w:tc>
        <w:tc>
          <w:tcPr>
            <w:tcW w:w="1132" w:type="dxa"/>
            <w:tcBorders>
              <w:top w:val="nil"/>
              <w:left w:val="nil"/>
              <w:bottom w:val="single" w:color="auto" w:sz="4" w:space="0"/>
              <w:right w:val="single" w:color="auto" w:sz="4" w:space="0"/>
            </w:tcBorders>
            <w:shd w:val="clear" w:color="auto" w:fill="auto"/>
            <w:vAlign w:val="center"/>
          </w:tcPr>
          <w:p w14:paraId="5CDF2FC8">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数据接口软件</w:t>
            </w:r>
          </w:p>
        </w:tc>
        <w:tc>
          <w:tcPr>
            <w:tcW w:w="5910" w:type="dxa"/>
            <w:tcBorders>
              <w:top w:val="nil"/>
              <w:left w:val="nil"/>
              <w:bottom w:val="single" w:color="auto" w:sz="4" w:space="0"/>
              <w:right w:val="single" w:color="auto" w:sz="4" w:space="0"/>
            </w:tcBorders>
            <w:shd w:val="clear" w:color="auto" w:fill="auto"/>
            <w:vAlign w:val="center"/>
          </w:tcPr>
          <w:p w14:paraId="5090F4AF">
            <w:pPr>
              <w:widowControl/>
              <w:adjustRightInd/>
              <w:snapToGrid/>
              <w:spacing w:line="240" w:lineRule="auto"/>
              <w:ind w:firstLine="0" w:firstLineChars="0"/>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pPr>
            <w:r>
              <w:rPr>
                <w:rFonts w:hint="default" w:ascii="宋体" w:hAnsi="宋体" w:cs="宋体"/>
                <w:color w:val="000000" w:themeColor="text1"/>
                <w:kern w:val="0"/>
                <w:sz w:val="24"/>
                <w:szCs w:val="24"/>
                <w:highlight w:val="none"/>
                <w:lang w:val="en-US" w:eastAsia="zh-CN" w:bidi="ar-SA"/>
                <w14:textFill>
                  <w14:solidFill>
                    <w14:schemeClr w14:val="tx1"/>
                  </w14:solidFill>
                </w14:textFill>
              </w:rPr>
              <w:t>1</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可根据实际项目具体需求，对医院HIS系统厂商开放供货方数据库，允许合作方对数据库直接操作。</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2</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可提供同等规模同类项目系统接口范例；</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br w:type="textWrapping"/>
            </w:r>
            <w:r>
              <w:rPr>
                <w:rFonts w:hint="default" w:ascii="宋体" w:hAnsi="宋体" w:cs="宋体"/>
                <w:color w:val="000000" w:themeColor="text1"/>
                <w:kern w:val="0"/>
                <w:sz w:val="24"/>
                <w:szCs w:val="24"/>
                <w:highlight w:val="none"/>
                <w:lang w:val="en-US" w:eastAsia="zh-CN" w:bidi="ar-SA"/>
                <w14:textFill>
                  <w14:solidFill>
                    <w14:schemeClr w14:val="tx1"/>
                  </w14:solidFill>
                </w14:textFill>
              </w:rPr>
              <w:t>3</w:t>
            </w:r>
            <w:r>
              <w:rPr>
                <w:rFonts w:hint="eastAsia" w:ascii="宋体" w:hAnsi="宋体" w:cs="宋体"/>
                <w:color w:val="000000" w:themeColor="text1"/>
                <w:kern w:val="0"/>
                <w:sz w:val="24"/>
                <w:szCs w:val="24"/>
                <w:highlight w:val="none"/>
                <w:lang w:val="en-US" w:eastAsia="zh-CN" w:bidi="ar-SA"/>
                <w14:textFill>
                  <w14:solidFill>
                    <w14:schemeClr w14:val="tx1"/>
                  </w14:solidFill>
                </w14:textFill>
              </w:rPr>
              <w:t>、</w:t>
            </w:r>
            <w:r>
              <w:rPr>
                <w:rFonts w:hint="eastAsia" w:ascii="宋体" w:hAnsi="宋体" w:eastAsia="宋体" w:cs="宋体"/>
                <w:color w:val="000000" w:themeColor="text1"/>
                <w:kern w:val="0"/>
                <w:sz w:val="24"/>
                <w:szCs w:val="24"/>
                <w:highlight w:val="none"/>
                <w:lang w:val="en-US" w:eastAsia="zh-CN" w:bidi="ar-SA"/>
                <w14:textFill>
                  <w14:solidFill>
                    <w14:schemeClr w14:val="tx1"/>
                  </w14:solidFill>
                </w14:textFill>
              </w:rPr>
              <w:t>支持数据库视图、中间表、Web service、SOCKET、DLL调用、webapi等多方式实现与HIS系统及其他信息系统的数据交换</w:t>
            </w:r>
          </w:p>
          <w:p w14:paraId="4F2DF67B">
            <w:pPr>
              <w:pStyle w:val="2"/>
              <w:rPr>
                <w:rFonts w:hint="eastAsia"/>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hint="default" w:ascii="宋体" w:hAnsi="宋体" w:cs="宋体"/>
                <w:color w:val="000000" w:themeColor="text1"/>
                <w:kern w:val="0"/>
                <w:sz w:val="24"/>
                <w:szCs w:val="24"/>
                <w:highlight w:val="none"/>
                <w:lang w:val="en-US"/>
                <w14:textFill>
                  <w14:solidFill>
                    <w14:schemeClr w14:val="tx1"/>
                  </w14:solidFill>
                </w14:textFill>
              </w:rPr>
              <w:t>4</w:t>
            </w:r>
            <w:r>
              <w:rPr>
                <w:rFonts w:hint="eastAsia" w:ascii="宋体" w:hAnsi="宋体" w:cs="宋体"/>
                <w:color w:val="000000" w:themeColor="text1"/>
                <w:kern w:val="0"/>
                <w:sz w:val="24"/>
                <w:szCs w:val="24"/>
                <w:highlight w:val="none"/>
                <w:lang w:val="en-US" w:eastAsia="zh-CN"/>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为保证医院投资及管理效益的最优性，本次项目设备及配套系统需与医院原有信息（软件）系统进行无缝对接，为保证系统的兼容性、连续性、稳定性和数据一致性，须与现有医院系统功能、数据、流程等信息（软件）系统进行无缝对接。供应商需承诺承担保障系统正常运行所要配备的所有费用，包含但不限于第三方系统对接费等。</w:t>
            </w:r>
            <w:r>
              <w:rPr>
                <w:rFonts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供应商需提供满足以上要求的承诺函，格式自拟。</w:t>
            </w:r>
            <w:r>
              <w:rPr>
                <w:rFonts w:ascii="宋体" w:hAnsi="宋体" w:cs="宋体"/>
                <w:color w:val="000000" w:themeColor="text1"/>
                <w:kern w:val="0"/>
                <w:sz w:val="24"/>
                <w:szCs w:val="24"/>
                <w:highlight w:val="none"/>
                <w14:textFill>
                  <w14:solidFill>
                    <w14:schemeClr w14:val="tx1"/>
                  </w14:solidFill>
                </w14:textFill>
              </w:rPr>
              <w:t>)</w:t>
            </w:r>
          </w:p>
        </w:tc>
        <w:tc>
          <w:tcPr>
            <w:tcW w:w="829" w:type="dxa"/>
            <w:tcBorders>
              <w:top w:val="nil"/>
              <w:left w:val="nil"/>
              <w:bottom w:val="single" w:color="auto" w:sz="4" w:space="0"/>
              <w:right w:val="single" w:color="auto" w:sz="4" w:space="0"/>
            </w:tcBorders>
            <w:shd w:val="clear" w:color="000000" w:fill="FFFFFF"/>
            <w:vAlign w:val="center"/>
          </w:tcPr>
          <w:p w14:paraId="61198E6F">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682" w:type="dxa"/>
            <w:tcBorders>
              <w:top w:val="nil"/>
              <w:left w:val="nil"/>
              <w:bottom w:val="single" w:color="auto" w:sz="4" w:space="0"/>
              <w:right w:val="single" w:color="auto" w:sz="4" w:space="0"/>
            </w:tcBorders>
            <w:shd w:val="clear" w:color="auto" w:fill="auto"/>
            <w:vAlign w:val="center"/>
          </w:tcPr>
          <w:p w14:paraId="56243027">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65E95066">
        <w:tblPrEx>
          <w:tblCellMar>
            <w:top w:w="0" w:type="dxa"/>
            <w:left w:w="108" w:type="dxa"/>
            <w:bottom w:w="0" w:type="dxa"/>
            <w:right w:w="108" w:type="dxa"/>
          </w:tblCellMar>
        </w:tblPrEx>
        <w:trPr>
          <w:trHeight w:val="9091"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7ABAA81A">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13</w:t>
            </w:r>
          </w:p>
        </w:tc>
        <w:tc>
          <w:tcPr>
            <w:tcW w:w="1132" w:type="dxa"/>
            <w:tcBorders>
              <w:top w:val="nil"/>
              <w:left w:val="nil"/>
              <w:bottom w:val="single" w:color="auto" w:sz="4" w:space="0"/>
              <w:right w:val="single" w:color="auto" w:sz="4" w:space="0"/>
            </w:tcBorders>
            <w:shd w:val="clear" w:color="auto" w:fill="auto"/>
            <w:vAlign w:val="center"/>
          </w:tcPr>
          <w:p w14:paraId="36C6593A">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护士分诊台管理客户端软件</w:t>
            </w:r>
          </w:p>
        </w:tc>
        <w:tc>
          <w:tcPr>
            <w:tcW w:w="5910" w:type="dxa"/>
            <w:tcBorders>
              <w:top w:val="nil"/>
              <w:left w:val="nil"/>
              <w:bottom w:val="single" w:color="auto" w:sz="4" w:space="0"/>
              <w:right w:val="single" w:color="auto" w:sz="4" w:space="0"/>
            </w:tcBorders>
            <w:shd w:val="clear" w:color="auto" w:fill="auto"/>
            <w:vAlign w:val="center"/>
          </w:tcPr>
          <w:p w14:paraId="3FDCD255">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cs="宋体"/>
                <w:color w:val="000000" w:themeColor="text1"/>
                <w:sz w:val="24"/>
                <w:szCs w:val="24"/>
                <w:highlight w:val="none"/>
                <w:lang w:val="en-US"/>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支持查看当前诊区的每个队列叫号情况（如：排队队列名称、候诊人数、已就诊人数、未到过号人数、当前队列最后一次呼叫的患者姓名、排队序号、呼叫医生或诊位、叫号时间等）</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支持同步HIS系统中医生排班数据，并支持临时手动调整功能；支持编辑周期内医生排班功能，并支持对医生每天出诊情况进行手动调整；</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支持预约功能，可按照未来某一天某个时段对患者进行预约，有效分散患者就诊时间；具备预约时段管理，时段跨度可根据我院情况进行调整；具备预约人数管理，要求时段内预约人数峰值可以自由设定；具备预警功能，当时段内预约人数临近或超出设定峰值，系统要有提醒功能，通过警示色或者拒绝预约等方式提示。</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护士站分诊台应支持替呼功能，通过操作人员在诊台点击下一位或呼叫按钮，代替诊室/检查室/窗口工作人员呼叫下一位人员；</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可以查看某检查项的排队信息，包含剩余号量、等候人数、过号人数、预约未报到人数，以及个患者的排队检查信息。同时可以为患者做“优先”、“暂停”、“调号”等操作。</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4</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支持刷卡、扫描条码、手工录入等多种方式进行初诊患者签到、复诊患者二次签到、过号患者再报到、患者状态查询、患者排序调号、患者预约等；</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5</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早间高峰期患者突增情况下，分诊台软件须支持自动报到和手动批量报到机制，避免患者拥堵分诊台签到，降低排队护士工作量；</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6</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在普通号情况下，分诊台系统须支持将患者手动分配至指定医生或诊室下排队候诊；</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7</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支持同一诊区下转诊功能，可将患者从一个队列转到另一个队列排队；</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8</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患者在一个诊区有多个检查项时，系统须支持一次报到操作即进入多个检查项队列的功能，要求具备一个检查项呼叫患者，其他检查项自动暂停对该名患者进行呼叫，当患者其中一个检查项诊结完毕时，其他未间项再对患者进行呼叫，避免过号产生；</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9</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统须支持延迟呼叫，例如在检查、检验科室，当患者暂时不满足检查、检验条件时，护士可对患者进行延迟就诊操作，延迟时长可自定义，时间截止时，自动取消患者延迟状态，也可以通过护士手动取消患者延迟状态</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10</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支持复诊（回诊）患者签到再次进入队列功能，同时可根据需求设置复诊插队策略，例如：优先插队、间隔插队；</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支持在后台队列开启预留号时，分诊台可以为正在排队人员赋予预留号，方便特殊人员优先排队；</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支持诊区模式为急诊时，排队人员等级以不同颜色区分展示，同时展示排队候诊时长倒计时；</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13</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分诊台须支持复诊隔天报到选择，如口腔患者可支持多日复诊排队功能；</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14</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支持当前区域内发生紧急情况时（包括但不限于：“危急重症患者需转运”、“医生工作站故障”、“有人寻衅滋事”、“区域泛水”等，也支持自定义填写），可及时给上级部门发送求援信息请求协助；</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15</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系统应支持以即时聊天形式输入文字信息发送给检查室/诊室/窗口的工作人员，检查室/诊室/窗口工作人员可进行常用语的消息回复，并记录对话；</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16</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支持在预检补录时录入跌倒评估状态，如：意识障碍、步态不稳、需人陪伴、协助行器、特殊术后、视力障碍等；</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17</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通过手动录入人员信息选择队列进入排队，在录入时支持通过读卡/扫描/手动输入等方式输入人员基本信息，包括但不限于：人员姓名、性别、出生年月日、身份证号、就诊卡号、社保卡号、身高、体重、血压、选择科室、选择医生等；</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18</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支持绿色通道（弃号）功能，可不经叫号直接就诊；</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系统支持记录护士上一步操作功能，主界面位置显示上一步护士操作信息；</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19</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软件支持密码登录功能，防止其他人员误操作。</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21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分诊台须支持操作记录追溯功能，可按日期、按患者卡号等多种方式进行查询追溯，支持查看患者往期就诊记录，就诊科室、就诊医生、操作护士等；</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22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系统须支持分诊台语音播报发布功能，支持内容自定义编辑，指定终端发布、多时段播放等功能，并支持历史播报内容的记录查看和重播功能。</w:t>
            </w:r>
          </w:p>
        </w:tc>
        <w:tc>
          <w:tcPr>
            <w:tcW w:w="829" w:type="dxa"/>
            <w:tcBorders>
              <w:top w:val="nil"/>
              <w:left w:val="nil"/>
              <w:bottom w:val="single" w:color="auto" w:sz="4" w:space="0"/>
              <w:right w:val="single" w:color="auto" w:sz="4" w:space="0"/>
            </w:tcBorders>
            <w:shd w:val="clear" w:color="000000" w:fill="FFFFFF"/>
            <w:vAlign w:val="center"/>
          </w:tcPr>
          <w:p w14:paraId="16D14313">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8</w:t>
            </w:r>
          </w:p>
        </w:tc>
        <w:tc>
          <w:tcPr>
            <w:tcW w:w="682" w:type="dxa"/>
            <w:tcBorders>
              <w:top w:val="nil"/>
              <w:left w:val="nil"/>
              <w:bottom w:val="single" w:color="auto" w:sz="4" w:space="0"/>
              <w:right w:val="single" w:color="auto" w:sz="4" w:space="0"/>
            </w:tcBorders>
            <w:shd w:val="clear" w:color="auto" w:fill="auto"/>
            <w:vAlign w:val="center"/>
          </w:tcPr>
          <w:p w14:paraId="068C427B">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7322819D">
        <w:tblPrEx>
          <w:tblCellMar>
            <w:top w:w="0" w:type="dxa"/>
            <w:left w:w="108" w:type="dxa"/>
            <w:bottom w:w="0" w:type="dxa"/>
            <w:right w:w="108" w:type="dxa"/>
          </w:tblCellMar>
        </w:tblPrEx>
        <w:trPr>
          <w:trHeight w:val="6829"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54995F57">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14</w:t>
            </w:r>
          </w:p>
        </w:tc>
        <w:tc>
          <w:tcPr>
            <w:tcW w:w="1132" w:type="dxa"/>
            <w:tcBorders>
              <w:top w:val="nil"/>
              <w:left w:val="nil"/>
              <w:bottom w:val="single" w:color="auto" w:sz="4" w:space="0"/>
              <w:right w:val="single" w:color="auto" w:sz="4" w:space="0"/>
            </w:tcBorders>
            <w:shd w:val="clear" w:color="auto" w:fill="auto"/>
            <w:vAlign w:val="center"/>
          </w:tcPr>
          <w:p w14:paraId="3AEE094F">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医生工作站客户端软件</w:t>
            </w:r>
          </w:p>
        </w:tc>
        <w:tc>
          <w:tcPr>
            <w:tcW w:w="5910" w:type="dxa"/>
            <w:tcBorders>
              <w:top w:val="nil"/>
              <w:left w:val="nil"/>
              <w:bottom w:val="single" w:color="auto" w:sz="4" w:space="0"/>
              <w:right w:val="single" w:color="auto" w:sz="4" w:space="0"/>
            </w:tcBorders>
            <w:shd w:val="clear" w:color="auto" w:fill="auto"/>
            <w:vAlign w:val="center"/>
          </w:tcPr>
          <w:p w14:paraId="23976BE4">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cs="宋体"/>
                <w:color w:val="000000" w:themeColor="text1"/>
                <w:sz w:val="24"/>
                <w:szCs w:val="24"/>
                <w:highlight w:val="none"/>
                <w:lang w:val="en-US"/>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支持医生ID号登录；</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支持顺序呼叫、选择呼叫、扫描呼叫等三种呼叫方式；</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支持叫号、重呼、选呼三种呼叫方式；支持过号（呼叫未到）、诊结两种结束状态；支持暂离、停诊等状态切换；</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4</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支持过号（呼叫未到）患者按规则自动重排，并可在后台统一设定诊区过号自动重排的次数；支持可选择呼叫过号患者就诊功能。</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5</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支持使用人员与分诊台发送文字聊天功能；</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cs="宋体"/>
                <w:b/>
                <w:bCs/>
                <w:color w:val="000000" w:themeColor="text1"/>
                <w:kern w:val="0"/>
                <w:sz w:val="24"/>
                <w:szCs w:val="24"/>
                <w:highlight w:val="none"/>
                <w14:textFill>
                  <w14:solidFill>
                    <w14:schemeClr w14:val="tx1"/>
                  </w14:solidFill>
                </w14:textFill>
              </w:rPr>
              <w:t>提供功能截图</w:t>
            </w:r>
            <w:r>
              <w:rPr>
                <w:rFonts w:hint="eastAsia" w:ascii="宋体" w:hAnsi="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6</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支持展示已签到排队人员列表，包括但不限于：候诊人数、序号、姓名、性别、年龄、及预检补录信息中的血压、体温、候诊时长或检查项目注意事项等；</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7</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支持功能按钮快捷键方式，可自定义设置快捷键；</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8</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支持无等候患者状态下，新患者签到提醒；</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9</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医生叫号器可设置门口等候患者数量；</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10</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支持叫号器样式选择，支持常规叫号模式和大字体叫号模式；</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叫号器须支持自定义多队列叫号规则设定，支持不同队列优先级调整，支持绝对优先调整，也可记录上一次叫号规则记录，并可重新设定。</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支持悬浮窗及自动停靠；</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同一患者排多个队列，被呼叫时其他队列自动挂起，诊结后自动恢复等候状态。</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eastAsia" w:ascii="宋体" w:hAnsi="宋体" w:eastAsia="宋体" w:cs="宋体"/>
                <w:color w:val="000000" w:themeColor="text1"/>
                <w:sz w:val="24"/>
                <w:szCs w:val="24"/>
                <w:highlight w:val="none"/>
                <w14:textFill>
                  <w14:solidFill>
                    <w14:schemeClr w14:val="tx1"/>
                  </w14:solidFill>
                </w14:textFill>
              </w:rPr>
              <w:t>可显示当前呼叫患者检查项目；</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13</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支持医生求援功能，当即将发生伤医事件时可通过快捷按键隐蔽触发求援，通知护士站、门办及第三方安保力量；</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14</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支持文字转语音广播功能，通过输入文字选择业务终端发送广播；</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15</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可开放叫号器功能接口，允许第三方系统调用。</w:t>
            </w:r>
          </w:p>
        </w:tc>
        <w:tc>
          <w:tcPr>
            <w:tcW w:w="829" w:type="dxa"/>
            <w:tcBorders>
              <w:top w:val="nil"/>
              <w:left w:val="nil"/>
              <w:bottom w:val="single" w:color="auto" w:sz="4" w:space="0"/>
              <w:right w:val="single" w:color="auto" w:sz="4" w:space="0"/>
            </w:tcBorders>
            <w:shd w:val="clear" w:color="000000" w:fill="FFFFFF"/>
            <w:vAlign w:val="center"/>
          </w:tcPr>
          <w:p w14:paraId="308D62AA">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20</w:t>
            </w:r>
          </w:p>
        </w:tc>
        <w:tc>
          <w:tcPr>
            <w:tcW w:w="682" w:type="dxa"/>
            <w:tcBorders>
              <w:top w:val="nil"/>
              <w:left w:val="nil"/>
              <w:bottom w:val="single" w:color="auto" w:sz="4" w:space="0"/>
              <w:right w:val="single" w:color="auto" w:sz="4" w:space="0"/>
            </w:tcBorders>
            <w:shd w:val="clear" w:color="auto" w:fill="auto"/>
            <w:vAlign w:val="center"/>
          </w:tcPr>
          <w:p w14:paraId="08D09109">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61DC5E4D">
        <w:tblPrEx>
          <w:tblCellMar>
            <w:top w:w="0" w:type="dxa"/>
            <w:left w:w="108" w:type="dxa"/>
            <w:bottom w:w="0" w:type="dxa"/>
            <w:right w:w="108" w:type="dxa"/>
          </w:tblCellMar>
        </w:tblPrEx>
        <w:trPr>
          <w:trHeight w:val="592"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70EE6003">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15</w:t>
            </w:r>
          </w:p>
        </w:tc>
        <w:tc>
          <w:tcPr>
            <w:tcW w:w="1132" w:type="dxa"/>
            <w:tcBorders>
              <w:top w:val="nil"/>
              <w:left w:val="nil"/>
              <w:bottom w:val="single" w:color="auto" w:sz="4" w:space="0"/>
              <w:right w:val="single" w:color="auto" w:sz="4" w:space="0"/>
            </w:tcBorders>
            <w:shd w:val="clear" w:color="auto" w:fill="auto"/>
            <w:vAlign w:val="center"/>
          </w:tcPr>
          <w:p w14:paraId="7EC56FC4">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信息显示客户端软件</w:t>
            </w:r>
          </w:p>
        </w:tc>
        <w:tc>
          <w:tcPr>
            <w:tcW w:w="5910" w:type="dxa"/>
            <w:tcBorders>
              <w:top w:val="nil"/>
              <w:left w:val="nil"/>
              <w:bottom w:val="single" w:color="auto" w:sz="4" w:space="0"/>
              <w:right w:val="single" w:color="auto" w:sz="4" w:space="0"/>
            </w:tcBorders>
            <w:shd w:val="clear" w:color="auto" w:fill="auto"/>
            <w:vAlign w:val="center"/>
          </w:tcPr>
          <w:p w14:paraId="35A6033E">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default" w:ascii="宋体" w:hAnsi="宋体" w:cs="宋体"/>
                <w:color w:val="000000" w:themeColor="text1"/>
                <w:sz w:val="24"/>
                <w:szCs w:val="24"/>
                <w:highlight w:val="none"/>
                <w:lang w:val="en-US"/>
                <w14:textFill>
                  <w14:solidFill>
                    <w14:schemeClr w14:val="tx1"/>
                  </w14:solidFill>
                </w14:textFill>
              </w:rPr>
              <w:t>1</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每个终端需具备证书授权功能，防止内容篡改，保证稳定发布。</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2</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支持基于HTTP、RTSP、UDP等各类流媒体协议的视频流接收及播放，可以设定缓冲，支持多终端同步播放；</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3</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应具备接收来自系统的播放时间端数据，基于硬件的RTC时钟设计，进行终端的起动、关闭进入低功耗模式等操作动作。</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4</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支持主动响应分诊台、叫号器发送的文字内容，转为为语音进行广播；</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5</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支持主动响应叫号器呼叫信息，进行语音播报，包括但不限于：分诊台呼叫、一级叫号、二级候诊呼叫等；</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6</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支持每种呼叫语音组成内容可根据系统后台自定义设定的组合方式进行播报；</w:t>
            </w:r>
            <w:r>
              <w:rPr>
                <w:rFonts w:hint="eastAsia" w:ascii="宋体" w:hAnsi="宋体" w:eastAsia="宋体" w:cs="宋体"/>
                <w:color w:val="000000" w:themeColor="text1"/>
                <w:sz w:val="24"/>
                <w:szCs w:val="24"/>
                <w:highlight w:val="none"/>
                <w14:textFill>
                  <w14:solidFill>
                    <w14:schemeClr w14:val="tx1"/>
                  </w14:solidFill>
                </w14:textFill>
              </w:rPr>
              <w:br w:type="textWrapping"/>
            </w:r>
            <w:r>
              <w:rPr>
                <w:rFonts w:hint="default" w:ascii="宋体" w:hAnsi="宋体" w:cs="宋体"/>
                <w:color w:val="000000" w:themeColor="text1"/>
                <w:sz w:val="24"/>
                <w:szCs w:val="24"/>
                <w:highlight w:val="none"/>
                <w:lang w:val="en-US"/>
                <w14:textFill>
                  <w14:solidFill>
                    <w14:schemeClr w14:val="tx1"/>
                  </w14:solidFill>
                </w14:textFill>
              </w:rPr>
              <w:t>7</w:t>
            </w:r>
            <w:r>
              <w:rPr>
                <w:rFonts w:hint="eastAsia" w:ascii="宋体" w:hAnsi="宋体" w:cs="宋体"/>
                <w:color w:val="000000" w:themeColor="text1"/>
                <w:sz w:val="24"/>
                <w:szCs w:val="24"/>
                <w:highlight w:val="none"/>
                <w:lang w:val="en-US"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支持即时响应分诊台触发的重启、开关机、截屏、清屏等操作。</w:t>
            </w:r>
          </w:p>
        </w:tc>
        <w:tc>
          <w:tcPr>
            <w:tcW w:w="829" w:type="dxa"/>
            <w:tcBorders>
              <w:top w:val="nil"/>
              <w:left w:val="nil"/>
              <w:bottom w:val="single" w:color="auto" w:sz="4" w:space="0"/>
              <w:right w:val="single" w:color="auto" w:sz="4" w:space="0"/>
            </w:tcBorders>
            <w:shd w:val="clear" w:color="000000" w:fill="FFFFFF"/>
            <w:vAlign w:val="center"/>
          </w:tcPr>
          <w:p w14:paraId="663BA1FB">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w:t>
            </w:r>
          </w:p>
        </w:tc>
        <w:tc>
          <w:tcPr>
            <w:tcW w:w="682" w:type="dxa"/>
            <w:tcBorders>
              <w:top w:val="nil"/>
              <w:left w:val="nil"/>
              <w:bottom w:val="single" w:color="auto" w:sz="4" w:space="0"/>
              <w:right w:val="single" w:color="auto" w:sz="4" w:space="0"/>
            </w:tcBorders>
            <w:shd w:val="clear" w:color="auto" w:fill="auto"/>
            <w:vAlign w:val="center"/>
          </w:tcPr>
          <w:p w14:paraId="580714D1">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套</w:t>
            </w:r>
          </w:p>
        </w:tc>
      </w:tr>
      <w:tr w14:paraId="3BB961DA">
        <w:tblPrEx>
          <w:tblCellMar>
            <w:top w:w="0" w:type="dxa"/>
            <w:left w:w="108" w:type="dxa"/>
            <w:bottom w:w="0" w:type="dxa"/>
            <w:right w:w="108" w:type="dxa"/>
          </w:tblCellMar>
        </w:tblPrEx>
        <w:trPr>
          <w:trHeight w:val="668" w:hRule="atLeast"/>
        </w:trPr>
        <w:tc>
          <w:tcPr>
            <w:tcW w:w="865" w:type="dxa"/>
            <w:tcBorders>
              <w:top w:val="nil"/>
              <w:left w:val="single" w:color="auto" w:sz="4" w:space="0"/>
              <w:bottom w:val="single" w:color="auto" w:sz="4" w:space="0"/>
              <w:right w:val="single" w:color="auto" w:sz="4" w:space="0"/>
            </w:tcBorders>
            <w:shd w:val="clear" w:color="auto" w:fill="auto"/>
            <w:vAlign w:val="center"/>
          </w:tcPr>
          <w:p w14:paraId="2A003E89">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16</w:t>
            </w:r>
          </w:p>
        </w:tc>
        <w:tc>
          <w:tcPr>
            <w:tcW w:w="1132" w:type="dxa"/>
            <w:tcBorders>
              <w:top w:val="nil"/>
              <w:left w:val="nil"/>
              <w:bottom w:val="single" w:color="auto" w:sz="4" w:space="0"/>
              <w:right w:val="single" w:color="auto" w:sz="4" w:space="0"/>
            </w:tcBorders>
            <w:shd w:val="clear" w:color="auto" w:fill="auto"/>
            <w:vAlign w:val="center"/>
          </w:tcPr>
          <w:p w14:paraId="4E7AB465">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安装费用</w:t>
            </w:r>
          </w:p>
        </w:tc>
        <w:tc>
          <w:tcPr>
            <w:tcW w:w="5910" w:type="dxa"/>
            <w:tcBorders>
              <w:top w:val="nil"/>
              <w:left w:val="nil"/>
              <w:bottom w:val="single" w:color="auto" w:sz="4" w:space="0"/>
              <w:right w:val="single" w:color="auto" w:sz="4" w:space="0"/>
            </w:tcBorders>
            <w:shd w:val="clear" w:color="auto" w:fill="auto"/>
            <w:vAlign w:val="center"/>
          </w:tcPr>
          <w:p w14:paraId="4AC098A4">
            <w:pPr>
              <w:widowControl/>
              <w:adjustRightInd/>
              <w:snapToGrid/>
              <w:spacing w:line="240" w:lineRule="auto"/>
              <w:ind w:firstLine="0" w:firstLineChars="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门诊叫号系统安装，调试费用</w:t>
            </w:r>
          </w:p>
        </w:tc>
        <w:tc>
          <w:tcPr>
            <w:tcW w:w="829" w:type="dxa"/>
            <w:tcBorders>
              <w:top w:val="nil"/>
              <w:left w:val="nil"/>
              <w:bottom w:val="single" w:color="auto" w:sz="4" w:space="0"/>
              <w:right w:val="single" w:color="auto" w:sz="4" w:space="0"/>
            </w:tcBorders>
            <w:shd w:val="clear" w:color="000000" w:fill="FFFFFF"/>
            <w:vAlign w:val="center"/>
          </w:tcPr>
          <w:p w14:paraId="0ABA5F74">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w:t>
            </w:r>
          </w:p>
        </w:tc>
        <w:tc>
          <w:tcPr>
            <w:tcW w:w="682" w:type="dxa"/>
            <w:tcBorders>
              <w:top w:val="nil"/>
              <w:left w:val="nil"/>
              <w:bottom w:val="single" w:color="auto" w:sz="4" w:space="0"/>
              <w:right w:val="single" w:color="auto" w:sz="4" w:space="0"/>
            </w:tcBorders>
            <w:shd w:val="clear" w:color="auto" w:fill="auto"/>
            <w:vAlign w:val="center"/>
          </w:tcPr>
          <w:p w14:paraId="029EDF57">
            <w:pPr>
              <w:widowControl/>
              <w:adjustRightInd/>
              <w:snapToGrid/>
              <w:spacing w:line="240" w:lineRule="auto"/>
              <w:ind w:firstLine="0" w:firstLineChars="0"/>
              <w:jc w:val="center"/>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项</w:t>
            </w:r>
          </w:p>
        </w:tc>
      </w:tr>
    </w:tbl>
    <w:p w14:paraId="3EDB4930">
      <w:pPr>
        <w:rPr>
          <w:rFonts w:hint="eastAsia" w:ascii="宋体" w:hAnsi="宋体" w:cs="宋体"/>
          <w:b/>
          <w:bCs/>
          <w:color w:val="000000" w:themeColor="text1"/>
          <w:kern w:val="0"/>
          <w:sz w:val="24"/>
          <w:szCs w:val="24"/>
          <w:highlight w:val="none"/>
          <w:lang w:bidi="ar"/>
          <w14:textFill>
            <w14:solidFill>
              <w14:schemeClr w14:val="tx1"/>
            </w14:solidFill>
          </w14:textFill>
        </w:rPr>
      </w:pPr>
    </w:p>
    <w:p w14:paraId="6AE2ED6A">
      <w:pPr>
        <w:snapToGrid w:val="0"/>
        <w:spacing w:line="380" w:lineRule="exact"/>
        <w:ind w:firstLine="482"/>
        <w:jc w:val="left"/>
        <w:rPr>
          <w:rFonts w:hint="eastAsia" w:ascii="宋体" w:hAnsi="宋体" w:cs="宋体"/>
          <w:b/>
          <w:bCs/>
          <w:color w:val="000000" w:themeColor="text1"/>
          <w:sz w:val="24"/>
          <w:szCs w:val="24"/>
          <w:highlight w:val="none"/>
          <w14:textFill>
            <w14:solidFill>
              <w14:schemeClr w14:val="tx1"/>
            </w14:solidFill>
          </w14:textFill>
        </w:rPr>
      </w:pPr>
      <w:bookmarkStart w:id="36" w:name="_Toc148968578"/>
      <w:r>
        <w:rPr>
          <w:rFonts w:hint="eastAsia" w:ascii="宋体" w:hAnsi="宋体" w:cs="宋体"/>
          <w:b/>
          <w:bCs/>
          <w:color w:val="000000" w:themeColor="text1"/>
          <w:sz w:val="24"/>
          <w:szCs w:val="24"/>
          <w:highlight w:val="none"/>
          <w14:textFill>
            <w14:solidFill>
              <w14:schemeClr w14:val="tx1"/>
            </w14:solidFill>
          </w14:textFill>
        </w:rPr>
        <w:t>三、其他要求</w:t>
      </w:r>
      <w:bookmarkEnd w:id="36"/>
    </w:p>
    <w:p w14:paraId="2A443574">
      <w:pPr>
        <w:snapToGrid w:val="0"/>
        <w:spacing w:line="380" w:lineRule="exact"/>
        <w:ind w:firstLine="482"/>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项目不组织集中踏勘，由供应商自行进行踏勘，无论踏勘与否，采购人均视为对现场条件和项目情况有充分的了解。供应商自行考虑各种风险，不得因此申请调价或索赔。踏勘过程中的费用和涉及到的风险损失等均由供应商自行承担。</w:t>
      </w:r>
    </w:p>
    <w:p w14:paraId="13AC2DCD">
      <w:pPr>
        <w:pStyle w:val="16"/>
        <w:ind w:left="560" w:firstLine="880"/>
        <w:rPr>
          <w:color w:val="000000" w:themeColor="text1"/>
          <w:highlight w:val="none"/>
          <w14:textFill>
            <w14:solidFill>
              <w14:schemeClr w14:val="tx1"/>
            </w14:solidFill>
          </w14:textFill>
        </w:rPr>
      </w:pPr>
    </w:p>
    <w:p w14:paraId="01AB4E71">
      <w:pPr>
        <w:rPr>
          <w:color w:val="000000" w:themeColor="text1"/>
          <w:highlight w:val="none"/>
          <w14:textFill>
            <w14:solidFill>
              <w14:schemeClr w14:val="tx1"/>
            </w14:solidFill>
          </w14:textFill>
        </w:rPr>
      </w:pPr>
    </w:p>
    <w:p w14:paraId="020EF48A">
      <w:pPr>
        <w:pStyle w:val="2"/>
        <w:rPr>
          <w:color w:val="000000" w:themeColor="text1"/>
          <w:highlight w:val="none"/>
          <w14:textFill>
            <w14:solidFill>
              <w14:schemeClr w14:val="tx1"/>
            </w14:solidFill>
          </w14:textFill>
        </w:rPr>
      </w:pPr>
    </w:p>
    <w:p w14:paraId="38C9ACFC">
      <w:pPr>
        <w:pStyle w:val="2"/>
        <w:rPr>
          <w:color w:val="000000" w:themeColor="text1"/>
          <w:highlight w:val="none"/>
          <w14:textFill>
            <w14:solidFill>
              <w14:schemeClr w14:val="tx1"/>
            </w14:solidFill>
          </w14:textFill>
        </w:rPr>
      </w:pPr>
    </w:p>
    <w:p w14:paraId="4B0EAFE7">
      <w:pPr>
        <w:pStyle w:val="2"/>
        <w:rPr>
          <w:color w:val="000000" w:themeColor="text1"/>
          <w:highlight w:val="none"/>
          <w14:textFill>
            <w14:solidFill>
              <w14:schemeClr w14:val="tx1"/>
            </w14:solidFill>
          </w14:textFill>
        </w:rPr>
      </w:pPr>
    </w:p>
    <w:p w14:paraId="214B3A5C">
      <w:pPr>
        <w:pStyle w:val="2"/>
        <w:rPr>
          <w:color w:val="000000" w:themeColor="text1"/>
          <w:highlight w:val="none"/>
          <w14:textFill>
            <w14:solidFill>
              <w14:schemeClr w14:val="tx1"/>
            </w14:solidFill>
          </w14:textFill>
        </w:rPr>
      </w:pPr>
    </w:p>
    <w:p w14:paraId="74B12BEE">
      <w:pPr>
        <w:pStyle w:val="2"/>
        <w:rPr>
          <w:color w:val="000000" w:themeColor="text1"/>
          <w:highlight w:val="none"/>
          <w14:textFill>
            <w14:solidFill>
              <w14:schemeClr w14:val="tx1"/>
            </w14:solidFill>
          </w14:textFill>
        </w:rPr>
      </w:pPr>
    </w:p>
    <w:p w14:paraId="1A59DDC7">
      <w:pPr>
        <w:pStyle w:val="2"/>
        <w:rPr>
          <w:color w:val="000000" w:themeColor="text1"/>
          <w:highlight w:val="none"/>
          <w14:textFill>
            <w14:solidFill>
              <w14:schemeClr w14:val="tx1"/>
            </w14:solidFill>
          </w14:textFill>
        </w:rPr>
      </w:pPr>
    </w:p>
    <w:p w14:paraId="1642A3F0">
      <w:pPr>
        <w:pStyle w:val="2"/>
        <w:rPr>
          <w:color w:val="000000" w:themeColor="text1"/>
          <w:highlight w:val="none"/>
          <w14:textFill>
            <w14:solidFill>
              <w14:schemeClr w14:val="tx1"/>
            </w14:solidFill>
          </w14:textFill>
        </w:rPr>
      </w:pPr>
    </w:p>
    <w:p w14:paraId="0DA37B4E">
      <w:pPr>
        <w:pStyle w:val="2"/>
        <w:rPr>
          <w:color w:val="000000" w:themeColor="text1"/>
          <w:highlight w:val="none"/>
          <w14:textFill>
            <w14:solidFill>
              <w14:schemeClr w14:val="tx1"/>
            </w14:solidFill>
          </w14:textFill>
        </w:rPr>
      </w:pPr>
    </w:p>
    <w:p w14:paraId="14BFEE75">
      <w:pPr>
        <w:pStyle w:val="2"/>
        <w:rPr>
          <w:color w:val="000000" w:themeColor="text1"/>
          <w:highlight w:val="none"/>
          <w14:textFill>
            <w14:solidFill>
              <w14:schemeClr w14:val="tx1"/>
            </w14:solidFill>
          </w14:textFill>
        </w:rPr>
      </w:pPr>
    </w:p>
    <w:p w14:paraId="116F8B06">
      <w:pPr>
        <w:pStyle w:val="2"/>
        <w:rPr>
          <w:color w:val="000000" w:themeColor="text1"/>
          <w:highlight w:val="none"/>
          <w14:textFill>
            <w14:solidFill>
              <w14:schemeClr w14:val="tx1"/>
            </w14:solidFill>
          </w14:textFill>
        </w:rPr>
      </w:pPr>
    </w:p>
    <w:p w14:paraId="43C076EF">
      <w:pPr>
        <w:pStyle w:val="2"/>
        <w:rPr>
          <w:color w:val="000000" w:themeColor="text1"/>
          <w:highlight w:val="none"/>
          <w14:textFill>
            <w14:solidFill>
              <w14:schemeClr w14:val="tx1"/>
            </w14:solidFill>
          </w14:textFill>
        </w:rPr>
      </w:pPr>
    </w:p>
    <w:p w14:paraId="3BEE35F8">
      <w:pPr>
        <w:pStyle w:val="2"/>
        <w:rPr>
          <w:color w:val="000000" w:themeColor="text1"/>
          <w:highlight w:val="none"/>
          <w14:textFill>
            <w14:solidFill>
              <w14:schemeClr w14:val="tx1"/>
            </w14:solidFill>
          </w14:textFill>
        </w:rPr>
      </w:pPr>
    </w:p>
    <w:p w14:paraId="73376746">
      <w:pPr>
        <w:pStyle w:val="2"/>
        <w:rPr>
          <w:color w:val="000000" w:themeColor="text1"/>
          <w:highlight w:val="none"/>
          <w14:textFill>
            <w14:solidFill>
              <w14:schemeClr w14:val="tx1"/>
            </w14:solidFill>
          </w14:textFill>
        </w:rPr>
      </w:pPr>
    </w:p>
    <w:p w14:paraId="07945448">
      <w:pPr>
        <w:pStyle w:val="2"/>
        <w:rPr>
          <w:color w:val="000000" w:themeColor="text1"/>
          <w:highlight w:val="none"/>
          <w14:textFill>
            <w14:solidFill>
              <w14:schemeClr w14:val="tx1"/>
            </w14:solidFill>
          </w14:textFill>
        </w:rPr>
      </w:pPr>
    </w:p>
    <w:p w14:paraId="0164A9F5">
      <w:pPr>
        <w:pStyle w:val="2"/>
        <w:rPr>
          <w:color w:val="000000" w:themeColor="text1"/>
          <w:highlight w:val="none"/>
          <w14:textFill>
            <w14:solidFill>
              <w14:schemeClr w14:val="tx1"/>
            </w14:solidFill>
          </w14:textFill>
        </w:rPr>
      </w:pPr>
    </w:p>
    <w:p w14:paraId="14EB93C4">
      <w:pPr>
        <w:pStyle w:val="2"/>
        <w:rPr>
          <w:color w:val="000000" w:themeColor="text1"/>
          <w:highlight w:val="none"/>
          <w14:textFill>
            <w14:solidFill>
              <w14:schemeClr w14:val="tx1"/>
            </w14:solidFill>
          </w14:textFill>
        </w:rPr>
      </w:pPr>
    </w:p>
    <w:p w14:paraId="53EF4285">
      <w:pPr>
        <w:pStyle w:val="2"/>
        <w:rPr>
          <w:color w:val="000000" w:themeColor="text1"/>
          <w:highlight w:val="none"/>
          <w14:textFill>
            <w14:solidFill>
              <w14:schemeClr w14:val="tx1"/>
            </w14:solidFill>
          </w14:textFill>
        </w:rPr>
      </w:pPr>
    </w:p>
    <w:p w14:paraId="09876674">
      <w:pPr>
        <w:pStyle w:val="2"/>
        <w:rPr>
          <w:color w:val="000000" w:themeColor="text1"/>
          <w:highlight w:val="none"/>
          <w14:textFill>
            <w14:solidFill>
              <w14:schemeClr w14:val="tx1"/>
            </w14:solidFill>
          </w14:textFill>
        </w:rPr>
      </w:pPr>
    </w:p>
    <w:p w14:paraId="6C2C54D3">
      <w:pPr>
        <w:pStyle w:val="2"/>
        <w:rPr>
          <w:color w:val="000000" w:themeColor="text1"/>
          <w:highlight w:val="none"/>
          <w14:textFill>
            <w14:solidFill>
              <w14:schemeClr w14:val="tx1"/>
            </w14:solidFill>
          </w14:textFill>
        </w:rPr>
      </w:pPr>
    </w:p>
    <w:p w14:paraId="0D271CE8">
      <w:pPr>
        <w:pStyle w:val="2"/>
        <w:rPr>
          <w:color w:val="000000" w:themeColor="text1"/>
          <w:highlight w:val="none"/>
          <w14:textFill>
            <w14:solidFill>
              <w14:schemeClr w14:val="tx1"/>
            </w14:solidFill>
          </w14:textFill>
        </w:rPr>
      </w:pPr>
    </w:p>
    <w:p w14:paraId="2D4BF66B">
      <w:pPr>
        <w:pStyle w:val="2"/>
        <w:rPr>
          <w:color w:val="000000" w:themeColor="text1"/>
          <w:highlight w:val="none"/>
          <w14:textFill>
            <w14:solidFill>
              <w14:schemeClr w14:val="tx1"/>
            </w14:solidFill>
          </w14:textFill>
        </w:rPr>
      </w:pPr>
    </w:p>
    <w:p w14:paraId="6822C8AE">
      <w:pPr>
        <w:pStyle w:val="2"/>
        <w:rPr>
          <w:color w:val="000000" w:themeColor="text1"/>
          <w:highlight w:val="none"/>
          <w14:textFill>
            <w14:solidFill>
              <w14:schemeClr w14:val="tx1"/>
            </w14:solidFill>
          </w14:textFill>
        </w:rPr>
      </w:pPr>
    </w:p>
    <w:p w14:paraId="35EBA346">
      <w:pPr>
        <w:pStyle w:val="2"/>
        <w:rPr>
          <w:color w:val="000000" w:themeColor="text1"/>
          <w:highlight w:val="none"/>
          <w14:textFill>
            <w14:solidFill>
              <w14:schemeClr w14:val="tx1"/>
            </w14:solidFill>
          </w14:textFill>
        </w:rPr>
      </w:pPr>
    </w:p>
    <w:p w14:paraId="356B0858">
      <w:pPr>
        <w:pStyle w:val="2"/>
        <w:rPr>
          <w:color w:val="000000" w:themeColor="text1"/>
          <w:highlight w:val="none"/>
          <w14:textFill>
            <w14:solidFill>
              <w14:schemeClr w14:val="tx1"/>
            </w14:solidFill>
          </w14:textFill>
        </w:rPr>
      </w:pPr>
    </w:p>
    <w:p w14:paraId="5906E07A">
      <w:pPr>
        <w:pStyle w:val="2"/>
        <w:rPr>
          <w:color w:val="000000" w:themeColor="text1"/>
          <w:highlight w:val="none"/>
          <w14:textFill>
            <w14:solidFill>
              <w14:schemeClr w14:val="tx1"/>
            </w14:solidFill>
          </w14:textFill>
        </w:rPr>
      </w:pPr>
    </w:p>
    <w:p w14:paraId="2A78CE41">
      <w:pPr>
        <w:pStyle w:val="2"/>
        <w:rPr>
          <w:color w:val="000000" w:themeColor="text1"/>
          <w:highlight w:val="none"/>
          <w14:textFill>
            <w14:solidFill>
              <w14:schemeClr w14:val="tx1"/>
            </w14:solidFill>
          </w14:textFill>
        </w:rPr>
      </w:pPr>
    </w:p>
    <w:p w14:paraId="3CDA0BF3">
      <w:pPr>
        <w:pStyle w:val="2"/>
        <w:rPr>
          <w:color w:val="000000" w:themeColor="text1"/>
          <w:highlight w:val="none"/>
          <w14:textFill>
            <w14:solidFill>
              <w14:schemeClr w14:val="tx1"/>
            </w14:solidFill>
          </w14:textFill>
        </w:rPr>
      </w:pPr>
    </w:p>
    <w:p w14:paraId="75388ABF">
      <w:pPr>
        <w:pStyle w:val="2"/>
        <w:rPr>
          <w:color w:val="000000" w:themeColor="text1"/>
          <w:highlight w:val="none"/>
          <w14:textFill>
            <w14:solidFill>
              <w14:schemeClr w14:val="tx1"/>
            </w14:solidFill>
          </w14:textFill>
        </w:rPr>
      </w:pPr>
    </w:p>
    <w:p w14:paraId="6726EF01">
      <w:pPr>
        <w:pStyle w:val="2"/>
        <w:rPr>
          <w:color w:val="000000" w:themeColor="text1"/>
          <w:highlight w:val="none"/>
          <w14:textFill>
            <w14:solidFill>
              <w14:schemeClr w14:val="tx1"/>
            </w14:solidFill>
          </w14:textFill>
        </w:rPr>
      </w:pPr>
    </w:p>
    <w:p w14:paraId="3E7274E0">
      <w:pPr>
        <w:pStyle w:val="2"/>
        <w:rPr>
          <w:color w:val="000000" w:themeColor="text1"/>
          <w:highlight w:val="none"/>
          <w14:textFill>
            <w14:solidFill>
              <w14:schemeClr w14:val="tx1"/>
            </w14:solidFill>
          </w14:textFill>
        </w:rPr>
      </w:pPr>
    </w:p>
    <w:p w14:paraId="427FDBCB">
      <w:pPr>
        <w:pStyle w:val="2"/>
        <w:rPr>
          <w:color w:val="000000" w:themeColor="text1"/>
          <w:highlight w:val="none"/>
          <w14:textFill>
            <w14:solidFill>
              <w14:schemeClr w14:val="tx1"/>
            </w14:solidFill>
          </w14:textFill>
        </w:rPr>
      </w:pPr>
    </w:p>
    <w:p w14:paraId="1AA97482">
      <w:pPr>
        <w:pStyle w:val="2"/>
        <w:rPr>
          <w:color w:val="000000" w:themeColor="text1"/>
          <w:highlight w:val="none"/>
          <w14:textFill>
            <w14:solidFill>
              <w14:schemeClr w14:val="tx1"/>
            </w14:solidFill>
          </w14:textFill>
        </w:rPr>
      </w:pPr>
    </w:p>
    <w:p w14:paraId="5CD342E5">
      <w:pPr>
        <w:pStyle w:val="2"/>
        <w:rPr>
          <w:color w:val="000000" w:themeColor="text1"/>
          <w:highlight w:val="none"/>
          <w14:textFill>
            <w14:solidFill>
              <w14:schemeClr w14:val="tx1"/>
            </w14:solidFill>
          </w14:textFill>
        </w:rPr>
      </w:pPr>
    </w:p>
    <w:p w14:paraId="74B1F648">
      <w:pPr>
        <w:pStyle w:val="2"/>
        <w:rPr>
          <w:color w:val="000000" w:themeColor="text1"/>
          <w:highlight w:val="none"/>
          <w14:textFill>
            <w14:solidFill>
              <w14:schemeClr w14:val="tx1"/>
            </w14:solidFill>
          </w14:textFill>
        </w:rPr>
      </w:pPr>
    </w:p>
    <w:p w14:paraId="1FAD850C">
      <w:pPr>
        <w:pStyle w:val="2"/>
        <w:rPr>
          <w:color w:val="000000" w:themeColor="text1"/>
          <w:highlight w:val="none"/>
          <w14:textFill>
            <w14:solidFill>
              <w14:schemeClr w14:val="tx1"/>
            </w14:solidFill>
          </w14:textFill>
        </w:rPr>
      </w:pPr>
    </w:p>
    <w:p w14:paraId="7BDB4314">
      <w:pPr>
        <w:pStyle w:val="2"/>
        <w:rPr>
          <w:color w:val="000000" w:themeColor="text1"/>
          <w:highlight w:val="none"/>
          <w14:textFill>
            <w14:solidFill>
              <w14:schemeClr w14:val="tx1"/>
            </w14:solidFill>
          </w14:textFill>
        </w:rPr>
      </w:pPr>
    </w:p>
    <w:p w14:paraId="0272EA40">
      <w:pPr>
        <w:pStyle w:val="2"/>
        <w:rPr>
          <w:color w:val="000000" w:themeColor="text1"/>
          <w:highlight w:val="none"/>
          <w14:textFill>
            <w14:solidFill>
              <w14:schemeClr w14:val="tx1"/>
            </w14:solidFill>
          </w14:textFill>
        </w:rPr>
      </w:pPr>
    </w:p>
    <w:p w14:paraId="27F740A1">
      <w:pPr>
        <w:pStyle w:val="2"/>
        <w:rPr>
          <w:color w:val="000000" w:themeColor="text1"/>
          <w:highlight w:val="none"/>
          <w14:textFill>
            <w14:solidFill>
              <w14:schemeClr w14:val="tx1"/>
            </w14:solidFill>
          </w14:textFill>
        </w:rPr>
      </w:pPr>
    </w:p>
    <w:p w14:paraId="562915DF">
      <w:pPr>
        <w:pStyle w:val="2"/>
        <w:rPr>
          <w:color w:val="000000" w:themeColor="text1"/>
          <w:highlight w:val="none"/>
          <w14:textFill>
            <w14:solidFill>
              <w14:schemeClr w14:val="tx1"/>
            </w14:solidFill>
          </w14:textFill>
        </w:rPr>
      </w:pPr>
    </w:p>
    <w:p w14:paraId="6033C79B">
      <w:pPr>
        <w:pStyle w:val="2"/>
        <w:rPr>
          <w:color w:val="000000" w:themeColor="text1"/>
          <w:highlight w:val="none"/>
          <w14:textFill>
            <w14:solidFill>
              <w14:schemeClr w14:val="tx1"/>
            </w14:solidFill>
          </w14:textFill>
        </w:rPr>
      </w:pPr>
    </w:p>
    <w:p w14:paraId="2409B50C">
      <w:pPr>
        <w:pStyle w:val="2"/>
        <w:rPr>
          <w:color w:val="000000" w:themeColor="text1"/>
          <w:highlight w:val="none"/>
          <w14:textFill>
            <w14:solidFill>
              <w14:schemeClr w14:val="tx1"/>
            </w14:solidFill>
          </w14:textFill>
        </w:rPr>
      </w:pPr>
    </w:p>
    <w:p w14:paraId="7AB946F1">
      <w:pPr>
        <w:pStyle w:val="2"/>
        <w:rPr>
          <w:color w:val="000000" w:themeColor="text1"/>
          <w:highlight w:val="none"/>
          <w14:textFill>
            <w14:solidFill>
              <w14:schemeClr w14:val="tx1"/>
            </w14:solidFill>
          </w14:textFill>
        </w:rPr>
      </w:pPr>
    </w:p>
    <w:p w14:paraId="314D9151">
      <w:pPr>
        <w:pStyle w:val="2"/>
        <w:rPr>
          <w:color w:val="000000" w:themeColor="text1"/>
          <w:highlight w:val="none"/>
          <w14:textFill>
            <w14:solidFill>
              <w14:schemeClr w14:val="tx1"/>
            </w14:solidFill>
          </w14:textFill>
        </w:rPr>
      </w:pPr>
    </w:p>
    <w:p w14:paraId="2B146A9D">
      <w:pPr>
        <w:pStyle w:val="2"/>
        <w:rPr>
          <w:color w:val="000000" w:themeColor="text1"/>
          <w:highlight w:val="none"/>
          <w14:textFill>
            <w14:solidFill>
              <w14:schemeClr w14:val="tx1"/>
            </w14:solidFill>
          </w14:textFill>
        </w:rPr>
      </w:pPr>
    </w:p>
    <w:p w14:paraId="1BB27187">
      <w:pPr>
        <w:rPr>
          <w:color w:val="000000" w:themeColor="text1"/>
          <w:highlight w:val="none"/>
          <w14:textFill>
            <w14:solidFill>
              <w14:schemeClr w14:val="tx1"/>
            </w14:solidFill>
          </w14:textFill>
        </w:rPr>
      </w:pPr>
    </w:p>
    <w:p w14:paraId="049B69E7">
      <w:pPr>
        <w:pStyle w:val="4"/>
        <w:spacing w:before="0" w:after="0" w:line="360" w:lineRule="auto"/>
        <w:jc w:val="center"/>
        <w:rPr>
          <w:rFonts w:hint="eastAsia" w:ascii="宋体" w:hAnsi="宋体" w:eastAsia="宋体" w:cs="宋体"/>
          <w:bCs/>
          <w:color w:val="000000" w:themeColor="text1"/>
          <w:sz w:val="24"/>
          <w:szCs w:val="24"/>
          <w:highlight w:val="none"/>
          <w14:textFill>
            <w14:solidFill>
              <w14:schemeClr w14:val="tx1"/>
            </w14:solidFill>
          </w14:textFill>
        </w:rPr>
      </w:pPr>
      <w:bookmarkStart w:id="37" w:name="_Toc6710"/>
      <w:r>
        <w:rPr>
          <w:rFonts w:hint="eastAsia" w:ascii="宋体" w:hAnsi="宋体" w:eastAsia="宋体" w:cs="宋体"/>
          <w:bCs/>
          <w:color w:val="000000" w:themeColor="text1"/>
          <w:sz w:val="36"/>
          <w:szCs w:val="30"/>
          <w:highlight w:val="none"/>
          <w14:textFill>
            <w14:solidFill>
              <w14:schemeClr w14:val="tx1"/>
            </w14:solidFill>
          </w14:textFill>
        </w:rPr>
        <w:t xml:space="preserve">第三篇  </w:t>
      </w:r>
      <w:bookmarkEnd w:id="32"/>
      <w:r>
        <w:rPr>
          <w:rFonts w:hint="eastAsia" w:ascii="宋体" w:hAnsi="宋体" w:eastAsia="宋体" w:cs="宋体"/>
          <w:bCs/>
          <w:color w:val="000000" w:themeColor="text1"/>
          <w:sz w:val="36"/>
          <w:szCs w:val="30"/>
          <w:highlight w:val="none"/>
          <w14:textFill>
            <w14:solidFill>
              <w14:schemeClr w14:val="tx1"/>
            </w14:solidFill>
          </w14:textFill>
        </w:rPr>
        <w:t>项目商务需求</w:t>
      </w:r>
      <w:bookmarkEnd w:id="33"/>
      <w:bookmarkEnd w:id="37"/>
      <w:bookmarkStart w:id="38" w:name="_Toc76462328"/>
      <w:bookmarkStart w:id="39" w:name="_Toc344475120"/>
    </w:p>
    <w:bookmarkEnd w:id="38"/>
    <w:bookmarkEnd w:id="39"/>
    <w:p w14:paraId="7BBF9975">
      <w:pPr>
        <w:pStyle w:val="4"/>
        <w:adjustRightInd w:val="0"/>
        <w:snapToGrid w:val="0"/>
        <w:spacing w:before="0" w:after="0" w:line="400" w:lineRule="exact"/>
        <w:ind w:firstLine="480" w:firstLineChars="200"/>
        <w:rPr>
          <w:rFonts w:hint="eastAsia" w:ascii="宋体" w:hAnsi="宋体" w:eastAsia="宋体" w:cs="宋体"/>
          <w:b w:val="0"/>
          <w:color w:val="000000" w:themeColor="text1"/>
          <w:sz w:val="24"/>
          <w:szCs w:val="24"/>
          <w:highlight w:val="none"/>
          <w14:textFill>
            <w14:solidFill>
              <w14:schemeClr w14:val="tx1"/>
            </w14:solidFill>
          </w14:textFill>
        </w:rPr>
      </w:pPr>
      <w:bookmarkStart w:id="40" w:name="_Toc13555"/>
      <w:bookmarkStart w:id="41" w:name="_Toc106034782"/>
      <w:bookmarkStart w:id="42" w:name="_Toc17750"/>
      <w:bookmarkStart w:id="43" w:name="_Toc15271"/>
      <w:bookmarkStart w:id="44" w:name="_Toc15805"/>
      <w:bookmarkStart w:id="45" w:name="_Toc12935"/>
      <w:bookmarkStart w:id="46" w:name="_Toc65660342"/>
      <w:r>
        <w:rPr>
          <w:rFonts w:hint="eastAsia" w:ascii="宋体" w:hAnsi="宋体" w:eastAsia="宋体" w:cs="宋体"/>
          <w:b w:val="0"/>
          <w:color w:val="000000" w:themeColor="text1"/>
          <w:sz w:val="24"/>
          <w:szCs w:val="24"/>
          <w:highlight w:val="none"/>
          <w14:textFill>
            <w14:solidFill>
              <w14:schemeClr w14:val="tx1"/>
            </w14:solidFill>
          </w14:textFill>
        </w:rPr>
        <w:t>“※”标注的技术需求为符合性审查中的实质性要求，若不满足按无效投标处理。</w:t>
      </w:r>
    </w:p>
    <w:p w14:paraId="70AB9B34">
      <w:pPr>
        <w:pStyle w:val="4"/>
        <w:adjustRightInd w:val="0"/>
        <w:snapToGrid w:val="0"/>
        <w:spacing w:before="0" w:after="0" w:line="400" w:lineRule="exact"/>
        <w:ind w:firstLine="480" w:firstLineChars="200"/>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一、交货时间、地点及验收方式</w:t>
      </w:r>
      <w:bookmarkEnd w:id="40"/>
      <w:bookmarkEnd w:id="41"/>
      <w:bookmarkEnd w:id="42"/>
      <w:bookmarkEnd w:id="43"/>
      <w:bookmarkEnd w:id="44"/>
      <w:bookmarkEnd w:id="45"/>
      <w:bookmarkEnd w:id="46"/>
    </w:p>
    <w:p w14:paraId="08196311">
      <w:pPr>
        <w:pStyle w:val="34"/>
        <w:spacing w:line="400" w:lineRule="exact"/>
        <w:ind w:firstLine="360" w:firstLineChars="15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（一）交货时间</w:t>
      </w:r>
    </w:p>
    <w:p w14:paraId="3A20E810">
      <w:pPr>
        <w:pStyle w:val="34"/>
        <w:tabs>
          <w:tab w:val="left" w:pos="4905"/>
        </w:tabs>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装饰工程结束之日完成交货、安装、培训、验收等工作。</w:t>
      </w:r>
    </w:p>
    <w:p w14:paraId="585E05FC">
      <w:pPr>
        <w:pStyle w:val="34"/>
        <w:spacing w:line="400" w:lineRule="exact"/>
        <w:ind w:firstLine="360" w:firstLineChars="15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（二）交货地点</w:t>
      </w:r>
    </w:p>
    <w:p w14:paraId="33078C65">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交货地点：万州区北山大道1666号（原重庆大学附属三峡医院御安分院院内）。</w:t>
      </w:r>
    </w:p>
    <w:p w14:paraId="023B1DBB">
      <w:pPr>
        <w:pStyle w:val="34"/>
        <w:spacing w:line="400" w:lineRule="exact"/>
        <w:ind w:firstLine="360" w:firstLineChars="15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（三）验收方式</w:t>
      </w:r>
    </w:p>
    <w:p w14:paraId="66C8614D">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1.货物到达现场后，成交供应商应经采购人或其指定验收单位清点品名、规格、数量；检查外观，作出验收记录，双方签字确认。</w:t>
      </w:r>
    </w:p>
    <w:p w14:paraId="2B88E13A">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2.成交供应商应保证货物到达用户所在地完好无损，如有缺漏、损坏，由成交供应商负责调换、补齐或赔偿。</w:t>
      </w:r>
    </w:p>
    <w:p w14:paraId="54DB96C6">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3.成交供应商应提供完备的技术资料、装箱单和合格证等，并派遣专业技术人员进行现场安装调试。验收合格条件如下：</w:t>
      </w:r>
    </w:p>
    <w:p w14:paraId="0BB99715">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3.1设备品种、规格、数量、技术参数以及商品品牌、制造商等与采购合同一致，性能指标达到规定的标准。</w:t>
      </w:r>
    </w:p>
    <w:p w14:paraId="01B9CEB7">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3.2货物技术资料、装箱单、合格证等资料齐全。</w:t>
      </w:r>
    </w:p>
    <w:p w14:paraId="122D8C6F">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3.3在规定时间内完成交货并验收，并经采购人确认。</w:t>
      </w:r>
    </w:p>
    <w:p w14:paraId="7C4718FE">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4.成交供应商提供的货物未达到竞争性磋商文件规定要求，且对采购人造成损失的，由成交供应商承担一切责任，并赔偿所造成的损失。</w:t>
      </w:r>
    </w:p>
    <w:p w14:paraId="79B43EFA">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本项目验收，设备验收须请有资质的第三方机构进行，根据国际和国家标准及厂方标准，按招、投标文件配置和功能要求，对产品的功能参数、配置逐项进行质量验收。成交供应商应向采购人提供详细的验收标准、验收手册，并负责验收费用。</w:t>
      </w:r>
    </w:p>
    <w:p w14:paraId="1F4861A0">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6.采购人需要制造商对成交供应商交付的产品（包括质量、技术参数等）进行确认的，制造商应予以配合，并出具书面意见。</w:t>
      </w:r>
    </w:p>
    <w:p w14:paraId="274688BE">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7.产品包装材料归采购人所有。</w:t>
      </w:r>
    </w:p>
    <w:p w14:paraId="3AA66D5A">
      <w:pPr>
        <w:pStyle w:val="4"/>
        <w:adjustRightInd w:val="0"/>
        <w:snapToGrid w:val="0"/>
        <w:spacing w:before="0" w:after="0" w:line="400" w:lineRule="exact"/>
        <w:ind w:firstLine="480" w:firstLineChars="200"/>
        <w:rPr>
          <w:rFonts w:hint="eastAsia" w:ascii="宋体" w:hAnsi="宋体" w:eastAsia="宋体" w:cs="宋体"/>
          <w:b w:val="0"/>
          <w:color w:val="000000" w:themeColor="text1"/>
          <w:sz w:val="24"/>
          <w:szCs w:val="24"/>
          <w:highlight w:val="none"/>
          <w14:textFill>
            <w14:solidFill>
              <w14:schemeClr w14:val="tx1"/>
            </w14:solidFill>
          </w14:textFill>
        </w:rPr>
      </w:pPr>
      <w:bookmarkStart w:id="47" w:name="_Toc65660343"/>
      <w:bookmarkStart w:id="48" w:name="_Toc13650"/>
      <w:bookmarkStart w:id="49" w:name="_Toc8103"/>
      <w:bookmarkStart w:id="50" w:name="_Toc106034783"/>
      <w:bookmarkStart w:id="51" w:name="_Toc1838"/>
      <w:bookmarkStart w:id="52" w:name="_Toc24110"/>
      <w:bookmarkStart w:id="53" w:name="_Toc17058"/>
      <w:r>
        <w:rPr>
          <w:rFonts w:hint="eastAsia" w:ascii="宋体" w:hAnsi="宋体" w:eastAsia="宋体" w:cs="宋体"/>
          <w:b w:val="0"/>
          <w:color w:val="000000" w:themeColor="text1"/>
          <w:sz w:val="24"/>
          <w:szCs w:val="24"/>
          <w:highlight w:val="none"/>
          <w14:textFill>
            <w14:solidFill>
              <w14:schemeClr w14:val="tx1"/>
            </w14:solidFill>
          </w14:textFill>
        </w:rPr>
        <w:t>二、质量保证及售后服务</w:t>
      </w:r>
      <w:bookmarkEnd w:id="47"/>
      <w:bookmarkEnd w:id="48"/>
      <w:bookmarkEnd w:id="49"/>
      <w:bookmarkEnd w:id="50"/>
      <w:bookmarkEnd w:id="51"/>
      <w:bookmarkEnd w:id="52"/>
      <w:bookmarkEnd w:id="53"/>
    </w:p>
    <w:p w14:paraId="51A63E3D">
      <w:pPr>
        <w:spacing w:line="400" w:lineRule="exact"/>
        <w:ind w:firstLine="240" w:firstLineChars="1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（一）产品质量：符合国家有关技术标准。</w:t>
      </w:r>
    </w:p>
    <w:p w14:paraId="3593A770">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1.设备质保期为两年，自设备验收合格正式投入使用之日算起。质保期内出现产品质量问题，采购人有权提出退货、更换、索赔，</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sz w:val="24"/>
          <w:szCs w:val="24"/>
          <w:highlight w:val="none"/>
          <w14:textFill>
            <w14:solidFill>
              <w14:schemeClr w14:val="tx1"/>
            </w14:solidFill>
          </w14:textFill>
        </w:rPr>
        <w:t>无条件负责维修、更换、赔偿。</w:t>
      </w:r>
    </w:p>
    <w:p w14:paraId="2FEBF866">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投标产品属于国家规定“三包”范围或国家强制范围的，其产品质量保证期不得低于“三包”规定或国家强制规定。成交供应商的质量保证期承诺优于国家“三包”规定或国家强制规定的，按成交供应商实际承诺执行。</w:t>
      </w:r>
    </w:p>
    <w:p w14:paraId="460FCC6B">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3.投标产品由制造商（指产品生产制造商，或其负责销售、售后服务机构，以下同）</w:t>
      </w:r>
    </w:p>
    <w:p w14:paraId="679CBEF5">
      <w:pPr>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负责标准售后服务的，应当在响应文件中予以明确说明,并附制造商售后服务承诺。</w:t>
      </w:r>
    </w:p>
    <w:p w14:paraId="33FB3CEC">
      <w:pPr>
        <w:spacing w:line="400" w:lineRule="exact"/>
        <w:ind w:firstLine="240" w:firstLineChars="1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（二）投标货物售后服务内容及售后服务保修期</w:t>
      </w:r>
    </w:p>
    <w:p w14:paraId="333EA692">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1、质量保证期内服务要求</w:t>
      </w:r>
    </w:p>
    <w:p w14:paraId="69B9D328">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（1）电话咨询成交供应商和厂家应当为用户提供技术援助电话，解答用户在使用中遇到的问题，及时为用户提出解决问题的建议。</w:t>
      </w:r>
    </w:p>
    <w:p w14:paraId="35590703">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（2）现场响应采购人遇到使用及技术问题，电话咨询不能解决的，成交供应商应在2小内到达现场进行处理，确保产品正常工作；无法在8小时内解决的，应在24小时内提供备用产品，使采购人能够正常使用。</w:t>
      </w:r>
    </w:p>
    <w:p w14:paraId="5DA121EF">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注：在保修期内，如发现故障（7日内）无法修复或一个故障连续出现三次，成交供应商应无条件更换全新相同品牌的货物。</w:t>
      </w:r>
    </w:p>
    <w:p w14:paraId="5228761F">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（3）技术升级</w:t>
      </w:r>
    </w:p>
    <w:p w14:paraId="2A8FD474">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在质保期内，如果制造商的产品技术升级，成交供应商应及时通知采购人，如采购人有相应要求，成交供应商应对采购人进行升级服务。</w:t>
      </w:r>
    </w:p>
    <w:p w14:paraId="27483275">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软件升级：终身免费。</w:t>
      </w:r>
    </w:p>
    <w:p w14:paraId="440F650A">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（4）保修期内所有更换零部件由成交供应商免费并及时提供，成交供应商专业服务人员的一切费用全部自理。保修期外，成交供应商仍应上门维修，只收取配件费，不收其他费用。</w:t>
      </w:r>
    </w:p>
    <w:p w14:paraId="1D98C536">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2、质量保证期外服务要求</w:t>
      </w:r>
    </w:p>
    <w:p w14:paraId="6501988E">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（1）质量保证期过后，成交供应商和制造商应同样提供免费电话咨询服务，并应承诺提供产品上门维护服务。</w:t>
      </w:r>
    </w:p>
    <w:p w14:paraId="6F4862DE">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（2）质量保证期过后，采购人需要继续由原成交供应商和制造商（生产厂家）提供售后服务的，该成交供应商和制造商（生产厂家）应以优惠价格提供售后服务。</w:t>
      </w:r>
    </w:p>
    <w:p w14:paraId="2117514A">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3、备品备件及易损件</w:t>
      </w:r>
    </w:p>
    <w:p w14:paraId="43FE1217">
      <w:pPr>
        <w:pStyle w:val="7"/>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成交供应商或制造商（生产厂家）售后服务中，维修使用的备品备件及易损件应为原厂配件，未经采购人同意不得使用非原厂配件，常用的、容易损坏的备品备件及易损件的价格清单须在响应文件中列出。</w:t>
      </w:r>
    </w:p>
    <w:p w14:paraId="7FAC9D30">
      <w:pPr>
        <w:pStyle w:val="7"/>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4、售后服务保修期要求</w:t>
      </w:r>
    </w:p>
    <w:p w14:paraId="4E7D0842">
      <w:pPr>
        <w:pStyle w:val="7"/>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4.1售后服务保修期为24个月。</w:t>
      </w:r>
    </w:p>
    <w:p w14:paraId="416EE66C">
      <w:pPr>
        <w:pStyle w:val="7"/>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4.2售后服务保修期过后，</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应同样提供免费电话咨询服务，并应承诺提供产品上门维护服务。</w:t>
      </w:r>
    </w:p>
    <w:p w14:paraId="70D5D097">
      <w:pPr>
        <w:pStyle w:val="7"/>
        <w:ind w:firstLine="480"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4.3售后服务保修期过后，采购人需要继续由原</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提供售后服务的，该</w:t>
      </w:r>
      <w:r>
        <w:rPr>
          <w:rFonts w:hint="eastAsia" w:ascii="宋体" w:hAnsi="宋体" w:eastAsia="宋体" w:cs="宋体"/>
          <w:color w:val="000000" w:themeColor="text1"/>
          <w:sz w:val="24"/>
          <w:szCs w:val="24"/>
          <w:highlight w:val="none"/>
          <w:lang w:eastAsia="zh-CN"/>
          <w14:textFill>
            <w14:solidFill>
              <w14:schemeClr w14:val="tx1"/>
            </w14:solidFill>
          </w14:textFill>
        </w:rPr>
        <w:t>供应商</w:t>
      </w:r>
      <w:r>
        <w:rPr>
          <w:rFonts w:hint="eastAsia" w:ascii="宋体" w:hAnsi="宋体" w:eastAsia="宋体" w:cs="宋体"/>
          <w:color w:val="000000" w:themeColor="text1"/>
          <w:sz w:val="24"/>
          <w:szCs w:val="24"/>
          <w:highlight w:val="none"/>
          <w14:textFill>
            <w14:solidFill>
              <w14:schemeClr w14:val="tx1"/>
            </w14:solidFill>
          </w14:textFill>
        </w:rPr>
        <w:t>应以优惠价格提供售后服务。</w:t>
      </w:r>
    </w:p>
    <w:p w14:paraId="603A8299">
      <w:pPr>
        <w:pStyle w:val="7"/>
        <w:rPr>
          <w:rFonts w:hint="eastAsia" w:ascii="宋体" w:hAnsi="宋体" w:eastAsia="宋体" w:cs="宋体"/>
          <w:color w:val="000000" w:themeColor="text1"/>
          <w:sz w:val="24"/>
          <w:szCs w:val="24"/>
          <w:highlight w:val="none"/>
          <w14:textFill>
            <w14:solidFill>
              <w14:schemeClr w14:val="tx1"/>
            </w14:solidFill>
          </w14:textFill>
        </w:rPr>
      </w:pPr>
    </w:p>
    <w:p w14:paraId="7CEE9249">
      <w:pPr>
        <w:pStyle w:val="4"/>
        <w:adjustRightInd w:val="0"/>
        <w:snapToGrid w:val="0"/>
        <w:spacing w:before="0" w:after="0" w:line="400" w:lineRule="exact"/>
        <w:ind w:firstLine="480" w:firstLineChars="200"/>
        <w:rPr>
          <w:rFonts w:hint="eastAsia" w:ascii="宋体" w:hAnsi="宋体" w:eastAsia="宋体" w:cs="宋体"/>
          <w:b w:val="0"/>
          <w:color w:val="000000" w:themeColor="text1"/>
          <w:sz w:val="24"/>
          <w:szCs w:val="24"/>
          <w:highlight w:val="none"/>
          <w14:textFill>
            <w14:solidFill>
              <w14:schemeClr w14:val="tx1"/>
            </w14:solidFill>
          </w14:textFill>
        </w:rPr>
      </w:pPr>
      <w:bookmarkStart w:id="54" w:name="_Toc12184"/>
      <w:bookmarkStart w:id="55" w:name="_Toc16974"/>
      <w:bookmarkStart w:id="56" w:name="_Toc65660344"/>
      <w:bookmarkStart w:id="57" w:name="_Toc106034784"/>
      <w:bookmarkStart w:id="58" w:name="_Toc7178"/>
      <w:bookmarkStart w:id="59" w:name="_Toc122"/>
      <w:bookmarkStart w:id="60" w:name="_Toc11986"/>
      <w:r>
        <w:rPr>
          <w:rFonts w:hint="eastAsia" w:ascii="宋体" w:hAnsi="宋体" w:eastAsia="宋体" w:cs="宋体"/>
          <w:b w:val="0"/>
          <w:color w:val="000000" w:themeColor="text1"/>
          <w:sz w:val="24"/>
          <w:szCs w:val="24"/>
          <w:highlight w:val="none"/>
          <w14:textFill>
            <w14:solidFill>
              <w14:schemeClr w14:val="tx1"/>
            </w14:solidFill>
          </w14:textFill>
        </w:rPr>
        <w:t>※三、报价要求</w:t>
      </w:r>
      <w:bookmarkEnd w:id="54"/>
      <w:bookmarkEnd w:id="55"/>
      <w:bookmarkEnd w:id="56"/>
      <w:bookmarkEnd w:id="57"/>
      <w:bookmarkEnd w:id="58"/>
      <w:bookmarkEnd w:id="59"/>
      <w:bookmarkEnd w:id="60"/>
    </w:p>
    <w:p w14:paraId="2396289E">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次报价为人民币报价，包含但不限于：产品价、人工费、安装调试费、装卸运输费、通讯费、交通费、保险费、税费、抽检费、培训费等货到采购人指定地点的所有费用，具体金额经第三方审核，按实际审定金额结算。</w:t>
      </w:r>
    </w:p>
    <w:p w14:paraId="0DC2DEF7">
      <w:pPr>
        <w:pStyle w:val="4"/>
        <w:adjustRightInd w:val="0"/>
        <w:snapToGrid w:val="0"/>
        <w:spacing w:before="0" w:after="0" w:line="400" w:lineRule="exact"/>
        <w:ind w:firstLine="480" w:firstLineChars="200"/>
        <w:rPr>
          <w:rFonts w:hint="eastAsia" w:ascii="宋体" w:hAnsi="宋体" w:eastAsia="宋体" w:cs="宋体"/>
          <w:b w:val="0"/>
          <w:color w:val="000000" w:themeColor="text1"/>
          <w:sz w:val="24"/>
          <w:szCs w:val="24"/>
          <w:highlight w:val="none"/>
          <w14:textFill>
            <w14:solidFill>
              <w14:schemeClr w14:val="tx1"/>
            </w14:solidFill>
          </w14:textFill>
        </w:rPr>
      </w:pPr>
      <w:bookmarkStart w:id="61" w:name="_Toc106034785"/>
      <w:bookmarkStart w:id="62" w:name="_Toc9192"/>
      <w:bookmarkStart w:id="63" w:name="_Toc7562"/>
      <w:bookmarkStart w:id="64" w:name="_Toc65660345"/>
      <w:bookmarkStart w:id="65" w:name="_Toc5820"/>
      <w:bookmarkStart w:id="66" w:name="_Toc8187"/>
      <w:bookmarkStart w:id="67" w:name="_Toc11000"/>
      <w:r>
        <w:rPr>
          <w:rFonts w:hint="eastAsia" w:ascii="宋体" w:hAnsi="宋体" w:eastAsia="宋体" w:cs="宋体"/>
          <w:b w:val="0"/>
          <w:color w:val="000000" w:themeColor="text1"/>
          <w:sz w:val="24"/>
          <w:szCs w:val="24"/>
          <w:highlight w:val="none"/>
          <w14:textFill>
            <w14:solidFill>
              <w14:schemeClr w14:val="tx1"/>
            </w14:solidFill>
          </w14:textFill>
        </w:rPr>
        <w:t>四、付款方式</w:t>
      </w:r>
      <w:bookmarkEnd w:id="61"/>
      <w:bookmarkEnd w:id="62"/>
      <w:bookmarkEnd w:id="63"/>
      <w:bookmarkEnd w:id="64"/>
      <w:bookmarkEnd w:id="65"/>
      <w:bookmarkEnd w:id="66"/>
      <w:bookmarkEnd w:id="67"/>
    </w:p>
    <w:p w14:paraId="6AB72EEF">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合同签订生效后</w:t>
      </w:r>
      <w:r>
        <w:rPr>
          <w:rFonts w:hint="eastAsia" w:ascii="宋体" w:hAnsi="宋体" w:cs="宋体"/>
          <w:color w:val="000000" w:themeColor="text1"/>
          <w:sz w:val="24"/>
          <w:szCs w:val="24"/>
          <w:highlight w:val="none"/>
          <w:lang w:val="en-US" w:eastAsia="zh-CN"/>
          <w14:textFill>
            <w14:solidFill>
              <w14:schemeClr w14:val="tx1"/>
            </w14:solidFill>
          </w14:textFill>
        </w:rPr>
        <w:t>7天内</w:t>
      </w:r>
      <w:r>
        <w:rPr>
          <w:rFonts w:hint="eastAsia" w:ascii="宋体" w:hAnsi="宋体" w:cs="宋体"/>
          <w:color w:val="000000" w:themeColor="text1"/>
          <w:sz w:val="24"/>
          <w:szCs w:val="24"/>
          <w:highlight w:val="none"/>
          <w14:textFill>
            <w14:solidFill>
              <w14:schemeClr w14:val="tx1"/>
            </w14:solidFill>
          </w14:textFill>
        </w:rPr>
        <w:t>，甲方向乙方支付合同金额的</w:t>
      </w:r>
      <w:r>
        <w:rPr>
          <w:rFonts w:hint="default" w:ascii="宋体" w:hAnsi="宋体" w:cs="宋体"/>
          <w:color w:val="000000" w:themeColor="text1"/>
          <w:sz w:val="24"/>
          <w:szCs w:val="24"/>
          <w:highlight w:val="none"/>
          <w:lang w:val="en-US"/>
          <w14:textFill>
            <w14:solidFill>
              <w14:schemeClr w14:val="tx1"/>
            </w14:solidFill>
          </w14:textFill>
        </w:rPr>
        <w:t>5</w:t>
      </w:r>
      <w:r>
        <w:rPr>
          <w:rFonts w:hint="eastAsia" w:ascii="宋体" w:hAnsi="宋体" w:cs="宋体"/>
          <w:color w:val="000000" w:themeColor="text1"/>
          <w:sz w:val="24"/>
          <w:szCs w:val="24"/>
          <w:highlight w:val="none"/>
          <w14:textFill>
            <w14:solidFill>
              <w14:schemeClr w14:val="tx1"/>
            </w14:solidFill>
          </w14:textFill>
        </w:rPr>
        <w:t>0%作为预付款，验收合格后</w:t>
      </w:r>
      <w:r>
        <w:rPr>
          <w:rFonts w:hint="eastAsia" w:ascii="宋体" w:hAnsi="宋体" w:cs="宋体"/>
          <w:color w:val="000000" w:themeColor="text1"/>
          <w:sz w:val="24"/>
          <w:szCs w:val="24"/>
          <w:highlight w:val="none"/>
          <w:lang w:val="en-US" w:eastAsia="zh-CN"/>
          <w14:textFill>
            <w14:solidFill>
              <w14:schemeClr w14:val="tx1"/>
            </w14:solidFill>
          </w14:textFill>
        </w:rPr>
        <w:t>7天内</w:t>
      </w:r>
      <w:r>
        <w:rPr>
          <w:rFonts w:hint="eastAsia" w:ascii="宋体" w:hAnsi="宋体" w:cs="宋体"/>
          <w:color w:val="000000" w:themeColor="text1"/>
          <w:sz w:val="24"/>
          <w:szCs w:val="24"/>
          <w:highlight w:val="none"/>
          <w14:textFill>
            <w14:solidFill>
              <w14:schemeClr w14:val="tx1"/>
            </w14:solidFill>
          </w14:textFill>
        </w:rPr>
        <w:t>支付至合同金额的</w:t>
      </w:r>
      <w:r>
        <w:rPr>
          <w:rFonts w:hint="default" w:ascii="宋体" w:hAnsi="宋体" w:cs="宋体"/>
          <w:color w:val="000000" w:themeColor="text1"/>
          <w:sz w:val="24"/>
          <w:szCs w:val="24"/>
          <w:highlight w:val="none"/>
          <w:lang w:val="en-US"/>
          <w14:textFill>
            <w14:solidFill>
              <w14:schemeClr w14:val="tx1"/>
            </w14:solidFill>
          </w14:textFill>
        </w:rPr>
        <w:t>100</w:t>
      </w:r>
      <w:r>
        <w:rPr>
          <w:rFonts w:hint="eastAsia" w:ascii="宋体" w:hAnsi="宋体" w:cs="宋体"/>
          <w:color w:val="000000" w:themeColor="text1"/>
          <w:sz w:val="24"/>
          <w:szCs w:val="24"/>
          <w:highlight w:val="none"/>
          <w14:textFill>
            <w14:solidFill>
              <w14:schemeClr w14:val="tx1"/>
            </w14:solidFill>
          </w14:textFill>
        </w:rPr>
        <w:t>%。</w:t>
      </w:r>
    </w:p>
    <w:p w14:paraId="739F5CA1">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注：所有支付均为无息支付。</w:t>
      </w:r>
      <w:bookmarkStart w:id="68" w:name="_Toc2537"/>
      <w:bookmarkStart w:id="69" w:name="_Toc24751"/>
      <w:bookmarkStart w:id="70" w:name="_Toc3786"/>
      <w:bookmarkStart w:id="71" w:name="_Toc106034786"/>
      <w:bookmarkStart w:id="72" w:name="_Toc7228"/>
      <w:bookmarkStart w:id="73" w:name="_Toc65660346"/>
      <w:bookmarkStart w:id="74" w:name="_Toc19034"/>
    </w:p>
    <w:p w14:paraId="1D4DDD11">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五、履约担保</w:t>
      </w:r>
    </w:p>
    <w:p w14:paraId="0A4D500B">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1、成交人是否提供履约担保：提供。</w:t>
      </w:r>
    </w:p>
    <w:p w14:paraId="7E454E04">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2、成交人提供履约担保的形式、金额及期限：</w:t>
      </w:r>
    </w:p>
    <w:p w14:paraId="78C6D2E3">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履约担保的形式：现金或履约保函或现金+履约保函的组合，履约保函包括银行保函、保证保险和担保保函，其示范文本详见第六篇政府采购合同附件。成交人提交的履约保函应严格执行其示范文本，不得对示范文本中的实质性内容进行修改。</w:t>
      </w:r>
    </w:p>
    <w:p w14:paraId="0B54ABAA">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具体要求：履约保函必须为不可撤销且见索即付，履约保函的开立人应当是具有相应资格的银行、保险机构、融资担保公司，其信用资质、履约能力、担保能力、赔付流程、安全保密等应符合履约保函业务条件。履约保函应合法合规，符合招投标行政监督部门、行业主管部门和金融监管部门的相关规定，满足竞争性磋商文件约定要求。成交人应选择在渝依法设立总部或者设有分支机构的金融机构开具履约保函（包括纸质保函或电子保函）。履约保函为纸质保函的，纸质保函应注明在重庆市辖区范围内的核验地址和核验方式，并确保该纸质保函能在开立人在渝的总部或者分支机构进行核验。成交人对所提交的履约保函的真实性、合法性、有效性负责。</w:t>
      </w:r>
    </w:p>
    <w:p w14:paraId="64EB8BDA">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（3）履约担保的金额：签约合同价的10%。</w:t>
      </w:r>
    </w:p>
    <w:p w14:paraId="546AF559">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（4）履约担保的提交时间：在合同签订前，承包人按担保金额向发包人提交履约担保。</w:t>
      </w:r>
    </w:p>
    <w:p w14:paraId="0F2A2B28">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（5）履约担保的期限：自提交履约担保之日起至发包人颁发合同工程完工证书止。</w:t>
      </w:r>
    </w:p>
    <w:p w14:paraId="3F9CFF28">
      <w:pPr>
        <w:keepNext w:val="0"/>
        <w:keepLines w:val="0"/>
        <w:pageBreakBefore w:val="0"/>
        <w:widowControl w:val="0"/>
        <w:kinsoku/>
        <w:wordWrap/>
        <w:overflowPunct/>
        <w:topLinePunct w:val="0"/>
        <w:autoSpaceDE/>
        <w:autoSpaceDN/>
        <w:bidi w:val="0"/>
        <w:adjustRightInd/>
        <w:snapToGrid/>
        <w:spacing w:line="400" w:lineRule="exact"/>
        <w:ind w:firstLine="482"/>
        <w:textAlignment w:val="auto"/>
        <w:rPr>
          <w:rFonts w:hint="eastAsia"/>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（6）履约担保的退还时间：采用现金担保的，验收合格后28天内退还。采用履约保函的，验收合格后28天内退还。</w:t>
      </w:r>
    </w:p>
    <w:p w14:paraId="1EFD2361">
      <w:pPr>
        <w:ind w:firstLine="48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六</w:t>
      </w:r>
      <w:r>
        <w:rPr>
          <w:rFonts w:hint="eastAsia" w:ascii="宋体" w:hAnsi="宋体" w:cs="宋体"/>
          <w:color w:val="000000" w:themeColor="text1"/>
          <w:sz w:val="24"/>
          <w:szCs w:val="24"/>
          <w:highlight w:val="none"/>
          <w14:textFill>
            <w14:solidFill>
              <w14:schemeClr w14:val="tx1"/>
            </w14:solidFill>
          </w14:textFill>
        </w:rPr>
        <w:t>、知识产权</w:t>
      </w:r>
      <w:bookmarkEnd w:id="68"/>
      <w:bookmarkEnd w:id="69"/>
      <w:bookmarkEnd w:id="70"/>
      <w:bookmarkEnd w:id="71"/>
      <w:bookmarkEnd w:id="72"/>
      <w:bookmarkEnd w:id="73"/>
      <w:bookmarkEnd w:id="74"/>
    </w:p>
    <w:p w14:paraId="29DDF8A7">
      <w:pPr>
        <w:snapToGrid w:val="0"/>
        <w:spacing w:line="400" w:lineRule="exact"/>
        <w:ind w:firstLine="54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采购人在中华人民共和国境内使用成交供应商提供的货物及服务时免受第三方提出的侵犯其专利权或其它知识产权的起诉。如果第三方提出侵权指控，成交供应商应承担由此而引起的一切法律责任和费用。</w:t>
      </w:r>
    </w:p>
    <w:p w14:paraId="7836E962">
      <w:pPr>
        <w:pStyle w:val="4"/>
        <w:adjustRightInd w:val="0"/>
        <w:snapToGrid w:val="0"/>
        <w:spacing w:before="0" w:after="0" w:line="400" w:lineRule="exact"/>
        <w:ind w:firstLine="480" w:firstLineChars="200"/>
        <w:rPr>
          <w:rFonts w:hint="eastAsia" w:ascii="宋体" w:hAnsi="宋体" w:eastAsia="宋体" w:cs="宋体"/>
          <w:b w:val="0"/>
          <w:color w:val="000000" w:themeColor="text1"/>
          <w:sz w:val="24"/>
          <w:szCs w:val="24"/>
          <w:highlight w:val="none"/>
          <w14:textFill>
            <w14:solidFill>
              <w14:schemeClr w14:val="tx1"/>
            </w14:solidFill>
          </w14:textFill>
        </w:rPr>
      </w:pPr>
      <w:bookmarkStart w:id="75" w:name="_Toc106034787"/>
      <w:bookmarkStart w:id="76" w:name="_Toc13462"/>
      <w:bookmarkStart w:id="77" w:name="_Toc30482"/>
      <w:bookmarkStart w:id="78" w:name="_Toc6869"/>
      <w:bookmarkStart w:id="79" w:name="_Toc65660347"/>
      <w:bookmarkStart w:id="80" w:name="_Toc5555"/>
      <w:bookmarkStart w:id="81" w:name="_Toc6565"/>
      <w:r>
        <w:rPr>
          <w:rFonts w:hint="eastAsia" w:ascii="宋体" w:hAnsi="宋体" w:eastAsia="宋体" w:cs="宋体"/>
          <w:b w:val="0"/>
          <w:color w:val="000000" w:themeColor="text1"/>
          <w:sz w:val="24"/>
          <w:szCs w:val="24"/>
          <w:highlight w:val="none"/>
          <w14:textFill>
            <w14:solidFill>
              <w14:schemeClr w14:val="tx1"/>
            </w14:solidFill>
          </w14:textFill>
        </w:rPr>
        <w:t>（注：订购、涉及、定制开发的信息化建设项目等知识产权的，知识产权归采购人所有。）</w:t>
      </w:r>
    </w:p>
    <w:p w14:paraId="6EDC6919">
      <w:pPr>
        <w:pStyle w:val="4"/>
        <w:adjustRightInd w:val="0"/>
        <w:snapToGrid w:val="0"/>
        <w:spacing w:before="0" w:after="0" w:line="400" w:lineRule="exact"/>
        <w:ind w:firstLine="480" w:firstLineChars="200"/>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七</w:t>
      </w:r>
      <w:r>
        <w:rPr>
          <w:rFonts w:hint="eastAsia" w:ascii="宋体" w:hAnsi="宋体" w:eastAsia="宋体" w:cs="宋体"/>
          <w:b w:val="0"/>
          <w:color w:val="000000" w:themeColor="text1"/>
          <w:sz w:val="24"/>
          <w:szCs w:val="24"/>
          <w:highlight w:val="none"/>
          <w14:textFill>
            <w14:solidFill>
              <w14:schemeClr w14:val="tx1"/>
            </w14:solidFill>
          </w14:textFill>
        </w:rPr>
        <w:t>、培训</w:t>
      </w:r>
      <w:bookmarkEnd w:id="75"/>
      <w:bookmarkEnd w:id="76"/>
      <w:bookmarkEnd w:id="77"/>
      <w:bookmarkEnd w:id="78"/>
      <w:bookmarkEnd w:id="79"/>
      <w:bookmarkEnd w:id="80"/>
      <w:bookmarkEnd w:id="81"/>
    </w:p>
    <w:p w14:paraId="01E90EF4">
      <w:pPr>
        <w:snapToGrid w:val="0"/>
        <w:spacing w:line="400" w:lineRule="exact"/>
        <w:ind w:firstLine="54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成交供应商须提供对设备的操作培训，使相关使用人员能够正常操作相关设备。</w:t>
      </w:r>
    </w:p>
    <w:p w14:paraId="34BB8DF1">
      <w:pPr>
        <w:pStyle w:val="4"/>
        <w:adjustRightInd w:val="0"/>
        <w:snapToGrid w:val="0"/>
        <w:spacing w:before="0" w:after="0" w:line="400" w:lineRule="exact"/>
        <w:ind w:firstLine="480" w:firstLineChars="200"/>
        <w:rPr>
          <w:rFonts w:hint="eastAsia" w:ascii="宋体" w:hAnsi="宋体" w:eastAsia="宋体" w:cs="宋体"/>
          <w:b w:val="0"/>
          <w:color w:val="000000" w:themeColor="text1"/>
          <w:sz w:val="24"/>
          <w:szCs w:val="24"/>
          <w:highlight w:val="none"/>
          <w14:textFill>
            <w14:solidFill>
              <w14:schemeClr w14:val="tx1"/>
            </w14:solidFill>
          </w14:textFill>
        </w:rPr>
      </w:pPr>
      <w:bookmarkStart w:id="82" w:name="_Toc23902"/>
      <w:bookmarkStart w:id="83" w:name="_Toc31659"/>
      <w:bookmarkStart w:id="84" w:name="_Toc65660348"/>
      <w:bookmarkStart w:id="85" w:name="_Toc17723"/>
      <w:bookmarkStart w:id="86" w:name="_Toc22022"/>
      <w:bookmarkStart w:id="87" w:name="_Toc21248"/>
      <w:bookmarkStart w:id="88" w:name="_Toc106034788"/>
      <w:r>
        <w:rPr>
          <w:rFonts w:hint="eastAsia" w:ascii="宋体" w:hAnsi="宋体" w:eastAsia="宋体" w:cs="宋体"/>
          <w:b w:val="0"/>
          <w:color w:val="000000" w:themeColor="text1"/>
          <w:sz w:val="24"/>
          <w:szCs w:val="24"/>
          <w:highlight w:val="none"/>
          <w:lang w:val="en-US" w:eastAsia="zh-CN"/>
          <w14:textFill>
            <w14:solidFill>
              <w14:schemeClr w14:val="tx1"/>
            </w14:solidFill>
          </w14:textFill>
        </w:rPr>
        <w:t>八</w:t>
      </w:r>
      <w:r>
        <w:rPr>
          <w:rFonts w:hint="eastAsia" w:ascii="宋体" w:hAnsi="宋体" w:eastAsia="宋体" w:cs="宋体"/>
          <w:b w:val="0"/>
          <w:color w:val="000000" w:themeColor="text1"/>
          <w:sz w:val="24"/>
          <w:szCs w:val="24"/>
          <w:highlight w:val="none"/>
          <w14:textFill>
            <w14:solidFill>
              <w14:schemeClr w14:val="tx1"/>
            </w14:solidFill>
          </w14:textFill>
        </w:rPr>
        <w:t>、其他</w:t>
      </w:r>
      <w:bookmarkEnd w:id="82"/>
      <w:bookmarkEnd w:id="83"/>
      <w:bookmarkEnd w:id="84"/>
      <w:bookmarkEnd w:id="85"/>
      <w:bookmarkEnd w:id="86"/>
      <w:bookmarkEnd w:id="87"/>
      <w:bookmarkEnd w:id="88"/>
    </w:p>
    <w:p w14:paraId="3D003AA6">
      <w:pPr>
        <w:snapToGrid w:val="0"/>
        <w:spacing w:line="400" w:lineRule="exact"/>
        <w:ind w:firstLine="54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（一）供应商必须在响应文件中对以上条款和服务承诺明确列出，承诺内容必须达到</w:t>
      </w:r>
    </w:p>
    <w:p w14:paraId="56EA6B34">
      <w:pPr>
        <w:snapToGrid w:val="0"/>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本篇及采购文件其他条款的要求。</w:t>
      </w:r>
    </w:p>
    <w:p w14:paraId="6655C1FB">
      <w:pPr>
        <w:snapToGrid w:val="0"/>
        <w:spacing w:line="400" w:lineRule="exact"/>
        <w:ind w:firstLine="54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（二）成交供应商在响应时提供虚假材料或进行虚假响应，或成交后提供的货物达不到采购文件要求及成交供应商响应文件的响应内容的，视为虚假应标，将报采购监督管理部门依法予以处理。</w:t>
      </w:r>
    </w:p>
    <w:p w14:paraId="0E3E9781">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（三）其他未尽事宜由供需双方在采购合同中另行约定。</w:t>
      </w:r>
    </w:p>
    <w:p w14:paraId="69F9EF1F">
      <w:pPr>
        <w:snapToGrid w:val="0"/>
        <w:spacing w:line="400" w:lineRule="exact"/>
        <w:ind w:firstLine="540"/>
        <w:rPr>
          <w:rFonts w:hint="eastAsia" w:ascii="宋体" w:hAnsi="宋体" w:cs="宋体"/>
          <w:color w:val="000000" w:themeColor="text1"/>
          <w:sz w:val="24"/>
          <w:szCs w:val="24"/>
          <w:highlight w:val="none"/>
          <w14:textFill>
            <w14:solidFill>
              <w14:schemeClr w14:val="tx1"/>
            </w14:solidFill>
          </w14:textFill>
        </w:rPr>
      </w:pPr>
    </w:p>
    <w:p w14:paraId="283F41CA">
      <w:pPr>
        <w:pStyle w:val="4"/>
        <w:pageBreakBefore/>
        <w:spacing w:before="0" w:after="0" w:line="360" w:lineRule="auto"/>
        <w:jc w:val="center"/>
        <w:rPr>
          <w:rFonts w:hint="eastAsia" w:ascii="宋体" w:hAnsi="宋体" w:eastAsia="宋体" w:cs="宋体"/>
          <w:b w:val="0"/>
          <w:color w:val="000000" w:themeColor="text1"/>
          <w:sz w:val="36"/>
          <w:szCs w:val="30"/>
          <w:highlight w:val="none"/>
          <w14:textFill>
            <w14:solidFill>
              <w14:schemeClr w14:val="tx1"/>
            </w14:solidFill>
          </w14:textFill>
        </w:rPr>
      </w:pPr>
      <w:bookmarkStart w:id="89" w:name="_Toc76462332"/>
      <w:bookmarkStart w:id="90" w:name="_Toc23334"/>
      <w:r>
        <w:rPr>
          <w:rFonts w:hint="eastAsia" w:ascii="宋体" w:hAnsi="宋体" w:eastAsia="宋体" w:cs="宋体"/>
          <w:b w:val="0"/>
          <w:color w:val="000000" w:themeColor="text1"/>
          <w:sz w:val="36"/>
          <w:szCs w:val="30"/>
          <w:highlight w:val="none"/>
          <w14:textFill>
            <w14:solidFill>
              <w14:schemeClr w14:val="tx1"/>
            </w14:solidFill>
          </w14:textFill>
        </w:rPr>
        <w:t>第四篇  磋商程序及方法、评审标准、无效响应和</w:t>
      </w:r>
      <w:r>
        <w:rPr>
          <w:rFonts w:hint="eastAsia" w:ascii="宋体" w:hAnsi="宋体" w:eastAsia="宋体" w:cs="宋体"/>
          <w:b w:val="0"/>
          <w:color w:val="000000" w:themeColor="text1"/>
          <w:sz w:val="36"/>
          <w:szCs w:val="36"/>
          <w:highlight w:val="none"/>
          <w14:textFill>
            <w14:solidFill>
              <w14:schemeClr w14:val="tx1"/>
            </w14:solidFill>
          </w14:textFill>
        </w:rPr>
        <w:t>采购终止</w:t>
      </w:r>
      <w:bookmarkEnd w:id="89"/>
      <w:bookmarkEnd w:id="90"/>
    </w:p>
    <w:p w14:paraId="732E828D">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bookmarkStart w:id="91" w:name="_Toc28667"/>
      <w:bookmarkStart w:id="92" w:name="_Toc76462333"/>
      <w:r>
        <w:rPr>
          <w:rFonts w:hint="eastAsia" w:ascii="宋体" w:hAnsi="宋体" w:eastAsia="宋体" w:cs="宋体"/>
          <w:color w:val="000000" w:themeColor="text1"/>
          <w:sz w:val="24"/>
          <w:highlight w:val="none"/>
          <w14:textFill>
            <w14:solidFill>
              <w14:schemeClr w14:val="tx1"/>
            </w14:solidFill>
          </w14:textFill>
        </w:rPr>
        <w:t>一、磋商程序及方法</w:t>
      </w:r>
      <w:bookmarkEnd w:id="91"/>
      <w:bookmarkEnd w:id="92"/>
    </w:p>
    <w:p w14:paraId="37B98B58">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磋商按竞争性磋商文件规定的时间和地点、方式进行。供应商须有法定代表人（或其授权代表）或自然人参加。竞争性磋商以在线抽签的形式确定磋商顺序，由本项目磋商小组分别与各供应商进行视频在线磋商。在视频在线磋商前，对各供应商的资格条件、实质性响应等进行审查。</w:t>
      </w:r>
    </w:p>
    <w:p w14:paraId="1337CFA8">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（二）磋商小组对各供应商的资格条件、响应文件的有效性、完整性和响应程度进行审查。各供应商只有在完全符合要求的前提下，才能参与正式磋商。</w:t>
      </w:r>
    </w:p>
    <w:p w14:paraId="62FE599D">
      <w:pPr>
        <w:snapToGrid w:val="0"/>
        <w:spacing w:line="400" w:lineRule="exact"/>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kern w:val="0"/>
          <w:sz w:val="24"/>
          <w:szCs w:val="24"/>
          <w:highlight w:val="none"/>
          <w14:textFill>
            <w14:solidFill>
              <w14:schemeClr w14:val="tx1"/>
            </w14:solidFill>
          </w14:textFill>
        </w:rPr>
        <w:t>资格性审查。依据法律法规和竞争性磋商文件的规定，对响应文件中的资格证明、等进行审查，以确定供应商是否具备磋商资格。资格性审查资料表如下：</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17"/>
        <w:gridCol w:w="709"/>
        <w:gridCol w:w="3118"/>
        <w:gridCol w:w="4984"/>
      </w:tblGrid>
      <w:tr w14:paraId="55309BB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tcBorders>
              <w:top w:val="single" w:color="auto" w:sz="4" w:space="0"/>
              <w:left w:val="single" w:color="auto" w:sz="4" w:space="0"/>
              <w:bottom w:val="single" w:color="auto" w:sz="4" w:space="0"/>
              <w:right w:val="single" w:color="auto" w:sz="4" w:space="0"/>
            </w:tcBorders>
            <w:vAlign w:val="center"/>
          </w:tcPr>
          <w:p w14:paraId="4038E6D8">
            <w:pPr>
              <w:jc w:val="center"/>
              <w:rPr>
                <w:rFonts w:hint="eastAsia" w:ascii="宋体" w:hAnsi="宋体" w:cs="宋体"/>
                <w:b/>
                <w:color w:val="000000" w:themeColor="text1"/>
                <w:kern w:val="0"/>
                <w:sz w:val="21"/>
                <w:szCs w:val="21"/>
                <w:highlight w:val="none"/>
                <w14:textFill>
                  <w14:solidFill>
                    <w14:schemeClr w14:val="tx1"/>
                  </w14:solidFill>
                </w14:textFill>
              </w:rPr>
            </w:pPr>
            <w:r>
              <w:rPr>
                <w:rFonts w:hint="eastAsia" w:ascii="宋体" w:hAnsi="宋体" w:cs="宋体"/>
                <w:b/>
                <w:color w:val="000000" w:themeColor="text1"/>
                <w:kern w:val="0"/>
                <w:sz w:val="21"/>
                <w:szCs w:val="21"/>
                <w:highlight w:val="none"/>
                <w14:textFill>
                  <w14:solidFill>
                    <w14:schemeClr w14:val="tx1"/>
                  </w14:solidFill>
                </w14:textFill>
              </w:rPr>
              <w:t>序号</w:t>
            </w:r>
          </w:p>
        </w:tc>
        <w:tc>
          <w:tcPr>
            <w:tcW w:w="3827" w:type="dxa"/>
            <w:gridSpan w:val="2"/>
            <w:tcBorders>
              <w:top w:val="single" w:color="auto" w:sz="4" w:space="0"/>
              <w:left w:val="single" w:color="auto" w:sz="4" w:space="0"/>
              <w:bottom w:val="single" w:color="auto" w:sz="4" w:space="0"/>
              <w:right w:val="single" w:color="auto" w:sz="4" w:space="0"/>
            </w:tcBorders>
            <w:vAlign w:val="center"/>
          </w:tcPr>
          <w:p w14:paraId="1B7B7193">
            <w:pPr>
              <w:jc w:val="center"/>
              <w:rPr>
                <w:rFonts w:hint="eastAsia" w:ascii="宋体" w:hAnsi="宋体" w:cs="宋体"/>
                <w:b/>
                <w:color w:val="000000" w:themeColor="text1"/>
                <w:kern w:val="0"/>
                <w:sz w:val="21"/>
                <w:szCs w:val="21"/>
                <w:highlight w:val="none"/>
                <w14:textFill>
                  <w14:solidFill>
                    <w14:schemeClr w14:val="tx1"/>
                  </w14:solidFill>
                </w14:textFill>
              </w:rPr>
            </w:pPr>
            <w:r>
              <w:rPr>
                <w:rFonts w:hint="eastAsia" w:ascii="宋体" w:hAnsi="宋体" w:cs="宋体"/>
                <w:b/>
                <w:color w:val="000000" w:themeColor="text1"/>
                <w:kern w:val="0"/>
                <w:sz w:val="21"/>
                <w:szCs w:val="21"/>
                <w:highlight w:val="none"/>
                <w14:textFill>
                  <w14:solidFill>
                    <w14:schemeClr w14:val="tx1"/>
                  </w14:solidFill>
                </w14:textFill>
              </w:rPr>
              <w:t>检查因素</w:t>
            </w:r>
          </w:p>
        </w:tc>
        <w:tc>
          <w:tcPr>
            <w:tcW w:w="4984" w:type="dxa"/>
            <w:tcBorders>
              <w:top w:val="single" w:color="auto" w:sz="4" w:space="0"/>
              <w:left w:val="single" w:color="auto" w:sz="4" w:space="0"/>
              <w:bottom w:val="single" w:color="auto" w:sz="4" w:space="0"/>
              <w:right w:val="single" w:color="auto" w:sz="4" w:space="0"/>
            </w:tcBorders>
            <w:vAlign w:val="center"/>
          </w:tcPr>
          <w:p w14:paraId="3B16D94A">
            <w:pPr>
              <w:jc w:val="center"/>
              <w:rPr>
                <w:rFonts w:hint="eastAsia" w:ascii="宋体" w:hAnsi="宋体" w:cs="宋体"/>
                <w:b/>
                <w:color w:val="000000" w:themeColor="text1"/>
                <w:kern w:val="0"/>
                <w:sz w:val="21"/>
                <w:szCs w:val="21"/>
                <w:highlight w:val="none"/>
                <w14:textFill>
                  <w14:solidFill>
                    <w14:schemeClr w14:val="tx1"/>
                  </w14:solidFill>
                </w14:textFill>
              </w:rPr>
            </w:pPr>
            <w:r>
              <w:rPr>
                <w:rFonts w:hint="eastAsia" w:ascii="宋体" w:hAnsi="宋体" w:cs="宋体"/>
                <w:b/>
                <w:color w:val="000000" w:themeColor="text1"/>
                <w:kern w:val="0"/>
                <w:sz w:val="21"/>
                <w:szCs w:val="21"/>
                <w:highlight w:val="none"/>
                <w14:textFill>
                  <w14:solidFill>
                    <w14:schemeClr w14:val="tx1"/>
                  </w14:solidFill>
                </w14:textFill>
              </w:rPr>
              <w:t>检查内容</w:t>
            </w:r>
          </w:p>
        </w:tc>
      </w:tr>
      <w:tr w14:paraId="30394B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restart"/>
            <w:vAlign w:val="center"/>
          </w:tcPr>
          <w:p w14:paraId="45BE7451">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（一）</w:t>
            </w:r>
          </w:p>
        </w:tc>
        <w:tc>
          <w:tcPr>
            <w:tcW w:w="709" w:type="dxa"/>
            <w:vMerge w:val="restart"/>
            <w:vAlign w:val="center"/>
          </w:tcPr>
          <w:p w14:paraId="7A48E631">
            <w:pPr>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《中华人民共和国政府采购法》第二十二条规定</w:t>
            </w:r>
          </w:p>
        </w:tc>
        <w:tc>
          <w:tcPr>
            <w:tcW w:w="3118" w:type="dxa"/>
            <w:vAlign w:val="center"/>
          </w:tcPr>
          <w:p w14:paraId="1E0B5C24">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1.具有独立承担民事责任的能力</w:t>
            </w:r>
          </w:p>
        </w:tc>
        <w:tc>
          <w:tcPr>
            <w:tcW w:w="4984" w:type="dxa"/>
            <w:vAlign w:val="center"/>
          </w:tcPr>
          <w:p w14:paraId="23578A3F">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 xml:space="preserve">1.供应商法人营业执照（副本）或事业单位法人证书（副本）或个体工商户营业执照或有效的自然人身份证明或社会团体法人登记证书（提供扫描件）。 </w:t>
            </w:r>
          </w:p>
          <w:p w14:paraId="0216DE49">
            <w:pPr>
              <w:pStyle w:val="2"/>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w:t>
            </w:r>
            <w:r>
              <w:rPr>
                <w:rFonts w:hint="eastAsia" w:ascii="宋体" w:hAnsi="宋体" w:cs="宋体"/>
                <w:color w:val="000000" w:themeColor="text1"/>
                <w:sz w:val="21"/>
                <w:szCs w:val="21"/>
                <w:highlight w:val="none"/>
                <w:lang w:eastAsia="zh-CN"/>
                <w14:textFill>
                  <w14:solidFill>
                    <w14:schemeClr w14:val="tx1"/>
                  </w14:solidFill>
                </w14:textFill>
              </w:rPr>
              <w:t>供应商</w:t>
            </w:r>
            <w:r>
              <w:rPr>
                <w:rFonts w:hint="eastAsia" w:ascii="宋体" w:hAnsi="宋体" w:cs="宋体"/>
                <w:color w:val="000000" w:themeColor="text1"/>
                <w:sz w:val="21"/>
                <w:szCs w:val="21"/>
                <w:highlight w:val="none"/>
                <w14:textFill>
                  <w14:solidFill>
                    <w14:schemeClr w14:val="tx1"/>
                  </w14:solidFill>
                </w14:textFill>
              </w:rPr>
              <w:t>法定代表人/负责人身份证明和法定代表人/负责人授权代表委托书。</w:t>
            </w:r>
          </w:p>
          <w:p w14:paraId="3DA01682">
            <w:pPr>
              <w:pStyle w:val="2"/>
              <w:rPr>
                <w:rFonts w:hint="eastAsia" w:ascii="宋体" w:hAnsi="宋体" w:eastAsia="宋体" w:cs="宋体"/>
                <w:color w:val="000000" w:themeColor="text1"/>
                <w:sz w:val="21"/>
                <w:szCs w:val="21"/>
                <w:highlight w:val="none"/>
                <w:lang w:val="en-US" w:eastAsia="zh-CN"/>
                <w14:textFill>
                  <w14:solidFill>
                    <w14:schemeClr w14:val="tx1"/>
                  </w14:solidFill>
                </w14:textFill>
              </w:rPr>
            </w:pPr>
            <w:r>
              <w:rPr>
                <w:rFonts w:hint="default" w:ascii="宋体" w:hAnsi="宋体" w:cs="宋体"/>
                <w:color w:val="000000" w:themeColor="text1"/>
                <w:sz w:val="21"/>
                <w:szCs w:val="21"/>
                <w:highlight w:val="none"/>
                <w:lang w:val="en-US"/>
                <w14:textFill>
                  <w14:solidFill>
                    <w14:schemeClr w14:val="tx1"/>
                  </w14:solidFill>
                </w14:textFill>
              </w:rPr>
              <w:t>3.</w:t>
            </w:r>
            <w:r>
              <w:rPr>
                <w:rFonts w:hint="eastAsia" w:ascii="宋体" w:hAnsi="宋体" w:cs="宋体"/>
                <w:color w:val="000000" w:themeColor="text1"/>
                <w:sz w:val="21"/>
                <w:szCs w:val="21"/>
                <w:highlight w:val="none"/>
                <w:lang w:val="en-US" w:eastAsia="zh-CN"/>
                <w14:textFill>
                  <w14:solidFill>
                    <w14:schemeClr w14:val="tx1"/>
                  </w14:solidFill>
                </w14:textFill>
              </w:rPr>
              <w:t>银行保险、石油石化、电信、电力等有行业特殊情况的，允许其分公司参与本项目，其响应文件中法定代表人相关事宜可由负责人代替。</w:t>
            </w:r>
          </w:p>
        </w:tc>
      </w:tr>
      <w:tr w14:paraId="0DC596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026F99A5">
            <w:pPr>
              <w:jc w:val="center"/>
              <w:rPr>
                <w:rFonts w:hint="eastAsia" w:ascii="宋体" w:hAnsi="宋体" w:cs="宋体"/>
                <w:color w:val="000000" w:themeColor="text1"/>
                <w:sz w:val="21"/>
                <w:szCs w:val="21"/>
                <w:highlight w:val="none"/>
                <w14:textFill>
                  <w14:solidFill>
                    <w14:schemeClr w14:val="tx1"/>
                  </w14:solidFill>
                </w14:textFill>
              </w:rPr>
            </w:pPr>
          </w:p>
        </w:tc>
        <w:tc>
          <w:tcPr>
            <w:tcW w:w="709" w:type="dxa"/>
            <w:vMerge w:val="continue"/>
            <w:vAlign w:val="center"/>
          </w:tcPr>
          <w:p w14:paraId="25325CBA">
            <w:pPr>
              <w:rPr>
                <w:rFonts w:hint="eastAsia" w:ascii="宋体" w:hAnsi="宋体" w:cs="宋体"/>
                <w:color w:val="000000" w:themeColor="text1"/>
                <w:sz w:val="21"/>
                <w:szCs w:val="21"/>
                <w:highlight w:val="none"/>
                <w:lang w:val="zh-CN"/>
                <w14:textFill>
                  <w14:solidFill>
                    <w14:schemeClr w14:val="tx1"/>
                  </w14:solidFill>
                </w14:textFill>
              </w:rPr>
            </w:pPr>
          </w:p>
        </w:tc>
        <w:tc>
          <w:tcPr>
            <w:tcW w:w="3118" w:type="dxa"/>
            <w:vAlign w:val="center"/>
          </w:tcPr>
          <w:p w14:paraId="5DC8AE8B">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2.</w:t>
            </w:r>
            <w:r>
              <w:rPr>
                <w:rFonts w:hint="eastAsia" w:ascii="宋体" w:hAnsi="宋体" w:cs="宋体"/>
                <w:color w:val="000000" w:themeColor="text1"/>
                <w:sz w:val="21"/>
                <w:szCs w:val="21"/>
                <w:highlight w:val="none"/>
                <w14:textFill>
                  <w14:solidFill>
                    <w14:schemeClr w14:val="tx1"/>
                  </w14:solidFill>
                </w14:textFill>
              </w:rPr>
              <w:t>具有良好的商业信誉和健全的财务会计制度</w:t>
            </w:r>
          </w:p>
        </w:tc>
        <w:tc>
          <w:tcPr>
            <w:tcW w:w="4984" w:type="dxa"/>
            <w:vMerge w:val="restart"/>
            <w:vAlign w:val="center"/>
          </w:tcPr>
          <w:p w14:paraId="3E488753">
            <w:pP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供应商提供“基本资格条件承诺函”（格式详见第七篇）</w:t>
            </w:r>
          </w:p>
        </w:tc>
      </w:tr>
      <w:tr w14:paraId="71CD8D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5EB9CF96">
            <w:pPr>
              <w:jc w:val="center"/>
              <w:rPr>
                <w:rFonts w:hint="eastAsia" w:ascii="宋体" w:hAnsi="宋体" w:cs="宋体"/>
                <w:color w:val="000000" w:themeColor="text1"/>
                <w:sz w:val="21"/>
                <w:szCs w:val="21"/>
                <w:highlight w:val="none"/>
                <w14:textFill>
                  <w14:solidFill>
                    <w14:schemeClr w14:val="tx1"/>
                  </w14:solidFill>
                </w14:textFill>
              </w:rPr>
            </w:pPr>
          </w:p>
        </w:tc>
        <w:tc>
          <w:tcPr>
            <w:tcW w:w="709" w:type="dxa"/>
            <w:vMerge w:val="continue"/>
            <w:vAlign w:val="center"/>
          </w:tcPr>
          <w:p w14:paraId="235A1EDC">
            <w:pPr>
              <w:rPr>
                <w:rFonts w:hint="eastAsia" w:ascii="宋体" w:hAnsi="宋体" w:cs="宋体"/>
                <w:color w:val="000000" w:themeColor="text1"/>
                <w:sz w:val="21"/>
                <w:szCs w:val="21"/>
                <w:highlight w:val="none"/>
                <w:lang w:val="zh-CN"/>
                <w14:textFill>
                  <w14:solidFill>
                    <w14:schemeClr w14:val="tx1"/>
                  </w14:solidFill>
                </w14:textFill>
              </w:rPr>
            </w:pPr>
          </w:p>
        </w:tc>
        <w:tc>
          <w:tcPr>
            <w:tcW w:w="3118" w:type="dxa"/>
            <w:vAlign w:val="center"/>
          </w:tcPr>
          <w:p w14:paraId="419036B3">
            <w:pPr>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3.具有履行合同所必需的设备和专业技术能力</w:t>
            </w:r>
          </w:p>
        </w:tc>
        <w:tc>
          <w:tcPr>
            <w:tcW w:w="4984" w:type="dxa"/>
            <w:vMerge w:val="continue"/>
            <w:vAlign w:val="center"/>
          </w:tcPr>
          <w:p w14:paraId="009B2DB6">
            <w:pPr>
              <w:rPr>
                <w:rFonts w:hint="eastAsia" w:ascii="宋体" w:hAnsi="宋体" w:cs="宋体"/>
                <w:color w:val="000000" w:themeColor="text1"/>
                <w:sz w:val="21"/>
                <w:szCs w:val="21"/>
                <w:highlight w:val="none"/>
                <w14:textFill>
                  <w14:solidFill>
                    <w14:schemeClr w14:val="tx1"/>
                  </w14:solidFill>
                </w14:textFill>
              </w:rPr>
            </w:pPr>
          </w:p>
        </w:tc>
      </w:tr>
      <w:tr w14:paraId="649808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3061565B">
            <w:pPr>
              <w:jc w:val="center"/>
              <w:rPr>
                <w:rFonts w:hint="eastAsia" w:ascii="宋体" w:hAnsi="宋体" w:cs="宋体"/>
                <w:color w:val="000000" w:themeColor="text1"/>
                <w:sz w:val="21"/>
                <w:szCs w:val="21"/>
                <w:highlight w:val="none"/>
                <w14:textFill>
                  <w14:solidFill>
                    <w14:schemeClr w14:val="tx1"/>
                  </w14:solidFill>
                </w14:textFill>
              </w:rPr>
            </w:pPr>
          </w:p>
        </w:tc>
        <w:tc>
          <w:tcPr>
            <w:tcW w:w="709" w:type="dxa"/>
            <w:vMerge w:val="continue"/>
            <w:vAlign w:val="center"/>
          </w:tcPr>
          <w:p w14:paraId="04C6DD22">
            <w:pPr>
              <w:rPr>
                <w:rFonts w:hint="eastAsia" w:ascii="宋体" w:hAnsi="宋体" w:cs="宋体"/>
                <w:color w:val="000000" w:themeColor="text1"/>
                <w:sz w:val="21"/>
                <w:szCs w:val="21"/>
                <w:highlight w:val="none"/>
                <w:lang w:val="zh-CN"/>
                <w14:textFill>
                  <w14:solidFill>
                    <w14:schemeClr w14:val="tx1"/>
                  </w14:solidFill>
                </w14:textFill>
              </w:rPr>
            </w:pPr>
          </w:p>
        </w:tc>
        <w:tc>
          <w:tcPr>
            <w:tcW w:w="3118" w:type="dxa"/>
            <w:vAlign w:val="center"/>
          </w:tcPr>
          <w:p w14:paraId="593CD4A0">
            <w:pPr>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4.有依法缴纳税收和社会保障金的良好记录</w:t>
            </w:r>
          </w:p>
        </w:tc>
        <w:tc>
          <w:tcPr>
            <w:tcW w:w="4984" w:type="dxa"/>
            <w:vMerge w:val="continue"/>
            <w:vAlign w:val="center"/>
          </w:tcPr>
          <w:p w14:paraId="11FB0D36">
            <w:pPr>
              <w:rPr>
                <w:rFonts w:hint="eastAsia" w:ascii="宋体" w:hAnsi="宋体" w:cs="宋体"/>
                <w:color w:val="000000" w:themeColor="text1"/>
                <w:sz w:val="21"/>
                <w:szCs w:val="21"/>
                <w:highlight w:val="none"/>
                <w14:textFill>
                  <w14:solidFill>
                    <w14:schemeClr w14:val="tx1"/>
                  </w14:solidFill>
                </w14:textFill>
              </w:rPr>
            </w:pPr>
          </w:p>
        </w:tc>
      </w:tr>
      <w:tr w14:paraId="4615A8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Merge w:val="continue"/>
            <w:vAlign w:val="center"/>
          </w:tcPr>
          <w:p w14:paraId="7C76DFDE">
            <w:pPr>
              <w:jc w:val="center"/>
              <w:rPr>
                <w:rFonts w:hint="eastAsia" w:ascii="宋体" w:hAnsi="宋体" w:cs="宋体"/>
                <w:color w:val="000000" w:themeColor="text1"/>
                <w:sz w:val="21"/>
                <w:szCs w:val="21"/>
                <w:highlight w:val="none"/>
                <w14:textFill>
                  <w14:solidFill>
                    <w14:schemeClr w14:val="tx1"/>
                  </w14:solidFill>
                </w14:textFill>
              </w:rPr>
            </w:pPr>
          </w:p>
        </w:tc>
        <w:tc>
          <w:tcPr>
            <w:tcW w:w="709" w:type="dxa"/>
            <w:vMerge w:val="continue"/>
            <w:vAlign w:val="center"/>
          </w:tcPr>
          <w:p w14:paraId="7EFEB471">
            <w:pPr>
              <w:rPr>
                <w:rFonts w:hint="eastAsia" w:ascii="宋体" w:hAnsi="宋体" w:cs="宋体"/>
                <w:color w:val="000000" w:themeColor="text1"/>
                <w:sz w:val="21"/>
                <w:szCs w:val="21"/>
                <w:highlight w:val="none"/>
                <w:lang w:val="zh-CN"/>
                <w14:textFill>
                  <w14:solidFill>
                    <w14:schemeClr w14:val="tx1"/>
                  </w14:solidFill>
                </w14:textFill>
              </w:rPr>
            </w:pPr>
          </w:p>
        </w:tc>
        <w:tc>
          <w:tcPr>
            <w:tcW w:w="3118" w:type="dxa"/>
            <w:vAlign w:val="center"/>
          </w:tcPr>
          <w:p w14:paraId="46384B45">
            <w:pPr>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5.参加政府采购活动前三年内，在经营活动中没有重大违法记录</w:t>
            </w:r>
          </w:p>
        </w:tc>
        <w:tc>
          <w:tcPr>
            <w:tcW w:w="4984" w:type="dxa"/>
            <w:vMerge w:val="continue"/>
            <w:vAlign w:val="center"/>
          </w:tcPr>
          <w:p w14:paraId="73C5F106">
            <w:pPr>
              <w:rPr>
                <w:rFonts w:hint="eastAsia" w:ascii="宋体" w:hAnsi="宋体" w:cs="宋体"/>
                <w:b/>
                <w:color w:val="000000" w:themeColor="text1"/>
                <w:sz w:val="21"/>
                <w:szCs w:val="21"/>
                <w:highlight w:val="none"/>
                <w14:textFill>
                  <w14:solidFill>
                    <w14:schemeClr w14:val="tx1"/>
                  </w14:solidFill>
                </w14:textFill>
              </w:rPr>
            </w:pPr>
          </w:p>
        </w:tc>
      </w:tr>
      <w:tr w14:paraId="37B5A5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14:paraId="0960C427">
            <w:pPr>
              <w:jc w:val="center"/>
              <w:rPr>
                <w:rFonts w:hint="eastAsia" w:ascii="宋体" w:hAnsi="宋体" w:cs="宋体"/>
                <w:color w:val="000000" w:themeColor="text1"/>
                <w:sz w:val="21"/>
                <w:szCs w:val="21"/>
                <w:highlight w:val="none"/>
                <w14:textFill>
                  <w14:solidFill>
                    <w14:schemeClr w14:val="tx1"/>
                  </w14:solidFill>
                </w14:textFill>
              </w:rPr>
            </w:pPr>
          </w:p>
        </w:tc>
        <w:tc>
          <w:tcPr>
            <w:tcW w:w="709" w:type="dxa"/>
            <w:vMerge w:val="continue"/>
            <w:vAlign w:val="center"/>
          </w:tcPr>
          <w:p w14:paraId="2ABF753E">
            <w:pPr>
              <w:rPr>
                <w:rFonts w:hint="eastAsia" w:ascii="宋体" w:hAnsi="宋体" w:cs="宋体"/>
                <w:color w:val="000000" w:themeColor="text1"/>
                <w:sz w:val="21"/>
                <w:szCs w:val="21"/>
                <w:highlight w:val="none"/>
                <w14:textFill>
                  <w14:solidFill>
                    <w14:schemeClr w14:val="tx1"/>
                  </w14:solidFill>
                </w14:textFill>
              </w:rPr>
            </w:pPr>
          </w:p>
        </w:tc>
        <w:tc>
          <w:tcPr>
            <w:tcW w:w="3118" w:type="dxa"/>
            <w:vAlign w:val="center"/>
          </w:tcPr>
          <w:p w14:paraId="33E988C0">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6.法律、行政法规规定的其他条件</w:t>
            </w:r>
          </w:p>
        </w:tc>
        <w:tc>
          <w:tcPr>
            <w:tcW w:w="4984" w:type="dxa"/>
            <w:vAlign w:val="center"/>
          </w:tcPr>
          <w:p w14:paraId="68F710C5">
            <w:pPr>
              <w:rPr>
                <w:rFonts w:hint="eastAsia" w:ascii="宋体" w:hAnsi="宋体" w:cs="宋体"/>
                <w:color w:val="000000" w:themeColor="text1"/>
                <w:sz w:val="21"/>
                <w:szCs w:val="21"/>
                <w:highlight w:val="none"/>
                <w14:textFill>
                  <w14:solidFill>
                    <w14:schemeClr w14:val="tx1"/>
                  </w14:solidFill>
                </w14:textFill>
              </w:rPr>
            </w:pPr>
          </w:p>
        </w:tc>
      </w:tr>
      <w:tr w14:paraId="20CB7C6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817" w:type="dxa"/>
            <w:vMerge w:val="continue"/>
            <w:vAlign w:val="center"/>
          </w:tcPr>
          <w:p w14:paraId="5F4BA3D3">
            <w:pPr>
              <w:jc w:val="center"/>
              <w:rPr>
                <w:rFonts w:hint="eastAsia" w:ascii="宋体" w:hAnsi="宋体" w:cs="宋体"/>
                <w:color w:val="000000" w:themeColor="text1"/>
                <w:sz w:val="21"/>
                <w:szCs w:val="21"/>
                <w:highlight w:val="none"/>
                <w14:textFill>
                  <w14:solidFill>
                    <w14:schemeClr w14:val="tx1"/>
                  </w14:solidFill>
                </w14:textFill>
              </w:rPr>
            </w:pPr>
          </w:p>
        </w:tc>
        <w:tc>
          <w:tcPr>
            <w:tcW w:w="709" w:type="dxa"/>
            <w:vMerge w:val="continue"/>
            <w:vAlign w:val="center"/>
          </w:tcPr>
          <w:p w14:paraId="7DF1F0C9">
            <w:pPr>
              <w:rPr>
                <w:rFonts w:hint="eastAsia" w:ascii="宋体" w:hAnsi="宋体" w:cs="宋体"/>
                <w:color w:val="000000" w:themeColor="text1"/>
                <w:sz w:val="21"/>
                <w:szCs w:val="21"/>
                <w:highlight w:val="none"/>
                <w14:textFill>
                  <w14:solidFill>
                    <w14:schemeClr w14:val="tx1"/>
                  </w14:solidFill>
                </w14:textFill>
              </w:rPr>
            </w:pPr>
          </w:p>
        </w:tc>
        <w:tc>
          <w:tcPr>
            <w:tcW w:w="3118" w:type="dxa"/>
            <w:vAlign w:val="center"/>
          </w:tcPr>
          <w:p w14:paraId="4D1FB798">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7.本项目的特定资格要求</w:t>
            </w:r>
          </w:p>
        </w:tc>
        <w:tc>
          <w:tcPr>
            <w:tcW w:w="4984" w:type="dxa"/>
            <w:vAlign w:val="center"/>
          </w:tcPr>
          <w:p w14:paraId="621FB36A">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按“第一篇三、供应商资格条件（三）本项目的特定资格要求”的要求提交（如果有）。</w:t>
            </w:r>
          </w:p>
        </w:tc>
      </w:tr>
      <w:tr w14:paraId="3139AD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6E5D088">
            <w:pPr>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（二）</w:t>
            </w:r>
          </w:p>
        </w:tc>
        <w:tc>
          <w:tcPr>
            <w:tcW w:w="3827" w:type="dxa"/>
            <w:gridSpan w:val="2"/>
            <w:vAlign w:val="center"/>
          </w:tcPr>
          <w:p w14:paraId="5CBEE775">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落实政府采购政策需满足的资格要求</w:t>
            </w:r>
          </w:p>
        </w:tc>
        <w:tc>
          <w:tcPr>
            <w:tcW w:w="4984" w:type="dxa"/>
            <w:vAlign w:val="center"/>
          </w:tcPr>
          <w:p w14:paraId="2151E665">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按“第一篇三、供应商资格条件（二）落实政府采购政策需满足的资格要求”的要求提交（如果有）。</w:t>
            </w:r>
          </w:p>
        </w:tc>
      </w:tr>
      <w:tr w14:paraId="64B531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17" w:type="dxa"/>
            <w:vAlign w:val="center"/>
          </w:tcPr>
          <w:p w14:paraId="7D08B630">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（三）</w:t>
            </w:r>
          </w:p>
        </w:tc>
        <w:tc>
          <w:tcPr>
            <w:tcW w:w="3827" w:type="dxa"/>
            <w:gridSpan w:val="2"/>
            <w:vAlign w:val="center"/>
          </w:tcPr>
          <w:p w14:paraId="7BB5FD2A">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磋商保证金</w:t>
            </w:r>
          </w:p>
        </w:tc>
        <w:tc>
          <w:tcPr>
            <w:tcW w:w="4984" w:type="dxa"/>
            <w:vAlign w:val="center"/>
          </w:tcPr>
          <w:p w14:paraId="03BAF505">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按照竞争性磋商文件要求足额交纳所投包的磋商保证金（如果有）。</w:t>
            </w:r>
          </w:p>
        </w:tc>
      </w:tr>
    </w:tbl>
    <w:p w14:paraId="5E4FC894">
      <w:pPr>
        <w:snapToGrid w:val="0"/>
        <w:spacing w:line="400" w:lineRule="exact"/>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注：</w:t>
      </w:r>
    </w:p>
    <w:p w14:paraId="79A432B3">
      <w:pPr>
        <w:snapToGrid w:val="0"/>
        <w:spacing w:line="400" w:lineRule="exact"/>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fldChar w:fldCharType="begin"/>
      </w:r>
      <w:r>
        <w:rPr>
          <w:rFonts w:hint="eastAsia" w:ascii="宋体" w:hAnsi="宋体" w:cs="宋体"/>
          <w:color w:val="000000" w:themeColor="text1"/>
          <w:kern w:val="0"/>
          <w:sz w:val="24"/>
          <w:szCs w:val="24"/>
          <w:highlight w:val="none"/>
          <w14:textFill>
            <w14:solidFill>
              <w14:schemeClr w14:val="tx1"/>
            </w14:solidFill>
          </w14:textFill>
        </w:rPr>
        <w:instrText xml:space="preserve"> eq \o\ac(○,</w:instrText>
      </w:r>
      <w:r>
        <w:rPr>
          <w:rFonts w:hint="eastAsia" w:ascii="宋体" w:hAnsi="宋体" w:cs="宋体"/>
          <w:color w:val="000000" w:themeColor="text1"/>
          <w:kern w:val="0"/>
          <w:position w:val="3"/>
          <w:sz w:val="16"/>
          <w:szCs w:val="24"/>
          <w:highlight w:val="none"/>
          <w14:textFill>
            <w14:solidFill>
              <w14:schemeClr w14:val="tx1"/>
            </w14:solidFill>
          </w14:textFill>
        </w:rPr>
        <w:instrText xml:space="preserve">1</w:instrText>
      </w:r>
      <w:r>
        <w:rPr>
          <w:rFonts w:hint="eastAsia" w:ascii="宋体" w:hAnsi="宋体" w:cs="宋体"/>
          <w:color w:val="000000" w:themeColor="text1"/>
          <w:kern w:val="0"/>
          <w:sz w:val="24"/>
          <w:szCs w:val="24"/>
          <w:highlight w:val="none"/>
          <w14:textFill>
            <w14:solidFill>
              <w14:schemeClr w14:val="tx1"/>
            </w14:solidFill>
          </w14:textFill>
        </w:rPr>
        <w:instrText xml:space="preserve">)</w:instrText>
      </w:r>
      <w:r>
        <w:rPr>
          <w:rFonts w:hint="eastAsia" w:ascii="宋体" w:hAnsi="宋体" w:cs="宋体"/>
          <w:color w:val="000000" w:themeColor="text1"/>
          <w:kern w:val="0"/>
          <w:sz w:val="24"/>
          <w:szCs w:val="24"/>
          <w:highlight w:val="none"/>
          <w14:textFill>
            <w14:solidFill>
              <w14:schemeClr w14:val="tx1"/>
            </w14:solidFill>
          </w14:textFill>
        </w:rPr>
        <w:fldChar w:fldCharType="end"/>
      </w:r>
      <w:r>
        <w:rPr>
          <w:rFonts w:hint="eastAsia" w:ascii="宋体" w:hAnsi="宋体" w:cs="宋体"/>
          <w:color w:val="000000" w:themeColor="text1"/>
          <w:kern w:val="0"/>
          <w:sz w:val="24"/>
          <w:szCs w:val="24"/>
          <w:highlight w:val="none"/>
          <w14:textFill>
            <w14:solidFill>
              <w14:schemeClr w14:val="tx1"/>
            </w14:solidFill>
          </w14:textFill>
        </w:rPr>
        <w:t>根据《中华人民共和国政府采购法实施条例》第十九条“参加政府采购活动前三年内，在经营活动中没有重大违法记录”中“重大违法记录”，是指供应商因违法经营受到刑事处罚或者责令停产停业、吊销许可证或者执照、较大数额罚款等行政处罚。行政处罚中“较大数额”的认定标准，按照“财政部关于《中华人民共和国政府采购法实施条例》第十九条第一款“较大数额罚款”具体适用问题的意见（财库〔2022〕3 号）”执行。供应商可于电子响应文件递交截止时间前通过 “信用中国”网站(www.creditchina.gov.cn)、"中国政府采购网"(www.ccgp.gov.cn)等渠道查询信用记录。</w:t>
      </w:r>
    </w:p>
    <w:p w14:paraId="38C25C0C">
      <w:pPr>
        <w:snapToGrid w:val="0"/>
        <w:spacing w:line="400" w:lineRule="exact"/>
        <w:ind w:firstLine="480" w:firstLineChars="200"/>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2.符合性审查。依据竞争性磋商文件的规定，从电子响应文件的有效性、完整性和对竞争性磋商文件的响应程度进行审查，以确定是否对竞争性磋商文件的实质性要求作出响应。符合性审查资料表如下：</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560"/>
        <w:gridCol w:w="1984"/>
        <w:gridCol w:w="5409"/>
      </w:tblGrid>
      <w:tr w14:paraId="00735F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21" w:hRule="atLeast"/>
        </w:trPr>
        <w:tc>
          <w:tcPr>
            <w:tcW w:w="675" w:type="dxa"/>
            <w:vAlign w:val="center"/>
          </w:tcPr>
          <w:p w14:paraId="63690DCB">
            <w:pPr>
              <w:jc w:val="center"/>
              <w:rPr>
                <w:rFonts w:hint="eastAsia" w:ascii="宋体" w:hAnsi="宋体" w:cs="宋体"/>
                <w:b/>
                <w:color w:val="000000" w:themeColor="text1"/>
                <w:kern w:val="0"/>
                <w:sz w:val="21"/>
                <w:szCs w:val="21"/>
                <w:highlight w:val="none"/>
                <w14:textFill>
                  <w14:solidFill>
                    <w14:schemeClr w14:val="tx1"/>
                  </w14:solidFill>
                </w14:textFill>
              </w:rPr>
            </w:pPr>
            <w:r>
              <w:rPr>
                <w:rFonts w:hint="eastAsia" w:ascii="宋体" w:hAnsi="宋体" w:cs="宋体"/>
                <w:b/>
                <w:color w:val="000000" w:themeColor="text1"/>
                <w:kern w:val="0"/>
                <w:sz w:val="21"/>
                <w:szCs w:val="21"/>
                <w:highlight w:val="none"/>
                <w14:textFill>
                  <w14:solidFill>
                    <w14:schemeClr w14:val="tx1"/>
                  </w14:solidFill>
                </w14:textFill>
              </w:rPr>
              <w:t>序号</w:t>
            </w:r>
          </w:p>
        </w:tc>
        <w:tc>
          <w:tcPr>
            <w:tcW w:w="3544" w:type="dxa"/>
            <w:gridSpan w:val="2"/>
            <w:vAlign w:val="center"/>
          </w:tcPr>
          <w:p w14:paraId="0840B320">
            <w:pPr>
              <w:jc w:val="center"/>
              <w:rPr>
                <w:rFonts w:hint="eastAsia" w:ascii="宋体" w:hAnsi="宋体" w:cs="宋体"/>
                <w:b/>
                <w:color w:val="000000" w:themeColor="text1"/>
                <w:kern w:val="0"/>
                <w:sz w:val="21"/>
                <w:szCs w:val="21"/>
                <w:highlight w:val="none"/>
                <w14:textFill>
                  <w14:solidFill>
                    <w14:schemeClr w14:val="tx1"/>
                  </w14:solidFill>
                </w14:textFill>
              </w:rPr>
            </w:pPr>
            <w:r>
              <w:rPr>
                <w:rFonts w:hint="eastAsia" w:ascii="宋体" w:hAnsi="宋体" w:cs="宋体"/>
                <w:b/>
                <w:color w:val="000000" w:themeColor="text1"/>
                <w:kern w:val="0"/>
                <w:sz w:val="21"/>
                <w:szCs w:val="21"/>
                <w:highlight w:val="none"/>
                <w14:textFill>
                  <w14:solidFill>
                    <w14:schemeClr w14:val="tx1"/>
                  </w14:solidFill>
                </w14:textFill>
              </w:rPr>
              <w:t>评审因素</w:t>
            </w:r>
          </w:p>
        </w:tc>
        <w:tc>
          <w:tcPr>
            <w:tcW w:w="5409" w:type="dxa"/>
            <w:vAlign w:val="center"/>
          </w:tcPr>
          <w:p w14:paraId="560CA10E">
            <w:pPr>
              <w:jc w:val="center"/>
              <w:rPr>
                <w:rFonts w:hint="eastAsia" w:ascii="宋体" w:hAnsi="宋体" w:cs="宋体"/>
                <w:b/>
                <w:color w:val="000000" w:themeColor="text1"/>
                <w:kern w:val="0"/>
                <w:sz w:val="21"/>
                <w:szCs w:val="21"/>
                <w:highlight w:val="none"/>
                <w14:textFill>
                  <w14:solidFill>
                    <w14:schemeClr w14:val="tx1"/>
                  </w14:solidFill>
                </w14:textFill>
              </w:rPr>
            </w:pPr>
            <w:r>
              <w:rPr>
                <w:rFonts w:hint="eastAsia" w:ascii="宋体" w:hAnsi="宋体" w:cs="宋体"/>
                <w:b/>
                <w:color w:val="000000" w:themeColor="text1"/>
                <w:kern w:val="0"/>
                <w:sz w:val="21"/>
                <w:szCs w:val="21"/>
                <w:highlight w:val="none"/>
                <w14:textFill>
                  <w14:solidFill>
                    <w14:schemeClr w14:val="tx1"/>
                  </w14:solidFill>
                </w14:textFill>
              </w:rPr>
              <w:t>评审标准</w:t>
            </w:r>
          </w:p>
        </w:tc>
      </w:tr>
      <w:tr w14:paraId="6DB0ED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4" w:hRule="atLeast"/>
        </w:trPr>
        <w:tc>
          <w:tcPr>
            <w:tcW w:w="675" w:type="dxa"/>
            <w:vMerge w:val="restart"/>
            <w:vAlign w:val="center"/>
          </w:tcPr>
          <w:p w14:paraId="26131F47">
            <w:pPr>
              <w:jc w:val="center"/>
              <w:rPr>
                <w:rFonts w:hint="eastAsia"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1</w:t>
            </w:r>
          </w:p>
        </w:tc>
        <w:tc>
          <w:tcPr>
            <w:tcW w:w="1560" w:type="dxa"/>
            <w:vMerge w:val="restart"/>
            <w:vAlign w:val="center"/>
          </w:tcPr>
          <w:p w14:paraId="48F6DF66">
            <w:pPr>
              <w:rPr>
                <w:rFonts w:hint="eastAsia"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有效性审查</w:t>
            </w:r>
          </w:p>
        </w:tc>
        <w:tc>
          <w:tcPr>
            <w:tcW w:w="1984" w:type="dxa"/>
            <w:vAlign w:val="center"/>
          </w:tcPr>
          <w:p w14:paraId="73492540">
            <w:pPr>
              <w:rPr>
                <w:rFonts w:hint="eastAsia"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电子响应文件签署或盖章</w:t>
            </w:r>
          </w:p>
        </w:tc>
        <w:tc>
          <w:tcPr>
            <w:tcW w:w="5409" w:type="dxa"/>
            <w:vAlign w:val="center"/>
          </w:tcPr>
          <w:p w14:paraId="436C3F24">
            <w:pPr>
              <w:rPr>
                <w:rFonts w:hint="eastAsia"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按竞争性磋商文件“第七篇 电子响应文件编制要求”要求签署或盖章。</w:t>
            </w:r>
          </w:p>
        </w:tc>
      </w:tr>
      <w:tr w14:paraId="6563C0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9" w:hRule="atLeast"/>
        </w:trPr>
        <w:tc>
          <w:tcPr>
            <w:tcW w:w="675" w:type="dxa"/>
            <w:vMerge w:val="continue"/>
            <w:vAlign w:val="center"/>
          </w:tcPr>
          <w:p w14:paraId="412233FF">
            <w:pPr>
              <w:jc w:val="center"/>
              <w:rPr>
                <w:rFonts w:hint="eastAsia" w:ascii="宋体" w:hAnsi="宋体" w:cs="宋体"/>
                <w:color w:val="000000" w:themeColor="text1"/>
                <w:kern w:val="0"/>
                <w:sz w:val="21"/>
                <w:szCs w:val="21"/>
                <w:highlight w:val="none"/>
                <w14:textFill>
                  <w14:solidFill>
                    <w14:schemeClr w14:val="tx1"/>
                  </w14:solidFill>
                </w14:textFill>
              </w:rPr>
            </w:pPr>
          </w:p>
        </w:tc>
        <w:tc>
          <w:tcPr>
            <w:tcW w:w="1560" w:type="dxa"/>
            <w:vMerge w:val="continue"/>
            <w:vAlign w:val="center"/>
          </w:tcPr>
          <w:p w14:paraId="172C2687">
            <w:pPr>
              <w:rPr>
                <w:rFonts w:hint="eastAsia" w:ascii="宋体" w:hAnsi="宋体" w:cs="宋体"/>
                <w:color w:val="000000" w:themeColor="text1"/>
                <w:kern w:val="0"/>
                <w:sz w:val="21"/>
                <w:szCs w:val="21"/>
                <w:highlight w:val="none"/>
                <w14:textFill>
                  <w14:solidFill>
                    <w14:schemeClr w14:val="tx1"/>
                  </w14:solidFill>
                </w14:textFill>
              </w:rPr>
            </w:pPr>
          </w:p>
        </w:tc>
        <w:tc>
          <w:tcPr>
            <w:tcW w:w="1984" w:type="dxa"/>
            <w:vAlign w:val="center"/>
          </w:tcPr>
          <w:p w14:paraId="03ED156F">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法定代表人身份证明及授权委托书</w:t>
            </w:r>
          </w:p>
        </w:tc>
        <w:tc>
          <w:tcPr>
            <w:tcW w:w="5409" w:type="dxa"/>
            <w:vAlign w:val="center"/>
          </w:tcPr>
          <w:p w14:paraId="4F0629B0">
            <w:pP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法定代表人身份证明及授权委托书有效，符合竞争性磋商文件规定的格式，签署或盖章齐全。</w:t>
            </w:r>
          </w:p>
        </w:tc>
      </w:tr>
      <w:tr w14:paraId="1231F7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6" w:hRule="atLeast"/>
        </w:trPr>
        <w:tc>
          <w:tcPr>
            <w:tcW w:w="675" w:type="dxa"/>
            <w:vMerge w:val="continue"/>
            <w:vAlign w:val="center"/>
          </w:tcPr>
          <w:p w14:paraId="3ACB1248">
            <w:pPr>
              <w:jc w:val="center"/>
              <w:rPr>
                <w:rFonts w:hint="eastAsia" w:ascii="宋体" w:hAnsi="宋体" w:cs="宋体"/>
                <w:color w:val="000000" w:themeColor="text1"/>
                <w:kern w:val="0"/>
                <w:sz w:val="21"/>
                <w:szCs w:val="21"/>
                <w:highlight w:val="none"/>
                <w14:textFill>
                  <w14:solidFill>
                    <w14:schemeClr w14:val="tx1"/>
                  </w14:solidFill>
                </w14:textFill>
              </w:rPr>
            </w:pPr>
          </w:p>
        </w:tc>
        <w:tc>
          <w:tcPr>
            <w:tcW w:w="1560" w:type="dxa"/>
            <w:vMerge w:val="continue"/>
            <w:vAlign w:val="center"/>
          </w:tcPr>
          <w:p w14:paraId="482DE3AF">
            <w:pPr>
              <w:rPr>
                <w:rFonts w:hint="eastAsia" w:ascii="宋体" w:hAnsi="宋体" w:cs="宋体"/>
                <w:color w:val="000000" w:themeColor="text1"/>
                <w:kern w:val="0"/>
                <w:sz w:val="21"/>
                <w:szCs w:val="21"/>
                <w:highlight w:val="none"/>
                <w14:textFill>
                  <w14:solidFill>
                    <w14:schemeClr w14:val="tx1"/>
                  </w14:solidFill>
                </w14:textFill>
              </w:rPr>
            </w:pPr>
          </w:p>
        </w:tc>
        <w:tc>
          <w:tcPr>
            <w:tcW w:w="1984" w:type="dxa"/>
            <w:vAlign w:val="center"/>
          </w:tcPr>
          <w:p w14:paraId="30DBB5CA">
            <w:pPr>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响应</w:t>
            </w:r>
            <w:r>
              <w:rPr>
                <w:rFonts w:hint="eastAsia" w:ascii="宋体" w:hAnsi="宋体" w:cs="宋体"/>
                <w:color w:val="000000" w:themeColor="text1"/>
                <w:sz w:val="21"/>
                <w:szCs w:val="21"/>
                <w:highlight w:val="none"/>
                <w:lang w:val="zh-CN"/>
                <w14:textFill>
                  <w14:solidFill>
                    <w14:schemeClr w14:val="tx1"/>
                  </w14:solidFill>
                </w14:textFill>
              </w:rPr>
              <w:t>方案</w:t>
            </w:r>
          </w:p>
        </w:tc>
        <w:tc>
          <w:tcPr>
            <w:tcW w:w="5409" w:type="dxa"/>
            <w:vAlign w:val="center"/>
          </w:tcPr>
          <w:p w14:paraId="3608C301">
            <w:pPr>
              <w:rPr>
                <w:rFonts w:hint="eastAsia"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sz w:val="21"/>
                <w:szCs w:val="21"/>
                <w:highlight w:val="none"/>
                <w:lang w:val="zh-CN"/>
                <w14:textFill>
                  <w14:solidFill>
                    <w14:schemeClr w14:val="tx1"/>
                  </w14:solidFill>
                </w14:textFill>
              </w:rPr>
              <w:t>每个包只能有一个</w:t>
            </w:r>
            <w:r>
              <w:rPr>
                <w:rFonts w:hint="eastAsia" w:ascii="宋体" w:hAnsi="宋体" w:cs="宋体"/>
                <w:color w:val="000000" w:themeColor="text1"/>
                <w:sz w:val="21"/>
                <w:szCs w:val="21"/>
                <w:highlight w:val="none"/>
                <w14:textFill>
                  <w14:solidFill>
                    <w14:schemeClr w14:val="tx1"/>
                  </w14:solidFill>
                </w14:textFill>
              </w:rPr>
              <w:t>响应</w:t>
            </w:r>
            <w:r>
              <w:rPr>
                <w:rFonts w:hint="eastAsia" w:ascii="宋体" w:hAnsi="宋体" w:cs="宋体"/>
                <w:color w:val="000000" w:themeColor="text1"/>
                <w:sz w:val="21"/>
                <w:szCs w:val="21"/>
                <w:highlight w:val="none"/>
                <w:lang w:val="zh-CN"/>
                <w14:textFill>
                  <w14:solidFill>
                    <w14:schemeClr w14:val="tx1"/>
                  </w14:solidFill>
                </w14:textFill>
              </w:rPr>
              <w:t>方案。</w:t>
            </w:r>
          </w:p>
        </w:tc>
      </w:tr>
      <w:tr w14:paraId="22FF41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675" w:type="dxa"/>
            <w:vMerge w:val="continue"/>
            <w:vAlign w:val="center"/>
          </w:tcPr>
          <w:p w14:paraId="24641337">
            <w:pPr>
              <w:jc w:val="center"/>
              <w:rPr>
                <w:rFonts w:hint="eastAsia" w:ascii="宋体" w:hAnsi="宋体" w:cs="宋体"/>
                <w:color w:val="000000" w:themeColor="text1"/>
                <w:kern w:val="0"/>
                <w:sz w:val="21"/>
                <w:szCs w:val="21"/>
                <w:highlight w:val="none"/>
                <w14:textFill>
                  <w14:solidFill>
                    <w14:schemeClr w14:val="tx1"/>
                  </w14:solidFill>
                </w14:textFill>
              </w:rPr>
            </w:pPr>
          </w:p>
        </w:tc>
        <w:tc>
          <w:tcPr>
            <w:tcW w:w="1560" w:type="dxa"/>
            <w:vMerge w:val="continue"/>
            <w:vAlign w:val="center"/>
          </w:tcPr>
          <w:p w14:paraId="291F2E09">
            <w:pPr>
              <w:rPr>
                <w:rFonts w:hint="eastAsia" w:ascii="宋体" w:hAnsi="宋体" w:cs="宋体"/>
                <w:color w:val="000000" w:themeColor="text1"/>
                <w:kern w:val="0"/>
                <w:sz w:val="21"/>
                <w:szCs w:val="21"/>
                <w:highlight w:val="none"/>
                <w14:textFill>
                  <w14:solidFill>
                    <w14:schemeClr w14:val="tx1"/>
                  </w14:solidFill>
                </w14:textFill>
              </w:rPr>
            </w:pPr>
          </w:p>
        </w:tc>
        <w:tc>
          <w:tcPr>
            <w:tcW w:w="1984" w:type="dxa"/>
            <w:vAlign w:val="center"/>
          </w:tcPr>
          <w:p w14:paraId="21723CD2">
            <w:pPr>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报价唯一</w:t>
            </w:r>
          </w:p>
        </w:tc>
        <w:tc>
          <w:tcPr>
            <w:tcW w:w="5409" w:type="dxa"/>
            <w:vAlign w:val="center"/>
          </w:tcPr>
          <w:p w14:paraId="15B08F92">
            <w:pPr>
              <w:rPr>
                <w:rFonts w:hint="eastAsia"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只能有一个有效报价，不得提交选择性报价。</w:t>
            </w:r>
          </w:p>
        </w:tc>
      </w:tr>
      <w:tr w14:paraId="7F1CF5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1" w:hRule="atLeast"/>
        </w:trPr>
        <w:tc>
          <w:tcPr>
            <w:tcW w:w="675" w:type="dxa"/>
            <w:vAlign w:val="center"/>
          </w:tcPr>
          <w:p w14:paraId="44E0E441">
            <w:pPr>
              <w:jc w:val="center"/>
              <w:rPr>
                <w:rFonts w:hint="eastAsia"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2</w:t>
            </w:r>
          </w:p>
        </w:tc>
        <w:tc>
          <w:tcPr>
            <w:tcW w:w="1560" w:type="dxa"/>
            <w:vAlign w:val="center"/>
          </w:tcPr>
          <w:p w14:paraId="1D4E5C59">
            <w:pPr>
              <w:rPr>
                <w:rFonts w:hint="eastAsia"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完整性审查</w:t>
            </w:r>
          </w:p>
        </w:tc>
        <w:tc>
          <w:tcPr>
            <w:tcW w:w="1984" w:type="dxa"/>
            <w:vAlign w:val="center"/>
          </w:tcPr>
          <w:p w14:paraId="38CB6A84">
            <w:pPr>
              <w:rPr>
                <w:rFonts w:hint="eastAsia"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响应</w:t>
            </w:r>
            <w:r>
              <w:rPr>
                <w:rFonts w:hint="eastAsia" w:ascii="宋体" w:hAnsi="宋体" w:cs="宋体"/>
                <w:color w:val="000000" w:themeColor="text1"/>
                <w:sz w:val="21"/>
                <w:szCs w:val="21"/>
                <w:highlight w:val="none"/>
                <w:lang w:val="zh-CN"/>
                <w14:textFill>
                  <w14:solidFill>
                    <w14:schemeClr w14:val="tx1"/>
                  </w14:solidFill>
                </w14:textFill>
              </w:rPr>
              <w:t>文件份数</w:t>
            </w:r>
          </w:p>
        </w:tc>
        <w:tc>
          <w:tcPr>
            <w:tcW w:w="5409" w:type="dxa"/>
            <w:vAlign w:val="center"/>
          </w:tcPr>
          <w:p w14:paraId="57729724">
            <w:pPr>
              <w:rPr>
                <w:rFonts w:hint="eastAsia"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电子响应文件数量和须提交的相关原件数量（如果有）符合竞争性磋商文件要求。</w:t>
            </w:r>
          </w:p>
        </w:tc>
      </w:tr>
      <w:tr w14:paraId="079529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 w:hRule="atLeast"/>
        </w:trPr>
        <w:tc>
          <w:tcPr>
            <w:tcW w:w="675" w:type="dxa"/>
            <w:vMerge w:val="restart"/>
            <w:vAlign w:val="center"/>
          </w:tcPr>
          <w:p w14:paraId="4024433A">
            <w:pPr>
              <w:jc w:val="center"/>
              <w:rPr>
                <w:rFonts w:hint="eastAsia"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3</w:t>
            </w:r>
          </w:p>
        </w:tc>
        <w:tc>
          <w:tcPr>
            <w:tcW w:w="1560" w:type="dxa"/>
            <w:vMerge w:val="restart"/>
            <w:vAlign w:val="center"/>
          </w:tcPr>
          <w:p w14:paraId="516815FD">
            <w:pPr>
              <w:rPr>
                <w:rFonts w:hint="eastAsia" w:ascii="宋体" w:hAnsi="宋体" w:cs="宋体"/>
                <w:color w:val="000000" w:themeColor="text1"/>
                <w:sz w:val="21"/>
                <w:szCs w:val="21"/>
                <w:highlight w:val="none"/>
                <w:lang w:val="zh-CN"/>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响应程度审查</w:t>
            </w:r>
          </w:p>
        </w:tc>
        <w:tc>
          <w:tcPr>
            <w:tcW w:w="1984" w:type="dxa"/>
            <w:vAlign w:val="center"/>
          </w:tcPr>
          <w:p w14:paraId="6E4704B7">
            <w:pPr>
              <w:rPr>
                <w:rFonts w:hint="eastAsia"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实质性响应</w:t>
            </w:r>
          </w:p>
        </w:tc>
        <w:tc>
          <w:tcPr>
            <w:tcW w:w="5409" w:type="dxa"/>
            <w:vAlign w:val="center"/>
          </w:tcPr>
          <w:p w14:paraId="2C8C2E1A">
            <w:pPr>
              <w:pStyle w:val="11"/>
              <w:rPr>
                <w:rFonts w:hint="eastAsia"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本招标文件第二篇</w:t>
            </w:r>
            <w:r>
              <w:rPr>
                <w:rFonts w:hint="eastAsia" w:ascii="宋体" w:hAnsi="宋体" w:cs="宋体"/>
                <w:color w:val="000000" w:themeColor="text1"/>
                <w:kern w:val="0"/>
                <w:sz w:val="21"/>
                <w:szCs w:val="21"/>
                <w:highlight w:val="none"/>
                <w:lang w:eastAsia="zh-CN"/>
                <w14:textFill>
                  <w14:solidFill>
                    <w14:schemeClr w14:val="tx1"/>
                  </w14:solidFill>
                </w14:textFill>
              </w:rPr>
              <w:t>、</w:t>
            </w:r>
            <w:r>
              <w:rPr>
                <w:rFonts w:hint="eastAsia" w:ascii="宋体" w:hAnsi="宋体" w:cs="宋体"/>
                <w:color w:val="000000" w:themeColor="text1"/>
                <w:kern w:val="0"/>
                <w:sz w:val="21"/>
                <w:szCs w:val="21"/>
                <w:highlight w:val="none"/>
                <w:lang w:val="en-US" w:eastAsia="zh-CN"/>
                <w14:textFill>
                  <w14:solidFill>
                    <w14:schemeClr w14:val="tx1"/>
                  </w14:solidFill>
                </w14:textFill>
              </w:rPr>
              <w:t>第三篇</w:t>
            </w:r>
            <w:r>
              <w:rPr>
                <w:rFonts w:hint="eastAsia" w:ascii="宋体" w:hAnsi="宋体" w:cs="宋体"/>
                <w:color w:val="000000" w:themeColor="text1"/>
                <w:kern w:val="0"/>
                <w:sz w:val="21"/>
                <w:szCs w:val="21"/>
                <w:highlight w:val="none"/>
                <w14:textFill>
                  <w14:solidFill>
                    <w14:schemeClr w14:val="tx1"/>
                  </w14:solidFill>
                </w14:textFill>
              </w:rPr>
              <w:t>中（※）号标注的部</w:t>
            </w:r>
            <w:r>
              <w:rPr>
                <w:rFonts w:hint="eastAsia" w:ascii="宋体" w:hAnsi="宋体" w:eastAsia="宋体" w:cs="宋体"/>
                <w:color w:val="000000" w:themeColor="text1"/>
                <w:kern w:val="0"/>
                <w:sz w:val="21"/>
                <w:szCs w:val="21"/>
                <w:highlight w:val="none"/>
                <w14:textFill>
                  <w14:solidFill>
                    <w14:schemeClr w14:val="tx1"/>
                  </w14:solidFill>
                </w14:textFill>
              </w:rPr>
              <w:t>分，否则作废标处理。</w:t>
            </w:r>
          </w:p>
        </w:tc>
      </w:tr>
      <w:tr w14:paraId="785E9B1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73" w:hRule="atLeast"/>
        </w:trPr>
        <w:tc>
          <w:tcPr>
            <w:tcW w:w="675" w:type="dxa"/>
            <w:vMerge w:val="continue"/>
            <w:vAlign w:val="center"/>
          </w:tcPr>
          <w:p w14:paraId="583BA58D">
            <w:pPr>
              <w:jc w:val="center"/>
              <w:rPr>
                <w:rFonts w:hint="eastAsia" w:ascii="宋体" w:hAnsi="宋体" w:cs="宋体"/>
                <w:color w:val="000000" w:themeColor="text1"/>
                <w:kern w:val="0"/>
                <w:sz w:val="21"/>
                <w:szCs w:val="21"/>
                <w:highlight w:val="none"/>
                <w14:textFill>
                  <w14:solidFill>
                    <w14:schemeClr w14:val="tx1"/>
                  </w14:solidFill>
                </w14:textFill>
              </w:rPr>
            </w:pPr>
          </w:p>
        </w:tc>
        <w:tc>
          <w:tcPr>
            <w:tcW w:w="1560" w:type="dxa"/>
            <w:vMerge w:val="continue"/>
            <w:vAlign w:val="center"/>
          </w:tcPr>
          <w:p w14:paraId="211C9118">
            <w:pPr>
              <w:rPr>
                <w:rFonts w:hint="eastAsia" w:ascii="宋体" w:hAnsi="宋体" w:cs="宋体"/>
                <w:color w:val="000000" w:themeColor="text1"/>
                <w:sz w:val="21"/>
                <w:szCs w:val="21"/>
                <w:highlight w:val="none"/>
                <w:lang w:val="zh-CN"/>
                <w14:textFill>
                  <w14:solidFill>
                    <w14:schemeClr w14:val="tx1"/>
                  </w14:solidFill>
                </w14:textFill>
              </w:rPr>
            </w:pPr>
          </w:p>
        </w:tc>
        <w:tc>
          <w:tcPr>
            <w:tcW w:w="1984" w:type="dxa"/>
            <w:vAlign w:val="center"/>
          </w:tcPr>
          <w:p w14:paraId="5FBAAFFB">
            <w:pPr>
              <w:rPr>
                <w:rFonts w:hint="eastAsia"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磋商有效期</w:t>
            </w:r>
          </w:p>
        </w:tc>
        <w:tc>
          <w:tcPr>
            <w:tcW w:w="5409" w:type="dxa"/>
            <w:vAlign w:val="center"/>
          </w:tcPr>
          <w:p w14:paraId="036764DC">
            <w:pPr>
              <w:rPr>
                <w:rFonts w:hint="eastAsia"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响应文件及有关承诺文件有效期为提交电子响应文件截止时间起90天。</w:t>
            </w:r>
          </w:p>
        </w:tc>
      </w:tr>
    </w:tbl>
    <w:p w14:paraId="18E2B010">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根据《财政部关于政府采购竞争性磋商采购方式管理暂行办法有关问题的补充通知》（财库〔2015〕124号）采用竞争性磋商采购方式采购的政府购买服务项目（含政府和社会资本合作项目），在采购过程中符合要求的供应商（社会资本）只有2家的，竞争性磋商采购活动可以继续进行。</w:t>
      </w:r>
    </w:p>
    <w:p w14:paraId="4E9AD55B">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澄清有关问题。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2220FA2A">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磋商小组要求供应商澄清、说明或者更正电子响应文件应当以书面形式作出，文件电子化上传。供应商通过书面形式作出的澄清、说明或者更正应当由法定代表人（或其授权代表）或自然人（供应商为自然人）签署或者加盖公章并将澄清等文件扫描为PDF格式，上传至“问题澄清”输入框中的“澄清附件”中。由授权代表签署的，应当附法定代表人授权书。供应商为自然人的，应当由本人签署并附身份证明。以上签署等文件都要以PDF格式上传到“问题澄清”输入框中的“澄清附件”（澄清附件只允许一个文档上传，所有上传文件都应归到一个文档当中）。</w:t>
      </w:r>
    </w:p>
    <w:p w14:paraId="7637A7F7">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本次项目采取的是视频在线磋商方式，供应商法定代表人或者授权代表必须在电子开标室及时响应采购代理机构的通知和磋商小组的磋商邀请，并及时点击“在线谈判”按钮，参与视频在线磋商，在磋商过程中磋商的任何一方不得向他人透露与磋商有关的服务资料、价格或其他信息。</w:t>
      </w:r>
    </w:p>
    <w:p w14:paraId="270701F2">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在磋商过程中，磋商小组可以根据竞争性磋商文件和磋商情况实质性变动采购需求中的服务、商务要求以及合同草案条款，但不得变动竞争性磋商文件中的其他内容。实质性变动的内容，须经采购人代表确认。对竞争性磋商文件作出的实质性变动是竞争性磋商文件的有效组成部分，磋商小组应当及时以书面形式通知所有参加磋商的供应商。供应商应当按照磋商文件的变动情况和磋商小组的要求以线上形式重新提交响应文件电子档（PDF格式），如供应商通过线上方式提交，还需法定代表人或授权代表签字或者加盖公章。由授权代表签字的，应当附法定代表人授权书电子档（PDF格式）。供应商为自然人的，应当由本人签字并附身份证明电子档（PDF格式）。</w:t>
      </w:r>
    </w:p>
    <w:p w14:paraId="22C730D3">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（七）供应商在磋商时作出的所有书面承诺须由法定代表人（或其授权代表）或自然人（供应商为自然人）签署，并将签字后的书面承诺扫描成PDF格式，按采购代理机构的要求的递交方式，递交给采购代理机构。</w:t>
      </w:r>
    </w:p>
    <w:p w14:paraId="0F8054C6">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（八）磋商结束后，磋商小组要求所有参加正式磋商的供应商在规定时间内以线上方式提交最后报价及有关承诺，系统界面会自动提示，供应商须完成以下步骤：</w:t>
      </w:r>
    </w:p>
    <w:p w14:paraId="376120A7">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①点击“二次报价”按钮，进入二次报价界面。</w:t>
      </w:r>
    </w:p>
    <w:p w14:paraId="2B77EDA3">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②在“本轮报价”里输入第二次报价的金额。如需上传二次报价单价明细表或者其他附件，可以点击“报价附件”→“上传文件”按钮，完成二次报价单价明细表或者其他附件的上传。</w:t>
      </w:r>
    </w:p>
    <w:p w14:paraId="066FB253">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③提交报价，然后完成报价表签章，二次报价就操作成功了。</w:t>
      </w:r>
    </w:p>
    <w:p w14:paraId="36F9EA68">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注：已提交电子响应文件但未在规定时间内进行最后报价的供应商，视为放弃最后报价，以供应商电子招投标系统中的最后一次报价为准。</w:t>
      </w:r>
    </w:p>
    <w:p w14:paraId="710902F9">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九）磋商小组采用综合评分法。综合评分法，是指响应文件满足竞争性磋商文件全部实质性要求且按照评审因素的量化指标评审得分最高的供应商为成交候选供应商的评审方法。供应商总得分为价格、服务、商务等评定因素分别按照相应权重值计算分项得分后相加，满分为100分。</w:t>
      </w:r>
    </w:p>
    <w:p w14:paraId="5B8D8D73">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十）磋商小组各成员独立对每个有效响应（通过资格性审查、符合性审查的供应商）的文件进行评价、打分，然后汇总每个供应商每项评分因素的得分，并根据综合评分情况按照评审得分由高到低顺序推荐3名以上成交候选供应商，并编写评审报告。若供应商的评审得分相同的，按培训组织方案得分由高到低顺序排列；如培训组织方案得分相同的，以保证金到账先后顺序进行抽签确定排名顺序。（提示：请慎重考虑是否推荐服务部分得分为0分的供应商成为成交候选供应商，应在竞争性磋商文件中对该种情况的处理方式予以明确。）</w:t>
      </w:r>
    </w:p>
    <w:p w14:paraId="0683C57A">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bookmarkStart w:id="93" w:name="_Toc137472651"/>
      <w:bookmarkStart w:id="94" w:name="_Toc16192"/>
      <w:r>
        <w:rPr>
          <w:rFonts w:hint="eastAsia" w:ascii="宋体" w:hAnsi="宋体" w:eastAsia="宋体" w:cs="宋体"/>
          <w:color w:val="000000" w:themeColor="text1"/>
          <w:sz w:val="24"/>
          <w:highlight w:val="none"/>
          <w14:textFill>
            <w14:solidFill>
              <w14:schemeClr w14:val="tx1"/>
            </w14:solidFill>
          </w14:textFill>
        </w:rPr>
        <w:t>二、评审标准</w:t>
      </w:r>
      <w:bookmarkEnd w:id="93"/>
      <w:bookmarkEnd w:id="94"/>
    </w:p>
    <w:tbl>
      <w:tblPr>
        <w:tblStyle w:val="17"/>
        <w:tblW w:w="4993"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183"/>
        <w:gridCol w:w="1214"/>
        <w:gridCol w:w="4238"/>
        <w:gridCol w:w="2980"/>
      </w:tblGrid>
      <w:tr w14:paraId="70C376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jc w:val="center"/>
        </w:trPr>
        <w:tc>
          <w:tcPr>
            <w:tcW w:w="615" w:type="pct"/>
            <w:vAlign w:val="center"/>
          </w:tcPr>
          <w:p w14:paraId="4B63D0E4">
            <w:pPr>
              <w:spacing w:line="240" w:lineRule="atLeast"/>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评分内容</w:t>
            </w:r>
          </w:p>
        </w:tc>
        <w:tc>
          <w:tcPr>
            <w:tcW w:w="631" w:type="pct"/>
            <w:vAlign w:val="center"/>
          </w:tcPr>
          <w:p w14:paraId="49C3F3D7">
            <w:pPr>
              <w:spacing w:line="240" w:lineRule="atLeast"/>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分值</w:t>
            </w:r>
          </w:p>
        </w:tc>
        <w:tc>
          <w:tcPr>
            <w:tcW w:w="2203" w:type="pct"/>
            <w:vAlign w:val="center"/>
          </w:tcPr>
          <w:p w14:paraId="3A91ECC1">
            <w:pPr>
              <w:spacing w:line="240" w:lineRule="atLeast"/>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评分标准</w:t>
            </w:r>
          </w:p>
        </w:tc>
        <w:tc>
          <w:tcPr>
            <w:tcW w:w="1549" w:type="pct"/>
            <w:vAlign w:val="center"/>
          </w:tcPr>
          <w:p w14:paraId="09638937">
            <w:pPr>
              <w:spacing w:line="240" w:lineRule="atLeast"/>
              <w:jc w:val="center"/>
              <w:rPr>
                <w:rFonts w:hint="eastAsia" w:ascii="宋体" w:hAnsi="宋体" w:cs="宋体"/>
                <w:b/>
                <w:bCs/>
                <w:color w:val="000000" w:themeColor="text1"/>
                <w:sz w:val="24"/>
                <w:szCs w:val="24"/>
                <w:highlight w:val="none"/>
                <w14:textFill>
                  <w14:solidFill>
                    <w14:schemeClr w14:val="tx1"/>
                  </w14:solidFill>
                </w14:textFill>
              </w:rPr>
            </w:pPr>
            <w:r>
              <w:rPr>
                <w:rFonts w:hint="eastAsia" w:ascii="宋体" w:hAnsi="宋体" w:cs="宋体"/>
                <w:b/>
                <w:bCs/>
                <w:color w:val="000000" w:themeColor="text1"/>
                <w:sz w:val="24"/>
                <w:szCs w:val="24"/>
                <w:highlight w:val="none"/>
                <w14:textFill>
                  <w14:solidFill>
                    <w14:schemeClr w14:val="tx1"/>
                  </w14:solidFill>
                </w14:textFill>
              </w:rPr>
              <w:t>说明</w:t>
            </w:r>
          </w:p>
        </w:tc>
      </w:tr>
      <w:tr w14:paraId="6D30E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61" w:hRule="atLeast"/>
          <w:jc w:val="center"/>
        </w:trPr>
        <w:tc>
          <w:tcPr>
            <w:tcW w:w="615" w:type="pct"/>
            <w:vAlign w:val="center"/>
          </w:tcPr>
          <w:p w14:paraId="538BA775">
            <w:pPr>
              <w:spacing w:line="240" w:lineRule="atLeas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磋商报价</w:t>
            </w:r>
          </w:p>
          <w:p w14:paraId="4C857662">
            <w:pPr>
              <w:spacing w:line="240" w:lineRule="atLeas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olor w:val="000000" w:themeColor="text1"/>
                <w:sz w:val="24"/>
                <w:szCs w:val="24"/>
                <w:highlight w:val="none"/>
                <w14:textFill>
                  <w14:solidFill>
                    <w14:schemeClr w14:val="tx1"/>
                  </w14:solidFill>
                </w14:textFill>
              </w:rPr>
              <w:t>（40%）</w:t>
            </w:r>
          </w:p>
        </w:tc>
        <w:tc>
          <w:tcPr>
            <w:tcW w:w="631" w:type="pct"/>
            <w:vAlign w:val="center"/>
          </w:tcPr>
          <w:p w14:paraId="549FD51C">
            <w:pPr>
              <w:spacing w:line="240" w:lineRule="atLeas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40分</w:t>
            </w:r>
          </w:p>
        </w:tc>
        <w:tc>
          <w:tcPr>
            <w:tcW w:w="2203" w:type="pct"/>
            <w:vAlign w:val="center"/>
          </w:tcPr>
          <w:p w14:paraId="22ECC1A5">
            <w:pPr>
              <w:widowControl/>
              <w:spacing w:line="340" w:lineRule="exac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满足资格性、符合性要求且最后报价最低的供应商的价格为磋商基准价，按照下列公式计算每个供应商的磋商报价得分。</w:t>
            </w:r>
          </w:p>
          <w:p w14:paraId="2DDF306E">
            <w:pPr>
              <w:widowControl/>
              <w:spacing w:line="340" w:lineRule="exac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磋商报价得分=（磋商基准价/最后磋商报价）×价格权值×100</w:t>
            </w:r>
          </w:p>
        </w:tc>
        <w:tc>
          <w:tcPr>
            <w:tcW w:w="1549" w:type="pct"/>
            <w:vAlign w:val="center"/>
          </w:tcPr>
          <w:p w14:paraId="1DD4DD86">
            <w:pPr>
              <w:widowControl/>
              <w:spacing w:line="340" w:lineRule="exact"/>
              <w:rPr>
                <w:rFonts w:hint="eastAsia" w:ascii="宋体" w:hAnsi="宋体" w:cs="宋体"/>
                <w:color w:val="000000" w:themeColor="text1"/>
                <w:kern w:val="0"/>
                <w:sz w:val="24"/>
                <w:szCs w:val="24"/>
                <w:highlight w:val="none"/>
                <w14:textFill>
                  <w14:solidFill>
                    <w14:schemeClr w14:val="tx1"/>
                  </w14:solidFill>
                </w14:textFill>
              </w:rPr>
            </w:pPr>
          </w:p>
        </w:tc>
      </w:tr>
      <w:tr w14:paraId="6A710B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57" w:hRule="atLeast"/>
          <w:jc w:val="center"/>
        </w:trPr>
        <w:tc>
          <w:tcPr>
            <w:tcW w:w="615" w:type="pct"/>
            <w:vMerge w:val="restart"/>
            <w:vAlign w:val="center"/>
          </w:tcPr>
          <w:p w14:paraId="735549BF">
            <w:pPr>
              <w:spacing w:line="240" w:lineRule="atLeas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技术部分（</w:t>
            </w:r>
            <w:r>
              <w:rPr>
                <w:rFonts w:hint="default" w:ascii="宋体" w:hAnsi="宋体" w:cs="宋体"/>
                <w:color w:val="000000" w:themeColor="text1"/>
                <w:sz w:val="24"/>
                <w:szCs w:val="24"/>
                <w:highlight w:val="none"/>
                <w:lang w:val="en-US"/>
                <w14:textFill>
                  <w14:solidFill>
                    <w14:schemeClr w14:val="tx1"/>
                  </w14:solidFill>
                </w14:textFill>
              </w:rPr>
              <w:t>41</w:t>
            </w:r>
            <w:r>
              <w:rPr>
                <w:rFonts w:hint="eastAsia" w:ascii="宋体" w:hAnsi="宋体" w:cs="宋体"/>
                <w:color w:val="000000" w:themeColor="text1"/>
                <w:sz w:val="24"/>
                <w:szCs w:val="24"/>
                <w:highlight w:val="none"/>
                <w14:textFill>
                  <w14:solidFill>
                    <w14:schemeClr w14:val="tx1"/>
                  </w14:solidFill>
                </w14:textFill>
              </w:rPr>
              <w:t>%）</w:t>
            </w:r>
          </w:p>
        </w:tc>
        <w:tc>
          <w:tcPr>
            <w:tcW w:w="631" w:type="pct"/>
            <w:vAlign w:val="center"/>
          </w:tcPr>
          <w:p w14:paraId="1D070B2E">
            <w:pPr>
              <w:spacing w:line="240" w:lineRule="atLeast"/>
              <w:jc w:val="center"/>
              <w:rPr>
                <w:rFonts w:hint="eastAsia" w:ascii="宋体" w:hAnsi="宋体" w:cs="宋体"/>
                <w:color w:val="000000" w:themeColor="text1"/>
                <w:sz w:val="24"/>
                <w:szCs w:val="24"/>
                <w:highlight w:val="none"/>
                <w14:textFill>
                  <w14:solidFill>
                    <w14:schemeClr w14:val="tx1"/>
                  </w14:solidFill>
                </w14:textFill>
              </w:rPr>
            </w:pPr>
            <w:r>
              <w:rPr>
                <w:rFonts w:ascii="宋体" w:hAnsi="宋体" w:cs="宋体"/>
                <w:color w:val="000000" w:themeColor="text1"/>
                <w:kern w:val="0"/>
                <w:sz w:val="24"/>
                <w:szCs w:val="24"/>
                <w:highlight w:val="none"/>
                <w14:textFill>
                  <w14:solidFill>
                    <w14:schemeClr w14:val="tx1"/>
                  </w14:solidFill>
                </w14:textFill>
              </w:rPr>
              <w:t>技术参数</w:t>
            </w:r>
            <w:r>
              <w:rPr>
                <w:rFonts w:hint="eastAsia" w:ascii="宋体" w:hAnsi="宋体" w:cs="宋体"/>
                <w:color w:val="000000" w:themeColor="text1"/>
                <w:kern w:val="0"/>
                <w:sz w:val="24"/>
                <w:szCs w:val="24"/>
                <w:highlight w:val="none"/>
                <w14:textFill>
                  <w14:solidFill>
                    <w14:schemeClr w14:val="tx1"/>
                  </w14:solidFill>
                </w14:textFill>
              </w:rPr>
              <w:t>响应（</w:t>
            </w:r>
            <w:r>
              <w:rPr>
                <w:rFonts w:hint="eastAsia" w:ascii="宋体" w:hAnsi="宋体" w:cs="宋体"/>
                <w:color w:val="000000" w:themeColor="text1"/>
                <w:sz w:val="24"/>
                <w:szCs w:val="24"/>
                <w:highlight w:val="none"/>
                <w14:textFill>
                  <w14:solidFill>
                    <w14:schemeClr w14:val="tx1"/>
                  </w14:solidFill>
                </w14:textFill>
              </w:rPr>
              <w:t>26分）</w:t>
            </w:r>
          </w:p>
        </w:tc>
        <w:tc>
          <w:tcPr>
            <w:tcW w:w="2203" w:type="pct"/>
            <w:vAlign w:val="center"/>
          </w:tcPr>
          <w:p w14:paraId="73F4DED8">
            <w:pPr>
              <w:widowControl/>
              <w:spacing w:line="340" w:lineRule="exact"/>
              <w:textAlignment w:val="center"/>
              <w:rPr>
                <w:rFonts w:hint="eastAsia" w:ascii="宋体" w:hAnsi="宋体" w:cs="宋体"/>
                <w:color w:val="000000" w:themeColor="text1"/>
                <w:kern w:val="0"/>
                <w:sz w:val="24"/>
                <w:szCs w:val="24"/>
                <w:highlight w:val="none"/>
                <w14:textFill>
                  <w14:solidFill>
                    <w14:schemeClr w14:val="tx1"/>
                  </w14:solidFill>
                </w14:textFill>
              </w:rPr>
            </w:pPr>
            <w:r>
              <w:rPr>
                <w:rFonts w:ascii="宋体" w:hAnsi="宋体" w:cs="宋体"/>
                <w:color w:val="000000" w:themeColor="text1"/>
                <w:kern w:val="0"/>
                <w:sz w:val="24"/>
                <w:szCs w:val="24"/>
                <w:highlight w:val="none"/>
                <w14:textFill>
                  <w14:solidFill>
                    <w14:schemeClr w14:val="tx1"/>
                  </w14:solidFill>
                </w14:textFill>
              </w:rPr>
              <w:t>1.起评分：</w:t>
            </w:r>
          </w:p>
          <w:p w14:paraId="75F69866">
            <w:pPr>
              <w:widowControl/>
              <w:spacing w:line="340" w:lineRule="exact"/>
              <w:ind w:firstLine="240" w:firstLineChars="100"/>
              <w:textAlignment w:val="center"/>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有效供应商的技术参数响应起评分为26分</w:t>
            </w:r>
            <w:r>
              <w:rPr>
                <w:rFonts w:ascii="宋体" w:hAnsi="宋体" w:cs="宋体"/>
                <w:color w:val="000000" w:themeColor="text1"/>
                <w:kern w:val="0"/>
                <w:sz w:val="24"/>
                <w:szCs w:val="24"/>
                <w:highlight w:val="none"/>
                <w14:textFill>
                  <w14:solidFill>
                    <w14:schemeClr w14:val="tx1"/>
                  </w14:solidFill>
                </w14:textFill>
              </w:rPr>
              <w:t>。</w:t>
            </w:r>
          </w:p>
          <w:p w14:paraId="682238BB">
            <w:pPr>
              <w:widowControl/>
              <w:spacing w:line="340" w:lineRule="exact"/>
              <w:textAlignment w:val="center"/>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ascii="宋体" w:hAnsi="宋体" w:cs="宋体"/>
                <w:color w:val="000000" w:themeColor="text1"/>
                <w:kern w:val="0"/>
                <w:sz w:val="24"/>
                <w:szCs w:val="24"/>
                <w:highlight w:val="none"/>
                <w14:textFill>
                  <w14:solidFill>
                    <w14:schemeClr w14:val="tx1"/>
                  </w14:solidFill>
                </w14:textFill>
              </w:rPr>
              <w:t>.扣分条款：</w:t>
            </w:r>
          </w:p>
          <w:p w14:paraId="78BA10A4">
            <w:pPr>
              <w:widowControl/>
              <w:spacing w:line="340" w:lineRule="exact"/>
              <w:ind w:firstLine="240" w:firstLineChars="100"/>
              <w:textAlignment w:val="center"/>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ascii="宋体" w:hAnsi="宋体" w:cs="宋体"/>
                <w:color w:val="000000" w:themeColor="text1"/>
                <w:kern w:val="0"/>
                <w:sz w:val="24"/>
                <w:szCs w:val="24"/>
                <w:highlight w:val="none"/>
                <w14:textFill>
                  <w14:solidFill>
                    <w14:schemeClr w14:val="tx1"/>
                  </w14:solidFill>
                </w14:textFill>
              </w:rPr>
              <w:t>.1重要技术参数</w:t>
            </w:r>
          </w:p>
          <w:p w14:paraId="706A54E8">
            <w:pPr>
              <w:widowControl/>
              <w:spacing w:line="340" w:lineRule="exact"/>
              <w:ind w:firstLine="240" w:firstLineChars="100"/>
              <w:textAlignment w:val="center"/>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第二篇</w:t>
            </w:r>
            <w:r>
              <w:rPr>
                <w:rFonts w:hint="eastAsia" w:ascii="宋体" w:hAnsi="宋体" w:cs="宋体"/>
                <w:color w:val="000000" w:themeColor="text1"/>
                <w:kern w:val="0"/>
                <w:sz w:val="24"/>
                <w:szCs w:val="24"/>
                <w:highlight w:val="none"/>
                <w14:textFill>
                  <w14:solidFill>
                    <w14:schemeClr w14:val="tx1"/>
                  </w14:solidFill>
                </w14:textFill>
              </w:rPr>
              <w:t xml:space="preserve"> 磋商项目技术需求”中“</w:t>
            </w:r>
            <w:r>
              <w:rPr>
                <w:rFonts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号标注的部分</w:t>
            </w: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达不到</w:t>
            </w:r>
            <w:r>
              <w:rPr>
                <w:rFonts w:hint="eastAsia" w:ascii="宋体" w:hAnsi="宋体" w:cs="宋体"/>
                <w:color w:val="000000" w:themeColor="text1"/>
                <w:kern w:val="0"/>
                <w:sz w:val="24"/>
                <w:szCs w:val="24"/>
                <w:highlight w:val="none"/>
                <w14:textFill>
                  <w14:solidFill>
                    <w14:schemeClr w14:val="tx1"/>
                  </w14:solidFill>
                </w14:textFill>
              </w:rPr>
              <w:t>竞争性磋商</w:t>
            </w:r>
            <w:r>
              <w:rPr>
                <w:rFonts w:ascii="宋体" w:hAnsi="宋体" w:cs="宋体"/>
                <w:color w:val="000000" w:themeColor="text1"/>
                <w:kern w:val="0"/>
                <w:sz w:val="24"/>
                <w:szCs w:val="24"/>
                <w:highlight w:val="none"/>
                <w14:textFill>
                  <w14:solidFill>
                    <w14:schemeClr w14:val="tx1"/>
                  </w14:solidFill>
                </w14:textFill>
              </w:rPr>
              <w:t>文件要求的，每负偏离一条从起评分中扣除</w:t>
            </w:r>
            <w:r>
              <w:rPr>
                <w:rFonts w:hint="eastAsia" w:ascii="宋体" w:hAnsi="宋体" w:cs="宋体"/>
                <w:color w:val="000000" w:themeColor="text1"/>
                <w:kern w:val="0"/>
                <w:sz w:val="24"/>
                <w:szCs w:val="24"/>
                <w:highlight w:val="none"/>
                <w14:textFill>
                  <w14:solidFill>
                    <w14:schemeClr w14:val="tx1"/>
                  </w14:solidFill>
                </w14:textFill>
              </w:rPr>
              <w:t>3</w:t>
            </w:r>
            <w:r>
              <w:rPr>
                <w:rFonts w:ascii="宋体" w:hAnsi="宋体" w:cs="宋体"/>
                <w:color w:val="000000" w:themeColor="text1"/>
                <w:kern w:val="0"/>
                <w:sz w:val="24"/>
                <w:szCs w:val="24"/>
                <w:highlight w:val="none"/>
                <w14:textFill>
                  <w14:solidFill>
                    <w14:schemeClr w14:val="tx1"/>
                  </w14:solidFill>
                </w14:textFill>
              </w:rPr>
              <w:t>分，</w:t>
            </w:r>
            <w:r>
              <w:rPr>
                <w:rFonts w:hint="eastAsia" w:ascii="宋体" w:hAnsi="宋体" w:cs="宋体"/>
                <w:color w:val="000000" w:themeColor="text1"/>
                <w:kern w:val="0"/>
                <w:sz w:val="24"/>
                <w:szCs w:val="24"/>
                <w:highlight w:val="none"/>
                <w14:textFill>
                  <w14:solidFill>
                    <w14:schemeClr w14:val="tx1"/>
                  </w14:solidFill>
                </w14:textFill>
              </w:rPr>
              <w:t>扣完为止。</w:t>
            </w:r>
          </w:p>
          <w:p w14:paraId="5E1397AD">
            <w:pPr>
              <w:widowControl/>
              <w:spacing w:line="340" w:lineRule="exact"/>
              <w:ind w:firstLine="240" w:firstLineChars="100"/>
              <w:textAlignment w:val="center"/>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ascii="宋体" w:hAnsi="宋体" w:cs="宋体"/>
                <w:color w:val="000000" w:themeColor="text1"/>
                <w:kern w:val="0"/>
                <w:sz w:val="24"/>
                <w:szCs w:val="24"/>
                <w:highlight w:val="none"/>
                <w14:textFill>
                  <w14:solidFill>
                    <w14:schemeClr w14:val="tx1"/>
                  </w14:solidFill>
                </w14:textFill>
              </w:rPr>
              <w:t>.2一般性技术参数</w:t>
            </w:r>
          </w:p>
          <w:p w14:paraId="186EF135">
            <w:pPr>
              <w:widowControl/>
              <w:spacing w:line="340" w:lineRule="exact"/>
              <w:ind w:firstLine="240" w:firstLineChars="100"/>
              <w:textAlignment w:val="center"/>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第二篇</w:t>
            </w:r>
            <w:r>
              <w:rPr>
                <w:rFonts w:hint="eastAsia" w:ascii="宋体" w:hAnsi="宋体" w:cs="宋体"/>
                <w:color w:val="000000" w:themeColor="text1"/>
                <w:kern w:val="0"/>
                <w:sz w:val="24"/>
                <w:szCs w:val="24"/>
                <w:highlight w:val="none"/>
                <w14:textFill>
                  <w14:solidFill>
                    <w14:schemeClr w14:val="tx1"/>
                  </w14:solidFill>
                </w14:textFill>
              </w:rPr>
              <w:t xml:space="preserve"> 磋商项目技术需求”中带“</w:t>
            </w:r>
            <w:r>
              <w:rPr>
                <w:rFonts w:ascii="宋体" w:hAnsi="宋体" w:cs="宋体"/>
                <w:color w:val="000000" w:themeColor="text1"/>
                <w:kern w:val="0"/>
                <w:sz w:val="24"/>
                <w:szCs w:val="24"/>
                <w:highlight w:val="none"/>
                <w14:textFill>
                  <w14:solidFill>
                    <w14:schemeClr w14:val="tx1"/>
                  </w14:solidFill>
                </w14:textFill>
              </w:rPr>
              <w:t>★</w:t>
            </w: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号标注</w:t>
            </w:r>
            <w:r>
              <w:rPr>
                <w:rFonts w:hint="eastAsia" w:ascii="宋体" w:hAnsi="宋体" w:cs="宋体"/>
                <w:color w:val="000000" w:themeColor="text1"/>
                <w:kern w:val="0"/>
                <w:sz w:val="24"/>
                <w:szCs w:val="24"/>
                <w:highlight w:val="none"/>
                <w14:textFill>
                  <w14:solidFill>
                    <w14:schemeClr w14:val="tx1"/>
                  </w14:solidFill>
                </w14:textFill>
              </w:rPr>
              <w:t>除外的为一般性参数，</w:t>
            </w:r>
            <w:r>
              <w:rPr>
                <w:rFonts w:ascii="宋体" w:hAnsi="宋体" w:cs="宋体"/>
                <w:color w:val="000000" w:themeColor="text1"/>
                <w:kern w:val="0"/>
                <w:sz w:val="24"/>
                <w:szCs w:val="24"/>
                <w:highlight w:val="none"/>
                <w14:textFill>
                  <w14:solidFill>
                    <w14:schemeClr w14:val="tx1"/>
                  </w14:solidFill>
                </w14:textFill>
              </w:rPr>
              <w:t>达不到</w:t>
            </w:r>
            <w:r>
              <w:rPr>
                <w:rFonts w:hint="eastAsia" w:ascii="宋体" w:hAnsi="宋体" w:cs="宋体"/>
                <w:color w:val="000000" w:themeColor="text1"/>
                <w:kern w:val="0"/>
                <w:sz w:val="24"/>
                <w:szCs w:val="24"/>
                <w:highlight w:val="none"/>
                <w14:textFill>
                  <w14:solidFill>
                    <w14:schemeClr w14:val="tx1"/>
                  </w14:solidFill>
                </w14:textFill>
              </w:rPr>
              <w:t>竞争性磋商</w:t>
            </w:r>
            <w:r>
              <w:rPr>
                <w:rFonts w:ascii="宋体" w:hAnsi="宋体" w:cs="宋体"/>
                <w:color w:val="000000" w:themeColor="text1"/>
                <w:kern w:val="0"/>
                <w:sz w:val="24"/>
                <w:szCs w:val="24"/>
                <w:highlight w:val="none"/>
                <w14:textFill>
                  <w14:solidFill>
                    <w14:schemeClr w14:val="tx1"/>
                  </w14:solidFill>
                </w14:textFill>
              </w:rPr>
              <w:t>文件要求的，每负偏离一条从起评分中扣除</w:t>
            </w:r>
            <w:r>
              <w:rPr>
                <w:rFonts w:hint="eastAsia" w:ascii="宋体" w:hAnsi="宋体" w:cs="宋体"/>
                <w:color w:val="000000" w:themeColor="text1"/>
                <w:kern w:val="0"/>
                <w:sz w:val="24"/>
                <w:szCs w:val="24"/>
                <w:highlight w:val="none"/>
                <w14:textFill>
                  <w14:solidFill>
                    <w14:schemeClr w14:val="tx1"/>
                  </w14:solidFill>
                </w14:textFill>
              </w:rPr>
              <w:t>2</w:t>
            </w:r>
            <w:r>
              <w:rPr>
                <w:rFonts w:ascii="宋体" w:hAnsi="宋体" w:cs="宋体"/>
                <w:color w:val="000000" w:themeColor="text1"/>
                <w:kern w:val="0"/>
                <w:sz w:val="24"/>
                <w:szCs w:val="24"/>
                <w:highlight w:val="none"/>
                <w14:textFill>
                  <w14:solidFill>
                    <w14:schemeClr w14:val="tx1"/>
                  </w14:solidFill>
                </w14:textFill>
              </w:rPr>
              <w:t>分，</w:t>
            </w:r>
            <w:r>
              <w:rPr>
                <w:rFonts w:hint="eastAsia" w:ascii="宋体" w:hAnsi="宋体" w:cs="宋体"/>
                <w:color w:val="000000" w:themeColor="text1"/>
                <w:kern w:val="0"/>
                <w:sz w:val="24"/>
                <w:szCs w:val="24"/>
                <w:highlight w:val="none"/>
                <w14:textFill>
                  <w14:solidFill>
                    <w14:schemeClr w14:val="tx1"/>
                  </w14:solidFill>
                </w14:textFill>
              </w:rPr>
              <w:t>扣完为止。</w:t>
            </w:r>
          </w:p>
        </w:tc>
        <w:tc>
          <w:tcPr>
            <w:tcW w:w="1549" w:type="pct"/>
            <w:vAlign w:val="center"/>
          </w:tcPr>
          <w:p w14:paraId="50773E53">
            <w:pPr>
              <w:widowControl/>
              <w:spacing w:line="340" w:lineRule="exact"/>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r>
              <w:rPr>
                <w:rFonts w:ascii="宋体" w:hAnsi="宋体" w:cs="宋体"/>
                <w:color w:val="000000" w:themeColor="text1"/>
                <w:kern w:val="0"/>
                <w:sz w:val="24"/>
                <w:szCs w:val="24"/>
                <w:highlight w:val="none"/>
                <w14:textFill>
                  <w14:solidFill>
                    <w14:schemeClr w14:val="tx1"/>
                  </w14:solidFill>
                </w14:textFill>
              </w:rPr>
              <w:t>第二篇</w:t>
            </w:r>
            <w:r>
              <w:rPr>
                <w:rFonts w:hint="eastAsia" w:ascii="宋体" w:hAnsi="宋体" w:cs="宋体"/>
                <w:color w:val="000000" w:themeColor="text1"/>
                <w:kern w:val="0"/>
                <w:sz w:val="24"/>
                <w:szCs w:val="24"/>
                <w:highlight w:val="none"/>
                <w14:textFill>
                  <w14:solidFill>
                    <w14:schemeClr w14:val="tx1"/>
                  </w14:solidFill>
                </w14:textFill>
              </w:rPr>
              <w:t>磋商项目技术需求”中</w:t>
            </w:r>
            <w:r>
              <w:rPr>
                <w:rFonts w:hint="eastAsia" w:ascii="宋体" w:hAnsi="宋体" w:cs="宋体"/>
                <w:color w:val="000000" w:themeColor="text1"/>
                <w:sz w:val="24"/>
                <w:szCs w:val="24"/>
                <w:highlight w:val="none"/>
                <w14:textFill>
                  <w14:solidFill>
                    <w14:schemeClr w14:val="tx1"/>
                  </w14:solidFill>
                </w14:textFill>
              </w:rPr>
              <w:t>要求提供证明材料的，供应商必须在响应文件中提供相应证明材料，否则可视为不满足磋商文件技术部分相应条款要求。</w:t>
            </w:r>
          </w:p>
        </w:tc>
      </w:tr>
      <w:tr w14:paraId="52FC61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326" w:hRule="atLeast"/>
          <w:jc w:val="center"/>
        </w:trPr>
        <w:tc>
          <w:tcPr>
            <w:tcW w:w="615" w:type="pct"/>
            <w:vMerge w:val="continue"/>
            <w:vAlign w:val="center"/>
          </w:tcPr>
          <w:p w14:paraId="41E655EC">
            <w:pPr>
              <w:spacing w:line="240" w:lineRule="atLeast"/>
              <w:jc w:val="center"/>
              <w:rPr>
                <w:rFonts w:hint="eastAsia" w:ascii="宋体" w:hAnsi="宋体" w:cs="宋体"/>
                <w:color w:val="000000" w:themeColor="text1"/>
                <w:sz w:val="24"/>
                <w:szCs w:val="24"/>
                <w:highlight w:val="none"/>
                <w14:textFill>
                  <w14:solidFill>
                    <w14:schemeClr w14:val="tx1"/>
                  </w14:solidFill>
                </w14:textFill>
              </w:rPr>
            </w:pPr>
          </w:p>
        </w:tc>
        <w:tc>
          <w:tcPr>
            <w:tcW w:w="631" w:type="pct"/>
            <w:vAlign w:val="center"/>
          </w:tcPr>
          <w:p w14:paraId="691660D5">
            <w:pPr>
              <w:spacing w:line="240" w:lineRule="atLeast"/>
              <w:ind w:left="-38"/>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实施方案（15分）</w:t>
            </w:r>
          </w:p>
        </w:tc>
        <w:tc>
          <w:tcPr>
            <w:tcW w:w="2203" w:type="pct"/>
            <w:vAlign w:val="center"/>
          </w:tcPr>
          <w:p w14:paraId="1385C73D">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1、系统实施方案，包括但不限于：</w:t>
            </w:r>
          </w:p>
          <w:p w14:paraId="44E61876">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1）供应商对于本项目现状需求分析</w:t>
            </w:r>
          </w:p>
          <w:p w14:paraId="20B546D4">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2）项目管理组织体系 </w:t>
            </w:r>
          </w:p>
          <w:p w14:paraId="31717A0E">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3）进度安排</w:t>
            </w:r>
          </w:p>
          <w:p w14:paraId="39A50BAC">
            <w:pPr>
              <w:pStyle w:val="2"/>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4）质量管理与控制</w:t>
            </w:r>
          </w:p>
          <w:p w14:paraId="1C9B2EFC">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5）培训方案等内容</w:t>
            </w:r>
          </w:p>
          <w:p w14:paraId="499AB1A7">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1.方案包含上述所有内容的基础上，内容不存在瑕疵的得15分；</w:t>
            </w:r>
          </w:p>
          <w:p w14:paraId="3D5DE7BF">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2.方案包含上述所有内容的基础上，内容存在1处瑕疵的得11分；</w:t>
            </w:r>
          </w:p>
          <w:p w14:paraId="1847521E">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3.方案包含上述所有内容的基础上，内容存在2处瑕疵的得7分；</w:t>
            </w:r>
          </w:p>
          <w:p w14:paraId="334DE97E">
            <w:pPr>
              <w:pStyle w:val="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方案包含上述所有内容的基础上，内容存在3处瑕疵及以上的得3分；</w:t>
            </w:r>
          </w:p>
          <w:p w14:paraId="31166A9E">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5.未提供方案得0分。</w:t>
            </w:r>
          </w:p>
        </w:tc>
        <w:tc>
          <w:tcPr>
            <w:tcW w:w="1549" w:type="pct"/>
            <w:vAlign w:val="center"/>
          </w:tcPr>
          <w:p w14:paraId="265C5C74">
            <w:pPr>
              <w:spacing w:line="340" w:lineRule="exact"/>
              <w:ind w:left="-38"/>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供应商须在响应文件技术部分提供实施方案加盖供应商公章。</w:t>
            </w:r>
          </w:p>
          <w:p w14:paraId="2356EC12">
            <w:pPr>
              <w:spacing w:line="340" w:lineRule="exact"/>
              <w:ind w:left="-38"/>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注：前述所称的“瑕疵”指：</w:t>
            </w:r>
          </w:p>
          <w:p w14:paraId="47E3850A">
            <w:pPr>
              <w:spacing w:line="340" w:lineRule="exact"/>
              <w:ind w:left="-38"/>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（1）方案出现内容缺项、表述不完整或缺少关键分析点；</w:t>
            </w:r>
          </w:p>
          <w:p w14:paraId="3380ADB2">
            <w:pPr>
              <w:spacing w:line="340" w:lineRule="exact"/>
              <w:ind w:left="-38"/>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（2）缺乏科学合理性，存在逻辑漏洞、常识错误；</w:t>
            </w:r>
          </w:p>
          <w:p w14:paraId="7C7C23DC">
            <w:pPr>
              <w:spacing w:line="340" w:lineRule="exact"/>
              <w:ind w:left="-38"/>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（3）表述前后矛盾、无连贯性；</w:t>
            </w:r>
          </w:p>
          <w:p w14:paraId="7F9D90CF">
            <w:pPr>
              <w:spacing w:line="340" w:lineRule="exact"/>
              <w:ind w:left="-38"/>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（4）方案安排并不适用本项目特性或非专门针对本项目制定，不利于本项目的目的实现；</w:t>
            </w:r>
          </w:p>
          <w:p w14:paraId="01E94EB4">
            <w:pPr>
              <w:spacing w:line="340" w:lineRule="exact"/>
              <w:ind w:left="-38"/>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（5）现有条件下不可能实现的情形。</w:t>
            </w:r>
          </w:p>
        </w:tc>
      </w:tr>
      <w:tr w14:paraId="234FAC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69" w:hRule="atLeast"/>
          <w:jc w:val="center"/>
        </w:trPr>
        <w:tc>
          <w:tcPr>
            <w:tcW w:w="615" w:type="pct"/>
            <w:vMerge w:val="restart"/>
            <w:vAlign w:val="center"/>
          </w:tcPr>
          <w:p w14:paraId="1FBB945D">
            <w:pPr>
              <w:spacing w:line="320" w:lineRule="exac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商务部分</w:t>
            </w:r>
          </w:p>
          <w:p w14:paraId="128A14B4">
            <w:pPr>
              <w:spacing w:line="320" w:lineRule="exac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w:t>
            </w:r>
            <w:r>
              <w:rPr>
                <w:rFonts w:hint="default" w:ascii="宋体" w:hAnsi="宋体" w:cs="宋体"/>
                <w:color w:val="000000" w:themeColor="text1"/>
                <w:sz w:val="24"/>
                <w:szCs w:val="24"/>
                <w:highlight w:val="none"/>
                <w:lang w:val="en-US"/>
                <w14:textFill>
                  <w14:solidFill>
                    <w14:schemeClr w14:val="tx1"/>
                  </w14:solidFill>
                </w14:textFill>
              </w:rPr>
              <w:t>19</w:t>
            </w:r>
            <w:r>
              <w:rPr>
                <w:rFonts w:hint="eastAsia" w:ascii="宋体" w:hAnsi="宋体" w:cs="宋体"/>
                <w:color w:val="000000" w:themeColor="text1"/>
                <w:sz w:val="24"/>
                <w:szCs w:val="24"/>
                <w:highlight w:val="none"/>
                <w14:textFill>
                  <w14:solidFill>
                    <w14:schemeClr w14:val="tx1"/>
                  </w14:solidFill>
                </w14:textFill>
              </w:rPr>
              <w:t>%）</w:t>
            </w:r>
          </w:p>
        </w:tc>
        <w:tc>
          <w:tcPr>
            <w:tcW w:w="631" w:type="pct"/>
            <w:shd w:val="clear" w:color="auto" w:fill="auto"/>
            <w:vAlign w:val="center"/>
          </w:tcPr>
          <w:p w14:paraId="2BA50FEB">
            <w:pPr>
              <w:spacing w:line="240" w:lineRule="atLeast"/>
              <w:ind w:left="-38"/>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售后服务方案（15分）</w:t>
            </w:r>
          </w:p>
        </w:tc>
        <w:tc>
          <w:tcPr>
            <w:tcW w:w="2203" w:type="pct"/>
            <w:shd w:val="clear" w:color="auto" w:fill="auto"/>
            <w:vAlign w:val="center"/>
          </w:tcPr>
          <w:p w14:paraId="109561F7">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2、售后服务保障方案，包括但不限于:</w:t>
            </w:r>
          </w:p>
          <w:p w14:paraId="79EDEA06">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1）机构设置</w:t>
            </w:r>
          </w:p>
          <w:p w14:paraId="4EDE79E1">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2）售后服务能力</w:t>
            </w:r>
          </w:p>
          <w:p w14:paraId="70734802">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 售后服务响应</w:t>
            </w:r>
          </w:p>
          <w:p w14:paraId="3F656149">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4）售后服务流程</w:t>
            </w:r>
          </w:p>
          <w:p w14:paraId="57BD27B0">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5）售后服务质量跟踪及保证等内容</w:t>
            </w:r>
          </w:p>
          <w:p w14:paraId="72DE4AE0">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1.方案包含上述所有内容的基础上，内容不存在瑕疵的得15分；</w:t>
            </w:r>
          </w:p>
          <w:p w14:paraId="6DCDACB7">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2.方案包含上述所有内容的基础上，内容存在1处瑕疵的得11分；</w:t>
            </w:r>
          </w:p>
          <w:p w14:paraId="1D85AA13">
            <w:pPr>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3.方案包含上述所有内容的基础上，内容存在2处瑕疵的得7分；</w:t>
            </w:r>
          </w:p>
          <w:p w14:paraId="6C4406ED">
            <w:pPr>
              <w:pStyle w:val="2"/>
              <w:rPr>
                <w:color w:val="000000" w:themeColor="text1"/>
                <w:highlight w:val="none"/>
                <w14:textFill>
                  <w14:solidFill>
                    <w14:schemeClr w14:val="tx1"/>
                  </w14:solidFill>
                </w14:textFill>
              </w:rPr>
            </w:pPr>
            <w:r>
              <w:rPr>
                <w:rFonts w:hint="eastAsia"/>
                <w:color w:val="000000" w:themeColor="text1"/>
                <w:highlight w:val="none"/>
                <w14:textFill>
                  <w14:solidFill>
                    <w14:schemeClr w14:val="tx1"/>
                  </w14:solidFill>
                </w14:textFill>
              </w:rPr>
              <w:t>4.</w:t>
            </w:r>
            <w:r>
              <w:rPr>
                <w:rFonts w:hint="eastAsia" w:ascii="宋体" w:hAnsi="宋体" w:cs="宋体"/>
                <w:color w:val="000000" w:themeColor="text1"/>
                <w:sz w:val="24"/>
                <w:szCs w:val="24"/>
                <w:highlight w:val="none"/>
                <w14:textFill>
                  <w14:solidFill>
                    <w14:schemeClr w14:val="tx1"/>
                  </w14:solidFill>
                </w14:textFill>
              </w:rPr>
              <w:t>方案包含上述所有内容的基础上，内容存在3处瑕疵及以上的得3分；</w:t>
            </w:r>
          </w:p>
          <w:p w14:paraId="4634775B">
            <w:pPr>
              <w:spacing w:line="34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5.未提供方案得0分。</w:t>
            </w:r>
          </w:p>
        </w:tc>
        <w:tc>
          <w:tcPr>
            <w:tcW w:w="1549" w:type="pct"/>
            <w:shd w:val="clear" w:color="auto" w:fill="auto"/>
            <w:vAlign w:val="center"/>
          </w:tcPr>
          <w:p w14:paraId="2E6D154B">
            <w:pPr>
              <w:spacing w:line="340" w:lineRule="exact"/>
              <w:ind w:left="-38"/>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供应商须在响应文件技术部分提供售后服务方案加盖供应商公章。</w:t>
            </w:r>
          </w:p>
          <w:p w14:paraId="4B72C28A">
            <w:pPr>
              <w:spacing w:line="340" w:lineRule="exact"/>
              <w:ind w:left="-38"/>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注：前述所称的“瑕疵”指：</w:t>
            </w:r>
          </w:p>
          <w:p w14:paraId="760BC0A0">
            <w:pPr>
              <w:spacing w:line="340" w:lineRule="exact"/>
              <w:ind w:left="-38"/>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（1）方案出现内容缺项、表述不完整或缺少关键分析点；</w:t>
            </w:r>
          </w:p>
          <w:p w14:paraId="6FD68C48">
            <w:pPr>
              <w:spacing w:line="340" w:lineRule="exact"/>
              <w:ind w:left="-38"/>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（2）缺乏科学合理性，存在逻辑漏洞、常识错误；</w:t>
            </w:r>
          </w:p>
          <w:p w14:paraId="492AE37C">
            <w:pPr>
              <w:spacing w:line="340" w:lineRule="exact"/>
              <w:ind w:left="-38"/>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（3）表述前后矛盾、无连贯性；</w:t>
            </w:r>
          </w:p>
          <w:p w14:paraId="159D7A97">
            <w:pPr>
              <w:spacing w:line="340" w:lineRule="exact"/>
              <w:ind w:left="-38"/>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（4）方案安排并不适用本项目特性或非专门针对本项目制定，不利于本项目的目的实现；</w:t>
            </w:r>
          </w:p>
          <w:p w14:paraId="371BE0C9">
            <w:pPr>
              <w:pStyle w:val="2"/>
              <w:rPr>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（5）现有条件下不可能实现的情形。</w:t>
            </w:r>
          </w:p>
        </w:tc>
      </w:tr>
      <w:tr w14:paraId="5006CE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4" w:hRule="atLeast"/>
          <w:jc w:val="center"/>
        </w:trPr>
        <w:tc>
          <w:tcPr>
            <w:tcW w:w="615" w:type="pct"/>
            <w:vMerge w:val="continue"/>
            <w:vAlign w:val="center"/>
          </w:tcPr>
          <w:p w14:paraId="66114D51">
            <w:pPr>
              <w:spacing w:line="320" w:lineRule="exact"/>
              <w:jc w:val="center"/>
              <w:rPr>
                <w:rFonts w:hint="eastAsia" w:ascii="宋体" w:hAnsi="宋体" w:cs="宋体"/>
                <w:color w:val="000000" w:themeColor="text1"/>
                <w:sz w:val="24"/>
                <w:szCs w:val="24"/>
                <w:highlight w:val="none"/>
                <w14:textFill>
                  <w14:solidFill>
                    <w14:schemeClr w14:val="tx1"/>
                  </w14:solidFill>
                </w14:textFill>
              </w:rPr>
            </w:pPr>
          </w:p>
        </w:tc>
        <w:tc>
          <w:tcPr>
            <w:tcW w:w="631" w:type="pct"/>
            <w:vAlign w:val="center"/>
          </w:tcPr>
          <w:p w14:paraId="29207D88">
            <w:pPr>
              <w:spacing w:line="320" w:lineRule="exact"/>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业绩（4分）</w:t>
            </w:r>
          </w:p>
        </w:tc>
        <w:tc>
          <w:tcPr>
            <w:tcW w:w="2203" w:type="pct"/>
            <w:vAlign w:val="center"/>
          </w:tcPr>
          <w:p w14:paraId="0784A6C5">
            <w:pPr>
              <w:spacing w:line="240" w:lineRule="atLeast"/>
              <w:rPr>
                <w:color w:val="000000" w:themeColor="text1"/>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供应商从2022年1月起</w:t>
            </w:r>
            <w:r>
              <w:rPr>
                <w:rFonts w:hint="eastAsia" w:ascii="宋体" w:hAnsi="宋体" w:cs="宋体"/>
                <w:color w:val="000000" w:themeColor="text1"/>
                <w:kern w:val="0"/>
                <w:sz w:val="24"/>
                <w:szCs w:val="24"/>
                <w:highlight w:val="none"/>
                <w:lang w:eastAsia="zh-CN"/>
                <w14:textFill>
                  <w14:solidFill>
                    <w14:schemeClr w14:val="tx1"/>
                  </w14:solidFill>
                </w14:textFill>
              </w:rPr>
              <w:t>至磋商截止日止</w:t>
            </w:r>
            <w:r>
              <w:rPr>
                <w:rFonts w:hint="eastAsia" w:ascii="宋体" w:hAnsi="宋体" w:cs="宋体"/>
                <w:color w:val="000000" w:themeColor="text1"/>
                <w:kern w:val="0"/>
                <w:sz w:val="24"/>
                <w:szCs w:val="24"/>
                <w:highlight w:val="none"/>
                <w14:textFill>
                  <w14:solidFill>
                    <w14:schemeClr w14:val="tx1"/>
                  </w14:solidFill>
                </w14:textFill>
              </w:rPr>
              <w:t>提供弱电智能化业绩，提供1个得2分，最多4分。</w:t>
            </w:r>
          </w:p>
        </w:tc>
        <w:tc>
          <w:tcPr>
            <w:tcW w:w="1549" w:type="pct"/>
            <w:vAlign w:val="center"/>
          </w:tcPr>
          <w:p w14:paraId="3B150C78">
            <w:pPr>
              <w:spacing w:line="3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供应商须在响应文件商务部分中提供合同扫描件并加盖供应商公章。</w:t>
            </w:r>
          </w:p>
        </w:tc>
      </w:tr>
    </w:tbl>
    <w:p w14:paraId="40915C79">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p>
    <w:p w14:paraId="0FF9AF3B">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bookmarkStart w:id="95" w:name="_Toc76462335"/>
      <w:bookmarkStart w:id="96" w:name="_Toc25635"/>
      <w:bookmarkStart w:id="97" w:name="_Toc342913394"/>
      <w:bookmarkStart w:id="98" w:name="_Toc102227320"/>
      <w:r>
        <w:rPr>
          <w:rFonts w:hint="eastAsia" w:ascii="宋体" w:hAnsi="宋体" w:eastAsia="宋体" w:cs="宋体"/>
          <w:color w:val="000000" w:themeColor="text1"/>
          <w:sz w:val="24"/>
          <w:highlight w:val="none"/>
          <w14:textFill>
            <w14:solidFill>
              <w14:schemeClr w14:val="tx1"/>
            </w14:solidFill>
          </w14:textFill>
        </w:rPr>
        <w:t>三、无效响应</w:t>
      </w:r>
      <w:bookmarkEnd w:id="95"/>
      <w:bookmarkEnd w:id="96"/>
    </w:p>
    <w:p w14:paraId="10A33587">
      <w:pPr>
        <w:snapToGrid w:val="0"/>
        <w:spacing w:line="400" w:lineRule="exact"/>
        <w:ind w:firstLine="465"/>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供应商发生以下条款情况之一者，视为无效响应，其响应文件将被拒绝：</w:t>
      </w:r>
    </w:p>
    <w:p w14:paraId="6F36177E">
      <w:pPr>
        <w:snapToGrid w:val="0"/>
        <w:spacing w:line="400" w:lineRule="exact"/>
        <w:ind w:firstLine="465"/>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（一）供应商不符合规定的资格条件的；</w:t>
      </w:r>
    </w:p>
    <w:p w14:paraId="1901CFDF">
      <w:pPr>
        <w:snapToGrid w:val="0"/>
        <w:spacing w:line="400" w:lineRule="exact"/>
        <w:ind w:firstLine="465"/>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（二）供应商的法定代表人（或其授权代表）或自然人未参加磋商；</w:t>
      </w:r>
    </w:p>
    <w:p w14:paraId="45FE369E">
      <w:pPr>
        <w:snapToGrid w:val="0"/>
        <w:spacing w:line="400" w:lineRule="exact"/>
        <w:ind w:firstLine="465"/>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（三）供应商所提交的响应文件不按“第七篇 电子响应文件编制要求”要求签署或盖章；</w:t>
      </w:r>
    </w:p>
    <w:p w14:paraId="5F6043AC">
      <w:pPr>
        <w:snapToGrid w:val="0"/>
        <w:spacing w:line="400" w:lineRule="exact"/>
        <w:ind w:firstLine="465"/>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（四）供应商的最后报价超过采购预算或最高限价的；</w:t>
      </w:r>
    </w:p>
    <w:p w14:paraId="7416131F">
      <w:pPr>
        <w:snapToGrid w:val="0"/>
        <w:spacing w:line="400" w:lineRule="exact"/>
        <w:ind w:firstLine="465"/>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（五）法定代表人为同一个人的两个及两个以上法人，母公司、全资子公司及其控股公司，在同一包采购中同时参与磋商；</w:t>
      </w:r>
    </w:p>
    <w:p w14:paraId="20F044E3">
      <w:pPr>
        <w:snapToGrid w:val="0"/>
        <w:spacing w:line="400" w:lineRule="exact"/>
        <w:ind w:firstLine="465"/>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（六）单位负责人为同一人或者存在直接控股、管理关系的不同供应商，参加同一合同项下的政府采购活动的；</w:t>
      </w:r>
    </w:p>
    <w:p w14:paraId="298723FE">
      <w:pPr>
        <w:snapToGrid w:val="0"/>
        <w:spacing w:line="400" w:lineRule="exact"/>
        <w:ind w:firstLine="465"/>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（七）为采购项目提供整体设计、规范编制或者项目管理、监理、检测等服务的供应商，再参加该采购项目的其他采购活动；</w:t>
      </w:r>
    </w:p>
    <w:p w14:paraId="6A65CEB2">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（八）供应商磋商有效期不满足竞争性磋商文件要求的；</w:t>
      </w:r>
    </w:p>
    <w:p w14:paraId="7657C4B1">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（九）供应商响应文件内容有与国家现行法律法规相违背的内容，或附有采购人无法接受的条件；</w:t>
      </w:r>
    </w:p>
    <w:p w14:paraId="3783CF6B">
      <w:pPr>
        <w:snapToGrid w:val="0"/>
        <w:spacing w:line="400" w:lineRule="exact"/>
        <w:ind w:firstLine="465"/>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（十）法律、法规和竞争性磋商文件规定的其他无效情形。</w:t>
      </w:r>
    </w:p>
    <w:p w14:paraId="0CB6C4B9">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bookmarkStart w:id="99" w:name="_Toc4203"/>
      <w:bookmarkStart w:id="100" w:name="_Toc76462336"/>
      <w:r>
        <w:rPr>
          <w:rFonts w:hint="eastAsia" w:ascii="宋体" w:hAnsi="宋体" w:eastAsia="宋体" w:cs="宋体"/>
          <w:color w:val="000000" w:themeColor="text1"/>
          <w:sz w:val="24"/>
          <w:highlight w:val="none"/>
          <w14:textFill>
            <w14:solidFill>
              <w14:schemeClr w14:val="tx1"/>
            </w14:solidFill>
          </w14:textFill>
        </w:rPr>
        <w:t>四、</w:t>
      </w:r>
      <w:bookmarkEnd w:id="97"/>
      <w:bookmarkEnd w:id="98"/>
      <w:r>
        <w:rPr>
          <w:rFonts w:hint="eastAsia" w:ascii="宋体" w:hAnsi="宋体" w:eastAsia="宋体" w:cs="宋体"/>
          <w:color w:val="000000" w:themeColor="text1"/>
          <w:sz w:val="24"/>
          <w:highlight w:val="none"/>
          <w14:textFill>
            <w14:solidFill>
              <w14:schemeClr w14:val="tx1"/>
            </w14:solidFill>
          </w14:textFill>
        </w:rPr>
        <w:t>采购终止</w:t>
      </w:r>
      <w:bookmarkEnd w:id="99"/>
      <w:bookmarkEnd w:id="100"/>
    </w:p>
    <w:p w14:paraId="1C264B05">
      <w:pPr>
        <w:snapToGrid w:val="0"/>
        <w:spacing w:line="400" w:lineRule="exact"/>
        <w:ind w:firstLine="465"/>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出现下列情形之一的，采购人或者采购代理机构应当终止竞争性磋商采购活动，发布项目终止公告并说明原因，重新开展采购活动：</w:t>
      </w:r>
    </w:p>
    <w:p w14:paraId="20B06FA9">
      <w:pPr>
        <w:snapToGrid w:val="0"/>
        <w:spacing w:line="400" w:lineRule="exact"/>
        <w:ind w:firstLine="465"/>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（一）因情况变化，不再符合规定的竞争性磋商采购方式适用情形的；</w:t>
      </w:r>
    </w:p>
    <w:p w14:paraId="62A6EF56">
      <w:pPr>
        <w:snapToGrid w:val="0"/>
        <w:spacing w:line="400" w:lineRule="exact"/>
        <w:ind w:firstLine="465"/>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（二）出现影响采购公正的违法、违规行为的；</w:t>
      </w:r>
    </w:p>
    <w:p w14:paraId="762A89C4">
      <w:pPr>
        <w:snapToGrid w:val="0"/>
        <w:spacing w:line="400" w:lineRule="exact"/>
        <w:ind w:firstLine="465"/>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（三）在采购过程中符合要求的供应商或者报价未超过采购预算的供应商不足3家的，但《政府采购竞争性磋商采购方式管理暂行办法》第二十一条第三款规定的情形除外。</w:t>
      </w:r>
    </w:p>
    <w:p w14:paraId="68E292CF">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sectPr>
          <w:footerReference r:id="rId8" w:type="default"/>
          <w:pgSz w:w="11907" w:h="16840"/>
          <w:pgMar w:top="1134" w:right="1191" w:bottom="1134" w:left="1304" w:header="964" w:footer="992" w:gutter="0"/>
          <w:cols w:space="720" w:num="1"/>
          <w:docGrid w:linePitch="312" w:charSpace="0"/>
        </w:sectPr>
      </w:pPr>
    </w:p>
    <w:p w14:paraId="78241985">
      <w:pPr>
        <w:pStyle w:val="4"/>
        <w:pageBreakBefore/>
        <w:spacing w:before="0" w:after="0" w:line="360" w:lineRule="auto"/>
        <w:jc w:val="center"/>
        <w:rPr>
          <w:rFonts w:hint="eastAsia" w:ascii="宋体" w:hAnsi="宋体" w:eastAsia="宋体" w:cs="宋体"/>
          <w:color w:val="000000" w:themeColor="text1"/>
          <w:sz w:val="36"/>
          <w:szCs w:val="30"/>
          <w:highlight w:val="none"/>
          <w14:textFill>
            <w14:solidFill>
              <w14:schemeClr w14:val="tx1"/>
            </w14:solidFill>
          </w14:textFill>
        </w:rPr>
      </w:pPr>
      <w:bookmarkStart w:id="101" w:name="_Toc102227313"/>
      <w:bookmarkStart w:id="102" w:name="_Toc76462337"/>
      <w:bookmarkStart w:id="103" w:name="_Toc427"/>
      <w:r>
        <w:rPr>
          <w:rFonts w:hint="eastAsia" w:ascii="宋体" w:hAnsi="宋体" w:eastAsia="宋体" w:cs="宋体"/>
          <w:color w:val="000000" w:themeColor="text1"/>
          <w:sz w:val="36"/>
          <w:szCs w:val="30"/>
          <w:highlight w:val="none"/>
          <w14:textFill>
            <w14:solidFill>
              <w14:schemeClr w14:val="tx1"/>
            </w14:solidFill>
          </w14:textFill>
        </w:rPr>
        <w:t>第五篇  供应商须知</w:t>
      </w:r>
      <w:bookmarkEnd w:id="101"/>
      <w:bookmarkEnd w:id="102"/>
      <w:bookmarkEnd w:id="103"/>
    </w:p>
    <w:p w14:paraId="7B632643">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bookmarkStart w:id="104" w:name="_Toc342913389"/>
      <w:bookmarkStart w:id="105" w:name="_Toc76462338"/>
      <w:bookmarkStart w:id="106" w:name="_Toc3152"/>
      <w:r>
        <w:rPr>
          <w:rFonts w:hint="eastAsia" w:ascii="宋体" w:hAnsi="宋体" w:eastAsia="宋体" w:cs="宋体"/>
          <w:color w:val="000000" w:themeColor="text1"/>
          <w:sz w:val="24"/>
          <w:highlight w:val="none"/>
          <w14:textFill>
            <w14:solidFill>
              <w14:schemeClr w14:val="tx1"/>
            </w14:solidFill>
          </w14:textFill>
        </w:rPr>
        <w:t>一、磋商费用</w:t>
      </w:r>
      <w:bookmarkEnd w:id="104"/>
      <w:bookmarkEnd w:id="105"/>
      <w:bookmarkEnd w:id="106"/>
    </w:p>
    <w:p w14:paraId="75F7DECE">
      <w:pPr>
        <w:pStyle w:val="29"/>
        <w:spacing w:line="400" w:lineRule="exact"/>
        <w:ind w:firstLine="480" w:firstLineChars="200"/>
        <w:rPr>
          <w:rFonts w:hint="eastAsia" w:hAnsi="宋体" w:cs="宋体"/>
          <w:color w:val="000000" w:themeColor="text1"/>
          <w:sz w:val="24"/>
          <w:szCs w:val="24"/>
          <w:highlight w:val="none"/>
          <w14:textFill>
            <w14:solidFill>
              <w14:schemeClr w14:val="tx1"/>
            </w14:solidFill>
          </w14:textFill>
        </w:rPr>
      </w:pPr>
      <w:r>
        <w:rPr>
          <w:rFonts w:hint="eastAsia" w:hAnsi="宋体" w:cs="宋体"/>
          <w:color w:val="000000" w:themeColor="text1"/>
          <w:sz w:val="24"/>
          <w:szCs w:val="24"/>
          <w:highlight w:val="none"/>
          <w14:textFill>
            <w14:solidFill>
              <w14:schemeClr w14:val="tx1"/>
            </w14:solidFill>
          </w14:textFill>
        </w:rPr>
        <w:t>参与磋商的供应商应承担其编制电子响应文件与递交响应文件所涉及的一切费用，不论磋商结果如何，采购人和采购代理机构在任何情况下无义务也无责任承担这些费用。</w:t>
      </w:r>
    </w:p>
    <w:p w14:paraId="02847A56">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bookmarkStart w:id="107" w:name="_Toc76462339"/>
      <w:bookmarkStart w:id="108" w:name="_Toc20253"/>
      <w:bookmarkStart w:id="109" w:name="_Toc342913391"/>
      <w:r>
        <w:rPr>
          <w:rFonts w:hint="eastAsia" w:ascii="宋体" w:hAnsi="宋体" w:eastAsia="宋体" w:cs="宋体"/>
          <w:color w:val="000000" w:themeColor="text1"/>
          <w:sz w:val="24"/>
          <w:highlight w:val="none"/>
          <w14:textFill>
            <w14:solidFill>
              <w14:schemeClr w14:val="tx1"/>
            </w14:solidFill>
          </w14:textFill>
        </w:rPr>
        <w:t>二、竞争性磋商文件</w:t>
      </w:r>
      <w:bookmarkEnd w:id="107"/>
      <w:bookmarkEnd w:id="108"/>
      <w:bookmarkEnd w:id="109"/>
    </w:p>
    <w:p w14:paraId="33860F90">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（一）竞争性磋商文件由采购邀请书、项目技术需求、项目商务需求、磋商程序及方法、评审标准、无效响应和采购终止、供应商须知、政府采购合同</w:t>
      </w:r>
      <w:r>
        <w:rPr>
          <w:rFonts w:hint="eastAsia" w:ascii="宋体" w:hAnsi="宋体" w:cs="宋体"/>
          <w:b/>
          <w:color w:val="000000" w:themeColor="text1"/>
          <w:sz w:val="24"/>
          <w:szCs w:val="24"/>
          <w:highlight w:val="none"/>
          <w14:textFill>
            <w14:solidFill>
              <w14:schemeClr w14:val="tx1"/>
            </w14:solidFill>
          </w14:textFill>
        </w:rPr>
        <w:t>、</w:t>
      </w:r>
      <w:r>
        <w:rPr>
          <w:rFonts w:hint="eastAsia" w:ascii="宋体" w:hAnsi="宋体" w:cs="宋体"/>
          <w:color w:val="000000" w:themeColor="text1"/>
          <w:sz w:val="24"/>
          <w:szCs w:val="24"/>
          <w:highlight w:val="none"/>
          <w14:textFill>
            <w14:solidFill>
              <w14:schemeClr w14:val="tx1"/>
            </w14:solidFill>
          </w14:textFill>
        </w:rPr>
        <w:t>电子响应文件编制要求七部分组成。</w:t>
      </w:r>
    </w:p>
    <w:p w14:paraId="33894787">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（二）采购人（或采购代理机构）所作的一切有效的书面通知、修改及补充，都是竞争性磋商文件不可分割的部分。</w:t>
      </w:r>
    </w:p>
    <w:p w14:paraId="5046A7B7">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（三）竞争性磋商文件的解释</w:t>
      </w:r>
    </w:p>
    <w:p w14:paraId="46F3069D">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如对竞争性磋商文件有疑问，必须以书面形式在提交响应文件截止时间3个工作日前向采购人（或采购代理机构）要求澄清，采购人（或采购代理机构）可视具体情况做出处理或答复。如供应商未提出疑问，视为完全理解并同意本竞争性磋商文件。一经进入磋商程序，即视为供应商已详细阅读全部文件资料，完全理解竞争性磋商文件所有条款内容并同意放弃对这方面有不明白及误解的权利。</w:t>
      </w:r>
      <w:bookmarkStart w:id="110" w:name="_Toc318159780"/>
      <w:bookmarkStart w:id="111" w:name="_Toc318166429"/>
      <w:bookmarkStart w:id="112" w:name="_Toc318159349"/>
      <w:bookmarkStart w:id="113" w:name="_Toc318159160"/>
    </w:p>
    <w:p w14:paraId="21CAF9DB">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（四）本竞争性磋商文件中，磋商小组根据与供应商进行磋商可能实质性变动的内容为竞争性磋商文件第二、三、六篇全部内容。</w:t>
      </w:r>
    </w:p>
    <w:p w14:paraId="250FBD64">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（五）评审的依据为竞争性磋商文件和响应文件（含有效的书面承诺）。磋商小组判断响应文件对竞争性磋商文件的响应，仅基于响应文件本身而不靠外部证据。</w:t>
      </w:r>
    </w:p>
    <w:bookmarkEnd w:id="110"/>
    <w:bookmarkEnd w:id="111"/>
    <w:bookmarkEnd w:id="112"/>
    <w:bookmarkEnd w:id="113"/>
    <w:p w14:paraId="0F6932CD">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bookmarkStart w:id="114" w:name="_Toc9396"/>
      <w:bookmarkStart w:id="115" w:name="_Toc76462340"/>
      <w:bookmarkStart w:id="116" w:name="_Toc179714297"/>
      <w:bookmarkStart w:id="117" w:name="_Toc102227318"/>
      <w:bookmarkStart w:id="118" w:name="_Toc342913392"/>
      <w:r>
        <w:rPr>
          <w:rFonts w:hint="eastAsia" w:ascii="宋体" w:hAnsi="宋体" w:eastAsia="宋体" w:cs="宋体"/>
          <w:color w:val="000000" w:themeColor="text1"/>
          <w:sz w:val="24"/>
          <w:highlight w:val="none"/>
          <w14:textFill>
            <w14:solidFill>
              <w14:schemeClr w14:val="tx1"/>
            </w14:solidFill>
          </w14:textFill>
        </w:rPr>
        <w:t>三、磋商要求</w:t>
      </w:r>
      <w:bookmarkEnd w:id="114"/>
      <w:bookmarkEnd w:id="115"/>
      <w:bookmarkEnd w:id="116"/>
      <w:bookmarkEnd w:id="117"/>
      <w:bookmarkEnd w:id="118"/>
    </w:p>
    <w:p w14:paraId="1198F917">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（一）响应文件</w:t>
      </w:r>
    </w:p>
    <w:p w14:paraId="49CCF721">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1.供应商应当按照竞争性磋商文件的要求编制电子响应文件，并对竞争性磋商文件提出的要求和条件作出实质性响应，电子响应文件应编制完整的页码、目录。</w:t>
      </w:r>
    </w:p>
    <w:p w14:paraId="24AB4B4C">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2.电子响应文件组成</w:t>
      </w:r>
    </w:p>
    <w:p w14:paraId="5F48A634">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电子响应文件主体内容由“第七篇 电子响应文件编制要求”规定的部分和供应商所作的一切有效补充、修改和承诺等文件组成，供应商应按照“第七篇 电子响应文件编制要求”规定进行编写，也可在基本格式基础上对表格进行扩展，未规定格式的由供应商自定格式。</w:t>
      </w:r>
    </w:p>
    <w:p w14:paraId="0A9715C7">
      <w:pPr>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子响应文件必须根据《政府采购全程电子化采购系统供应商操作手册（CA证书签章版）》手册第五章内容，完成电子响应文件的报价一览表信息填写、页码关联、电子响应文件电子章签署、下载加密电子响应文件等工作。否则有可能影响评审小组对电子响应文件的评审。</w:t>
      </w:r>
    </w:p>
    <w:p w14:paraId="23FDC8A1">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（二）磋商有效期：电子响应文件及有关承诺文件有效期为提交电子响应文件截止时间起90天。</w:t>
      </w:r>
    </w:p>
    <w:p w14:paraId="1DC45529">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（三）修正错误</w:t>
      </w:r>
    </w:p>
    <w:p w14:paraId="628A0013">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1.若供应商所递交的电子响应文件或最后报价中的价格出现大写金额和小写金额不一致的错误，以大写金额修正为准。</w:t>
      </w:r>
    </w:p>
    <w:p w14:paraId="2C735B58">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2.若供应商所递交的电子响应文件中报价函的初始报价与电子招投标系统中的报价一览表所展示的响应报价不一致时，以电子招投标系统中的报价一览表所展示的响应报价为准。</w:t>
      </w:r>
    </w:p>
    <w:p w14:paraId="4C473481">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3.磋商小组按上述修正错误的原则及方法修正供应商的报价，供应商同意并签字确认后，修正后的报价对供应商具有约束作用。如果供应商不接受修正后的价格，将失去成为成交供应商的资格。</w:t>
      </w:r>
    </w:p>
    <w:p w14:paraId="4C46E839">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（四）提交响应文件的份数和签署</w:t>
      </w:r>
    </w:p>
    <w:p w14:paraId="6FBD85B7">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 电子响应文件一式一份，递交电子响应文件时请提交通过投标文件制作系统下载的电子加密响应文件。若因系统或CA证书异常原因无法正常解密，供应商须在电子开标室向采购代理机构申请提交电子备份响应文件，电子招投标系统会对电子备份响应文件与电子加密响应文件的一致性进行核验，若供应商操作失误，后果自行负责。</w:t>
      </w:r>
    </w:p>
    <w:p w14:paraId="573FCA1D">
      <w:pPr>
        <w:snapToGrid w:val="0"/>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2.电子响应文件按竞争性磋商文件“第七篇 电子响应文件编制要求”要求签署或盖章。</w:t>
      </w:r>
    </w:p>
    <w:p w14:paraId="57A8C43C">
      <w:pPr>
        <w:snapToGrid w:val="0"/>
        <w:spacing w:line="400" w:lineRule="exact"/>
        <w:ind w:firstLine="470" w:firstLineChars="196"/>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3.电报、电话、传真形式的响应文件概不接受。</w:t>
      </w:r>
    </w:p>
    <w:p w14:paraId="4924F850">
      <w:pPr>
        <w:snapToGrid w:val="0"/>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（五）响应文件的递交</w:t>
      </w:r>
    </w:p>
    <w:p w14:paraId="78F956BC">
      <w:pPr>
        <w:snapToGrid w:val="0"/>
        <w:spacing w:line="44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1.电子响应文件的递交（上传）按照《全程电子化系统供应商操作手册(CA签章版本)》第七章流程操作。</w:t>
      </w:r>
    </w:p>
    <w:p w14:paraId="421A0E2F">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（六）响应文件语言：简体中文</w:t>
      </w:r>
    </w:p>
    <w:p w14:paraId="6EAE41EF">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（七）供应商参与人员及参与人员证明原件</w:t>
      </w:r>
    </w:p>
    <w:p w14:paraId="791ED571">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1.参与磋商人员要求：各个供应商应当派1-2名代表参与磋商，至少1人应为法定代表人（或其授权代表）或自然人（供应商为自然人）。</w:t>
      </w:r>
    </w:p>
    <w:p w14:paraId="0E1FEF5B">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2.参与人员证明原件要求：参与磋商的供应商代表必须准备好中华人民共和国居民身份证原件，在磋商环节开始时表明本人身份是否符合供应商磋商代表的身份要求。</w:t>
      </w:r>
    </w:p>
    <w:p w14:paraId="1776F849">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bookmarkStart w:id="119" w:name="_Toc14187"/>
      <w:bookmarkStart w:id="120" w:name="_Toc76462341"/>
      <w:r>
        <w:rPr>
          <w:rFonts w:hint="eastAsia" w:ascii="宋体" w:hAnsi="宋体" w:eastAsia="宋体" w:cs="宋体"/>
          <w:color w:val="000000" w:themeColor="text1"/>
          <w:sz w:val="24"/>
          <w:highlight w:val="none"/>
          <w14:textFill>
            <w14:solidFill>
              <w14:schemeClr w14:val="tx1"/>
            </w14:solidFill>
          </w14:textFill>
        </w:rPr>
        <w:t>四、</w:t>
      </w:r>
      <w:bookmarkStart w:id="121" w:name="OLE_LINK1"/>
      <w:r>
        <w:rPr>
          <w:rFonts w:hint="eastAsia" w:ascii="宋体" w:hAnsi="宋体" w:eastAsia="宋体" w:cs="宋体"/>
          <w:color w:val="000000" w:themeColor="text1"/>
          <w:sz w:val="24"/>
          <w:highlight w:val="none"/>
          <w:lang w:eastAsia="zh-CN"/>
          <w14:textFill>
            <w14:solidFill>
              <w14:schemeClr w14:val="tx1"/>
            </w14:solidFill>
          </w14:textFill>
        </w:rPr>
        <w:t>成交供应商</w:t>
      </w:r>
      <w:bookmarkEnd w:id="121"/>
      <w:r>
        <w:rPr>
          <w:rFonts w:hint="eastAsia" w:ascii="宋体" w:hAnsi="宋体" w:eastAsia="宋体" w:cs="宋体"/>
          <w:color w:val="000000" w:themeColor="text1"/>
          <w:sz w:val="24"/>
          <w:highlight w:val="none"/>
          <w14:textFill>
            <w14:solidFill>
              <w14:schemeClr w14:val="tx1"/>
            </w14:solidFill>
          </w14:textFill>
        </w:rPr>
        <w:t>的确认和变更</w:t>
      </w:r>
      <w:bookmarkEnd w:id="119"/>
      <w:bookmarkEnd w:id="120"/>
    </w:p>
    <w:p w14:paraId="46DDAFCC">
      <w:pPr>
        <w:snapToGrid w:val="0"/>
        <w:spacing w:line="40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sz w:val="24"/>
          <w:szCs w:val="24"/>
          <w:highlight w:val="none"/>
          <w14:textFill>
            <w14:solidFill>
              <w14:schemeClr w14:val="tx1"/>
            </w14:solidFill>
          </w14:textFill>
        </w:rPr>
        <w:t>的确认</w:t>
      </w:r>
    </w:p>
    <w:p w14:paraId="13F8205E">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采购代理机构应当在评审结束后2个工作日内将评审报告送采购人确认。采购人应当在收到评审报告后5个工作日内，从评审报告提出的成交候选供应商中，按照排序由高到低的原则确定</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sz w:val="24"/>
          <w:szCs w:val="24"/>
          <w:highlight w:val="none"/>
          <w14:textFill>
            <w14:solidFill>
              <w14:schemeClr w14:val="tx1"/>
            </w14:solidFill>
          </w14:textFill>
        </w:rPr>
        <w:t>，也可以书面授权磋商小组直接确定</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sz w:val="24"/>
          <w:szCs w:val="24"/>
          <w:highlight w:val="none"/>
          <w14:textFill>
            <w14:solidFill>
              <w14:schemeClr w14:val="tx1"/>
            </w14:solidFill>
          </w14:textFill>
        </w:rPr>
        <w:t>。采购人逾期未确定</w:t>
      </w:r>
      <w:r>
        <w:rPr>
          <w:rFonts w:hint="eastAsia" w:ascii="宋体" w:hAnsi="宋体" w:cs="宋体"/>
          <w:color w:val="000000" w:themeColor="text1"/>
          <w:sz w:val="24"/>
          <w:szCs w:val="24"/>
          <w:highlight w:val="none"/>
          <w:lang w:eastAsia="zh-CN"/>
          <w14:textFill>
            <w14:solidFill>
              <w14:schemeClr w14:val="tx1"/>
            </w14:solidFill>
          </w14:textFill>
        </w:rPr>
        <w:t>成交供应商</w:t>
      </w:r>
      <w:r>
        <w:rPr>
          <w:rFonts w:hint="eastAsia" w:ascii="宋体" w:hAnsi="宋体" w:cs="宋体"/>
          <w:color w:val="000000" w:themeColor="text1"/>
          <w:sz w:val="24"/>
          <w:szCs w:val="24"/>
          <w:highlight w:val="none"/>
          <w14:textFill>
            <w14:solidFill>
              <w14:schemeClr w14:val="tx1"/>
            </w14:solidFill>
          </w14:textFill>
        </w:rPr>
        <w:t>且不提出异议的，视为确定评审报告提出的排序第一的供应商为</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sz w:val="24"/>
          <w:szCs w:val="24"/>
          <w:highlight w:val="none"/>
          <w14:textFill>
            <w14:solidFill>
              <w14:schemeClr w14:val="tx1"/>
            </w14:solidFill>
          </w14:textFill>
        </w:rPr>
        <w:t>。</w:t>
      </w:r>
    </w:p>
    <w:p w14:paraId="791A1BA6">
      <w:pPr>
        <w:snapToGrid w:val="0"/>
        <w:spacing w:line="400" w:lineRule="exact"/>
        <w:ind w:firstLine="480" w:firstLineChars="200"/>
        <w:outlineLvl w:val="2"/>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sz w:val="24"/>
          <w:szCs w:val="24"/>
          <w:highlight w:val="none"/>
          <w14:textFill>
            <w14:solidFill>
              <w14:schemeClr w14:val="tx1"/>
            </w14:solidFill>
          </w14:textFill>
        </w:rPr>
        <w:t>的变更</w:t>
      </w:r>
    </w:p>
    <w:p w14:paraId="6B0D6D8A">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1.若为下列情况之一的，</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sz w:val="24"/>
          <w:szCs w:val="24"/>
          <w:highlight w:val="none"/>
          <w14:textFill>
            <w14:solidFill>
              <w14:schemeClr w14:val="tx1"/>
            </w14:solidFill>
          </w14:textFill>
        </w:rPr>
        <w:t>因不可抗力或者自身原因不能履行合同的，采购人可以确定排名其后一位的成交候选人为</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sz w:val="24"/>
          <w:szCs w:val="24"/>
          <w:highlight w:val="none"/>
          <w14:textFill>
            <w14:solidFill>
              <w14:schemeClr w14:val="tx1"/>
            </w14:solidFill>
          </w14:textFill>
        </w:rPr>
        <w:t>：</w:t>
      </w:r>
    </w:p>
    <w:p w14:paraId="2125B181">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sz w:val="24"/>
          <w:szCs w:val="24"/>
          <w:highlight w:val="none"/>
          <w14:textFill>
            <w14:solidFill>
              <w14:schemeClr w14:val="tx1"/>
            </w14:solidFill>
          </w14:textFill>
        </w:rPr>
        <w:t>拒绝与采购人签订合同的，采购人可以按照评审报告推荐的成交候选供应商顺序，确定排名下一位的候选人为</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sz w:val="24"/>
          <w:szCs w:val="24"/>
          <w:highlight w:val="none"/>
          <w14:textFill>
            <w14:solidFill>
              <w14:schemeClr w14:val="tx1"/>
            </w14:solidFill>
          </w14:textFill>
        </w:rPr>
        <w:t>，也可以重新开展政府采购活动。</w:t>
      </w:r>
    </w:p>
    <w:p w14:paraId="76260665">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sz w:val="24"/>
          <w:szCs w:val="24"/>
          <w:highlight w:val="none"/>
          <w14:textFill>
            <w14:solidFill>
              <w14:schemeClr w14:val="tx1"/>
            </w14:solidFill>
          </w14:textFill>
        </w:rPr>
        <w:t>无充分理由放弃成交的，采购人将会同采购代理机构把相关情况报财政部门，财政部门将根据政府采购相关规定对违规供应商进行处罚。</w:t>
      </w:r>
    </w:p>
    <w:p w14:paraId="0F6EA016">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bookmarkStart w:id="122" w:name="_Toc102227321"/>
      <w:bookmarkStart w:id="123" w:name="_Toc342913395"/>
      <w:bookmarkStart w:id="124" w:name="_Toc76462342"/>
      <w:bookmarkStart w:id="125" w:name="_Toc15495"/>
      <w:r>
        <w:rPr>
          <w:rFonts w:hint="eastAsia" w:ascii="宋体" w:hAnsi="宋体" w:eastAsia="宋体" w:cs="宋体"/>
          <w:color w:val="000000" w:themeColor="text1"/>
          <w:sz w:val="24"/>
          <w:highlight w:val="none"/>
          <w14:textFill>
            <w14:solidFill>
              <w14:schemeClr w14:val="tx1"/>
            </w14:solidFill>
          </w14:textFill>
        </w:rPr>
        <w:t>五、成交通知</w:t>
      </w:r>
      <w:bookmarkEnd w:id="122"/>
      <w:bookmarkEnd w:id="123"/>
      <w:bookmarkEnd w:id="124"/>
      <w:bookmarkEnd w:id="125"/>
    </w:p>
    <w:p w14:paraId="702A733C">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sz w:val="24"/>
          <w:szCs w:val="24"/>
          <w:highlight w:val="none"/>
          <w14:textFill>
            <w14:solidFill>
              <w14:schemeClr w14:val="tx1"/>
            </w14:solidFill>
          </w14:textFill>
        </w:rPr>
        <w:t>确定后，采购代理机构将在重庆市政府采购网发布成交结果公告。</w:t>
      </w:r>
    </w:p>
    <w:p w14:paraId="1D2D31E5">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（二）结果公告发出同时，采购代理机构将以书面形式发出《成交通知书》。《成交通知书》一经发出即发生法律效力。</w:t>
      </w:r>
    </w:p>
    <w:p w14:paraId="15CE3BF7">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（三）《成交通知书》将作为签订合同的依据。</w:t>
      </w:r>
    </w:p>
    <w:p w14:paraId="671F2F8A">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bookmarkStart w:id="126" w:name="_Toc76462343"/>
      <w:bookmarkStart w:id="127" w:name="_Toc20061"/>
      <w:r>
        <w:rPr>
          <w:rFonts w:hint="eastAsia" w:ascii="宋体" w:hAnsi="宋体" w:eastAsia="宋体" w:cs="宋体"/>
          <w:color w:val="000000" w:themeColor="text1"/>
          <w:sz w:val="24"/>
          <w:highlight w:val="none"/>
          <w14:textFill>
            <w14:solidFill>
              <w14:schemeClr w14:val="tx1"/>
            </w14:solidFill>
          </w14:textFill>
        </w:rPr>
        <w:t>六、关于质疑和投诉</w:t>
      </w:r>
      <w:bookmarkEnd w:id="126"/>
      <w:bookmarkEnd w:id="127"/>
    </w:p>
    <w:p w14:paraId="42CC511C">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（一）质疑</w:t>
      </w:r>
    </w:p>
    <w:p w14:paraId="216C23C5">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供应商认为采购文件、采购过程和成交结果使自己的权益收到伤害的，可向采购人或采购代理机构以书面形式提出质疑。</w:t>
      </w:r>
    </w:p>
    <w:p w14:paraId="00077B4E">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提出质疑的应当是参与所质疑项目采购活动的供应商。 </w:t>
      </w:r>
    </w:p>
    <w:p w14:paraId="1165E96A">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1.质疑时限、内容</w:t>
      </w:r>
    </w:p>
    <w:p w14:paraId="2E60AB33">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供应商认为采购文件、采购过程、成交结果使自己的权益受到损害的，可以在知道或者应知其权益受到损害之日起7个工作日内，以书面形式向采购人、采购代理机构提出质疑。</w:t>
      </w:r>
    </w:p>
    <w:p w14:paraId="68AF539F">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1.2供应商提出质疑应当提交质疑函和必要的证明材料，质疑函应当包括下列内容：</w:t>
      </w:r>
    </w:p>
    <w:p w14:paraId="67479519">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1.2.1供应商的姓名或者名称、地址、邮编、联系人及联系电话；</w:t>
      </w:r>
    </w:p>
    <w:p w14:paraId="1A87FDFC">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1.2.2质疑项目的名称、项目号以及采购执行编号；</w:t>
      </w:r>
    </w:p>
    <w:p w14:paraId="5C469A40">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1.2.3具体、明确的质疑事项和与质疑事项相关的请求；</w:t>
      </w:r>
    </w:p>
    <w:p w14:paraId="4B7902D0">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1.2.4事实依据；</w:t>
      </w:r>
    </w:p>
    <w:p w14:paraId="4723FE73">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1.2.5必要的法律依据；</w:t>
      </w:r>
    </w:p>
    <w:p w14:paraId="4A37E435">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1.2.6提出质疑的日期；</w:t>
      </w:r>
    </w:p>
    <w:p w14:paraId="1FC9AF83">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1.2.7营业执照（或事业单位法人证书，或个体工商户营业执照或有效的自然人身份证明）复印件；</w:t>
      </w:r>
    </w:p>
    <w:p w14:paraId="18325DF5">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1.2.8法定代表人授权委托书原件、法定代表人身份证复印件和其授权代表的身份证复印件（供应商为自然人的提供自然人身份证复印件）；</w:t>
      </w:r>
    </w:p>
    <w:p w14:paraId="7AFACE6D">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1.2.9在重庆市政府采购网，电子招投标系统依法获取竞争性磋商文件截图证明（获取竞争性磋商文件状态截图证明流程：登录“重庆市政府采购网”→“在线开评标”→“我的投标项目”→找到该项目点击“查看详情”进行项目获取竞争性磋商文件信息截图）；</w:t>
      </w:r>
    </w:p>
    <w:p w14:paraId="65DC7726">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739CDB55">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1.3供应商为自然人的，质疑函应当由本人签字；供应商为法人或者其他组织的，质疑函应当由法定代表人、主要负责人，或者其授权代表签字或者盖章，并加盖公章。</w:t>
      </w:r>
    </w:p>
    <w:p w14:paraId="5148EECF">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2.质疑答复</w:t>
      </w:r>
    </w:p>
    <w:p w14:paraId="27FD3F07">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采购人、采购代理机构应当在收到供应商的书面质疑后七个工作日内作出答复，并以书面形式通知质疑供应商和其他有关供应商。</w:t>
      </w:r>
    </w:p>
    <w:p w14:paraId="261886C2">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3.其他</w:t>
      </w:r>
    </w:p>
    <w:p w14:paraId="060CD019">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3.1供应商应按照《政府采购质疑和投诉办法》（财政部令第94号）及相关法律法规要求，在法定质疑期内一次性提出针对同一采购程序环节的质疑。</w:t>
      </w:r>
    </w:p>
    <w:p w14:paraId="4E382631">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3.2质疑函范本可在财政部门户网站和中国政府采购网下载。</w:t>
      </w:r>
    </w:p>
    <w:p w14:paraId="4E8DF3FF">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（二）投诉</w:t>
      </w:r>
    </w:p>
    <w:p w14:paraId="33C69DF1">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1.供应商对采购人、采购代理机构的答复不满意，或者采购人、采购代理机构未在规定时间内作出答复的，可以在答复期满后15个工作日内按照相关法律法规向财政部门提起投诉。</w:t>
      </w:r>
    </w:p>
    <w:p w14:paraId="1159677B">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2.供应商应按照《政府采购质疑和投诉办法》（财政部令第94号）及相关法律法规要求递交投诉书和必要的证明材料。投诉书范本可在财政部门户网站和中国政府采购网下载。</w:t>
      </w:r>
    </w:p>
    <w:p w14:paraId="3632F6DD">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投诉书应当使用中文，相关当事人提供外文书证或者外国语视听资料的，应当附有中文译本，由翻译机构盖章或者翻译人员签名；相关当事人向财政部门提供的在中华人民共和国领域外形成的证据，应当说明来源，经所在国公证机关证明，并经中华人民共和国驻该国使领馆认证，或者履行中华人民共和国与证据所在国订立的有关条约中规定的证明手续；相关当事人提供的在香港特别行政区、澳门特别行政区和台湾地区内形成的证据，应当履行相关的证明手续。</w:t>
      </w:r>
    </w:p>
    <w:p w14:paraId="4EA74D8E">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4.在确定受理投诉后，财政部门自受理投诉之日起30个工作日内（需要检验、检测、鉴定、专家评审以及需要投诉人补正材料的，所需时间不计算在投诉处理期限内）对投诉事项做出处理决定。</w:t>
      </w:r>
    </w:p>
    <w:p w14:paraId="4AF0B213">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bookmarkStart w:id="128" w:name="_Toc27271"/>
      <w:bookmarkStart w:id="129" w:name="_Toc76462344"/>
      <w:r>
        <w:rPr>
          <w:rFonts w:hint="eastAsia" w:ascii="宋体" w:hAnsi="宋体" w:eastAsia="宋体" w:cs="宋体"/>
          <w:color w:val="000000" w:themeColor="text1"/>
          <w:sz w:val="24"/>
          <w:highlight w:val="none"/>
          <w14:textFill>
            <w14:solidFill>
              <w14:schemeClr w14:val="tx1"/>
            </w14:solidFill>
          </w14:textFill>
        </w:rPr>
        <w:t>七、采购代理服务费</w:t>
      </w:r>
      <w:bookmarkEnd w:id="128"/>
      <w:bookmarkEnd w:id="129"/>
    </w:p>
    <w:p w14:paraId="1E909C41">
      <w:pPr>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bookmarkStart w:id="130" w:name="_Toc76462345"/>
      <w:r>
        <w:rPr>
          <w:rFonts w:hint="eastAsia" w:ascii="宋体" w:hAnsi="宋体" w:cs="宋体"/>
          <w:color w:val="000000" w:themeColor="text1"/>
          <w:sz w:val="24"/>
          <w:highlight w:val="none"/>
          <w14:textFill>
            <w14:solidFill>
              <w14:schemeClr w14:val="tx1"/>
            </w14:solidFill>
          </w14:textFill>
        </w:rPr>
        <w:t>供应商成交后向采购代理机构缴纳采购代理服务费，本次采购代理服务费按《招标代理服务收费管理暂行办法》(计价格(2002〕1980号文)和发改价格[2011)534号文件规定计算后，由</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sz w:val="24"/>
          <w:highlight w:val="none"/>
          <w14:textFill>
            <w14:solidFill>
              <w14:schemeClr w14:val="tx1"/>
            </w14:solidFill>
          </w14:textFill>
        </w:rPr>
        <w:t>领取</w:t>
      </w:r>
      <w:r>
        <w:rPr>
          <w:rFonts w:hint="eastAsia" w:ascii="宋体" w:hAnsi="宋体" w:cs="宋体"/>
          <w:color w:val="000000" w:themeColor="text1"/>
          <w:sz w:val="24"/>
          <w:highlight w:val="none"/>
          <w:lang w:eastAsia="zh-CN"/>
          <w14:textFill>
            <w14:solidFill>
              <w14:schemeClr w14:val="tx1"/>
            </w14:solidFill>
          </w14:textFill>
        </w:rPr>
        <w:t>成交</w:t>
      </w:r>
      <w:r>
        <w:rPr>
          <w:rFonts w:hint="eastAsia" w:ascii="宋体" w:hAnsi="宋体" w:cs="宋体"/>
          <w:color w:val="000000" w:themeColor="text1"/>
          <w:sz w:val="24"/>
          <w:highlight w:val="none"/>
          <w14:textFill>
            <w14:solidFill>
              <w14:schemeClr w14:val="tx1"/>
            </w14:solidFill>
          </w14:textFill>
        </w:rPr>
        <w:t>通知书前一次性付清该项目招标代理服务费。</w:t>
      </w:r>
    </w:p>
    <w:p w14:paraId="617026C6">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bookmarkStart w:id="131" w:name="_Toc16753"/>
      <w:r>
        <w:rPr>
          <w:rFonts w:hint="eastAsia" w:ascii="宋体" w:hAnsi="宋体" w:eastAsia="宋体" w:cs="宋体"/>
          <w:color w:val="000000" w:themeColor="text1"/>
          <w:sz w:val="24"/>
          <w:highlight w:val="none"/>
          <w14:textFill>
            <w14:solidFill>
              <w14:schemeClr w14:val="tx1"/>
            </w14:solidFill>
          </w14:textFill>
        </w:rPr>
        <w:t>八、交易服务费</w:t>
      </w:r>
      <w:bookmarkEnd w:id="130"/>
      <w:bookmarkEnd w:id="131"/>
    </w:p>
    <w:p w14:paraId="55BA3065">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bookmarkStart w:id="132" w:name="_Toc102227322"/>
      <w:bookmarkStart w:id="133" w:name="_Toc76462346"/>
      <w:bookmarkStart w:id="134" w:name="_Toc6444"/>
      <w:bookmarkStart w:id="135" w:name="_Toc342913396"/>
      <w:bookmarkStart w:id="136" w:name="_Toc12789059"/>
      <w:bookmarkStart w:id="137" w:name="_Toc11641055"/>
      <w:r>
        <w:rPr>
          <w:rFonts w:hint="eastAsia" w:ascii="宋体" w:hAnsi="宋体" w:cs="宋体"/>
          <w:color w:val="000000" w:themeColor="text1"/>
          <w:sz w:val="24"/>
          <w:szCs w:val="24"/>
          <w:highlight w:val="none"/>
          <w14:textFill>
            <w14:solidFill>
              <w14:schemeClr w14:val="tx1"/>
            </w14:solidFill>
          </w14:textFill>
        </w:rPr>
        <w:t>本项目因使用重庆市万州区公共资源交易中心开评标场地，成交供应商须在领取成交通知书前向万州区公共资源交易中心一次性缴纳交易服务费，交易服务费的收取标准按照万州发改价【2024】2号执行。</w:t>
      </w:r>
    </w:p>
    <w:p w14:paraId="66CB18CF">
      <w:pPr>
        <w:snapToGrid w:val="0"/>
        <w:spacing w:line="48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万州发改价【2024】2号文件规定的交易服务费费率如下：</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349"/>
        <w:gridCol w:w="2417"/>
        <w:gridCol w:w="1862"/>
      </w:tblGrid>
      <w:tr w14:paraId="640D68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9" w:type="dxa"/>
            <w:noWrap/>
            <w:vAlign w:val="center"/>
          </w:tcPr>
          <w:p w14:paraId="550CC691">
            <w:pPr>
              <w:snapToGrid w:val="0"/>
              <w:spacing w:line="42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项目成交金额（人民币、万元）</w:t>
            </w:r>
          </w:p>
        </w:tc>
        <w:tc>
          <w:tcPr>
            <w:tcW w:w="2417" w:type="dxa"/>
            <w:noWrap/>
            <w:vAlign w:val="center"/>
          </w:tcPr>
          <w:p w14:paraId="70A7A8E8">
            <w:pPr>
              <w:snapToGrid w:val="0"/>
              <w:spacing w:line="42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收费费率</w:t>
            </w:r>
          </w:p>
        </w:tc>
        <w:tc>
          <w:tcPr>
            <w:tcW w:w="1862" w:type="dxa"/>
            <w:noWrap/>
            <w:vAlign w:val="center"/>
          </w:tcPr>
          <w:p w14:paraId="5FAF6060">
            <w:pPr>
              <w:snapToGrid w:val="0"/>
              <w:spacing w:line="42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备注</w:t>
            </w:r>
          </w:p>
        </w:tc>
      </w:tr>
      <w:tr w14:paraId="43F57F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9" w:type="dxa"/>
            <w:noWrap/>
            <w:vAlign w:val="center"/>
          </w:tcPr>
          <w:p w14:paraId="0509C947">
            <w:pPr>
              <w:snapToGrid w:val="0"/>
              <w:spacing w:line="42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100（含）以下</w:t>
            </w:r>
          </w:p>
        </w:tc>
        <w:tc>
          <w:tcPr>
            <w:tcW w:w="2417" w:type="dxa"/>
            <w:noWrap/>
            <w:vAlign w:val="center"/>
          </w:tcPr>
          <w:p w14:paraId="78D47AE6">
            <w:pPr>
              <w:snapToGrid w:val="0"/>
              <w:spacing w:line="42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w:t>
            </w:r>
          </w:p>
        </w:tc>
        <w:tc>
          <w:tcPr>
            <w:tcW w:w="1862" w:type="dxa"/>
            <w:vMerge w:val="restart"/>
            <w:noWrap/>
            <w:vAlign w:val="center"/>
          </w:tcPr>
          <w:p w14:paraId="6A3AC4BE">
            <w:pPr>
              <w:snapToGrid w:val="0"/>
              <w:spacing w:line="4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1.交易服务费由中选人支付。双方有合同约定的从其约定。</w:t>
            </w:r>
          </w:p>
          <w:p w14:paraId="24DBA640">
            <w:pPr>
              <w:snapToGrid w:val="0"/>
              <w:spacing w:line="42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2.每宗交易收费不低于500元。</w:t>
            </w:r>
          </w:p>
        </w:tc>
      </w:tr>
      <w:tr w14:paraId="30FA0B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9" w:type="dxa"/>
            <w:noWrap/>
            <w:vAlign w:val="center"/>
          </w:tcPr>
          <w:p w14:paraId="3A5BEB73">
            <w:pPr>
              <w:snapToGrid w:val="0"/>
              <w:spacing w:line="42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100-500（含）</w:t>
            </w:r>
          </w:p>
        </w:tc>
        <w:tc>
          <w:tcPr>
            <w:tcW w:w="2417" w:type="dxa"/>
            <w:noWrap/>
            <w:vAlign w:val="center"/>
          </w:tcPr>
          <w:p w14:paraId="2B2DE19B">
            <w:pPr>
              <w:snapToGrid w:val="0"/>
              <w:spacing w:line="42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0.95‰</w:t>
            </w:r>
          </w:p>
        </w:tc>
        <w:tc>
          <w:tcPr>
            <w:tcW w:w="1862" w:type="dxa"/>
            <w:vMerge w:val="continue"/>
            <w:noWrap/>
            <w:vAlign w:val="center"/>
          </w:tcPr>
          <w:p w14:paraId="4841C0F6">
            <w:pPr>
              <w:snapToGrid w:val="0"/>
              <w:spacing w:line="42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p>
        </w:tc>
      </w:tr>
      <w:tr w14:paraId="3B977B2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9" w:type="dxa"/>
            <w:noWrap/>
            <w:vAlign w:val="center"/>
          </w:tcPr>
          <w:p w14:paraId="7B731457">
            <w:pPr>
              <w:snapToGrid w:val="0"/>
              <w:spacing w:line="42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500-1000（含）</w:t>
            </w:r>
          </w:p>
        </w:tc>
        <w:tc>
          <w:tcPr>
            <w:tcW w:w="2417" w:type="dxa"/>
            <w:noWrap/>
            <w:vAlign w:val="center"/>
          </w:tcPr>
          <w:p w14:paraId="79541AC5">
            <w:pPr>
              <w:snapToGrid w:val="0"/>
              <w:spacing w:line="42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0.9‰</w:t>
            </w:r>
          </w:p>
        </w:tc>
        <w:tc>
          <w:tcPr>
            <w:tcW w:w="1862" w:type="dxa"/>
            <w:vMerge w:val="continue"/>
            <w:noWrap/>
            <w:vAlign w:val="center"/>
          </w:tcPr>
          <w:p w14:paraId="0B9C34F3">
            <w:pPr>
              <w:snapToGrid w:val="0"/>
              <w:spacing w:line="42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p>
        </w:tc>
      </w:tr>
      <w:tr w14:paraId="2C51BE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9" w:type="dxa"/>
            <w:noWrap/>
            <w:vAlign w:val="center"/>
          </w:tcPr>
          <w:p w14:paraId="4D3EDF76">
            <w:pPr>
              <w:snapToGrid w:val="0"/>
              <w:spacing w:line="42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1000-5000（含）</w:t>
            </w:r>
          </w:p>
        </w:tc>
        <w:tc>
          <w:tcPr>
            <w:tcW w:w="2417" w:type="dxa"/>
            <w:noWrap/>
            <w:vAlign w:val="center"/>
          </w:tcPr>
          <w:p w14:paraId="0FBFB95B">
            <w:pPr>
              <w:snapToGrid w:val="0"/>
              <w:spacing w:line="42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0.85‰</w:t>
            </w:r>
          </w:p>
        </w:tc>
        <w:tc>
          <w:tcPr>
            <w:tcW w:w="1862" w:type="dxa"/>
            <w:vMerge w:val="continue"/>
            <w:noWrap/>
            <w:vAlign w:val="center"/>
          </w:tcPr>
          <w:p w14:paraId="252DB94F">
            <w:pPr>
              <w:snapToGrid w:val="0"/>
              <w:spacing w:line="42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p>
        </w:tc>
      </w:tr>
      <w:tr w14:paraId="4BCAFA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9" w:type="dxa"/>
            <w:noWrap/>
            <w:vAlign w:val="center"/>
          </w:tcPr>
          <w:p w14:paraId="4E27C586">
            <w:pPr>
              <w:snapToGrid w:val="0"/>
              <w:spacing w:line="42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5000-10000（含）</w:t>
            </w:r>
          </w:p>
        </w:tc>
        <w:tc>
          <w:tcPr>
            <w:tcW w:w="2417" w:type="dxa"/>
            <w:noWrap/>
            <w:vAlign w:val="center"/>
          </w:tcPr>
          <w:p w14:paraId="37F448B3">
            <w:pPr>
              <w:snapToGrid w:val="0"/>
              <w:spacing w:line="42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0.8‰</w:t>
            </w:r>
          </w:p>
        </w:tc>
        <w:tc>
          <w:tcPr>
            <w:tcW w:w="1862" w:type="dxa"/>
            <w:vMerge w:val="continue"/>
            <w:noWrap/>
            <w:vAlign w:val="center"/>
          </w:tcPr>
          <w:p w14:paraId="296B825B">
            <w:pPr>
              <w:snapToGrid w:val="0"/>
              <w:spacing w:line="42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p>
        </w:tc>
      </w:tr>
      <w:tr w14:paraId="19A12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5349" w:type="dxa"/>
            <w:noWrap/>
            <w:vAlign w:val="center"/>
          </w:tcPr>
          <w:p w14:paraId="767284F1">
            <w:pPr>
              <w:snapToGrid w:val="0"/>
              <w:spacing w:line="42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10000以上</w:t>
            </w:r>
          </w:p>
        </w:tc>
        <w:tc>
          <w:tcPr>
            <w:tcW w:w="2417" w:type="dxa"/>
            <w:noWrap/>
            <w:vAlign w:val="center"/>
          </w:tcPr>
          <w:p w14:paraId="18FECD93">
            <w:pPr>
              <w:snapToGrid w:val="0"/>
              <w:spacing w:line="42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0.7‰</w:t>
            </w:r>
          </w:p>
        </w:tc>
        <w:tc>
          <w:tcPr>
            <w:tcW w:w="1862" w:type="dxa"/>
            <w:vMerge w:val="continue"/>
            <w:noWrap/>
            <w:vAlign w:val="center"/>
          </w:tcPr>
          <w:p w14:paraId="00D0B875">
            <w:pPr>
              <w:snapToGrid w:val="0"/>
              <w:spacing w:line="420" w:lineRule="exact"/>
              <w:ind w:firstLine="638" w:firstLineChars="266"/>
              <w:rPr>
                <w:rFonts w:hint="eastAsia" w:ascii="宋体" w:hAnsi="宋体" w:cs="宋体"/>
                <w:color w:val="000000" w:themeColor="text1"/>
                <w:sz w:val="24"/>
                <w:szCs w:val="24"/>
                <w:highlight w:val="none"/>
                <w14:textFill>
                  <w14:solidFill>
                    <w14:schemeClr w14:val="tx1"/>
                  </w14:solidFill>
                </w14:textFill>
              </w:rPr>
            </w:pPr>
          </w:p>
        </w:tc>
      </w:tr>
    </w:tbl>
    <w:p w14:paraId="3B2E23BD">
      <w:pPr>
        <w:snapToGrid w:val="0"/>
        <w:spacing w:line="400" w:lineRule="exact"/>
        <w:ind w:firstLine="360" w:firstLineChars="15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注：交易服务收费按差额定率累进法计算。由项目经办人填制收费单，到“区交易中心”财务科缴纳（可使用刷银联卡、现金或微信）之后，方可领取成交通知书。</w:t>
      </w:r>
    </w:p>
    <w:p w14:paraId="65102A47">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九、签订</w:t>
      </w:r>
      <w:bookmarkEnd w:id="132"/>
      <w:r>
        <w:rPr>
          <w:rFonts w:hint="eastAsia" w:ascii="宋体" w:hAnsi="宋体" w:eastAsia="宋体" w:cs="宋体"/>
          <w:color w:val="000000" w:themeColor="text1"/>
          <w:sz w:val="24"/>
          <w:highlight w:val="none"/>
          <w14:textFill>
            <w14:solidFill>
              <w14:schemeClr w14:val="tx1"/>
            </w14:solidFill>
          </w14:textFill>
        </w:rPr>
        <w:t>合同</w:t>
      </w:r>
      <w:bookmarkEnd w:id="133"/>
      <w:bookmarkEnd w:id="134"/>
      <w:bookmarkEnd w:id="135"/>
    </w:p>
    <w:p w14:paraId="51865C63">
      <w:pPr>
        <w:spacing w:line="400" w:lineRule="exact"/>
        <w:ind w:firstLine="360" w:firstLineChars="15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w:t>
      </w:r>
      <w:r>
        <w:rPr>
          <w:rFonts w:hint="eastAsia" w:ascii="宋体" w:hAnsi="宋体" w:cs="宋体"/>
          <w:color w:val="000000" w:themeColor="text1"/>
          <w:sz w:val="24"/>
          <w:highlight w:val="none"/>
          <w14:textFill>
            <w14:solidFill>
              <w14:schemeClr w14:val="tx1"/>
            </w14:solidFill>
          </w14:textFill>
        </w:rPr>
        <w:t>采购人原则上应在成交通知书发出之日起二十日内和</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sz w:val="24"/>
          <w:highlight w:val="none"/>
          <w14:textFill>
            <w14:solidFill>
              <w14:schemeClr w14:val="tx1"/>
            </w14:solidFill>
          </w14:textFill>
        </w:rPr>
        <w:t>签订政府采购合同，无正当理由不得拒绝或拖延合同签订</w:t>
      </w:r>
      <w:r>
        <w:rPr>
          <w:rFonts w:hint="eastAsia" w:ascii="宋体" w:hAnsi="宋体" w:cs="宋体"/>
          <w:color w:val="000000" w:themeColor="text1"/>
          <w:sz w:val="24"/>
          <w:szCs w:val="24"/>
          <w:highlight w:val="none"/>
          <w14:textFill>
            <w14:solidFill>
              <w14:schemeClr w14:val="tx1"/>
            </w14:solidFill>
          </w14:textFill>
        </w:rPr>
        <w:t>。所签订的合同不得对竞争性磋商文件和供应商的响应文件作实质性修改。其他未尽事宜由采购人和</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sz w:val="24"/>
          <w:szCs w:val="24"/>
          <w:highlight w:val="none"/>
          <w14:textFill>
            <w14:solidFill>
              <w14:schemeClr w14:val="tx1"/>
            </w14:solidFill>
          </w14:textFill>
        </w:rPr>
        <w:t>在采购合同中详细约定。</w:t>
      </w:r>
    </w:p>
    <w:p w14:paraId="675C26E6">
      <w:pPr>
        <w:spacing w:line="400" w:lineRule="exact"/>
        <w:ind w:firstLine="360" w:firstLineChars="15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w:t>
      </w:r>
      <w:r>
        <w:rPr>
          <w:rFonts w:hint="eastAsia" w:ascii="宋体" w:hAnsi="宋体" w:cs="宋体"/>
          <w:color w:val="000000" w:themeColor="text1"/>
          <w:sz w:val="24"/>
          <w:highlight w:val="none"/>
          <w14:textFill>
            <w14:solidFill>
              <w14:schemeClr w14:val="tx1"/>
            </w14:solidFill>
          </w14:textFill>
        </w:rPr>
        <w:t>采购人应当自合同签订之日起7个工作日内，在“政府采购业务管理系统”进行合同登记备案；2个工作日内按相关管理要求在重庆市政府采购网上公告政府采购合同，但政府采购合同中涉及国家秘密、商业秘密的内容除外。未按要求公告及备案的，应当及时进行补充公告及备案。</w:t>
      </w:r>
    </w:p>
    <w:p w14:paraId="6DB18A91">
      <w:pPr>
        <w:spacing w:line="400" w:lineRule="exact"/>
        <w:ind w:firstLine="360" w:firstLineChars="15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（三）竞争性磋商文件、供应商的响应文件及澄清文件等，均为签订政府采购合同的依据。</w:t>
      </w:r>
    </w:p>
    <w:p w14:paraId="04EC2554">
      <w:pPr>
        <w:spacing w:line="400" w:lineRule="exact"/>
        <w:ind w:firstLine="360" w:firstLineChars="15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（四）合同生效条款由供需双方约定，法律、行政法规规定应当办理批准、登记等手续后生效的合同，依照其规定。</w:t>
      </w:r>
    </w:p>
    <w:p w14:paraId="5F5E5901">
      <w:pPr>
        <w:spacing w:line="400" w:lineRule="exact"/>
        <w:ind w:firstLine="360" w:firstLineChars="15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（五）合同原则上应按照《重庆市政府采购合同》签订，相关单位要求适用合同通用格式版本的，应按其要求另行签订其他合同。</w:t>
      </w:r>
    </w:p>
    <w:p w14:paraId="70B9164E">
      <w:pPr>
        <w:spacing w:line="400" w:lineRule="exact"/>
        <w:ind w:firstLine="360" w:firstLineChars="15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（六）采购人要求</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sz w:val="24"/>
          <w:szCs w:val="24"/>
          <w:highlight w:val="none"/>
          <w14:textFill>
            <w14:solidFill>
              <w14:schemeClr w14:val="tx1"/>
            </w14:solidFill>
          </w14:textFill>
        </w:rPr>
        <w:t>提供履约保证金的，应当在竞争性磋商文件中予以约定。</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sz w:val="24"/>
          <w:szCs w:val="24"/>
          <w:highlight w:val="none"/>
          <w14:textFill>
            <w14:solidFill>
              <w14:schemeClr w14:val="tx1"/>
            </w14:solidFill>
          </w14:textFill>
        </w:rPr>
        <w:t>履约完毕后，采购人根据采购文件规定无息退还其履约保证金。</w:t>
      </w:r>
    </w:p>
    <w:p w14:paraId="0B9FB73F">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bookmarkStart w:id="138" w:name="_Toc8324"/>
      <w:r>
        <w:rPr>
          <w:rFonts w:hint="eastAsia" w:ascii="宋体" w:hAnsi="宋体" w:eastAsia="宋体" w:cs="宋体"/>
          <w:color w:val="000000" w:themeColor="text1"/>
          <w:sz w:val="24"/>
          <w:highlight w:val="none"/>
          <w14:textFill>
            <w14:solidFill>
              <w14:schemeClr w14:val="tx1"/>
            </w14:solidFill>
          </w14:textFill>
        </w:rPr>
        <w:t>十、项目验收</w:t>
      </w:r>
      <w:bookmarkEnd w:id="138"/>
    </w:p>
    <w:p w14:paraId="382A0F16">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合同执行完毕，采购人或采购代理机构原则上应在7个工作日内组织履约情况验收，不得无故拖延或附加额外条件。</w:t>
      </w:r>
    </w:p>
    <w:p w14:paraId="4F6261F2">
      <w:pPr>
        <w:pStyle w:val="4"/>
        <w:adjustRightInd w:val="0"/>
        <w:snapToGrid w:val="0"/>
        <w:spacing w:before="0" w:after="0" w:line="400" w:lineRule="exact"/>
        <w:ind w:firstLine="482" w:firstLineChars="200"/>
        <w:rPr>
          <w:rFonts w:hint="eastAsia" w:ascii="宋体" w:hAnsi="宋体" w:eastAsia="宋体" w:cs="宋体"/>
          <w:color w:val="000000" w:themeColor="text1"/>
          <w:highlight w:val="none"/>
          <w14:textFill>
            <w14:solidFill>
              <w14:schemeClr w14:val="tx1"/>
            </w14:solidFill>
          </w14:textFill>
        </w:rPr>
      </w:pPr>
      <w:bookmarkStart w:id="139" w:name="_Toc13078"/>
      <w:bookmarkStart w:id="140" w:name="_Toc76462347"/>
      <w:bookmarkStart w:id="141" w:name="_Toc14780"/>
      <w:r>
        <w:rPr>
          <w:rFonts w:hint="eastAsia" w:ascii="宋体" w:hAnsi="宋体" w:eastAsia="宋体" w:cs="宋体"/>
          <w:color w:val="000000" w:themeColor="text1"/>
          <w:sz w:val="24"/>
          <w:highlight w:val="none"/>
          <w14:textFill>
            <w14:solidFill>
              <w14:schemeClr w14:val="tx1"/>
            </w14:solidFill>
          </w14:textFill>
        </w:rPr>
        <w:t>十一、政府采购信用融资</w:t>
      </w:r>
      <w:bookmarkEnd w:id="139"/>
      <w:bookmarkEnd w:id="140"/>
      <w:bookmarkEnd w:id="141"/>
    </w:p>
    <w:p w14:paraId="53F86F85">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供应商参与重庆市政府采购活动，成为</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sz w:val="24"/>
          <w:szCs w:val="24"/>
          <w:highlight w:val="none"/>
          <w14:textFill>
            <w14:solidFill>
              <w14:schemeClr w14:val="tx1"/>
            </w14:solidFill>
          </w14:textFill>
        </w:rPr>
        <w:t>，并与采购人签订政府采购合同后，可按照重庆市政府采购支持中小企业信用融资办法的规定，向开展政府采购信用融资业务的银行申请贷款。具体内容详见重庆市政府采购网“信用融资”信息专栏。</w:t>
      </w:r>
    </w:p>
    <w:p w14:paraId="65E58599">
      <w:pPr>
        <w:pStyle w:val="4"/>
        <w:spacing w:before="0" w:after="0" w:line="360" w:lineRule="auto"/>
        <w:jc w:val="center"/>
        <w:rPr>
          <w:rFonts w:hint="eastAsia" w:ascii="宋体" w:hAnsi="宋体" w:eastAsia="宋体" w:cs="宋体"/>
          <w:b w:val="0"/>
          <w:color w:val="000000" w:themeColor="text1"/>
          <w:sz w:val="36"/>
          <w:szCs w:val="30"/>
          <w:highlight w:val="none"/>
          <w14:textFill>
            <w14:solidFill>
              <w14:schemeClr w14:val="tx1"/>
            </w14:solidFill>
          </w14:textFill>
        </w:rPr>
      </w:pPr>
      <w:r>
        <w:rPr>
          <w:rFonts w:hint="eastAsia" w:ascii="宋体" w:hAnsi="宋体" w:eastAsia="宋体" w:cs="宋体"/>
          <w:color w:val="000000" w:themeColor="text1"/>
          <w:sz w:val="36"/>
          <w:szCs w:val="30"/>
          <w:highlight w:val="none"/>
          <w14:textFill>
            <w14:solidFill>
              <w14:schemeClr w14:val="tx1"/>
            </w14:solidFill>
          </w14:textFill>
        </w:rPr>
        <w:br w:type="page"/>
      </w:r>
      <w:bookmarkStart w:id="142" w:name="_Toc17664"/>
      <w:bookmarkStart w:id="143" w:name="_Toc76462348"/>
      <w:r>
        <w:rPr>
          <w:rFonts w:hint="eastAsia" w:ascii="宋体" w:hAnsi="宋体" w:eastAsia="宋体" w:cs="宋体"/>
          <w:bCs/>
          <w:color w:val="000000" w:themeColor="text1"/>
          <w:sz w:val="36"/>
          <w:szCs w:val="30"/>
          <w:highlight w:val="none"/>
          <w14:textFill>
            <w14:solidFill>
              <w14:schemeClr w14:val="tx1"/>
            </w14:solidFill>
          </w14:textFill>
        </w:rPr>
        <w:t xml:space="preserve">第六篇  </w:t>
      </w:r>
      <w:bookmarkEnd w:id="136"/>
      <w:bookmarkEnd w:id="137"/>
      <w:r>
        <w:rPr>
          <w:rFonts w:hint="eastAsia" w:ascii="宋体" w:hAnsi="宋体" w:eastAsia="宋体" w:cs="宋体"/>
          <w:bCs/>
          <w:color w:val="000000" w:themeColor="text1"/>
          <w:sz w:val="36"/>
          <w:szCs w:val="30"/>
          <w:highlight w:val="none"/>
          <w14:textFill>
            <w14:solidFill>
              <w14:schemeClr w14:val="tx1"/>
            </w14:solidFill>
          </w14:textFill>
        </w:rPr>
        <w:t>政府采购合同</w:t>
      </w:r>
      <w:bookmarkEnd w:id="142"/>
      <w:bookmarkEnd w:id="143"/>
    </w:p>
    <w:p w14:paraId="0C712353">
      <w:pPr>
        <w:tabs>
          <w:tab w:val="left" w:pos="9000"/>
        </w:tabs>
        <w:spacing w:line="276" w:lineRule="auto"/>
        <w:jc w:val="center"/>
        <w:rPr>
          <w:rFonts w:hint="eastAsia" w:ascii="宋体" w:hAnsi="宋体" w:cs="宋体"/>
          <w:color w:val="000000" w:themeColor="text1"/>
          <w:sz w:val="21"/>
          <w:szCs w:val="21"/>
          <w:highlight w:val="none"/>
          <w14:textFill>
            <w14:solidFill>
              <w14:schemeClr w14:val="tx1"/>
            </w14:solidFill>
          </w14:textFill>
        </w:rPr>
      </w:pPr>
    </w:p>
    <w:p w14:paraId="46BCC025">
      <w:pPr>
        <w:spacing w:line="500" w:lineRule="exact"/>
        <w:ind w:firstLine="482" w:firstLineChars="200"/>
        <w:rPr>
          <w:rFonts w:hint="eastAsia" w:ascii="仿宋" w:hAnsi="仿宋" w:eastAsia="仿宋"/>
          <w:b/>
          <w:color w:val="000000" w:themeColor="text1"/>
          <w:sz w:val="24"/>
          <w:highlight w:val="none"/>
          <w14:textFill>
            <w14:solidFill>
              <w14:schemeClr w14:val="tx1"/>
            </w14:solidFill>
          </w14:textFill>
        </w:rPr>
      </w:pPr>
      <w:bookmarkStart w:id="144" w:name="_Hlt41879464"/>
      <w:bookmarkEnd w:id="144"/>
      <w:bookmarkStart w:id="145" w:name="_Toc20913"/>
      <w:bookmarkStart w:id="146" w:name="_Toc76462349"/>
      <w:r>
        <w:rPr>
          <w:rFonts w:hint="eastAsia" w:ascii="仿宋" w:hAnsi="仿宋" w:eastAsia="仿宋"/>
          <w:b/>
          <w:color w:val="000000" w:themeColor="text1"/>
          <w:sz w:val="24"/>
          <w:highlight w:val="none"/>
          <w14:textFill>
            <w14:solidFill>
              <w14:schemeClr w14:val="tx1"/>
            </w14:solidFill>
          </w14:textFill>
        </w:rPr>
        <w:t>一、政府采购合同（样本）</w:t>
      </w:r>
    </w:p>
    <w:p w14:paraId="7853039B">
      <w:pPr>
        <w:spacing w:line="500" w:lineRule="exact"/>
        <w:jc w:val="center"/>
        <w:rPr>
          <w:rFonts w:hint="eastAsia" w:ascii="仿宋" w:hAnsi="仿宋" w:eastAsia="仿宋" w:cs="仿宋"/>
          <w:b/>
          <w:color w:val="000000" w:themeColor="text1"/>
          <w:sz w:val="44"/>
          <w:highlight w:val="none"/>
          <w14:textFill>
            <w14:solidFill>
              <w14:schemeClr w14:val="tx1"/>
            </w14:solidFill>
          </w14:textFill>
        </w:rPr>
      </w:pPr>
      <w:r>
        <w:rPr>
          <w:rFonts w:hint="eastAsia" w:ascii="仿宋" w:hAnsi="仿宋" w:eastAsia="仿宋" w:cs="仿宋"/>
          <w:b/>
          <w:color w:val="000000" w:themeColor="text1"/>
          <w:sz w:val="44"/>
          <w:highlight w:val="none"/>
          <w14:textFill>
            <w14:solidFill>
              <w14:schemeClr w14:val="tx1"/>
            </w14:solidFill>
          </w14:textFill>
        </w:rPr>
        <w:t>重庆市政府采购合同</w:t>
      </w:r>
    </w:p>
    <w:p w14:paraId="68A79579">
      <w:pPr>
        <w:spacing w:line="500" w:lineRule="exact"/>
        <w:jc w:val="center"/>
        <w:rPr>
          <w:rFonts w:hint="eastAsia" w:ascii="仿宋" w:hAnsi="仿宋" w:eastAsia="仿宋" w:cs="仿宋"/>
          <w:color w:val="000000" w:themeColor="text1"/>
          <w:highlight w:val="none"/>
          <w14:textFill>
            <w14:solidFill>
              <w14:schemeClr w14:val="tx1"/>
            </w14:solidFill>
          </w14:textFill>
        </w:rPr>
      </w:pPr>
      <w:r>
        <w:rPr>
          <w:rFonts w:hint="eastAsia" w:ascii="仿宋" w:hAnsi="仿宋" w:eastAsia="仿宋" w:cs="仿宋"/>
          <w:color w:val="000000" w:themeColor="text1"/>
          <w:highlight w:val="none"/>
          <w14:textFill>
            <w14:solidFill>
              <w14:schemeClr w14:val="tx1"/>
            </w14:solidFill>
          </w14:textFill>
        </w:rPr>
        <w:t>（项目号：     ）</w:t>
      </w:r>
    </w:p>
    <w:p w14:paraId="7ADEDEDE">
      <w:pPr>
        <w:spacing w:line="50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甲方（需方）：___________________________      计价单位：____________</w:t>
      </w:r>
    </w:p>
    <w:p w14:paraId="5348CE61">
      <w:pPr>
        <w:spacing w:line="50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乙方（供方）：___________________________      计量单位：_____________</w:t>
      </w:r>
    </w:p>
    <w:p w14:paraId="78C893A1">
      <w:pPr>
        <w:spacing w:line="500" w:lineRule="exact"/>
        <w:rPr>
          <w:rFonts w:hint="eastAsia" w:ascii="仿宋" w:hAnsi="仿宋" w:eastAsia="仿宋" w:cs="仿宋"/>
          <w:color w:val="000000" w:themeColor="text1"/>
          <w:sz w:val="24"/>
          <w:highlight w:val="none"/>
          <w14:textFill>
            <w14:solidFill>
              <w14:schemeClr w14:val="tx1"/>
            </w14:solidFill>
          </w14:textFill>
        </w:rPr>
      </w:pPr>
    </w:p>
    <w:p w14:paraId="2221AC3E">
      <w:pPr>
        <w:spacing w:line="50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经双方协商一致，达成以下购销合同：</w:t>
      </w:r>
    </w:p>
    <w:tbl>
      <w:tblPr>
        <w:tblStyle w:val="17"/>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071"/>
        <w:gridCol w:w="984"/>
        <w:gridCol w:w="589"/>
        <w:gridCol w:w="709"/>
        <w:gridCol w:w="1134"/>
        <w:gridCol w:w="1559"/>
        <w:gridCol w:w="1567"/>
        <w:gridCol w:w="15"/>
      </w:tblGrid>
      <w:tr w14:paraId="3F167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3071" w:type="dxa"/>
            <w:vAlign w:val="center"/>
          </w:tcPr>
          <w:p w14:paraId="2920BCF3">
            <w:pPr>
              <w:spacing w:line="240" w:lineRule="atLeast"/>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磋商项目名称</w:t>
            </w:r>
          </w:p>
        </w:tc>
        <w:tc>
          <w:tcPr>
            <w:tcW w:w="984" w:type="dxa"/>
            <w:vAlign w:val="center"/>
          </w:tcPr>
          <w:p w14:paraId="451F39DE">
            <w:pPr>
              <w:spacing w:line="240" w:lineRule="atLeast"/>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数量</w:t>
            </w:r>
          </w:p>
        </w:tc>
        <w:tc>
          <w:tcPr>
            <w:tcW w:w="1298" w:type="dxa"/>
            <w:gridSpan w:val="2"/>
            <w:vAlign w:val="center"/>
          </w:tcPr>
          <w:p w14:paraId="168C8AD6">
            <w:pPr>
              <w:spacing w:line="240" w:lineRule="atLeast"/>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综合单价</w:t>
            </w:r>
          </w:p>
        </w:tc>
        <w:tc>
          <w:tcPr>
            <w:tcW w:w="1134" w:type="dxa"/>
            <w:vAlign w:val="center"/>
          </w:tcPr>
          <w:p w14:paraId="4BEA6B4F">
            <w:pPr>
              <w:spacing w:line="240" w:lineRule="atLeast"/>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总价</w:t>
            </w:r>
          </w:p>
        </w:tc>
        <w:tc>
          <w:tcPr>
            <w:tcW w:w="1559" w:type="dxa"/>
            <w:vAlign w:val="center"/>
          </w:tcPr>
          <w:p w14:paraId="491EDCEE">
            <w:pPr>
              <w:spacing w:line="240" w:lineRule="atLeast"/>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服务时间</w:t>
            </w:r>
          </w:p>
        </w:tc>
        <w:tc>
          <w:tcPr>
            <w:tcW w:w="1567" w:type="dxa"/>
            <w:vAlign w:val="center"/>
          </w:tcPr>
          <w:p w14:paraId="1830DF7A">
            <w:pPr>
              <w:spacing w:line="240" w:lineRule="atLeast"/>
              <w:jc w:val="cente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服务地点</w:t>
            </w:r>
          </w:p>
        </w:tc>
      </w:tr>
      <w:tr w14:paraId="047411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3071" w:type="dxa"/>
            <w:vAlign w:val="center"/>
          </w:tcPr>
          <w:p w14:paraId="018CE645">
            <w:pPr>
              <w:spacing w:line="240" w:lineRule="atLeast"/>
              <w:jc w:val="center"/>
              <w:rPr>
                <w:rFonts w:hint="eastAsia" w:ascii="仿宋" w:hAnsi="仿宋" w:eastAsia="仿宋" w:cs="仿宋"/>
                <w:color w:val="000000" w:themeColor="text1"/>
                <w:sz w:val="21"/>
                <w:szCs w:val="21"/>
                <w:highlight w:val="none"/>
                <w14:textFill>
                  <w14:solidFill>
                    <w14:schemeClr w14:val="tx1"/>
                  </w14:solidFill>
                </w14:textFill>
              </w:rPr>
            </w:pPr>
          </w:p>
        </w:tc>
        <w:tc>
          <w:tcPr>
            <w:tcW w:w="984" w:type="dxa"/>
            <w:vAlign w:val="center"/>
          </w:tcPr>
          <w:p w14:paraId="2D0408F7">
            <w:pPr>
              <w:spacing w:line="240" w:lineRule="atLeast"/>
              <w:jc w:val="center"/>
              <w:rPr>
                <w:rFonts w:hint="eastAsia" w:ascii="仿宋" w:hAnsi="仿宋" w:eastAsia="仿宋" w:cs="仿宋"/>
                <w:color w:val="000000" w:themeColor="text1"/>
                <w:sz w:val="21"/>
                <w:szCs w:val="21"/>
                <w:highlight w:val="none"/>
                <w14:textFill>
                  <w14:solidFill>
                    <w14:schemeClr w14:val="tx1"/>
                  </w14:solidFill>
                </w14:textFill>
              </w:rPr>
            </w:pPr>
          </w:p>
        </w:tc>
        <w:tc>
          <w:tcPr>
            <w:tcW w:w="1298" w:type="dxa"/>
            <w:gridSpan w:val="2"/>
            <w:vAlign w:val="center"/>
          </w:tcPr>
          <w:p w14:paraId="670179E9">
            <w:pPr>
              <w:spacing w:line="240" w:lineRule="atLeast"/>
              <w:jc w:val="center"/>
              <w:rPr>
                <w:rFonts w:hint="eastAsia" w:ascii="仿宋" w:hAnsi="仿宋" w:eastAsia="仿宋" w:cs="仿宋"/>
                <w:color w:val="000000" w:themeColor="text1"/>
                <w:sz w:val="21"/>
                <w:szCs w:val="21"/>
                <w:highlight w:val="none"/>
                <w14:textFill>
                  <w14:solidFill>
                    <w14:schemeClr w14:val="tx1"/>
                  </w14:solidFill>
                </w14:textFill>
              </w:rPr>
            </w:pPr>
          </w:p>
        </w:tc>
        <w:tc>
          <w:tcPr>
            <w:tcW w:w="1134" w:type="dxa"/>
            <w:vAlign w:val="center"/>
          </w:tcPr>
          <w:p w14:paraId="61217864">
            <w:pPr>
              <w:spacing w:line="240" w:lineRule="atLeast"/>
              <w:jc w:val="center"/>
              <w:rPr>
                <w:rFonts w:hint="eastAsia" w:ascii="仿宋" w:hAnsi="仿宋" w:eastAsia="仿宋" w:cs="仿宋"/>
                <w:color w:val="000000" w:themeColor="text1"/>
                <w:sz w:val="21"/>
                <w:szCs w:val="21"/>
                <w:highlight w:val="none"/>
                <w14:textFill>
                  <w14:solidFill>
                    <w14:schemeClr w14:val="tx1"/>
                  </w14:solidFill>
                </w14:textFill>
              </w:rPr>
            </w:pPr>
          </w:p>
        </w:tc>
        <w:tc>
          <w:tcPr>
            <w:tcW w:w="1559" w:type="dxa"/>
            <w:vAlign w:val="center"/>
          </w:tcPr>
          <w:p w14:paraId="0B9CC5DF">
            <w:pPr>
              <w:spacing w:line="240" w:lineRule="atLeast"/>
              <w:jc w:val="center"/>
              <w:rPr>
                <w:rFonts w:hint="eastAsia" w:ascii="仿宋" w:hAnsi="仿宋" w:eastAsia="仿宋" w:cs="仿宋"/>
                <w:color w:val="000000" w:themeColor="text1"/>
                <w:sz w:val="21"/>
                <w:szCs w:val="21"/>
                <w:highlight w:val="none"/>
                <w14:textFill>
                  <w14:solidFill>
                    <w14:schemeClr w14:val="tx1"/>
                  </w14:solidFill>
                </w14:textFill>
              </w:rPr>
            </w:pPr>
          </w:p>
        </w:tc>
        <w:tc>
          <w:tcPr>
            <w:tcW w:w="1567" w:type="dxa"/>
            <w:vAlign w:val="center"/>
          </w:tcPr>
          <w:p w14:paraId="32CBCAD1">
            <w:pPr>
              <w:spacing w:line="240" w:lineRule="atLeast"/>
              <w:jc w:val="center"/>
              <w:rPr>
                <w:rFonts w:hint="eastAsia" w:ascii="仿宋" w:hAnsi="仿宋" w:eastAsia="仿宋" w:cs="仿宋"/>
                <w:color w:val="000000" w:themeColor="text1"/>
                <w:sz w:val="21"/>
                <w:szCs w:val="21"/>
                <w:highlight w:val="none"/>
                <w14:textFill>
                  <w14:solidFill>
                    <w14:schemeClr w14:val="tx1"/>
                  </w14:solidFill>
                </w14:textFill>
              </w:rPr>
            </w:pPr>
          </w:p>
        </w:tc>
      </w:tr>
      <w:tr w14:paraId="3FA558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3071" w:type="dxa"/>
            <w:vAlign w:val="center"/>
          </w:tcPr>
          <w:p w14:paraId="278F2BFD">
            <w:pPr>
              <w:spacing w:line="240" w:lineRule="atLeast"/>
              <w:jc w:val="center"/>
              <w:rPr>
                <w:rFonts w:hint="eastAsia" w:ascii="仿宋" w:hAnsi="仿宋" w:eastAsia="仿宋" w:cs="仿宋"/>
                <w:color w:val="000000" w:themeColor="text1"/>
                <w:sz w:val="21"/>
                <w:szCs w:val="21"/>
                <w:highlight w:val="none"/>
                <w14:textFill>
                  <w14:solidFill>
                    <w14:schemeClr w14:val="tx1"/>
                  </w14:solidFill>
                </w14:textFill>
              </w:rPr>
            </w:pPr>
          </w:p>
        </w:tc>
        <w:tc>
          <w:tcPr>
            <w:tcW w:w="984" w:type="dxa"/>
            <w:vAlign w:val="center"/>
          </w:tcPr>
          <w:p w14:paraId="69FD3DA3">
            <w:pPr>
              <w:spacing w:line="240" w:lineRule="atLeast"/>
              <w:jc w:val="center"/>
              <w:rPr>
                <w:rFonts w:hint="eastAsia" w:ascii="仿宋" w:hAnsi="仿宋" w:eastAsia="仿宋" w:cs="仿宋"/>
                <w:color w:val="000000" w:themeColor="text1"/>
                <w:sz w:val="21"/>
                <w:szCs w:val="21"/>
                <w:highlight w:val="none"/>
                <w14:textFill>
                  <w14:solidFill>
                    <w14:schemeClr w14:val="tx1"/>
                  </w14:solidFill>
                </w14:textFill>
              </w:rPr>
            </w:pPr>
          </w:p>
        </w:tc>
        <w:tc>
          <w:tcPr>
            <w:tcW w:w="1298" w:type="dxa"/>
            <w:gridSpan w:val="2"/>
            <w:vAlign w:val="center"/>
          </w:tcPr>
          <w:p w14:paraId="178687F4">
            <w:pPr>
              <w:spacing w:line="240" w:lineRule="atLeast"/>
              <w:jc w:val="center"/>
              <w:rPr>
                <w:rFonts w:hint="eastAsia" w:ascii="仿宋" w:hAnsi="仿宋" w:eastAsia="仿宋" w:cs="仿宋"/>
                <w:color w:val="000000" w:themeColor="text1"/>
                <w:sz w:val="21"/>
                <w:szCs w:val="21"/>
                <w:highlight w:val="none"/>
                <w14:textFill>
                  <w14:solidFill>
                    <w14:schemeClr w14:val="tx1"/>
                  </w14:solidFill>
                </w14:textFill>
              </w:rPr>
            </w:pPr>
          </w:p>
        </w:tc>
        <w:tc>
          <w:tcPr>
            <w:tcW w:w="1134" w:type="dxa"/>
            <w:vAlign w:val="center"/>
          </w:tcPr>
          <w:p w14:paraId="3393071B">
            <w:pPr>
              <w:spacing w:line="240" w:lineRule="atLeast"/>
              <w:jc w:val="center"/>
              <w:rPr>
                <w:rFonts w:hint="eastAsia" w:ascii="仿宋" w:hAnsi="仿宋" w:eastAsia="仿宋" w:cs="仿宋"/>
                <w:color w:val="000000" w:themeColor="text1"/>
                <w:sz w:val="21"/>
                <w:szCs w:val="21"/>
                <w:highlight w:val="none"/>
                <w14:textFill>
                  <w14:solidFill>
                    <w14:schemeClr w14:val="tx1"/>
                  </w14:solidFill>
                </w14:textFill>
              </w:rPr>
            </w:pPr>
          </w:p>
        </w:tc>
        <w:tc>
          <w:tcPr>
            <w:tcW w:w="1559" w:type="dxa"/>
            <w:vAlign w:val="center"/>
          </w:tcPr>
          <w:p w14:paraId="7A4D64ED">
            <w:pPr>
              <w:spacing w:line="240" w:lineRule="atLeast"/>
              <w:jc w:val="center"/>
              <w:rPr>
                <w:rFonts w:hint="eastAsia" w:ascii="仿宋" w:hAnsi="仿宋" w:eastAsia="仿宋" w:cs="仿宋"/>
                <w:color w:val="000000" w:themeColor="text1"/>
                <w:sz w:val="21"/>
                <w:szCs w:val="21"/>
                <w:highlight w:val="none"/>
                <w14:textFill>
                  <w14:solidFill>
                    <w14:schemeClr w14:val="tx1"/>
                  </w14:solidFill>
                </w14:textFill>
              </w:rPr>
            </w:pPr>
          </w:p>
        </w:tc>
        <w:tc>
          <w:tcPr>
            <w:tcW w:w="1567" w:type="dxa"/>
            <w:vAlign w:val="center"/>
          </w:tcPr>
          <w:p w14:paraId="6B2C007D">
            <w:pPr>
              <w:spacing w:line="240" w:lineRule="atLeast"/>
              <w:jc w:val="center"/>
              <w:rPr>
                <w:rFonts w:hint="eastAsia" w:ascii="仿宋" w:hAnsi="仿宋" w:eastAsia="仿宋" w:cs="仿宋"/>
                <w:color w:val="000000" w:themeColor="text1"/>
                <w:sz w:val="21"/>
                <w:szCs w:val="21"/>
                <w:highlight w:val="none"/>
                <w14:textFill>
                  <w14:solidFill>
                    <w14:schemeClr w14:val="tx1"/>
                  </w14:solidFill>
                </w14:textFill>
              </w:rPr>
            </w:pPr>
          </w:p>
        </w:tc>
      </w:tr>
      <w:tr w14:paraId="48C69D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9613" w:type="dxa"/>
            <w:gridSpan w:val="7"/>
            <w:vAlign w:val="center"/>
          </w:tcPr>
          <w:p w14:paraId="29A6ACA1">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合计人民币（小写）：</w:t>
            </w:r>
          </w:p>
        </w:tc>
      </w:tr>
      <w:tr w14:paraId="115D90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Pr>
        <w:tc>
          <w:tcPr>
            <w:tcW w:w="9613" w:type="dxa"/>
            <w:gridSpan w:val="7"/>
            <w:vAlign w:val="center"/>
          </w:tcPr>
          <w:p w14:paraId="259292B2">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合计人民币（大写）：</w:t>
            </w:r>
          </w:p>
        </w:tc>
      </w:tr>
      <w:tr w14:paraId="78DAD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5" w:type="dxa"/>
          <w:trHeight w:val="776" w:hRule="atLeast"/>
        </w:trPr>
        <w:tc>
          <w:tcPr>
            <w:tcW w:w="9613" w:type="dxa"/>
            <w:gridSpan w:val="7"/>
          </w:tcPr>
          <w:p w14:paraId="44A0DA52">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一、服务要求</w:t>
            </w:r>
          </w:p>
        </w:tc>
      </w:tr>
      <w:tr w14:paraId="7F3EA4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1" w:hRule="atLeast"/>
        </w:trPr>
        <w:tc>
          <w:tcPr>
            <w:tcW w:w="9628" w:type="dxa"/>
            <w:gridSpan w:val="8"/>
          </w:tcPr>
          <w:p w14:paraId="0A7BD9C3">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二、考核方式</w:t>
            </w:r>
          </w:p>
        </w:tc>
      </w:tr>
      <w:tr w14:paraId="536F6D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5" w:hRule="atLeast"/>
        </w:trPr>
        <w:tc>
          <w:tcPr>
            <w:tcW w:w="9628" w:type="dxa"/>
            <w:gridSpan w:val="8"/>
          </w:tcPr>
          <w:p w14:paraId="55B991D3">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三、付款方式：</w:t>
            </w:r>
          </w:p>
          <w:p w14:paraId="1CF2FBE8">
            <w:pPr>
              <w:rPr>
                <w:rFonts w:hint="eastAsia" w:ascii="仿宋" w:hAnsi="仿宋" w:eastAsia="仿宋" w:cs="仿宋"/>
                <w:color w:val="000000" w:themeColor="text1"/>
                <w:highlight w:val="none"/>
                <w14:textFill>
                  <w14:solidFill>
                    <w14:schemeClr w14:val="tx1"/>
                  </w14:solidFill>
                </w14:textFill>
              </w:rPr>
            </w:pPr>
          </w:p>
        </w:tc>
      </w:tr>
      <w:tr w14:paraId="64FE52D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62" w:hRule="atLeast"/>
        </w:trPr>
        <w:tc>
          <w:tcPr>
            <w:tcW w:w="9628" w:type="dxa"/>
            <w:gridSpan w:val="8"/>
          </w:tcPr>
          <w:p w14:paraId="172BC646">
            <w:pPr>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X、履约保证金：</w:t>
            </w:r>
          </w:p>
        </w:tc>
      </w:tr>
      <w:tr w14:paraId="6EDF9D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8"/>
          </w:tcPr>
          <w:p w14:paraId="64FB97D5">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四、违约责任：</w:t>
            </w:r>
          </w:p>
          <w:p w14:paraId="6014C5EE">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按《中华人民共和国民法典》、《中华人民共和国政府采购法》执行，或按双方约定。</w:t>
            </w:r>
          </w:p>
        </w:tc>
      </w:tr>
      <w:tr w14:paraId="2FA32D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8"/>
          </w:tcPr>
          <w:p w14:paraId="1C360D60">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五、其他约定事项：</w:t>
            </w:r>
          </w:p>
          <w:p w14:paraId="192E6FBB">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1.采购文件及其澄清文件、响应文件和承诺是本合同不可分割的部分。</w:t>
            </w:r>
          </w:p>
          <w:p w14:paraId="76DA797F">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2.本合同如发生争议由双方协商解决，协商不成向需方所在人民法院提请诉讼。</w:t>
            </w:r>
          </w:p>
          <w:p w14:paraId="683F52F6">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3.本合同一式__份， 需方__份，供方__份，具同等法律效力。</w:t>
            </w:r>
          </w:p>
          <w:p w14:paraId="14DD997E">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4.其他：</w:t>
            </w:r>
          </w:p>
        </w:tc>
      </w:tr>
      <w:tr w14:paraId="6351A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644" w:type="dxa"/>
            <w:gridSpan w:val="3"/>
          </w:tcPr>
          <w:p w14:paraId="0BA38846">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需方：</w:t>
            </w:r>
          </w:p>
          <w:p w14:paraId="266FD641">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地址：</w:t>
            </w:r>
          </w:p>
          <w:p w14:paraId="0F3131EA">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联系电话：</w:t>
            </w:r>
          </w:p>
          <w:p w14:paraId="5E8BA670">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授权代表：</w:t>
            </w:r>
          </w:p>
        </w:tc>
        <w:tc>
          <w:tcPr>
            <w:tcW w:w="4984" w:type="dxa"/>
            <w:gridSpan w:val="5"/>
          </w:tcPr>
          <w:p w14:paraId="4C25BEF0">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供方：</w:t>
            </w:r>
          </w:p>
          <w:p w14:paraId="2D0D5FA1">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地址：</w:t>
            </w:r>
          </w:p>
          <w:p w14:paraId="1828EA36">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电话：</w:t>
            </w:r>
          </w:p>
          <w:p w14:paraId="6FB9F272">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传真：</w:t>
            </w:r>
          </w:p>
          <w:p w14:paraId="639A75EF">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开户银行：</w:t>
            </w:r>
          </w:p>
          <w:p w14:paraId="4B5AB0B6">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账号：</w:t>
            </w:r>
          </w:p>
          <w:p w14:paraId="5100C4DB">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授权代表：</w:t>
            </w:r>
          </w:p>
          <w:p w14:paraId="61C9C3C7">
            <w:pPr>
              <w:widowControl/>
              <w:spacing w:line="240" w:lineRule="atLeast"/>
              <w:jc w:val="lef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（本栏请用计算机打印以便于准确付款）</w:t>
            </w:r>
          </w:p>
        </w:tc>
      </w:tr>
      <w:tr w14:paraId="0A039B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628" w:type="dxa"/>
            <w:gridSpan w:val="8"/>
          </w:tcPr>
          <w:p w14:paraId="22B4BAEB">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r>
              <w:rPr>
                <w:rFonts w:hint="eastAsia" w:ascii="仿宋" w:hAnsi="仿宋" w:eastAsia="仿宋" w:cs="仿宋"/>
                <w:color w:val="000000" w:themeColor="text1"/>
                <w:sz w:val="21"/>
                <w:szCs w:val="21"/>
                <w:highlight w:val="none"/>
                <w14:textFill>
                  <w14:solidFill>
                    <w14:schemeClr w14:val="tx1"/>
                  </w14:solidFill>
                </w14:textFill>
              </w:rPr>
              <w:t>备注：</w:t>
            </w:r>
          </w:p>
          <w:p w14:paraId="3774FEB3">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p>
          <w:p w14:paraId="66E60AAB">
            <w:pPr>
              <w:spacing w:line="240" w:lineRule="atLeast"/>
              <w:rPr>
                <w:rFonts w:hint="eastAsia" w:ascii="仿宋" w:hAnsi="仿宋" w:eastAsia="仿宋" w:cs="仿宋"/>
                <w:color w:val="000000" w:themeColor="text1"/>
                <w:sz w:val="21"/>
                <w:szCs w:val="21"/>
                <w:highlight w:val="none"/>
                <w14:textFill>
                  <w14:solidFill>
                    <w14:schemeClr w14:val="tx1"/>
                  </w14:solidFill>
                </w14:textFill>
              </w:rPr>
            </w:pPr>
          </w:p>
        </w:tc>
      </w:tr>
    </w:tbl>
    <w:p w14:paraId="44274485">
      <w:pPr>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签约时间：           年   月   日      签约地点：</w:t>
      </w:r>
    </w:p>
    <w:p w14:paraId="4114EB75">
      <w:pPr>
        <w:tabs>
          <w:tab w:val="left" w:pos="9000"/>
        </w:tabs>
        <w:spacing w:line="276" w:lineRule="auto"/>
        <w:jc w:val="center"/>
        <w:rPr>
          <w:rFonts w:hint="eastAsia" w:ascii="仿宋" w:hAnsi="仿宋" w:eastAsia="仿宋" w:cs="仿宋"/>
          <w:color w:val="000000" w:themeColor="text1"/>
          <w:sz w:val="21"/>
          <w:szCs w:val="21"/>
          <w:highlight w:val="none"/>
          <w14:textFill>
            <w14:solidFill>
              <w14:schemeClr w14:val="tx1"/>
            </w14:solidFill>
          </w14:textFill>
        </w:rPr>
        <w:sectPr>
          <w:footerReference r:id="rId9" w:type="default"/>
          <w:footerReference r:id="rId10" w:type="even"/>
          <w:pgSz w:w="11907" w:h="16840"/>
          <w:pgMar w:top="1134" w:right="1191" w:bottom="1134" w:left="1304" w:header="964" w:footer="992" w:gutter="0"/>
          <w:cols w:space="720" w:num="1"/>
          <w:docGrid w:linePitch="312" w:charSpace="0"/>
        </w:sectPr>
      </w:pPr>
    </w:p>
    <w:p w14:paraId="3106ED62">
      <w:pPr>
        <w:pStyle w:val="4"/>
        <w:spacing w:before="0" w:after="0" w:line="360" w:lineRule="auto"/>
        <w:jc w:val="center"/>
        <w:rPr>
          <w:rFonts w:hint="eastAsia" w:ascii="宋体" w:hAnsi="宋体" w:eastAsia="宋体" w:cs="宋体"/>
          <w:bCs/>
          <w:color w:val="000000" w:themeColor="text1"/>
          <w:sz w:val="36"/>
          <w:szCs w:val="30"/>
          <w:highlight w:val="none"/>
          <w14:textFill>
            <w14:solidFill>
              <w14:schemeClr w14:val="tx1"/>
            </w14:solidFill>
          </w14:textFill>
        </w:rPr>
      </w:pPr>
      <w:r>
        <w:rPr>
          <w:rFonts w:hint="eastAsia" w:ascii="宋体" w:hAnsi="宋体" w:eastAsia="宋体" w:cs="宋体"/>
          <w:bCs/>
          <w:color w:val="000000" w:themeColor="text1"/>
          <w:sz w:val="36"/>
          <w:szCs w:val="30"/>
          <w:highlight w:val="none"/>
          <w14:textFill>
            <w14:solidFill>
              <w14:schemeClr w14:val="tx1"/>
            </w14:solidFill>
          </w14:textFill>
        </w:rPr>
        <w:t>第七篇  电子响应文件编制要求</w:t>
      </w:r>
      <w:bookmarkEnd w:id="145"/>
      <w:bookmarkEnd w:id="146"/>
    </w:p>
    <w:p w14:paraId="07C7D68D">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一、经济部分</w:t>
      </w:r>
    </w:p>
    <w:p w14:paraId="5DA29591">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（一）竞争性磋商报价函</w:t>
      </w:r>
    </w:p>
    <w:p w14:paraId="3218853F">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（二）明细报价表</w:t>
      </w:r>
    </w:p>
    <w:p w14:paraId="110309A6">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二、技术部分</w:t>
      </w:r>
    </w:p>
    <w:p w14:paraId="177766BE">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（一）服务响应偏离表</w:t>
      </w:r>
    </w:p>
    <w:p w14:paraId="0AF7CDA6">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（二）其他资料（根据采购需求和评审因素的要求自拟）</w:t>
      </w:r>
    </w:p>
    <w:p w14:paraId="2A95A635">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三、商务部分</w:t>
      </w:r>
    </w:p>
    <w:p w14:paraId="6542DB8A">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（一）商务响应偏离表</w:t>
      </w:r>
    </w:p>
    <w:p w14:paraId="0683346C">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（二）其它优惠服务承诺（格式自拟）</w:t>
      </w:r>
    </w:p>
    <w:p w14:paraId="569BE57C">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四、资格条件及其他</w:t>
      </w:r>
    </w:p>
    <w:p w14:paraId="05D42585">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（一）法人营业执照（副本）或事业单位法人证书（副本）或个体工商户营业执照或有效的自然人身份证明或社会团体法人登记证书扫描件</w:t>
      </w:r>
    </w:p>
    <w:p w14:paraId="4EF4EC74">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（二）法定代表人身份证明书（格式）</w:t>
      </w:r>
    </w:p>
    <w:p w14:paraId="6BFB3ABF">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（三）法定代表人授权委托书（格式）</w:t>
      </w:r>
    </w:p>
    <w:p w14:paraId="65F3C9D9">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（四）基本资格条件承诺函（格式）</w:t>
      </w:r>
    </w:p>
    <w:p w14:paraId="4DC532C3">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（五）特定资格条件证书或证明文件</w:t>
      </w:r>
    </w:p>
    <w:p w14:paraId="129C2207">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五、其他资料</w:t>
      </w:r>
    </w:p>
    <w:p w14:paraId="468BDFAB">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（一）中小企业声明函、监狱企业证明文件、残疾人福利性单位声明函</w:t>
      </w:r>
    </w:p>
    <w:p w14:paraId="7597CC46">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（二）其他与项目有关的资料</w:t>
      </w:r>
    </w:p>
    <w:p w14:paraId="2CF93F89">
      <w:pPr>
        <w:snapToGrid w:val="0"/>
        <w:spacing w:line="360" w:lineRule="auto"/>
        <w:rPr>
          <w:rFonts w:hint="eastAsia" w:ascii="宋体" w:hAnsi="宋体" w:cs="宋体"/>
          <w:color w:val="000000" w:themeColor="text1"/>
          <w:sz w:val="24"/>
          <w:szCs w:val="24"/>
          <w:highlight w:val="none"/>
          <w:bdr w:val="single" w:color="auto" w:sz="4" w:space="0"/>
          <w14:textFill>
            <w14:solidFill>
              <w14:schemeClr w14:val="tx1"/>
            </w14:solidFill>
          </w14:textFill>
        </w:rPr>
        <w:sectPr>
          <w:headerReference r:id="rId11" w:type="default"/>
          <w:footerReference r:id="rId12" w:type="default"/>
          <w:pgSz w:w="11907" w:h="16840"/>
          <w:pgMar w:top="1134" w:right="1191" w:bottom="1134" w:left="1304" w:header="851" w:footer="992" w:gutter="0"/>
          <w:cols w:space="720" w:num="1"/>
          <w:docGrid w:linePitch="380" w:charSpace="-5735"/>
        </w:sectPr>
      </w:pPr>
    </w:p>
    <w:p w14:paraId="7F24F4D5">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bookmarkStart w:id="147" w:name="_Toc342913419"/>
      <w:bookmarkStart w:id="148" w:name="_Toc313888360"/>
      <w:bookmarkStart w:id="149" w:name="_Toc10456"/>
      <w:bookmarkStart w:id="150" w:name="_Toc313008356"/>
      <w:bookmarkStart w:id="151" w:name="_Toc76462350"/>
      <w:bookmarkStart w:id="152" w:name="_Toc283382454"/>
      <w:bookmarkStart w:id="153" w:name="_Toc12789073"/>
      <w:r>
        <w:rPr>
          <w:rFonts w:hint="eastAsia" w:ascii="宋体" w:hAnsi="宋体" w:eastAsia="宋体" w:cs="宋体"/>
          <w:color w:val="000000" w:themeColor="text1"/>
          <w:sz w:val="24"/>
          <w:highlight w:val="none"/>
          <w14:textFill>
            <w14:solidFill>
              <w14:schemeClr w14:val="tx1"/>
            </w14:solidFill>
          </w14:textFill>
        </w:rPr>
        <w:t>一、经济部分</w:t>
      </w:r>
      <w:bookmarkEnd w:id="147"/>
      <w:bookmarkEnd w:id="148"/>
      <w:bookmarkEnd w:id="149"/>
      <w:bookmarkEnd w:id="150"/>
      <w:bookmarkEnd w:id="151"/>
    </w:p>
    <w:bookmarkEnd w:id="152"/>
    <w:bookmarkEnd w:id="153"/>
    <w:p w14:paraId="6059C7CE">
      <w:pPr>
        <w:tabs>
          <w:tab w:val="left" w:pos="6300"/>
        </w:tabs>
        <w:snapToGrid w:val="0"/>
        <w:spacing w:line="312"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（一）竞争性磋商报价函</w:t>
      </w:r>
    </w:p>
    <w:p w14:paraId="1963DE1B">
      <w:pPr>
        <w:jc w:val="center"/>
        <w:rPr>
          <w:rFonts w:hint="eastAsia" w:ascii="宋体" w:hAnsi="宋体" w:cs="宋体"/>
          <w:b/>
          <w:color w:val="000000" w:themeColor="text1"/>
          <w:szCs w:val="28"/>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竞争性磋商报价函</w:t>
      </w:r>
    </w:p>
    <w:p w14:paraId="42B73C03">
      <w:pPr>
        <w:tabs>
          <w:tab w:val="left" w:pos="6300"/>
        </w:tabs>
        <w:snapToGrid w:val="0"/>
        <w:spacing w:line="312" w:lineRule="auto"/>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u w:val="single"/>
          <w14:textFill>
            <w14:solidFill>
              <w14:schemeClr w14:val="tx1"/>
            </w14:solidFill>
          </w14:textFill>
        </w:rPr>
        <w:t>（采购代理机构名称）</w:t>
      </w:r>
      <w:r>
        <w:rPr>
          <w:rFonts w:hint="eastAsia" w:ascii="宋体" w:hAnsi="宋体" w:cs="宋体"/>
          <w:color w:val="000000" w:themeColor="text1"/>
          <w:sz w:val="24"/>
          <w:szCs w:val="24"/>
          <w:highlight w:val="none"/>
          <w14:textFill>
            <w14:solidFill>
              <w14:schemeClr w14:val="tx1"/>
            </w14:solidFill>
          </w14:textFill>
        </w:rPr>
        <w:t>：</w:t>
      </w:r>
    </w:p>
    <w:p w14:paraId="370C62A5">
      <w:pPr>
        <w:tabs>
          <w:tab w:val="left" w:pos="6300"/>
        </w:tabs>
        <w:snapToGrid w:val="0"/>
        <w:spacing w:line="312"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我方收到____________________________（磋商项目名称）的竞争性磋商文件，经详细研究，决定参加该项目的磋商。</w:t>
      </w:r>
    </w:p>
    <w:p w14:paraId="56C25513">
      <w:pPr>
        <w:tabs>
          <w:tab w:val="left" w:pos="6300"/>
        </w:tabs>
        <w:snapToGrid w:val="0"/>
        <w:spacing w:line="312"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1.愿意按照竞争性磋商文件中的一切要求，提供本项目的服务，初始报价为人民币大写：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元整；人民币小写：</w:t>
      </w:r>
      <w:r>
        <w:rPr>
          <w:rFonts w:hint="eastAsia" w:ascii="宋体" w:hAnsi="宋体" w:cs="宋体"/>
          <w:color w:val="000000" w:themeColor="text1"/>
          <w:sz w:val="24"/>
          <w:szCs w:val="24"/>
          <w:highlight w:val="none"/>
          <w:u w:val="single"/>
          <w14:textFill>
            <w14:solidFill>
              <w14:schemeClr w14:val="tx1"/>
            </w14:solidFill>
          </w14:textFill>
        </w:rPr>
        <w:t xml:space="preserve">    </w:t>
      </w:r>
      <w:r>
        <w:rPr>
          <w:rFonts w:hint="eastAsia" w:ascii="宋体" w:hAnsi="宋体" w:cs="宋体"/>
          <w:color w:val="000000" w:themeColor="text1"/>
          <w:sz w:val="24"/>
          <w:szCs w:val="24"/>
          <w:highlight w:val="none"/>
          <w14:textFill>
            <w14:solidFill>
              <w14:schemeClr w14:val="tx1"/>
            </w14:solidFill>
          </w14:textFill>
        </w:rPr>
        <w:t>元。以我公司最后报价为准。</w:t>
      </w:r>
    </w:p>
    <w:p w14:paraId="27041687">
      <w:pPr>
        <w:tabs>
          <w:tab w:val="left" w:pos="6300"/>
        </w:tabs>
        <w:snapToGrid w:val="0"/>
        <w:spacing w:line="312"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2.我方现提交的响应文件为：电子响应文件壹份。</w:t>
      </w:r>
    </w:p>
    <w:p w14:paraId="07439F6C">
      <w:pPr>
        <w:tabs>
          <w:tab w:val="left" w:pos="6300"/>
        </w:tabs>
        <w:snapToGrid w:val="0"/>
        <w:spacing w:line="312"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3.我方承诺：本次磋商的有效期为提交电子响应文件截止时间起90天。</w:t>
      </w:r>
    </w:p>
    <w:p w14:paraId="5EED3747">
      <w:pPr>
        <w:tabs>
          <w:tab w:val="left" w:pos="6300"/>
        </w:tabs>
        <w:snapToGrid w:val="0"/>
        <w:spacing w:line="312"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4.我方完全理解和接受贵方竞争性磋商文件的一切规定和要求及评审办法。</w:t>
      </w:r>
    </w:p>
    <w:p w14:paraId="2660C48C">
      <w:pPr>
        <w:tabs>
          <w:tab w:val="left" w:pos="6300"/>
        </w:tabs>
        <w:snapToGrid w:val="0"/>
        <w:spacing w:line="312"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5.在整个竞争性磋商过程中，我方若有违规行为，接受按照《中华人民共和国政府采购法》和《竞争性磋商文件》之规定给予惩罚。</w:t>
      </w:r>
    </w:p>
    <w:p w14:paraId="1DFC9F7D">
      <w:pPr>
        <w:tabs>
          <w:tab w:val="left" w:pos="6300"/>
        </w:tabs>
        <w:snapToGrid w:val="0"/>
        <w:spacing w:line="312"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6.我方若成为</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sz w:val="24"/>
          <w:szCs w:val="24"/>
          <w:highlight w:val="none"/>
          <w14:textFill>
            <w14:solidFill>
              <w14:schemeClr w14:val="tx1"/>
            </w14:solidFill>
          </w14:textFill>
        </w:rPr>
        <w:t>，将按照最终磋商结果签订合同，并且严格履行合同义务。本承诺函将成为合同不可分割的一部分，与合同具有同等的法律效力。</w:t>
      </w:r>
    </w:p>
    <w:p w14:paraId="1772B139">
      <w:pPr>
        <w:tabs>
          <w:tab w:val="left" w:pos="6300"/>
        </w:tabs>
        <w:snapToGrid w:val="0"/>
        <w:spacing w:line="312"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7.如果我方成为</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sz w:val="24"/>
          <w:szCs w:val="24"/>
          <w:highlight w:val="none"/>
          <w14:textFill>
            <w14:solidFill>
              <w14:schemeClr w14:val="tx1"/>
            </w14:solidFill>
          </w14:textFill>
        </w:rPr>
        <w:t>，保证在接到成交通知书后，向采购代理机构和交易中心缴纳竞争性磋商文件规定的采购代理服务费和交易服务费。</w:t>
      </w:r>
    </w:p>
    <w:p w14:paraId="7D1E2E5A">
      <w:pPr>
        <w:tabs>
          <w:tab w:val="left" w:pos="6300"/>
        </w:tabs>
        <w:snapToGrid w:val="0"/>
        <w:spacing w:line="312" w:lineRule="auto"/>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8.</w:t>
      </w:r>
      <w:r>
        <w:rPr>
          <w:rFonts w:hint="eastAsia" w:ascii="宋体" w:hAnsi="宋体" w:cs="宋体"/>
          <w:color w:val="000000" w:themeColor="text1"/>
          <w:sz w:val="24"/>
          <w:szCs w:val="28"/>
          <w:highlight w:val="none"/>
          <w14:textFill>
            <w14:solidFill>
              <w14:schemeClr w14:val="tx1"/>
            </w14:solidFill>
          </w14:textFill>
        </w:rPr>
        <w:t>我方未</w:t>
      </w:r>
      <w:r>
        <w:rPr>
          <w:rFonts w:hint="eastAsia" w:ascii="宋体" w:hAnsi="宋体" w:cs="宋体"/>
          <w:color w:val="000000" w:themeColor="text1"/>
          <w:sz w:val="24"/>
          <w:szCs w:val="24"/>
          <w:highlight w:val="none"/>
          <w14:textFill>
            <w14:solidFill>
              <w14:schemeClr w14:val="tx1"/>
            </w14:solidFill>
          </w14:textFill>
        </w:rPr>
        <w:t>为采购项目提供整体设计、规范编制或者项目管理、监理、检测等服务。</w:t>
      </w:r>
    </w:p>
    <w:p w14:paraId="3A15A92F">
      <w:pPr>
        <w:tabs>
          <w:tab w:val="left" w:pos="6300"/>
        </w:tabs>
        <w:snapToGrid w:val="0"/>
        <w:spacing w:line="312" w:lineRule="auto"/>
        <w:ind w:firstLine="57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供应商（公章）或自然人签署：</w:t>
      </w:r>
    </w:p>
    <w:p w14:paraId="3291CA23">
      <w:pPr>
        <w:tabs>
          <w:tab w:val="left" w:pos="6300"/>
        </w:tabs>
        <w:snapToGrid w:val="0"/>
        <w:spacing w:line="312" w:lineRule="auto"/>
        <w:ind w:firstLine="57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地址：  </w:t>
      </w:r>
    </w:p>
    <w:p w14:paraId="6B54B5F0">
      <w:pPr>
        <w:tabs>
          <w:tab w:val="left" w:pos="6300"/>
        </w:tabs>
        <w:snapToGrid w:val="0"/>
        <w:spacing w:line="312" w:lineRule="auto"/>
        <w:ind w:firstLine="57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电话：                                             传真：</w:t>
      </w:r>
    </w:p>
    <w:p w14:paraId="55AE6B44">
      <w:pPr>
        <w:tabs>
          <w:tab w:val="left" w:pos="6300"/>
        </w:tabs>
        <w:snapToGrid w:val="0"/>
        <w:spacing w:line="312" w:lineRule="auto"/>
        <w:ind w:firstLine="57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网址：                                             邮编：</w:t>
      </w:r>
    </w:p>
    <w:p w14:paraId="1A07715D">
      <w:pPr>
        <w:tabs>
          <w:tab w:val="left" w:pos="6300"/>
        </w:tabs>
        <w:snapToGrid w:val="0"/>
        <w:spacing w:line="312" w:lineRule="auto"/>
        <w:ind w:firstLine="57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联系人：</w:t>
      </w:r>
    </w:p>
    <w:p w14:paraId="2C37392B">
      <w:pPr>
        <w:snapToGrid w:val="0"/>
        <w:spacing w:line="312" w:lineRule="auto"/>
        <w:ind w:firstLine="480" w:firstLineChars="200"/>
        <w:rPr>
          <w:rFonts w:hint="eastAsia" w:ascii="宋体" w:hAnsi="宋体" w:cs="宋体"/>
          <w:color w:val="000000" w:themeColor="text1"/>
          <w:sz w:val="24"/>
          <w:szCs w:val="24"/>
          <w:highlight w:val="none"/>
          <w14:textFill>
            <w14:solidFill>
              <w14:schemeClr w14:val="tx1"/>
            </w14:solidFill>
          </w14:textFill>
        </w:rPr>
        <w:sectPr>
          <w:pgSz w:w="11907" w:h="16840"/>
          <w:pgMar w:top="1134" w:right="1191" w:bottom="1134" w:left="1304" w:header="851" w:footer="992" w:gutter="0"/>
          <w:cols w:space="720" w:num="1"/>
          <w:docGrid w:linePitch="380" w:charSpace="-5735"/>
        </w:sectPr>
      </w:pPr>
      <w:r>
        <w:rPr>
          <w:rFonts w:hint="eastAsia" w:ascii="宋体" w:hAnsi="宋体" w:cs="宋体"/>
          <w:color w:val="000000" w:themeColor="text1"/>
          <w:sz w:val="24"/>
          <w:szCs w:val="24"/>
          <w:highlight w:val="none"/>
          <w14:textFill>
            <w14:solidFill>
              <w14:schemeClr w14:val="tx1"/>
            </w14:solidFill>
          </w14:textFill>
        </w:rPr>
        <w:t xml:space="preserve">                                                  年   月   日</w:t>
      </w:r>
    </w:p>
    <w:p w14:paraId="59B91308">
      <w:pPr>
        <w:tabs>
          <w:tab w:val="left" w:pos="2895"/>
        </w:tabs>
        <w:spacing w:line="300" w:lineRule="atLeast"/>
        <w:ind w:firstLine="480" w:firstLineChars="200"/>
        <w:rPr>
          <w:rFonts w:hint="eastAsia" w:ascii="宋体" w:hAnsi="宋体" w:cs="宋体"/>
          <w:color w:val="000000" w:themeColor="text1"/>
          <w:sz w:val="24"/>
          <w:szCs w:val="24"/>
          <w:highlight w:val="none"/>
          <w14:textFill>
            <w14:solidFill>
              <w14:schemeClr w14:val="tx1"/>
            </w14:solidFill>
          </w14:textFill>
        </w:rPr>
      </w:pPr>
      <w:bookmarkStart w:id="154" w:name="_Toc5388"/>
      <w:bookmarkStart w:id="155" w:name="_Toc76462351"/>
      <w:bookmarkStart w:id="156" w:name="_Toc313888361"/>
      <w:bookmarkStart w:id="157" w:name="_Toc342913420"/>
      <w:bookmarkStart w:id="158" w:name="_Toc313008357"/>
      <w:bookmarkStart w:id="159" w:name="_Toc137472668"/>
      <w:r>
        <w:rPr>
          <w:rFonts w:hint="eastAsia" w:ascii="宋体" w:hAnsi="宋体" w:cs="宋体"/>
          <w:color w:val="000000" w:themeColor="text1"/>
          <w:sz w:val="24"/>
          <w:szCs w:val="24"/>
          <w:highlight w:val="none"/>
          <w14:textFill>
            <w14:solidFill>
              <w14:schemeClr w14:val="tx1"/>
            </w14:solidFill>
          </w14:textFill>
        </w:rPr>
        <w:t>（二）明细报价表</w:t>
      </w:r>
    </w:p>
    <w:p w14:paraId="55F1FCFA">
      <w:pPr>
        <w:spacing w:line="300" w:lineRule="atLeast"/>
        <w:jc w:val="center"/>
        <w:rPr>
          <w:rFonts w:hint="eastAsia" w:ascii="宋体" w:hAnsi="宋体" w:cs="宋体"/>
          <w:b/>
          <w:color w:val="000000" w:themeColor="text1"/>
          <w:szCs w:val="28"/>
          <w:highlight w:val="none"/>
          <w14:textFill>
            <w14:solidFill>
              <w14:schemeClr w14:val="tx1"/>
            </w14:solidFill>
          </w14:textFill>
        </w:rPr>
      </w:pPr>
      <w:r>
        <w:rPr>
          <w:rFonts w:hint="eastAsia" w:ascii="宋体" w:hAnsi="宋体" w:cs="宋体"/>
          <w:b/>
          <w:color w:val="000000" w:themeColor="text1"/>
          <w:szCs w:val="28"/>
          <w:highlight w:val="none"/>
          <w14:textFill>
            <w14:solidFill>
              <w14:schemeClr w14:val="tx1"/>
            </w14:solidFill>
          </w14:textFill>
        </w:rPr>
        <w:t>明细报价表</w:t>
      </w:r>
    </w:p>
    <w:p w14:paraId="0D4DBCF5">
      <w:pPr>
        <w:spacing w:line="30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项目号：</w:t>
      </w:r>
    </w:p>
    <w:p w14:paraId="7746D1FB">
      <w:pPr>
        <w:pStyle w:val="11"/>
        <w:tabs>
          <w:tab w:val="left" w:pos="6300"/>
        </w:tabs>
        <w:snapToGrid w:val="0"/>
        <w:spacing w:line="300" w:lineRule="atLeast"/>
        <w:outlineLvl w:val="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采购项目名称：</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22"/>
        <w:gridCol w:w="1695"/>
        <w:gridCol w:w="3404"/>
        <w:gridCol w:w="1344"/>
        <w:gridCol w:w="1344"/>
        <w:gridCol w:w="1344"/>
      </w:tblGrid>
      <w:tr w14:paraId="106902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5" w:hRule="exact"/>
          <w:jc w:val="center"/>
        </w:trPr>
        <w:tc>
          <w:tcPr>
            <w:tcW w:w="1022" w:type="dxa"/>
            <w:vAlign w:val="center"/>
          </w:tcPr>
          <w:p w14:paraId="78DE22FB">
            <w:pPr>
              <w:spacing w:line="300" w:lineRule="atLeast"/>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序号</w:t>
            </w:r>
          </w:p>
        </w:tc>
        <w:tc>
          <w:tcPr>
            <w:tcW w:w="1695" w:type="dxa"/>
            <w:vAlign w:val="center"/>
          </w:tcPr>
          <w:p w14:paraId="1F9935BB">
            <w:pPr>
              <w:spacing w:line="300" w:lineRule="atLeast"/>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名称</w:t>
            </w:r>
          </w:p>
        </w:tc>
        <w:tc>
          <w:tcPr>
            <w:tcW w:w="3404" w:type="dxa"/>
            <w:vAlign w:val="center"/>
          </w:tcPr>
          <w:p w14:paraId="415BD596">
            <w:pPr>
              <w:spacing w:line="300" w:lineRule="atLeast"/>
              <w:jc w:val="center"/>
              <w:rPr>
                <w:rFonts w:hint="eastAsia" w:ascii="宋体" w:hAnsi="宋体" w:eastAsia="宋体" w:cs="宋体"/>
                <w:b/>
                <w:color w:val="000000" w:themeColor="text1"/>
                <w:sz w:val="21"/>
                <w:szCs w:val="21"/>
                <w:highlight w:val="none"/>
                <w:lang w:eastAsia="zh-CN"/>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相关</w:t>
            </w:r>
            <w:r>
              <w:rPr>
                <w:rFonts w:hint="eastAsia" w:ascii="宋体" w:hAnsi="宋体" w:cs="宋体"/>
                <w:b/>
                <w:color w:val="000000" w:themeColor="text1"/>
                <w:sz w:val="21"/>
                <w:szCs w:val="21"/>
                <w:highlight w:val="none"/>
                <w:lang w:val="en-US" w:eastAsia="zh-CN"/>
                <w14:textFill>
                  <w14:solidFill>
                    <w14:schemeClr w14:val="tx1"/>
                  </w14:solidFill>
                </w14:textFill>
              </w:rPr>
              <w:t>参数</w:t>
            </w:r>
          </w:p>
        </w:tc>
        <w:tc>
          <w:tcPr>
            <w:tcW w:w="1344" w:type="dxa"/>
            <w:vAlign w:val="center"/>
          </w:tcPr>
          <w:p w14:paraId="3CF861B1">
            <w:pPr>
              <w:spacing w:line="300" w:lineRule="atLeast"/>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数量</w:t>
            </w:r>
          </w:p>
        </w:tc>
        <w:tc>
          <w:tcPr>
            <w:tcW w:w="1344" w:type="dxa"/>
            <w:vAlign w:val="center"/>
          </w:tcPr>
          <w:p w14:paraId="7AFBCB26">
            <w:pPr>
              <w:spacing w:line="300" w:lineRule="atLeast"/>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单价</w:t>
            </w:r>
          </w:p>
        </w:tc>
        <w:tc>
          <w:tcPr>
            <w:tcW w:w="1344" w:type="dxa"/>
            <w:vAlign w:val="center"/>
          </w:tcPr>
          <w:p w14:paraId="57535B52">
            <w:pPr>
              <w:spacing w:line="300" w:lineRule="atLeast"/>
              <w:jc w:val="center"/>
              <w:rPr>
                <w:rFonts w:hint="eastAsia" w:ascii="宋体" w:hAnsi="宋体" w:cs="宋体"/>
                <w:b/>
                <w:color w:val="000000" w:themeColor="text1"/>
                <w:sz w:val="21"/>
                <w:szCs w:val="21"/>
                <w:highlight w:val="none"/>
                <w14:textFill>
                  <w14:solidFill>
                    <w14:schemeClr w14:val="tx1"/>
                  </w14:solidFill>
                </w14:textFill>
              </w:rPr>
            </w:pPr>
            <w:r>
              <w:rPr>
                <w:rFonts w:hint="eastAsia" w:ascii="宋体" w:hAnsi="宋体" w:cs="宋体"/>
                <w:b/>
                <w:color w:val="000000" w:themeColor="text1"/>
                <w:sz w:val="21"/>
                <w:szCs w:val="21"/>
                <w:highlight w:val="none"/>
                <w14:textFill>
                  <w14:solidFill>
                    <w14:schemeClr w14:val="tx1"/>
                  </w14:solidFill>
                </w14:textFill>
              </w:rPr>
              <w:t>合计</w:t>
            </w:r>
          </w:p>
        </w:tc>
      </w:tr>
      <w:tr w14:paraId="05CE6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1022" w:type="dxa"/>
            <w:vAlign w:val="center"/>
          </w:tcPr>
          <w:p w14:paraId="7DE7340A">
            <w:pPr>
              <w:pStyle w:val="8"/>
              <w:spacing w:line="300" w:lineRule="atLeast"/>
              <w:ind w:left="3920"/>
              <w:jc w:val="center"/>
              <w:outlineLvl w:val="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w:t>
            </w:r>
          </w:p>
        </w:tc>
        <w:tc>
          <w:tcPr>
            <w:tcW w:w="1695" w:type="dxa"/>
            <w:vAlign w:val="center"/>
          </w:tcPr>
          <w:p w14:paraId="0B10EE0D">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3404" w:type="dxa"/>
          </w:tcPr>
          <w:p w14:paraId="50FDDFDB">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vAlign w:val="center"/>
          </w:tcPr>
          <w:p w14:paraId="32B30637">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tcPr>
          <w:p w14:paraId="063CA2A5">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tcPr>
          <w:p w14:paraId="4F41338D">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r>
      <w:tr w14:paraId="7CAEC7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1022" w:type="dxa"/>
            <w:vAlign w:val="center"/>
          </w:tcPr>
          <w:p w14:paraId="70D7F3BD">
            <w:pPr>
              <w:pStyle w:val="8"/>
              <w:spacing w:line="300" w:lineRule="atLeast"/>
              <w:ind w:left="3920"/>
              <w:jc w:val="center"/>
              <w:outlineLvl w:val="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2</w:t>
            </w:r>
          </w:p>
        </w:tc>
        <w:tc>
          <w:tcPr>
            <w:tcW w:w="1695" w:type="dxa"/>
            <w:vAlign w:val="center"/>
          </w:tcPr>
          <w:p w14:paraId="39DDD98B">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3404" w:type="dxa"/>
          </w:tcPr>
          <w:p w14:paraId="52DD922B">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vAlign w:val="center"/>
          </w:tcPr>
          <w:p w14:paraId="5D1B664D">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tcPr>
          <w:p w14:paraId="6982D0BB">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tcPr>
          <w:p w14:paraId="0AEAF872">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r>
      <w:tr w14:paraId="3DC3F0F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1022" w:type="dxa"/>
            <w:vAlign w:val="center"/>
          </w:tcPr>
          <w:p w14:paraId="42EB8484">
            <w:pPr>
              <w:pStyle w:val="8"/>
              <w:spacing w:line="300" w:lineRule="atLeast"/>
              <w:ind w:left="3920"/>
              <w:jc w:val="center"/>
              <w:outlineLvl w:val="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3</w:t>
            </w:r>
          </w:p>
        </w:tc>
        <w:tc>
          <w:tcPr>
            <w:tcW w:w="1695" w:type="dxa"/>
            <w:vAlign w:val="center"/>
          </w:tcPr>
          <w:p w14:paraId="1BDA1775">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3404" w:type="dxa"/>
          </w:tcPr>
          <w:p w14:paraId="793BEB64">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vAlign w:val="center"/>
          </w:tcPr>
          <w:p w14:paraId="733EE468">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tcPr>
          <w:p w14:paraId="255CF992">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tcPr>
          <w:p w14:paraId="00ED4B98">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r>
      <w:tr w14:paraId="742BBB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1022" w:type="dxa"/>
            <w:vAlign w:val="center"/>
          </w:tcPr>
          <w:p w14:paraId="780910BE">
            <w:pPr>
              <w:pStyle w:val="8"/>
              <w:spacing w:line="300" w:lineRule="atLeast"/>
              <w:ind w:left="3920"/>
              <w:jc w:val="center"/>
              <w:outlineLvl w:val="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4</w:t>
            </w:r>
          </w:p>
        </w:tc>
        <w:tc>
          <w:tcPr>
            <w:tcW w:w="1695" w:type="dxa"/>
            <w:vAlign w:val="center"/>
          </w:tcPr>
          <w:p w14:paraId="4901B65B">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3404" w:type="dxa"/>
          </w:tcPr>
          <w:p w14:paraId="24EF7951">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vAlign w:val="center"/>
          </w:tcPr>
          <w:p w14:paraId="0619FC67">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tcPr>
          <w:p w14:paraId="16907407">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tcPr>
          <w:p w14:paraId="28A852E4">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r>
      <w:tr w14:paraId="274A0C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1022" w:type="dxa"/>
            <w:vAlign w:val="center"/>
          </w:tcPr>
          <w:p w14:paraId="2937A6D5">
            <w:pPr>
              <w:pStyle w:val="8"/>
              <w:spacing w:line="300" w:lineRule="atLeast"/>
              <w:ind w:left="3920"/>
              <w:jc w:val="center"/>
              <w:outlineLvl w:val="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5</w:t>
            </w:r>
          </w:p>
        </w:tc>
        <w:tc>
          <w:tcPr>
            <w:tcW w:w="1695" w:type="dxa"/>
            <w:vAlign w:val="center"/>
          </w:tcPr>
          <w:p w14:paraId="39AD5565">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3404" w:type="dxa"/>
          </w:tcPr>
          <w:p w14:paraId="3E1A41B3">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vAlign w:val="center"/>
          </w:tcPr>
          <w:p w14:paraId="58B95515">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tcPr>
          <w:p w14:paraId="0FBDF37C">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tcPr>
          <w:p w14:paraId="0C6A09A4">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r>
      <w:tr w14:paraId="24F97A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1022" w:type="dxa"/>
            <w:vAlign w:val="center"/>
          </w:tcPr>
          <w:p w14:paraId="49A6FE5B">
            <w:pPr>
              <w:pStyle w:val="8"/>
              <w:spacing w:line="300" w:lineRule="atLeast"/>
              <w:ind w:left="3920"/>
              <w:jc w:val="center"/>
              <w:outlineLvl w:val="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6</w:t>
            </w:r>
          </w:p>
        </w:tc>
        <w:tc>
          <w:tcPr>
            <w:tcW w:w="1695" w:type="dxa"/>
            <w:vAlign w:val="center"/>
          </w:tcPr>
          <w:p w14:paraId="7FE05EFA">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3404" w:type="dxa"/>
          </w:tcPr>
          <w:p w14:paraId="1E7395B0">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vAlign w:val="center"/>
          </w:tcPr>
          <w:p w14:paraId="37BC328A">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tcPr>
          <w:p w14:paraId="381C0882">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tcPr>
          <w:p w14:paraId="54D02713">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r>
      <w:tr w14:paraId="192BA8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1022" w:type="dxa"/>
            <w:vAlign w:val="center"/>
          </w:tcPr>
          <w:p w14:paraId="746BD602">
            <w:pPr>
              <w:pStyle w:val="8"/>
              <w:spacing w:line="300" w:lineRule="atLeast"/>
              <w:ind w:left="3920"/>
              <w:jc w:val="center"/>
              <w:outlineLvl w:val="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7</w:t>
            </w:r>
          </w:p>
        </w:tc>
        <w:tc>
          <w:tcPr>
            <w:tcW w:w="1695" w:type="dxa"/>
            <w:vAlign w:val="center"/>
          </w:tcPr>
          <w:p w14:paraId="7D29FBE0">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3404" w:type="dxa"/>
          </w:tcPr>
          <w:p w14:paraId="6604EF90">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vAlign w:val="center"/>
          </w:tcPr>
          <w:p w14:paraId="31190788">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tcPr>
          <w:p w14:paraId="074F29C4">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tcPr>
          <w:p w14:paraId="650E6A91">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r>
      <w:tr w14:paraId="6E684B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1022" w:type="dxa"/>
            <w:vAlign w:val="center"/>
          </w:tcPr>
          <w:p w14:paraId="3D62F4CE">
            <w:pPr>
              <w:pStyle w:val="8"/>
              <w:spacing w:line="300" w:lineRule="atLeast"/>
              <w:ind w:left="3920"/>
              <w:jc w:val="center"/>
              <w:outlineLvl w:val="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8</w:t>
            </w:r>
          </w:p>
        </w:tc>
        <w:tc>
          <w:tcPr>
            <w:tcW w:w="1695" w:type="dxa"/>
            <w:vAlign w:val="center"/>
          </w:tcPr>
          <w:p w14:paraId="4415F3C2">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人工费</w:t>
            </w:r>
          </w:p>
        </w:tc>
        <w:tc>
          <w:tcPr>
            <w:tcW w:w="3404" w:type="dxa"/>
          </w:tcPr>
          <w:p w14:paraId="3146846E">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vAlign w:val="center"/>
          </w:tcPr>
          <w:p w14:paraId="73C586CF">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w:t>
            </w:r>
          </w:p>
        </w:tc>
        <w:tc>
          <w:tcPr>
            <w:tcW w:w="1344" w:type="dxa"/>
          </w:tcPr>
          <w:p w14:paraId="35E755AD">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tcPr>
          <w:p w14:paraId="1E34F8E7">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r>
      <w:tr w14:paraId="07D1AD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1022" w:type="dxa"/>
            <w:vAlign w:val="center"/>
          </w:tcPr>
          <w:p w14:paraId="6ED3ADDF">
            <w:pPr>
              <w:pStyle w:val="8"/>
              <w:spacing w:line="300" w:lineRule="atLeast"/>
              <w:ind w:left="3920"/>
              <w:jc w:val="center"/>
              <w:outlineLvl w:val="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9</w:t>
            </w:r>
          </w:p>
        </w:tc>
        <w:tc>
          <w:tcPr>
            <w:tcW w:w="1695" w:type="dxa"/>
            <w:vAlign w:val="center"/>
          </w:tcPr>
          <w:p w14:paraId="26C0D52A">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运输费</w:t>
            </w:r>
          </w:p>
        </w:tc>
        <w:tc>
          <w:tcPr>
            <w:tcW w:w="3404" w:type="dxa"/>
          </w:tcPr>
          <w:p w14:paraId="72523926">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vAlign w:val="center"/>
          </w:tcPr>
          <w:p w14:paraId="1A73D13C">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w:t>
            </w:r>
          </w:p>
        </w:tc>
        <w:tc>
          <w:tcPr>
            <w:tcW w:w="1344" w:type="dxa"/>
          </w:tcPr>
          <w:p w14:paraId="42F4A175">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tcPr>
          <w:p w14:paraId="58A7079D">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r>
      <w:tr w14:paraId="79230D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1022" w:type="dxa"/>
            <w:vAlign w:val="center"/>
          </w:tcPr>
          <w:p w14:paraId="1486A1B9">
            <w:pPr>
              <w:pStyle w:val="8"/>
              <w:spacing w:line="300" w:lineRule="atLeast"/>
              <w:ind w:left="3920"/>
              <w:jc w:val="center"/>
              <w:outlineLvl w:val="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10</w:t>
            </w:r>
          </w:p>
        </w:tc>
        <w:tc>
          <w:tcPr>
            <w:tcW w:w="1695" w:type="dxa"/>
            <w:vAlign w:val="center"/>
          </w:tcPr>
          <w:p w14:paraId="3393EDA5">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其他费用</w:t>
            </w:r>
          </w:p>
        </w:tc>
        <w:tc>
          <w:tcPr>
            <w:tcW w:w="3404" w:type="dxa"/>
          </w:tcPr>
          <w:p w14:paraId="62D97FD8">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vAlign w:val="center"/>
          </w:tcPr>
          <w:p w14:paraId="512C044A">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w:t>
            </w:r>
          </w:p>
        </w:tc>
        <w:tc>
          <w:tcPr>
            <w:tcW w:w="1344" w:type="dxa"/>
          </w:tcPr>
          <w:p w14:paraId="7FF47F69">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tcPr>
          <w:p w14:paraId="00C01FB5">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r>
      <w:tr w14:paraId="7A6709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1022" w:type="dxa"/>
            <w:vAlign w:val="center"/>
          </w:tcPr>
          <w:p w14:paraId="53A4B193">
            <w:pPr>
              <w:pStyle w:val="8"/>
              <w:spacing w:line="300" w:lineRule="atLeast"/>
              <w:ind w:left="3920"/>
              <w:jc w:val="center"/>
              <w:outlineLvl w:val="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11</w:t>
            </w:r>
          </w:p>
        </w:tc>
        <w:tc>
          <w:tcPr>
            <w:tcW w:w="1695" w:type="dxa"/>
            <w:vAlign w:val="center"/>
          </w:tcPr>
          <w:p w14:paraId="69A77758">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w:t>
            </w:r>
          </w:p>
        </w:tc>
        <w:tc>
          <w:tcPr>
            <w:tcW w:w="3404" w:type="dxa"/>
          </w:tcPr>
          <w:p w14:paraId="3BE5A804">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vAlign w:val="center"/>
          </w:tcPr>
          <w:p w14:paraId="1C18C9CF">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w:t>
            </w:r>
          </w:p>
        </w:tc>
        <w:tc>
          <w:tcPr>
            <w:tcW w:w="1344" w:type="dxa"/>
          </w:tcPr>
          <w:p w14:paraId="793BA2E0">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c>
          <w:tcPr>
            <w:tcW w:w="1344" w:type="dxa"/>
          </w:tcPr>
          <w:p w14:paraId="4C83CB99">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p>
        </w:tc>
      </w:tr>
      <w:tr w14:paraId="31EDB4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2" w:hRule="exact"/>
          <w:jc w:val="center"/>
        </w:trPr>
        <w:tc>
          <w:tcPr>
            <w:tcW w:w="1022" w:type="dxa"/>
            <w:vAlign w:val="center"/>
          </w:tcPr>
          <w:p w14:paraId="4C17BAE6">
            <w:pPr>
              <w:pStyle w:val="8"/>
              <w:spacing w:line="300" w:lineRule="atLeast"/>
              <w:ind w:left="3920"/>
              <w:jc w:val="center"/>
              <w:outlineLvl w:val="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12</w:t>
            </w:r>
          </w:p>
        </w:tc>
        <w:tc>
          <w:tcPr>
            <w:tcW w:w="1695" w:type="dxa"/>
            <w:vAlign w:val="center"/>
          </w:tcPr>
          <w:p w14:paraId="51D8BE59">
            <w:pPr>
              <w:spacing w:line="300" w:lineRule="atLeast"/>
              <w:jc w:val="center"/>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总计</w:t>
            </w:r>
          </w:p>
        </w:tc>
        <w:tc>
          <w:tcPr>
            <w:tcW w:w="7436" w:type="dxa"/>
            <w:gridSpan w:val="4"/>
          </w:tcPr>
          <w:p w14:paraId="41B102E6">
            <w:pPr>
              <w:spacing w:line="300" w:lineRule="atLeast"/>
              <w:rPr>
                <w:rFonts w:hint="eastAsia" w:ascii="宋体" w:hAnsi="宋体" w:cs="宋体"/>
                <w:color w:val="000000" w:themeColor="text1"/>
                <w:sz w:val="21"/>
                <w:szCs w:val="21"/>
                <w:highlight w:val="none"/>
                <w14:textFill>
                  <w14:solidFill>
                    <w14:schemeClr w14:val="tx1"/>
                  </w14:solidFill>
                </w14:textFill>
              </w:rPr>
            </w:pPr>
          </w:p>
        </w:tc>
      </w:tr>
    </w:tbl>
    <w:p w14:paraId="4662B111">
      <w:pPr>
        <w:snapToGrid w:val="0"/>
        <w:spacing w:line="300" w:lineRule="atLeast"/>
        <w:ind w:firstLine="480" w:firstLineChars="200"/>
        <w:rPr>
          <w:rFonts w:hint="eastAsia" w:ascii="宋体" w:hAnsi="宋体" w:cs="宋体"/>
          <w:color w:val="000000" w:themeColor="text1"/>
          <w:sz w:val="24"/>
          <w:szCs w:val="28"/>
          <w:highlight w:val="none"/>
          <w14:textFill>
            <w14:solidFill>
              <w14:schemeClr w14:val="tx1"/>
            </w14:solidFill>
          </w14:textFill>
        </w:rPr>
      </w:pPr>
    </w:p>
    <w:p w14:paraId="33D47823">
      <w:pPr>
        <w:snapToGrid w:val="0"/>
        <w:spacing w:line="300" w:lineRule="atLeast"/>
        <w:ind w:firstLine="480" w:firstLineChars="200"/>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注：1、请供应商完整填写本表。</w:t>
      </w:r>
    </w:p>
    <w:p w14:paraId="01905D07">
      <w:pPr>
        <w:snapToGrid w:val="0"/>
        <w:spacing w:line="300" w:lineRule="atLeast"/>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        2、该表可扩展，并逐页签字或盖章。</w:t>
      </w:r>
    </w:p>
    <w:p w14:paraId="3F387661">
      <w:pPr>
        <w:pStyle w:val="14"/>
        <w:spacing w:line="300" w:lineRule="atLeast"/>
        <w:rPr>
          <w:rFonts w:hint="eastAsia" w:ascii="宋体" w:hAnsi="宋体" w:cs="宋体"/>
          <w:color w:val="000000" w:themeColor="text1"/>
          <w:sz w:val="24"/>
          <w:szCs w:val="24"/>
          <w:highlight w:val="none"/>
          <w14:textFill>
            <w14:solidFill>
              <w14:schemeClr w14:val="tx1"/>
            </w14:solidFill>
          </w14:textFill>
        </w:rPr>
      </w:pPr>
    </w:p>
    <w:p w14:paraId="5B7CA5E5">
      <w:pPr>
        <w:pStyle w:val="14"/>
        <w:spacing w:line="30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w:t>
      </w:r>
    </w:p>
    <w:p w14:paraId="228E59E5">
      <w:pPr>
        <w:spacing w:line="300" w:lineRule="atLeast"/>
        <w:rPr>
          <w:rFonts w:hint="eastAsia" w:ascii="宋体" w:hAnsi="宋体" w:cs="宋体"/>
          <w:color w:val="000000" w:themeColor="text1"/>
          <w:highlight w:val="none"/>
          <w14:textFill>
            <w14:solidFill>
              <w14:schemeClr w14:val="tx1"/>
            </w14:solidFill>
          </w14:textFill>
        </w:rPr>
      </w:pPr>
    </w:p>
    <w:p w14:paraId="0AD2DB4C">
      <w:pPr>
        <w:spacing w:line="300" w:lineRule="atLeast"/>
        <w:rPr>
          <w:rFonts w:hint="eastAsia" w:ascii="宋体" w:hAnsi="宋体" w:cs="宋体"/>
          <w:color w:val="000000" w:themeColor="text1"/>
          <w:highlight w:val="none"/>
          <w14:textFill>
            <w14:solidFill>
              <w14:schemeClr w14:val="tx1"/>
            </w14:solidFill>
          </w14:textFill>
        </w:rPr>
      </w:pPr>
    </w:p>
    <w:p w14:paraId="024FDC8D">
      <w:pPr>
        <w:spacing w:line="300" w:lineRule="atLeast"/>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供应商名称（公章）或自然人签署：</w:t>
      </w:r>
    </w:p>
    <w:p w14:paraId="1757DA64">
      <w:pPr>
        <w:pStyle w:val="4"/>
        <w:adjustRightInd w:val="0"/>
        <w:snapToGrid w:val="0"/>
        <w:spacing w:before="0" w:after="0" w:line="400" w:lineRule="exact"/>
        <w:jc w:val="right"/>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年     月    日</w:t>
      </w:r>
    </w:p>
    <w:p w14:paraId="5B4F6A28">
      <w:pPr>
        <w:rPr>
          <w:color w:val="000000" w:themeColor="text1"/>
          <w:highlight w:val="none"/>
          <w14:textFill>
            <w14:solidFill>
              <w14:schemeClr w14:val="tx1"/>
            </w14:solidFill>
          </w14:textFill>
        </w:rPr>
      </w:pPr>
    </w:p>
    <w:p w14:paraId="3CA80C2E">
      <w:pPr>
        <w:rPr>
          <w:rFonts w:hint="eastAsia" w:ascii="仿宋" w:hAnsi="仿宋" w:eastAsia="仿宋" w:cs="仿宋"/>
          <w:color w:val="000000" w:themeColor="text1"/>
          <w:highlight w:val="none"/>
          <w14:textFill>
            <w14:solidFill>
              <w14:schemeClr w14:val="tx1"/>
            </w14:solidFill>
          </w14:textFill>
        </w:rPr>
      </w:pPr>
    </w:p>
    <w:p w14:paraId="60241A2C">
      <w:pPr>
        <w:rPr>
          <w:rFonts w:hint="eastAsia" w:ascii="仿宋" w:hAnsi="仿宋" w:eastAsia="仿宋" w:cs="仿宋"/>
          <w:color w:val="000000" w:themeColor="text1"/>
          <w:highlight w:val="none"/>
          <w14:textFill>
            <w14:solidFill>
              <w14:schemeClr w14:val="tx1"/>
            </w14:solidFill>
          </w14:textFill>
        </w:rPr>
      </w:pPr>
    </w:p>
    <w:p w14:paraId="3608E620">
      <w:pPr>
        <w:rPr>
          <w:rFonts w:hint="eastAsia" w:ascii="仿宋" w:hAnsi="仿宋" w:eastAsia="仿宋" w:cs="仿宋"/>
          <w:color w:val="000000" w:themeColor="text1"/>
          <w:highlight w:val="none"/>
          <w14:textFill>
            <w14:solidFill>
              <w14:schemeClr w14:val="tx1"/>
            </w14:solidFill>
          </w14:textFill>
        </w:rPr>
      </w:pPr>
    </w:p>
    <w:p w14:paraId="54B12362">
      <w:pPr>
        <w:rPr>
          <w:rFonts w:hint="eastAsia" w:ascii="仿宋" w:hAnsi="仿宋" w:eastAsia="仿宋" w:cs="仿宋"/>
          <w:color w:val="000000" w:themeColor="text1"/>
          <w:highlight w:val="none"/>
          <w14:textFill>
            <w14:solidFill>
              <w14:schemeClr w14:val="tx1"/>
            </w14:solidFill>
          </w14:textFill>
        </w:rPr>
      </w:pPr>
    </w:p>
    <w:p w14:paraId="576C5C12">
      <w:pPr>
        <w:rPr>
          <w:rFonts w:hint="eastAsia" w:ascii="仿宋" w:hAnsi="仿宋" w:eastAsia="仿宋" w:cs="仿宋"/>
          <w:color w:val="000000" w:themeColor="text1"/>
          <w:highlight w:val="none"/>
          <w14:textFill>
            <w14:solidFill>
              <w14:schemeClr w14:val="tx1"/>
            </w14:solidFill>
          </w14:textFill>
        </w:rPr>
      </w:pPr>
    </w:p>
    <w:p w14:paraId="56CEEC93">
      <w:pPr>
        <w:rPr>
          <w:rFonts w:hint="eastAsia" w:ascii="仿宋" w:hAnsi="仿宋" w:eastAsia="仿宋" w:cs="仿宋"/>
          <w:color w:val="000000" w:themeColor="text1"/>
          <w:highlight w:val="none"/>
          <w14:textFill>
            <w14:solidFill>
              <w14:schemeClr w14:val="tx1"/>
            </w14:solidFill>
          </w14:textFill>
        </w:rPr>
      </w:pPr>
    </w:p>
    <w:p w14:paraId="64AD9A09">
      <w:pPr>
        <w:rPr>
          <w:rFonts w:hint="eastAsia" w:ascii="仿宋" w:hAnsi="仿宋" w:eastAsia="仿宋" w:cs="仿宋"/>
          <w:color w:val="000000" w:themeColor="text1"/>
          <w:highlight w:val="none"/>
          <w14:textFill>
            <w14:solidFill>
              <w14:schemeClr w14:val="tx1"/>
            </w14:solidFill>
          </w14:textFill>
        </w:rPr>
      </w:pPr>
    </w:p>
    <w:p w14:paraId="76A829A4">
      <w:pPr>
        <w:rPr>
          <w:rFonts w:hint="eastAsia" w:ascii="仿宋" w:hAnsi="仿宋" w:eastAsia="仿宋" w:cs="仿宋"/>
          <w:color w:val="000000" w:themeColor="text1"/>
          <w:sz w:val="24"/>
          <w:highlight w:val="none"/>
          <w14:textFill>
            <w14:solidFill>
              <w14:schemeClr w14:val="tx1"/>
            </w14:solidFill>
          </w14:textFill>
        </w:rPr>
      </w:pPr>
    </w:p>
    <w:p w14:paraId="1D41DE8F">
      <w:pPr>
        <w:rPr>
          <w:color w:val="000000" w:themeColor="text1"/>
          <w:highlight w:val="none"/>
          <w14:textFill>
            <w14:solidFill>
              <w14:schemeClr w14:val="tx1"/>
            </w14:solidFill>
          </w14:textFill>
        </w:rPr>
      </w:pPr>
    </w:p>
    <w:p w14:paraId="4CEC2C6D">
      <w:pPr>
        <w:rPr>
          <w:color w:val="000000" w:themeColor="text1"/>
          <w:highlight w:val="none"/>
          <w14:textFill>
            <w14:solidFill>
              <w14:schemeClr w14:val="tx1"/>
            </w14:solidFill>
          </w14:textFill>
        </w:rPr>
      </w:pPr>
    </w:p>
    <w:p w14:paraId="227C9C05">
      <w:pPr>
        <w:pStyle w:val="4"/>
        <w:adjustRightInd w:val="0"/>
        <w:snapToGrid w:val="0"/>
        <w:spacing w:before="0" w:after="0" w:line="400" w:lineRule="exact"/>
        <w:rPr>
          <w:rFonts w:hint="eastAsia" w:ascii="仿宋" w:hAnsi="仿宋" w:eastAsia="仿宋" w:cs="仿宋"/>
          <w:color w:val="000000" w:themeColor="text1"/>
          <w:sz w:val="24"/>
          <w:highlight w:val="none"/>
          <w14:textFill>
            <w14:solidFill>
              <w14:schemeClr w14:val="tx1"/>
            </w14:solidFill>
          </w14:textFill>
        </w:rPr>
      </w:pPr>
      <w:r>
        <w:rPr>
          <w:rFonts w:hint="eastAsia" w:ascii="仿宋" w:hAnsi="仿宋" w:eastAsia="仿宋" w:cs="仿宋"/>
          <w:color w:val="000000" w:themeColor="text1"/>
          <w:sz w:val="24"/>
          <w:highlight w:val="none"/>
          <w14:textFill>
            <w14:solidFill>
              <w14:schemeClr w14:val="tx1"/>
            </w14:solidFill>
          </w14:textFill>
        </w:rPr>
        <w:t>二、服务部分</w:t>
      </w:r>
      <w:bookmarkEnd w:id="154"/>
      <w:bookmarkEnd w:id="155"/>
      <w:bookmarkEnd w:id="156"/>
      <w:bookmarkEnd w:id="157"/>
      <w:bookmarkEnd w:id="158"/>
      <w:bookmarkEnd w:id="159"/>
    </w:p>
    <w:p w14:paraId="4B9E7859">
      <w:pPr>
        <w:snapToGrid w:val="0"/>
        <w:spacing w:line="300" w:lineRule="atLeas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（一）</w:t>
      </w:r>
      <w:r>
        <w:rPr>
          <w:rFonts w:hint="eastAsia" w:ascii="宋体" w:hAnsi="宋体" w:cs="宋体"/>
          <w:color w:val="000000" w:themeColor="text1"/>
          <w:sz w:val="24"/>
          <w:szCs w:val="24"/>
          <w:highlight w:val="none"/>
          <w14:textFill>
            <w14:solidFill>
              <w14:schemeClr w14:val="tx1"/>
            </w14:solidFill>
          </w14:textFill>
        </w:rPr>
        <w:t>技术响应偏离表</w:t>
      </w:r>
    </w:p>
    <w:p w14:paraId="7E60B69A">
      <w:pPr>
        <w:spacing w:line="30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 xml:space="preserve">    项目号：</w:t>
      </w:r>
    </w:p>
    <w:p w14:paraId="116E2B10">
      <w:pPr>
        <w:spacing w:line="300" w:lineRule="atLeas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采购项目名称：</w:t>
      </w:r>
    </w:p>
    <w:tbl>
      <w:tblPr>
        <w:tblStyle w:val="17"/>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38"/>
        <w:gridCol w:w="2658"/>
        <w:gridCol w:w="2940"/>
        <w:gridCol w:w="1886"/>
      </w:tblGrid>
      <w:tr w14:paraId="733968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5" w:hRule="atLeast"/>
          <w:jc w:val="center"/>
        </w:trPr>
        <w:tc>
          <w:tcPr>
            <w:tcW w:w="1138" w:type="dxa"/>
            <w:vAlign w:val="center"/>
          </w:tcPr>
          <w:p w14:paraId="241E44C4">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序号</w:t>
            </w:r>
          </w:p>
        </w:tc>
        <w:tc>
          <w:tcPr>
            <w:tcW w:w="2658" w:type="dxa"/>
            <w:vAlign w:val="center"/>
          </w:tcPr>
          <w:p w14:paraId="656696FE">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采购需求</w:t>
            </w:r>
          </w:p>
        </w:tc>
        <w:tc>
          <w:tcPr>
            <w:tcW w:w="2940" w:type="dxa"/>
            <w:vAlign w:val="center"/>
          </w:tcPr>
          <w:p w14:paraId="6C665661">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响应情况</w:t>
            </w:r>
          </w:p>
        </w:tc>
        <w:tc>
          <w:tcPr>
            <w:tcW w:w="1886" w:type="dxa"/>
            <w:vAlign w:val="center"/>
          </w:tcPr>
          <w:p w14:paraId="29AB9D0E">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差异说明</w:t>
            </w:r>
          </w:p>
        </w:tc>
      </w:tr>
      <w:tr w14:paraId="107911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9" w:hRule="atLeast"/>
          <w:jc w:val="center"/>
        </w:trPr>
        <w:tc>
          <w:tcPr>
            <w:tcW w:w="1138" w:type="dxa"/>
            <w:vAlign w:val="center"/>
          </w:tcPr>
          <w:p w14:paraId="209B5C3B">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2658" w:type="dxa"/>
            <w:vAlign w:val="center"/>
          </w:tcPr>
          <w:p w14:paraId="4BE3BCFD">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2940" w:type="dxa"/>
            <w:vAlign w:val="center"/>
          </w:tcPr>
          <w:p w14:paraId="742C3368">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1886" w:type="dxa"/>
            <w:vAlign w:val="center"/>
          </w:tcPr>
          <w:p w14:paraId="15F15ADA">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r>
      <w:tr w14:paraId="38CD34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1138" w:type="dxa"/>
            <w:vAlign w:val="center"/>
          </w:tcPr>
          <w:p w14:paraId="4B48E8EB">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2658" w:type="dxa"/>
            <w:vAlign w:val="center"/>
          </w:tcPr>
          <w:p w14:paraId="533696A1">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2940" w:type="dxa"/>
            <w:vAlign w:val="center"/>
          </w:tcPr>
          <w:p w14:paraId="2A51FA87">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1886" w:type="dxa"/>
            <w:vAlign w:val="center"/>
          </w:tcPr>
          <w:p w14:paraId="2A455E9F">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r>
      <w:tr w14:paraId="7C8DBBB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1138" w:type="dxa"/>
            <w:vAlign w:val="center"/>
          </w:tcPr>
          <w:p w14:paraId="417C3A06">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2658" w:type="dxa"/>
            <w:vAlign w:val="center"/>
          </w:tcPr>
          <w:p w14:paraId="03AC94DA">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2940" w:type="dxa"/>
            <w:vAlign w:val="center"/>
          </w:tcPr>
          <w:p w14:paraId="3DB15DD9">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1886" w:type="dxa"/>
            <w:vAlign w:val="center"/>
          </w:tcPr>
          <w:p w14:paraId="51E344BC">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r>
      <w:tr w14:paraId="71D8E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4" w:hRule="atLeast"/>
          <w:jc w:val="center"/>
        </w:trPr>
        <w:tc>
          <w:tcPr>
            <w:tcW w:w="1138" w:type="dxa"/>
            <w:vAlign w:val="center"/>
          </w:tcPr>
          <w:p w14:paraId="63C3A5C2">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2658" w:type="dxa"/>
            <w:vAlign w:val="center"/>
          </w:tcPr>
          <w:p w14:paraId="0D2A9BF8">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2940" w:type="dxa"/>
            <w:vAlign w:val="center"/>
          </w:tcPr>
          <w:p w14:paraId="51FEBC8F">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1886" w:type="dxa"/>
            <w:vAlign w:val="center"/>
          </w:tcPr>
          <w:p w14:paraId="32F6BBE7">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r>
      <w:tr w14:paraId="0070D9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1138" w:type="dxa"/>
            <w:vAlign w:val="center"/>
          </w:tcPr>
          <w:p w14:paraId="17647CDC">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2658" w:type="dxa"/>
            <w:vAlign w:val="center"/>
          </w:tcPr>
          <w:p w14:paraId="30BC8C74">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2940" w:type="dxa"/>
            <w:vAlign w:val="center"/>
          </w:tcPr>
          <w:p w14:paraId="5C9B5F57">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1886" w:type="dxa"/>
            <w:vAlign w:val="center"/>
          </w:tcPr>
          <w:p w14:paraId="526509FB">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r>
      <w:tr w14:paraId="1BBB91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8" w:type="dxa"/>
            <w:vAlign w:val="center"/>
          </w:tcPr>
          <w:p w14:paraId="54F2E36A">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2658" w:type="dxa"/>
            <w:vAlign w:val="center"/>
          </w:tcPr>
          <w:p w14:paraId="4F0A1565">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2940" w:type="dxa"/>
            <w:vAlign w:val="center"/>
          </w:tcPr>
          <w:p w14:paraId="261FB1EF">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1886" w:type="dxa"/>
            <w:vAlign w:val="center"/>
          </w:tcPr>
          <w:p w14:paraId="7C7C3A19">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r>
      <w:tr w14:paraId="4607AF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1138" w:type="dxa"/>
            <w:vAlign w:val="center"/>
          </w:tcPr>
          <w:p w14:paraId="1C89B31F">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2658" w:type="dxa"/>
            <w:vAlign w:val="center"/>
          </w:tcPr>
          <w:p w14:paraId="73D23F45">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2940" w:type="dxa"/>
            <w:vAlign w:val="center"/>
          </w:tcPr>
          <w:p w14:paraId="0B0BD284">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1886" w:type="dxa"/>
            <w:vAlign w:val="center"/>
          </w:tcPr>
          <w:p w14:paraId="69486E3E">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r>
      <w:tr w14:paraId="1883E9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1138" w:type="dxa"/>
            <w:vAlign w:val="center"/>
          </w:tcPr>
          <w:p w14:paraId="37FB9EB1">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2658" w:type="dxa"/>
            <w:vAlign w:val="center"/>
          </w:tcPr>
          <w:p w14:paraId="5BBB4C89">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2940" w:type="dxa"/>
            <w:vAlign w:val="center"/>
          </w:tcPr>
          <w:p w14:paraId="2860B8FC">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1886" w:type="dxa"/>
            <w:vAlign w:val="center"/>
          </w:tcPr>
          <w:p w14:paraId="3424C945">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r>
      <w:tr w14:paraId="1A165B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1138" w:type="dxa"/>
            <w:vAlign w:val="center"/>
          </w:tcPr>
          <w:p w14:paraId="7927B307">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2658" w:type="dxa"/>
            <w:vAlign w:val="center"/>
          </w:tcPr>
          <w:p w14:paraId="017E2EDE">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2940" w:type="dxa"/>
            <w:vAlign w:val="center"/>
          </w:tcPr>
          <w:p w14:paraId="19729786">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1886" w:type="dxa"/>
            <w:vAlign w:val="center"/>
          </w:tcPr>
          <w:p w14:paraId="42D3162E">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r>
      <w:tr w14:paraId="712EC5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4" w:hRule="atLeast"/>
          <w:jc w:val="center"/>
        </w:trPr>
        <w:tc>
          <w:tcPr>
            <w:tcW w:w="1138" w:type="dxa"/>
            <w:vAlign w:val="center"/>
          </w:tcPr>
          <w:p w14:paraId="13FC9E7F">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2658" w:type="dxa"/>
            <w:vAlign w:val="center"/>
          </w:tcPr>
          <w:p w14:paraId="1FFBAEE2">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2940" w:type="dxa"/>
            <w:vAlign w:val="center"/>
          </w:tcPr>
          <w:p w14:paraId="7CB8A86B">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c>
          <w:tcPr>
            <w:tcW w:w="1886" w:type="dxa"/>
            <w:vAlign w:val="center"/>
          </w:tcPr>
          <w:p w14:paraId="35219A1F">
            <w:pPr>
              <w:tabs>
                <w:tab w:val="left" w:pos="6300"/>
              </w:tabs>
              <w:snapToGrid w:val="0"/>
              <w:spacing w:line="300" w:lineRule="atLeast"/>
              <w:jc w:val="center"/>
              <w:outlineLvl w:val="0"/>
              <w:rPr>
                <w:rFonts w:hint="eastAsia" w:ascii="宋体" w:hAnsi="宋体" w:cs="宋体"/>
                <w:color w:val="000000" w:themeColor="text1"/>
                <w:sz w:val="21"/>
                <w:szCs w:val="21"/>
                <w:highlight w:val="none"/>
                <w14:textFill>
                  <w14:solidFill>
                    <w14:schemeClr w14:val="tx1"/>
                  </w14:solidFill>
                </w14:textFill>
              </w:rPr>
            </w:pPr>
          </w:p>
        </w:tc>
      </w:tr>
    </w:tbl>
    <w:p w14:paraId="78658D02">
      <w:pPr>
        <w:spacing w:line="300" w:lineRule="atLeast"/>
        <w:ind w:firstLine="600" w:firstLineChars="250"/>
        <w:rPr>
          <w:rFonts w:hint="eastAsia" w:ascii="宋体" w:hAnsi="宋体" w:cs="宋体"/>
          <w:color w:val="000000" w:themeColor="text1"/>
          <w:sz w:val="24"/>
          <w:szCs w:val="28"/>
          <w:highlight w:val="none"/>
          <w14:textFill>
            <w14:solidFill>
              <w14:schemeClr w14:val="tx1"/>
            </w14:solidFill>
          </w14:textFill>
        </w:rPr>
      </w:pPr>
    </w:p>
    <w:p w14:paraId="7EDCDD2F">
      <w:pPr>
        <w:spacing w:line="300" w:lineRule="atLeast"/>
        <w:ind w:firstLine="600" w:firstLineChars="250"/>
        <w:rPr>
          <w:rFonts w:hint="eastAsia" w:ascii="宋体" w:hAnsi="宋体" w:cs="宋体"/>
          <w:color w:val="000000" w:themeColor="text1"/>
          <w:sz w:val="24"/>
          <w:szCs w:val="28"/>
          <w:highlight w:val="none"/>
          <w14:textFill>
            <w14:solidFill>
              <w14:schemeClr w14:val="tx1"/>
            </w14:solidFill>
          </w14:textFill>
        </w:rPr>
      </w:pPr>
    </w:p>
    <w:p w14:paraId="56AFFC92">
      <w:pPr>
        <w:spacing w:line="400" w:lineRule="atLeast"/>
        <w:ind w:firstLine="600" w:firstLineChars="250"/>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供应商：                           法定代表人（或授权代表 ）或自然人：</w:t>
      </w:r>
    </w:p>
    <w:p w14:paraId="4845512C">
      <w:pPr>
        <w:spacing w:line="400" w:lineRule="atLeast"/>
        <w:ind w:firstLine="600" w:firstLineChars="250"/>
        <w:rPr>
          <w:rFonts w:hint="eastAsia" w:ascii="宋体" w:hAnsi="宋体" w:cs="宋体"/>
          <w:color w:val="000000" w:themeColor="text1"/>
          <w:sz w:val="24"/>
          <w:szCs w:val="28"/>
          <w:highlight w:val="none"/>
          <w14:textFill>
            <w14:solidFill>
              <w14:schemeClr w14:val="tx1"/>
            </w14:solidFill>
          </w14:textFill>
        </w:rPr>
      </w:pPr>
    </w:p>
    <w:p w14:paraId="1B784A96">
      <w:pPr>
        <w:spacing w:line="400" w:lineRule="atLeast"/>
        <w:ind w:firstLine="600" w:firstLineChars="250"/>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（供应商公章）                               （签署或盖章）</w:t>
      </w:r>
    </w:p>
    <w:p w14:paraId="269750EA">
      <w:pPr>
        <w:spacing w:line="400" w:lineRule="atLeast"/>
        <w:ind w:firstLine="600" w:firstLineChars="250"/>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                                              年     月     日</w:t>
      </w:r>
    </w:p>
    <w:p w14:paraId="6AA0BA30">
      <w:pPr>
        <w:spacing w:line="400" w:lineRule="atLeast"/>
        <w:ind w:firstLine="600" w:firstLineChars="250"/>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注：</w:t>
      </w:r>
    </w:p>
    <w:p w14:paraId="2BBDACF3">
      <w:pPr>
        <w:spacing w:line="400" w:lineRule="atLeast"/>
        <w:ind w:firstLine="600" w:firstLineChars="25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、本表即为对本项目“第二篇  磋商项目技术需求”中所列技术要求进行比较和响应；</w:t>
      </w:r>
    </w:p>
    <w:p w14:paraId="51EB1A6C">
      <w:pPr>
        <w:tabs>
          <w:tab w:val="left" w:pos="6300"/>
        </w:tabs>
        <w:snapToGrid w:val="0"/>
        <w:spacing w:line="400" w:lineRule="atLeas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2、该表可扩展</w:t>
      </w:r>
      <w:r>
        <w:rPr>
          <w:rFonts w:hint="eastAsia" w:ascii="宋体" w:hAnsi="宋体" w:cs="宋体"/>
          <w:color w:val="000000" w:themeColor="text1"/>
          <w:sz w:val="24"/>
          <w:szCs w:val="28"/>
          <w:highlight w:val="none"/>
          <w14:textFill>
            <w14:solidFill>
              <w14:schemeClr w14:val="tx1"/>
            </w14:solidFill>
          </w14:textFill>
        </w:rPr>
        <w:t>，并逐页签字或盖章</w:t>
      </w:r>
      <w:r>
        <w:rPr>
          <w:rFonts w:hint="eastAsia" w:ascii="宋体" w:hAnsi="宋体" w:cs="宋体"/>
          <w:color w:val="000000" w:themeColor="text1"/>
          <w:sz w:val="24"/>
          <w:highlight w:val="none"/>
          <w14:textFill>
            <w14:solidFill>
              <w14:schemeClr w14:val="tx1"/>
            </w14:solidFill>
          </w14:textFill>
        </w:rPr>
        <w:t>；</w:t>
      </w:r>
    </w:p>
    <w:p w14:paraId="37E09C87">
      <w:pPr>
        <w:tabs>
          <w:tab w:val="left" w:pos="6300"/>
        </w:tabs>
        <w:snapToGrid w:val="0"/>
        <w:spacing w:line="400" w:lineRule="exact"/>
        <w:ind w:firstLine="480" w:firstLineChars="200"/>
        <w:rPr>
          <w:rFonts w:hint="eastAsia" w:ascii="宋体" w:hAnsi="宋体" w:cs="宋体"/>
          <w:color w:val="000000" w:themeColor="text1"/>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r>
      <w:r>
        <w:rPr>
          <w:rFonts w:hint="eastAsia" w:ascii="宋体" w:hAnsi="宋体" w:cs="宋体"/>
          <w:color w:val="000000" w:themeColor="text1"/>
          <w:sz w:val="24"/>
          <w:szCs w:val="24"/>
          <w:highlight w:val="none"/>
          <w14:textFill>
            <w14:solidFill>
              <w14:schemeClr w14:val="tx1"/>
            </w14:solidFill>
          </w14:textFill>
        </w:rPr>
        <w:t>（二）其他技术资料（根据采购需求和评审因素的要求自拟）</w:t>
      </w:r>
    </w:p>
    <w:p w14:paraId="150D69D7">
      <w:pPr>
        <w:pStyle w:val="4"/>
        <w:adjustRightInd w:val="0"/>
        <w:snapToGrid w:val="0"/>
        <w:spacing w:before="0" w:after="0" w:line="400" w:lineRule="exact"/>
        <w:ind w:firstLine="640"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b w:val="0"/>
          <w:color w:val="000000" w:themeColor="text1"/>
          <w:highlight w:val="none"/>
          <w14:textFill>
            <w14:solidFill>
              <w14:schemeClr w14:val="tx1"/>
            </w14:solidFill>
          </w14:textFill>
        </w:rPr>
        <w:br w:type="page"/>
      </w:r>
      <w:bookmarkStart w:id="160" w:name="_Toc342913421"/>
      <w:bookmarkStart w:id="161" w:name="_Toc76462352"/>
      <w:bookmarkStart w:id="162" w:name="_Toc16581"/>
      <w:bookmarkStart w:id="163" w:name="_Toc313008358"/>
      <w:bookmarkStart w:id="164" w:name="_Toc313888362"/>
      <w:r>
        <w:rPr>
          <w:rFonts w:hint="eastAsia" w:ascii="宋体" w:hAnsi="宋体" w:eastAsia="宋体" w:cs="宋体"/>
          <w:color w:val="000000" w:themeColor="text1"/>
          <w:sz w:val="24"/>
          <w:highlight w:val="none"/>
          <w14:textFill>
            <w14:solidFill>
              <w14:schemeClr w14:val="tx1"/>
            </w14:solidFill>
          </w14:textFill>
        </w:rPr>
        <w:t>三、商务部分</w:t>
      </w:r>
      <w:bookmarkEnd w:id="160"/>
      <w:bookmarkEnd w:id="161"/>
      <w:bookmarkEnd w:id="162"/>
      <w:bookmarkEnd w:id="163"/>
      <w:bookmarkEnd w:id="164"/>
    </w:p>
    <w:p w14:paraId="13269257">
      <w:pPr>
        <w:spacing w:line="300" w:lineRule="atLeast"/>
        <w:rPr>
          <w:rFonts w:hint="eastAsia" w:ascii="宋体" w:hAnsi="宋体" w:cs="宋体"/>
          <w:color w:val="000000" w:themeColor="text1"/>
          <w:sz w:val="24"/>
          <w:szCs w:val="24"/>
          <w:highlight w:val="none"/>
          <w14:textFill>
            <w14:solidFill>
              <w14:schemeClr w14:val="tx1"/>
            </w14:solidFill>
          </w14:textFill>
        </w:rPr>
      </w:pPr>
      <w:bookmarkStart w:id="165" w:name="_Toc283382459"/>
      <w:r>
        <w:rPr>
          <w:rFonts w:hint="eastAsia" w:ascii="宋体" w:hAnsi="宋体" w:cs="宋体"/>
          <w:color w:val="000000" w:themeColor="text1"/>
          <w:sz w:val="24"/>
          <w:szCs w:val="24"/>
          <w:highlight w:val="none"/>
          <w14:textFill>
            <w14:solidFill>
              <w14:schemeClr w14:val="tx1"/>
            </w14:solidFill>
          </w14:textFill>
        </w:rPr>
        <w:t>（一）服务响应偏离表</w:t>
      </w:r>
    </w:p>
    <w:p w14:paraId="708A8BD6">
      <w:pPr>
        <w:pStyle w:val="11"/>
        <w:tabs>
          <w:tab w:val="left" w:pos="6300"/>
        </w:tabs>
        <w:snapToGrid w:val="0"/>
        <w:spacing w:line="300" w:lineRule="atLeast"/>
        <w:outlineLvl w:val="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项目号：</w:t>
      </w:r>
    </w:p>
    <w:p w14:paraId="44205F57">
      <w:pPr>
        <w:snapToGrid w:val="0"/>
        <w:spacing w:line="300" w:lineRule="atLeas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采购项目名称：</w:t>
      </w:r>
    </w:p>
    <w:tbl>
      <w:tblPr>
        <w:tblStyle w:val="17"/>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10"/>
        <w:gridCol w:w="3179"/>
        <w:gridCol w:w="2434"/>
        <w:gridCol w:w="2355"/>
      </w:tblGrid>
      <w:tr w14:paraId="6337C9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5" w:hRule="atLeast"/>
        </w:trPr>
        <w:tc>
          <w:tcPr>
            <w:tcW w:w="1510" w:type="dxa"/>
            <w:vAlign w:val="center"/>
          </w:tcPr>
          <w:p w14:paraId="123701F4">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r>
              <w:rPr>
                <w:rFonts w:hint="eastAsia" w:ascii="宋体" w:hAnsi="宋体" w:cs="宋体"/>
                <w:color w:val="000000" w:themeColor="text1"/>
                <w:sz w:val="21"/>
                <w:szCs w:val="24"/>
                <w:highlight w:val="none"/>
                <w14:textFill>
                  <w14:solidFill>
                    <w14:schemeClr w14:val="tx1"/>
                  </w14:solidFill>
                </w14:textFill>
              </w:rPr>
              <w:t>序号</w:t>
            </w:r>
          </w:p>
        </w:tc>
        <w:tc>
          <w:tcPr>
            <w:tcW w:w="3179" w:type="dxa"/>
            <w:vAlign w:val="center"/>
          </w:tcPr>
          <w:p w14:paraId="413C3C45">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r>
              <w:rPr>
                <w:rFonts w:hint="eastAsia" w:ascii="宋体" w:hAnsi="宋体" w:cs="宋体"/>
                <w:color w:val="000000" w:themeColor="text1"/>
                <w:sz w:val="21"/>
                <w:szCs w:val="24"/>
                <w:highlight w:val="none"/>
                <w14:textFill>
                  <w14:solidFill>
                    <w14:schemeClr w14:val="tx1"/>
                  </w14:solidFill>
                </w14:textFill>
              </w:rPr>
              <w:t>磋商项目商务需求</w:t>
            </w:r>
          </w:p>
        </w:tc>
        <w:tc>
          <w:tcPr>
            <w:tcW w:w="2434" w:type="dxa"/>
            <w:vAlign w:val="center"/>
          </w:tcPr>
          <w:p w14:paraId="01919477">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r>
              <w:rPr>
                <w:rFonts w:hint="eastAsia" w:ascii="宋体" w:hAnsi="宋体" w:cs="宋体"/>
                <w:color w:val="000000" w:themeColor="text1"/>
                <w:sz w:val="21"/>
                <w:szCs w:val="24"/>
                <w:highlight w:val="none"/>
                <w14:textFill>
                  <w14:solidFill>
                    <w14:schemeClr w14:val="tx1"/>
                  </w14:solidFill>
                </w14:textFill>
              </w:rPr>
              <w:t>响应情况</w:t>
            </w:r>
          </w:p>
        </w:tc>
        <w:tc>
          <w:tcPr>
            <w:tcW w:w="2355" w:type="dxa"/>
            <w:vAlign w:val="center"/>
          </w:tcPr>
          <w:p w14:paraId="5B5C99CF">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r>
              <w:rPr>
                <w:rFonts w:hint="eastAsia" w:ascii="宋体" w:hAnsi="宋体" w:cs="宋体"/>
                <w:color w:val="000000" w:themeColor="text1"/>
                <w:sz w:val="21"/>
                <w:szCs w:val="24"/>
                <w:highlight w:val="none"/>
                <w14:textFill>
                  <w14:solidFill>
                    <w14:schemeClr w14:val="tx1"/>
                  </w14:solidFill>
                </w14:textFill>
              </w:rPr>
              <w:t>偏离说明</w:t>
            </w:r>
          </w:p>
        </w:tc>
      </w:tr>
      <w:tr w14:paraId="1F3D90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510" w:type="dxa"/>
            <w:vAlign w:val="center"/>
          </w:tcPr>
          <w:p w14:paraId="25BD05B8">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c>
          <w:tcPr>
            <w:tcW w:w="3179" w:type="dxa"/>
            <w:vAlign w:val="center"/>
          </w:tcPr>
          <w:p w14:paraId="03660C65">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c>
          <w:tcPr>
            <w:tcW w:w="2434" w:type="dxa"/>
            <w:vAlign w:val="center"/>
          </w:tcPr>
          <w:p w14:paraId="2159B6A7">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c>
          <w:tcPr>
            <w:tcW w:w="2355" w:type="dxa"/>
            <w:vAlign w:val="center"/>
          </w:tcPr>
          <w:p w14:paraId="089C642A">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r>
      <w:tr w14:paraId="7631A5C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8" w:hRule="atLeast"/>
        </w:trPr>
        <w:tc>
          <w:tcPr>
            <w:tcW w:w="1510" w:type="dxa"/>
            <w:vAlign w:val="center"/>
          </w:tcPr>
          <w:p w14:paraId="2E21A4A9">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c>
          <w:tcPr>
            <w:tcW w:w="3179" w:type="dxa"/>
            <w:vAlign w:val="center"/>
          </w:tcPr>
          <w:p w14:paraId="5F14561C">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c>
          <w:tcPr>
            <w:tcW w:w="2434" w:type="dxa"/>
            <w:vAlign w:val="center"/>
          </w:tcPr>
          <w:p w14:paraId="54DABC6B">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c>
          <w:tcPr>
            <w:tcW w:w="2355" w:type="dxa"/>
            <w:vAlign w:val="center"/>
          </w:tcPr>
          <w:p w14:paraId="1FB7ADCC">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r>
      <w:tr w14:paraId="517D88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3" w:hRule="atLeast"/>
        </w:trPr>
        <w:tc>
          <w:tcPr>
            <w:tcW w:w="1510" w:type="dxa"/>
            <w:vAlign w:val="center"/>
          </w:tcPr>
          <w:p w14:paraId="5960FE34">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c>
          <w:tcPr>
            <w:tcW w:w="3179" w:type="dxa"/>
            <w:vAlign w:val="center"/>
          </w:tcPr>
          <w:p w14:paraId="66858E00">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c>
          <w:tcPr>
            <w:tcW w:w="2434" w:type="dxa"/>
            <w:vAlign w:val="center"/>
          </w:tcPr>
          <w:p w14:paraId="71DBFB4F">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c>
          <w:tcPr>
            <w:tcW w:w="2355" w:type="dxa"/>
            <w:vAlign w:val="center"/>
          </w:tcPr>
          <w:p w14:paraId="382A5406">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r>
      <w:tr w14:paraId="5BABB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3" w:hRule="atLeast"/>
        </w:trPr>
        <w:tc>
          <w:tcPr>
            <w:tcW w:w="1510" w:type="dxa"/>
            <w:vAlign w:val="center"/>
          </w:tcPr>
          <w:p w14:paraId="5A7DAB48">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c>
          <w:tcPr>
            <w:tcW w:w="3179" w:type="dxa"/>
            <w:vAlign w:val="center"/>
          </w:tcPr>
          <w:p w14:paraId="234E1CA3">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c>
          <w:tcPr>
            <w:tcW w:w="2434" w:type="dxa"/>
            <w:vAlign w:val="center"/>
          </w:tcPr>
          <w:p w14:paraId="49964908">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c>
          <w:tcPr>
            <w:tcW w:w="2355" w:type="dxa"/>
            <w:vAlign w:val="center"/>
          </w:tcPr>
          <w:p w14:paraId="4E0FB746">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r>
      <w:tr w14:paraId="36B00E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trPr>
        <w:tc>
          <w:tcPr>
            <w:tcW w:w="1510" w:type="dxa"/>
            <w:vAlign w:val="center"/>
          </w:tcPr>
          <w:p w14:paraId="58562825">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c>
          <w:tcPr>
            <w:tcW w:w="3179" w:type="dxa"/>
            <w:vAlign w:val="center"/>
          </w:tcPr>
          <w:p w14:paraId="67A726E1">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c>
          <w:tcPr>
            <w:tcW w:w="2434" w:type="dxa"/>
            <w:vAlign w:val="center"/>
          </w:tcPr>
          <w:p w14:paraId="0AF3C59F">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c>
          <w:tcPr>
            <w:tcW w:w="2355" w:type="dxa"/>
            <w:vAlign w:val="center"/>
          </w:tcPr>
          <w:p w14:paraId="14125C11">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r>
      <w:tr w14:paraId="468CD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atLeast"/>
        </w:trPr>
        <w:tc>
          <w:tcPr>
            <w:tcW w:w="1510" w:type="dxa"/>
            <w:vAlign w:val="center"/>
          </w:tcPr>
          <w:p w14:paraId="6DAF5E8C">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c>
          <w:tcPr>
            <w:tcW w:w="3179" w:type="dxa"/>
            <w:vAlign w:val="center"/>
          </w:tcPr>
          <w:p w14:paraId="7EA1868C">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c>
          <w:tcPr>
            <w:tcW w:w="2434" w:type="dxa"/>
            <w:vAlign w:val="center"/>
          </w:tcPr>
          <w:p w14:paraId="33B1455B">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c>
          <w:tcPr>
            <w:tcW w:w="2355" w:type="dxa"/>
            <w:vAlign w:val="center"/>
          </w:tcPr>
          <w:p w14:paraId="1BF27037">
            <w:pPr>
              <w:tabs>
                <w:tab w:val="left" w:pos="6300"/>
              </w:tabs>
              <w:snapToGrid w:val="0"/>
              <w:spacing w:line="300" w:lineRule="atLeast"/>
              <w:jc w:val="center"/>
              <w:outlineLvl w:val="0"/>
              <w:rPr>
                <w:rFonts w:hint="eastAsia" w:ascii="宋体" w:hAnsi="宋体" w:cs="宋体"/>
                <w:color w:val="000000" w:themeColor="text1"/>
                <w:sz w:val="21"/>
                <w:szCs w:val="24"/>
                <w:highlight w:val="none"/>
                <w14:textFill>
                  <w14:solidFill>
                    <w14:schemeClr w14:val="tx1"/>
                  </w14:solidFill>
                </w14:textFill>
              </w:rPr>
            </w:pPr>
          </w:p>
        </w:tc>
      </w:tr>
    </w:tbl>
    <w:p w14:paraId="379570C5">
      <w:pPr>
        <w:spacing w:line="300" w:lineRule="atLeast"/>
        <w:ind w:firstLine="600" w:firstLineChars="250"/>
        <w:rPr>
          <w:rFonts w:hint="eastAsia" w:ascii="宋体" w:hAnsi="宋体" w:cs="宋体"/>
          <w:color w:val="000000" w:themeColor="text1"/>
          <w:sz w:val="24"/>
          <w:szCs w:val="28"/>
          <w:highlight w:val="none"/>
          <w14:textFill>
            <w14:solidFill>
              <w14:schemeClr w14:val="tx1"/>
            </w14:solidFill>
          </w14:textFill>
        </w:rPr>
      </w:pPr>
    </w:p>
    <w:p w14:paraId="68292070">
      <w:pPr>
        <w:spacing w:line="400" w:lineRule="exact"/>
        <w:ind w:firstLine="600" w:firstLineChars="250"/>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供应商：                          法</w:t>
      </w:r>
      <w:r>
        <w:rPr>
          <w:rFonts w:hint="eastAsia" w:ascii="宋体" w:hAnsi="宋体" w:cs="宋体"/>
          <w:color w:val="000000" w:themeColor="text1"/>
          <w:sz w:val="24"/>
          <w:szCs w:val="24"/>
          <w:highlight w:val="none"/>
          <w14:textFill>
            <w14:solidFill>
              <w14:schemeClr w14:val="tx1"/>
            </w14:solidFill>
          </w14:textFill>
        </w:rPr>
        <w:t>定代表</w:t>
      </w:r>
      <w:r>
        <w:rPr>
          <w:rFonts w:hint="eastAsia" w:ascii="宋体" w:hAnsi="宋体" w:cs="宋体"/>
          <w:color w:val="000000" w:themeColor="text1"/>
          <w:sz w:val="24"/>
          <w:szCs w:val="28"/>
          <w:highlight w:val="none"/>
          <w14:textFill>
            <w14:solidFill>
              <w14:schemeClr w14:val="tx1"/>
            </w14:solidFill>
          </w14:textFill>
        </w:rPr>
        <w:t>人</w:t>
      </w:r>
      <w:r>
        <w:rPr>
          <w:rFonts w:hint="eastAsia" w:ascii="宋体" w:hAnsi="宋体" w:cs="宋体"/>
          <w:color w:val="000000" w:themeColor="text1"/>
          <w:sz w:val="24"/>
          <w:szCs w:val="24"/>
          <w:highlight w:val="none"/>
          <w14:textFill>
            <w14:solidFill>
              <w14:schemeClr w14:val="tx1"/>
            </w14:solidFill>
          </w14:textFill>
        </w:rPr>
        <w:t>（或其</w:t>
      </w:r>
      <w:r>
        <w:rPr>
          <w:rFonts w:hint="eastAsia" w:ascii="宋体" w:hAnsi="宋体" w:cs="宋体"/>
          <w:color w:val="000000" w:themeColor="text1"/>
          <w:sz w:val="24"/>
          <w:szCs w:val="28"/>
          <w:highlight w:val="none"/>
          <w14:textFill>
            <w14:solidFill>
              <w14:schemeClr w14:val="tx1"/>
            </w14:solidFill>
          </w14:textFill>
        </w:rPr>
        <w:t>授权代表</w:t>
      </w:r>
      <w:r>
        <w:rPr>
          <w:rFonts w:hint="eastAsia" w:ascii="宋体" w:hAnsi="宋体" w:cs="宋体"/>
          <w:color w:val="000000" w:themeColor="text1"/>
          <w:sz w:val="24"/>
          <w:szCs w:val="24"/>
          <w:highlight w:val="none"/>
          <w14:textFill>
            <w14:solidFill>
              <w14:schemeClr w14:val="tx1"/>
            </w14:solidFill>
          </w14:textFill>
        </w:rPr>
        <w:t>）或自然人：</w:t>
      </w:r>
    </w:p>
    <w:p w14:paraId="254DBD5A">
      <w:pPr>
        <w:spacing w:line="400" w:lineRule="exact"/>
        <w:rPr>
          <w:rFonts w:hint="eastAsia" w:ascii="宋体" w:hAnsi="宋体" w:cs="宋体"/>
          <w:color w:val="000000" w:themeColor="text1"/>
          <w:sz w:val="24"/>
          <w:szCs w:val="28"/>
          <w:highlight w:val="none"/>
          <w14:textFill>
            <w14:solidFill>
              <w14:schemeClr w14:val="tx1"/>
            </w14:solidFill>
          </w14:textFill>
        </w:rPr>
      </w:pPr>
    </w:p>
    <w:p w14:paraId="48BB75BC">
      <w:pPr>
        <w:tabs>
          <w:tab w:val="left" w:pos="6300"/>
        </w:tabs>
        <w:snapToGrid w:val="0"/>
        <w:spacing w:line="400" w:lineRule="exact"/>
        <w:ind w:firstLine="480" w:firstLineChars="200"/>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（供应商公章）                                 （签署或盖章）</w:t>
      </w:r>
    </w:p>
    <w:p w14:paraId="58F1D096">
      <w:pPr>
        <w:tabs>
          <w:tab w:val="left" w:pos="6300"/>
        </w:tabs>
        <w:snapToGrid w:val="0"/>
        <w:spacing w:line="400" w:lineRule="exact"/>
        <w:ind w:firstLine="480" w:firstLineChars="200"/>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 xml:space="preserve">                                            年     月     日</w:t>
      </w:r>
    </w:p>
    <w:p w14:paraId="260FF959">
      <w:pPr>
        <w:tabs>
          <w:tab w:val="left" w:pos="6300"/>
        </w:tabs>
        <w:snapToGrid w:val="0"/>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w:t>
      </w:r>
    </w:p>
    <w:p w14:paraId="2ADB5703">
      <w:pPr>
        <w:tabs>
          <w:tab w:val="left" w:pos="6300"/>
        </w:tabs>
        <w:snapToGrid w:val="0"/>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1</w:t>
      </w:r>
      <w:r>
        <w:rPr>
          <w:rFonts w:hint="eastAsia" w:ascii="宋体" w:hAnsi="宋体" w:cs="宋体"/>
          <w:color w:val="000000" w:themeColor="text1"/>
          <w:sz w:val="24"/>
          <w:highlight w:val="none"/>
          <w14:textFill>
            <w14:solidFill>
              <w14:schemeClr w14:val="tx1"/>
            </w14:solidFill>
          </w14:textFill>
        </w:rPr>
        <w:t>、本表即为对本项目“第三篇 项目商务需求”中所列服务要求进行比较和响应；</w:t>
      </w:r>
    </w:p>
    <w:p w14:paraId="52448DEB">
      <w:pPr>
        <w:tabs>
          <w:tab w:val="left" w:pos="6300"/>
        </w:tabs>
        <w:snapToGrid w:val="0"/>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2、该表可扩展</w:t>
      </w:r>
    </w:p>
    <w:p w14:paraId="09EAF4C8">
      <w:pP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r>
    </w:p>
    <w:p w14:paraId="0BD3C925">
      <w:pPr>
        <w:snapToGrid w:val="0"/>
        <w:spacing w:line="400" w:lineRule="exac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（二）商务部分评分资料</w:t>
      </w:r>
    </w:p>
    <w:p w14:paraId="51E1FE13">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p>
    <w:p w14:paraId="7D30E321">
      <w:pPr>
        <w:pStyle w:val="4"/>
        <w:adjustRightInd w:val="0"/>
        <w:snapToGrid w:val="0"/>
        <w:spacing w:before="0" w:after="0" w:line="400" w:lineRule="exact"/>
        <w:ind w:firstLine="482" w:firstLineChars="200"/>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br w:type="page"/>
      </w:r>
      <w:bookmarkEnd w:id="165"/>
      <w:bookmarkStart w:id="166" w:name="_Toc342913422"/>
      <w:bookmarkStart w:id="167" w:name="_Toc313008359"/>
      <w:bookmarkStart w:id="168" w:name="_Toc25883"/>
      <w:bookmarkStart w:id="169" w:name="_Toc313888363"/>
      <w:bookmarkStart w:id="170" w:name="_Toc76462353"/>
    </w:p>
    <w:p w14:paraId="79CDB4CC">
      <w:pPr>
        <w:pStyle w:val="4"/>
        <w:adjustRightInd w:val="0"/>
        <w:snapToGrid w:val="0"/>
        <w:spacing w:before="0" w:after="0" w:line="400" w:lineRule="exact"/>
        <w:rPr>
          <w:rFonts w:hint="eastAsia" w:ascii="宋体" w:hAnsi="宋体" w:eastAsia="宋体" w:cs="宋体"/>
          <w:b w:val="0"/>
          <w:color w:val="000000" w:themeColor="text1"/>
          <w:sz w:val="24"/>
          <w:szCs w:val="24"/>
          <w:highlight w:val="none"/>
          <w14:textFill>
            <w14:solidFill>
              <w14:schemeClr w14:val="tx1"/>
            </w14:solidFill>
          </w14:textFill>
        </w:rPr>
      </w:pPr>
      <w:r>
        <w:rPr>
          <w:rFonts w:hint="eastAsia" w:ascii="宋体" w:hAnsi="宋体" w:eastAsia="宋体" w:cs="宋体"/>
          <w:b w:val="0"/>
          <w:color w:val="000000" w:themeColor="text1"/>
          <w:sz w:val="24"/>
          <w:szCs w:val="24"/>
          <w:highlight w:val="none"/>
          <w14:textFill>
            <w14:solidFill>
              <w14:schemeClr w14:val="tx1"/>
            </w14:solidFill>
          </w14:textFill>
        </w:rPr>
        <w:t>（三）其它优惠服务承诺（格式自定）</w:t>
      </w:r>
    </w:p>
    <w:p w14:paraId="29C4283C">
      <w:pPr>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br w:type="page"/>
      </w:r>
    </w:p>
    <w:p w14:paraId="7A70D99A">
      <w:pPr>
        <w:pStyle w:val="4"/>
        <w:adjustRightInd w:val="0"/>
        <w:snapToGrid w:val="0"/>
        <w:spacing w:before="0" w:after="0" w:line="400" w:lineRule="exact"/>
        <w:ind w:firstLine="482" w:firstLineChars="200"/>
        <w:rPr>
          <w:rFonts w:hint="eastAsia" w:ascii="宋体" w:hAnsi="宋体" w:eastAsia="宋体" w:cs="宋体"/>
          <w:color w:val="000000" w:themeColor="text1"/>
          <w:sz w:val="24"/>
          <w:highlight w:val="none"/>
          <w14:textFill>
            <w14:solidFill>
              <w14:schemeClr w14:val="tx1"/>
            </w14:solidFill>
          </w14:textFill>
        </w:rPr>
      </w:pPr>
      <w:r>
        <w:rPr>
          <w:rFonts w:hint="eastAsia" w:ascii="宋体" w:hAnsi="宋体" w:eastAsia="宋体" w:cs="宋体"/>
          <w:color w:val="000000" w:themeColor="text1"/>
          <w:sz w:val="24"/>
          <w:highlight w:val="none"/>
          <w14:textFill>
            <w14:solidFill>
              <w14:schemeClr w14:val="tx1"/>
            </w14:solidFill>
          </w14:textFill>
        </w:rPr>
        <w:t>四、资格条件</w:t>
      </w:r>
      <w:bookmarkEnd w:id="166"/>
      <w:bookmarkEnd w:id="167"/>
      <w:bookmarkEnd w:id="168"/>
      <w:bookmarkEnd w:id="169"/>
      <w:bookmarkEnd w:id="170"/>
    </w:p>
    <w:p w14:paraId="794F3D6A">
      <w:pPr>
        <w:tabs>
          <w:tab w:val="left" w:pos="6300"/>
        </w:tabs>
        <w:snapToGrid w:val="0"/>
        <w:spacing w:line="400" w:lineRule="exact"/>
        <w:ind w:firstLine="57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（一）法人营业执照（副本）或事业单位法人证书（副本）或个体工商户营业执照或有效的自然人身份证明或社会团体法人登记证书扫描件</w:t>
      </w:r>
    </w:p>
    <w:p w14:paraId="56674B70">
      <w:pPr>
        <w:tabs>
          <w:tab w:val="left" w:pos="6300"/>
        </w:tabs>
        <w:snapToGrid w:val="0"/>
        <w:spacing w:line="400" w:lineRule="exact"/>
        <w:ind w:firstLine="570"/>
        <w:rPr>
          <w:rFonts w:hint="eastAsia" w:ascii="宋体" w:hAnsi="宋体" w:cs="宋体"/>
          <w:color w:val="000000" w:themeColor="text1"/>
          <w:highlight w:val="none"/>
          <w14:textFill>
            <w14:solidFill>
              <w14:schemeClr w14:val="tx1"/>
            </w14:solidFill>
          </w14:textFill>
        </w:rPr>
      </w:pPr>
    </w:p>
    <w:p w14:paraId="2DFB4863">
      <w:pPr>
        <w:tabs>
          <w:tab w:val="left" w:pos="6300"/>
        </w:tabs>
        <w:snapToGrid w:val="0"/>
        <w:spacing w:line="500" w:lineRule="exact"/>
        <w:ind w:firstLine="570"/>
        <w:rPr>
          <w:rFonts w:hint="eastAsia" w:ascii="宋体" w:hAnsi="宋体" w:cs="宋体"/>
          <w:color w:val="000000" w:themeColor="text1"/>
          <w:highlight w:val="none"/>
          <w14:textFill>
            <w14:solidFill>
              <w14:schemeClr w14:val="tx1"/>
            </w14:solidFill>
          </w14:textFill>
        </w:rPr>
      </w:pPr>
    </w:p>
    <w:p w14:paraId="39DA28CD">
      <w:pPr>
        <w:tabs>
          <w:tab w:val="left" w:pos="6300"/>
        </w:tabs>
        <w:snapToGrid w:val="0"/>
        <w:spacing w:line="500" w:lineRule="exact"/>
        <w:ind w:firstLine="570"/>
        <w:rPr>
          <w:rFonts w:hint="eastAsia" w:ascii="宋体" w:hAnsi="宋体" w:cs="宋体"/>
          <w:color w:val="000000" w:themeColor="text1"/>
          <w:highlight w:val="none"/>
          <w14:textFill>
            <w14:solidFill>
              <w14:schemeClr w14:val="tx1"/>
            </w14:solidFill>
          </w14:textFill>
        </w:rPr>
      </w:pPr>
    </w:p>
    <w:p w14:paraId="374A8ACD">
      <w:pPr>
        <w:tabs>
          <w:tab w:val="left" w:pos="6300"/>
        </w:tabs>
        <w:snapToGrid w:val="0"/>
        <w:spacing w:line="500" w:lineRule="exact"/>
        <w:ind w:firstLine="570"/>
        <w:rPr>
          <w:rFonts w:hint="eastAsia" w:ascii="宋体" w:hAnsi="宋体" w:cs="宋体"/>
          <w:color w:val="000000" w:themeColor="text1"/>
          <w:highlight w:val="none"/>
          <w14:textFill>
            <w14:solidFill>
              <w14:schemeClr w14:val="tx1"/>
            </w14:solidFill>
          </w14:textFill>
        </w:rPr>
      </w:pPr>
    </w:p>
    <w:p w14:paraId="3317214F">
      <w:pPr>
        <w:tabs>
          <w:tab w:val="left" w:pos="6300"/>
        </w:tabs>
        <w:snapToGrid w:val="0"/>
        <w:spacing w:line="500" w:lineRule="exact"/>
        <w:ind w:firstLine="570"/>
        <w:rPr>
          <w:rFonts w:hint="eastAsia" w:ascii="宋体" w:hAnsi="宋体" w:cs="宋体"/>
          <w:color w:val="000000" w:themeColor="text1"/>
          <w:highlight w:val="none"/>
          <w14:textFill>
            <w14:solidFill>
              <w14:schemeClr w14:val="tx1"/>
            </w14:solidFill>
          </w14:textFill>
        </w:rPr>
      </w:pPr>
    </w:p>
    <w:p w14:paraId="140A5F91">
      <w:pPr>
        <w:snapToGrid w:val="0"/>
        <w:spacing w:line="400" w:lineRule="exact"/>
        <w:ind w:firstLine="56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r>
        <w:rPr>
          <w:rFonts w:hint="eastAsia" w:ascii="宋体" w:hAnsi="宋体" w:cs="宋体"/>
          <w:color w:val="000000" w:themeColor="text1"/>
          <w:sz w:val="24"/>
          <w:szCs w:val="24"/>
          <w:highlight w:val="none"/>
          <w14:textFill>
            <w14:solidFill>
              <w14:schemeClr w14:val="tx1"/>
            </w14:solidFill>
          </w14:textFill>
        </w:rPr>
        <w:t>（二）法定代表人身份证明书（格式）</w:t>
      </w:r>
    </w:p>
    <w:p w14:paraId="1433CE99">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p>
    <w:p w14:paraId="02F72574">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磋商项目名称：</w:t>
      </w:r>
      <w:r>
        <w:rPr>
          <w:rFonts w:hint="eastAsia" w:ascii="宋体" w:hAnsi="宋体" w:cs="宋体"/>
          <w:color w:val="000000" w:themeColor="text1"/>
          <w:sz w:val="24"/>
          <w:highlight w:val="none"/>
          <w:u w:val="single"/>
          <w14:textFill>
            <w14:solidFill>
              <w14:schemeClr w14:val="tx1"/>
            </w14:solidFill>
          </w14:textFill>
        </w:rPr>
        <w:t xml:space="preserve">                                                </w:t>
      </w:r>
    </w:p>
    <w:p w14:paraId="6613EAF2">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p>
    <w:p w14:paraId="63060FFC">
      <w:pPr>
        <w:tabs>
          <w:tab w:val="left" w:pos="6300"/>
        </w:tabs>
        <w:snapToGrid w:val="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（采购代理机构名称）：</w:t>
      </w:r>
    </w:p>
    <w:p w14:paraId="000E7683">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（法定代表人姓名）在</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（供应商名称）任</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（职务名称）职务，是（供应商名称）</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的法定代表人。</w:t>
      </w:r>
    </w:p>
    <w:p w14:paraId="08C38040">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p>
    <w:p w14:paraId="0E22B338">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特此证明。</w:t>
      </w:r>
    </w:p>
    <w:p w14:paraId="4739BBCF">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p>
    <w:p w14:paraId="6EF1A040">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p>
    <w:p w14:paraId="4F806AE1">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p>
    <w:p w14:paraId="02A6A3AD">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（供应商公章）</w:t>
      </w:r>
    </w:p>
    <w:p w14:paraId="4361C7A3">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p>
    <w:p w14:paraId="67FC6796">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年   月   日</w:t>
      </w:r>
    </w:p>
    <w:p w14:paraId="3EEA0E03">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法定代表人电话：XXXXXXX      电子邮箱：XXXXXX@XXXXX（若授权他人办理并签署响应文件的可不填写）</w:t>
      </w:r>
    </w:p>
    <w:p w14:paraId="55302183">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（附：法定代表人身份证正反面扫描件）</w:t>
      </w:r>
    </w:p>
    <w:p w14:paraId="1277C5D8">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p>
    <w:p w14:paraId="569739A8">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p>
    <w:p w14:paraId="6977F61B">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p>
    <w:p w14:paraId="0BBDA63C">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p>
    <w:p w14:paraId="52B90C9F">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p>
    <w:p w14:paraId="696AD466">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p>
    <w:p w14:paraId="64A9D5CE">
      <w:pPr>
        <w:snapToGrid w:val="0"/>
        <w:spacing w:line="400" w:lineRule="exact"/>
        <w:ind w:firstLine="56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column"/>
      </w:r>
      <w:r>
        <w:rPr>
          <w:rFonts w:hint="eastAsia" w:ascii="宋体" w:hAnsi="宋体" w:cs="宋体"/>
          <w:color w:val="000000" w:themeColor="text1"/>
          <w:sz w:val="24"/>
          <w:szCs w:val="24"/>
          <w:highlight w:val="none"/>
          <w14:textFill>
            <w14:solidFill>
              <w14:schemeClr w14:val="tx1"/>
            </w14:solidFill>
          </w14:textFill>
        </w:rPr>
        <w:t>（三）法定代表人授权委托书（格式）</w:t>
      </w:r>
    </w:p>
    <w:p w14:paraId="5A796EF1">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p>
    <w:p w14:paraId="4008B0CF">
      <w:pPr>
        <w:tabs>
          <w:tab w:val="left" w:pos="6300"/>
        </w:tabs>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磋商项目名称</w:t>
      </w:r>
      <w:r>
        <w:rPr>
          <w:rFonts w:hint="eastAsia" w:ascii="宋体" w:hAnsi="宋体" w:cs="宋体"/>
          <w:color w:val="000000" w:themeColor="text1"/>
          <w:sz w:val="24"/>
          <w:highlight w:val="none"/>
          <w14:textFill>
            <w14:solidFill>
              <w14:schemeClr w14:val="tx1"/>
            </w14:solidFill>
          </w14:textFill>
        </w:rPr>
        <w:t>：</w:t>
      </w:r>
      <w:r>
        <w:rPr>
          <w:rFonts w:hint="eastAsia" w:ascii="宋体" w:hAnsi="宋体" w:cs="宋体"/>
          <w:color w:val="000000" w:themeColor="text1"/>
          <w:sz w:val="24"/>
          <w:highlight w:val="none"/>
          <w:u w:val="single"/>
          <w14:textFill>
            <w14:solidFill>
              <w14:schemeClr w14:val="tx1"/>
            </w14:solidFill>
          </w14:textFill>
        </w:rPr>
        <w:t xml:space="preserve">                                                </w:t>
      </w:r>
    </w:p>
    <w:p w14:paraId="15C46B72">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p>
    <w:p w14:paraId="6C1840E6">
      <w:pPr>
        <w:tabs>
          <w:tab w:val="left" w:pos="6300"/>
        </w:tabs>
        <w:snapToGrid w:val="0"/>
        <w:spacing w:line="500" w:lineRule="exac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（采购代理机构名称）：</w:t>
      </w:r>
    </w:p>
    <w:p w14:paraId="175696D1">
      <w:pPr>
        <w:tabs>
          <w:tab w:val="left" w:pos="6300"/>
        </w:tabs>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（供应商法定代表人名称）是</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（供应商名称）的法定代表人，特授权</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（被授权人姓名及身份证代码）代表我单位全权办理上述项目的磋商、签约等具体工作，并签署全部有关文件、协议及合同。</w:t>
      </w:r>
    </w:p>
    <w:p w14:paraId="024B0AD1">
      <w:pPr>
        <w:tabs>
          <w:tab w:val="left" w:pos="6300"/>
        </w:tabs>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我单位对被授权人的</w:t>
      </w:r>
      <w:r>
        <w:rPr>
          <w:rFonts w:hint="eastAsia" w:ascii="宋体" w:hAnsi="宋体" w:cs="宋体"/>
          <w:color w:val="000000" w:themeColor="text1"/>
          <w:sz w:val="24"/>
          <w:szCs w:val="28"/>
          <w:highlight w:val="none"/>
          <w14:textFill>
            <w14:solidFill>
              <w14:schemeClr w14:val="tx1"/>
            </w14:solidFill>
          </w14:textFill>
        </w:rPr>
        <w:t>签署</w:t>
      </w:r>
      <w:r>
        <w:rPr>
          <w:rFonts w:hint="eastAsia" w:ascii="宋体" w:hAnsi="宋体" w:cs="宋体"/>
          <w:color w:val="000000" w:themeColor="text1"/>
          <w:sz w:val="24"/>
          <w:highlight w:val="none"/>
          <w14:textFill>
            <w14:solidFill>
              <w14:schemeClr w14:val="tx1"/>
            </w14:solidFill>
          </w14:textFill>
        </w:rPr>
        <w:t>负全部责任。</w:t>
      </w:r>
    </w:p>
    <w:p w14:paraId="3616FB7B">
      <w:pPr>
        <w:tabs>
          <w:tab w:val="left" w:pos="6300"/>
        </w:tabs>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在撤销授权的书面通知以前，本授权书一直有效。被授权人在授权书有效期内签署的所有文件不因授权的撤销而失效。</w:t>
      </w:r>
    </w:p>
    <w:p w14:paraId="0121047C">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p>
    <w:p w14:paraId="00E774E1">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p>
    <w:p w14:paraId="5545C105">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被授权人：                                 供应商法定代表人：</w:t>
      </w:r>
    </w:p>
    <w:p w14:paraId="5D3D5EF4">
      <w:pPr>
        <w:tabs>
          <w:tab w:val="left" w:pos="6300"/>
        </w:tabs>
        <w:snapToGrid w:val="0"/>
        <w:spacing w:line="500" w:lineRule="exact"/>
        <w:ind w:firstLine="570"/>
        <w:rPr>
          <w:rFonts w:hint="eastAsia" w:ascii="宋体" w:hAnsi="宋体" w:cs="宋体"/>
          <w:color w:val="000000" w:themeColor="text1"/>
          <w:sz w:val="24"/>
          <w:szCs w:val="28"/>
          <w:highlight w:val="none"/>
          <w14:textFill>
            <w14:solidFill>
              <w14:schemeClr w14:val="tx1"/>
            </w14:solidFill>
          </w14:textFill>
        </w:rPr>
      </w:pPr>
      <w:r>
        <w:rPr>
          <w:rFonts w:hint="eastAsia" w:ascii="宋体" w:hAnsi="宋体" w:cs="宋体"/>
          <w:color w:val="000000" w:themeColor="text1"/>
          <w:sz w:val="24"/>
          <w:szCs w:val="28"/>
          <w:highlight w:val="none"/>
          <w14:textFill>
            <w14:solidFill>
              <w14:schemeClr w14:val="tx1"/>
            </w14:solidFill>
          </w14:textFill>
        </w:rPr>
        <w:t>（签署或盖章）                                （签署或盖章）</w:t>
      </w:r>
    </w:p>
    <w:p w14:paraId="0436A186">
      <w:pPr>
        <w:tabs>
          <w:tab w:val="left" w:pos="6300"/>
        </w:tabs>
        <w:snapToGrid w:val="0"/>
        <w:spacing w:line="500" w:lineRule="exact"/>
        <w:ind w:firstLine="570"/>
        <w:rPr>
          <w:rFonts w:hint="eastAsia" w:ascii="宋体" w:hAnsi="宋体" w:cs="宋体"/>
          <w:color w:val="000000" w:themeColor="text1"/>
          <w:sz w:val="24"/>
          <w:szCs w:val="28"/>
          <w:highlight w:val="none"/>
          <w14:textFill>
            <w14:solidFill>
              <w14:schemeClr w14:val="tx1"/>
            </w14:solidFill>
          </w14:textFill>
        </w:rPr>
      </w:pPr>
    </w:p>
    <w:p w14:paraId="5A572476">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p>
    <w:p w14:paraId="2068B341">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（附：被授权人身份证正反面扫描件）</w:t>
      </w:r>
    </w:p>
    <w:p w14:paraId="77DEB372">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p>
    <w:p w14:paraId="137A8FED">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p>
    <w:p w14:paraId="2CF0803E">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p>
    <w:p w14:paraId="2F119D9F">
      <w:pPr>
        <w:tabs>
          <w:tab w:val="left" w:pos="6300"/>
        </w:tabs>
        <w:snapToGrid w:val="0"/>
        <w:spacing w:line="500" w:lineRule="exact"/>
        <w:ind w:right="480" w:firstLine="570"/>
        <w:jc w:val="righ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（供应商公章）</w:t>
      </w:r>
    </w:p>
    <w:p w14:paraId="3BABA812">
      <w:pPr>
        <w:tabs>
          <w:tab w:val="left" w:pos="6300"/>
        </w:tabs>
        <w:snapToGrid w:val="0"/>
        <w:spacing w:line="500" w:lineRule="exact"/>
        <w:ind w:right="480" w:firstLine="570"/>
        <w:jc w:val="righ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年   月   日</w:t>
      </w:r>
    </w:p>
    <w:p w14:paraId="28B11F64">
      <w:pPr>
        <w:tabs>
          <w:tab w:val="left" w:pos="6300"/>
        </w:tabs>
        <w:snapToGrid w:val="0"/>
        <w:spacing w:line="500" w:lineRule="exact"/>
        <w:ind w:right="480" w:firstLine="57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被授权人电话：XXXXXXX     电子邮箱：XXXXXX@XXXXX（若法定代表人办理并签署响应文件的可不填写）</w:t>
      </w:r>
    </w:p>
    <w:p w14:paraId="7555B435">
      <w:pPr>
        <w:tabs>
          <w:tab w:val="left" w:pos="6300"/>
        </w:tabs>
        <w:snapToGrid w:val="0"/>
        <w:spacing w:line="500" w:lineRule="exact"/>
        <w:ind w:right="480" w:firstLine="57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注：</w:t>
      </w:r>
    </w:p>
    <w:p w14:paraId="2C0B2046">
      <w:pPr>
        <w:tabs>
          <w:tab w:val="left" w:pos="6300"/>
        </w:tabs>
        <w:snapToGrid w:val="0"/>
        <w:spacing w:line="500" w:lineRule="exact"/>
        <w:ind w:right="480" w:firstLine="570"/>
        <w:jc w:val="lef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1.若为法定代表人办理并签署响应文件的，不提供此文件。</w:t>
      </w:r>
    </w:p>
    <w:p w14:paraId="35DA4556">
      <w:pPr>
        <w:tabs>
          <w:tab w:val="left" w:pos="6300"/>
        </w:tabs>
        <w:snapToGrid w:val="0"/>
        <w:spacing w:line="500" w:lineRule="exact"/>
        <w:ind w:firstLine="57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2.若为联合体参与的，法定代表人授权委托书由联合体主办方</w:t>
      </w:r>
      <w:r>
        <w:rPr>
          <w:rFonts w:hint="eastAsia" w:ascii="宋体" w:hAnsi="宋体" w:cs="宋体"/>
          <w:color w:val="000000" w:themeColor="text1"/>
          <w:kern w:val="0"/>
          <w:sz w:val="24"/>
          <w:szCs w:val="24"/>
          <w:highlight w:val="none"/>
          <w14:textFill>
            <w14:solidFill>
              <w14:schemeClr w14:val="tx1"/>
            </w14:solidFill>
          </w14:textFill>
        </w:rPr>
        <w:t>（主体）</w:t>
      </w:r>
      <w:r>
        <w:rPr>
          <w:rFonts w:hint="eastAsia" w:ascii="宋体" w:hAnsi="宋体" w:cs="宋体"/>
          <w:color w:val="000000" w:themeColor="text1"/>
          <w:sz w:val="24"/>
          <w:highlight w:val="none"/>
          <w14:textFill>
            <w14:solidFill>
              <w14:schemeClr w14:val="tx1"/>
            </w14:solidFill>
          </w14:textFill>
        </w:rPr>
        <w:t>出具。</w:t>
      </w:r>
    </w:p>
    <w:p w14:paraId="3028E063">
      <w:pPr>
        <w:tabs>
          <w:tab w:val="left" w:pos="6300"/>
        </w:tabs>
        <w:snapToGrid w:val="0"/>
        <w:spacing w:line="500" w:lineRule="exact"/>
        <w:ind w:firstLine="57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column"/>
      </w:r>
      <w:r>
        <w:rPr>
          <w:rFonts w:hint="eastAsia" w:ascii="宋体" w:hAnsi="宋体" w:cs="宋体"/>
          <w:color w:val="000000" w:themeColor="text1"/>
          <w:sz w:val="24"/>
          <w:szCs w:val="24"/>
          <w:highlight w:val="none"/>
          <w14:textFill>
            <w14:solidFill>
              <w14:schemeClr w14:val="tx1"/>
            </w14:solidFill>
          </w14:textFill>
        </w:rPr>
        <w:t>（四）</w:t>
      </w:r>
      <w:r>
        <w:rPr>
          <w:rFonts w:hint="eastAsia" w:ascii="宋体" w:hAnsi="宋体" w:cs="宋体"/>
          <w:color w:val="000000" w:themeColor="text1"/>
          <w:sz w:val="24"/>
          <w:szCs w:val="28"/>
          <w:highlight w:val="none"/>
          <w14:textFill>
            <w14:solidFill>
              <w14:schemeClr w14:val="tx1"/>
            </w14:solidFill>
          </w14:textFill>
        </w:rPr>
        <w:t>基本资格条件承诺函</w:t>
      </w:r>
    </w:p>
    <w:p w14:paraId="700B5C6C">
      <w:pPr>
        <w:tabs>
          <w:tab w:val="left" w:pos="6300"/>
        </w:tabs>
        <w:snapToGrid w:val="0"/>
        <w:spacing w:line="500" w:lineRule="exact"/>
        <w:ind w:firstLine="643" w:firstLineChars="200"/>
        <w:jc w:val="center"/>
        <w:rPr>
          <w:rFonts w:hint="eastAsia" w:ascii="宋体" w:hAnsi="宋体" w:cs="宋体"/>
          <w:b/>
          <w:bCs/>
          <w:color w:val="000000" w:themeColor="text1"/>
          <w:sz w:val="32"/>
          <w:szCs w:val="32"/>
          <w:highlight w:val="none"/>
          <w14:textFill>
            <w14:solidFill>
              <w14:schemeClr w14:val="tx1"/>
            </w14:solidFill>
          </w14:textFill>
        </w:rPr>
      </w:pPr>
      <w:r>
        <w:rPr>
          <w:rFonts w:hint="eastAsia" w:ascii="宋体" w:hAnsi="宋体" w:cs="宋体"/>
          <w:b/>
          <w:bCs/>
          <w:color w:val="000000" w:themeColor="text1"/>
          <w:sz w:val="32"/>
          <w:szCs w:val="32"/>
          <w:highlight w:val="none"/>
          <w14:textFill>
            <w14:solidFill>
              <w14:schemeClr w14:val="tx1"/>
            </w14:solidFill>
          </w14:textFill>
        </w:rPr>
        <w:t>基本资格条件承诺函</w:t>
      </w:r>
    </w:p>
    <w:p w14:paraId="0763A142">
      <w:pPr>
        <w:tabs>
          <w:tab w:val="left" w:pos="6300"/>
        </w:tabs>
        <w:snapToGrid w:val="0"/>
        <w:spacing w:line="530" w:lineRule="exact"/>
        <w:rPr>
          <w:rFonts w:hint="eastAsia" w:ascii="宋体" w:hAnsi="宋体" w:cs="宋体"/>
          <w:color w:val="000000" w:themeColor="text1"/>
          <w:sz w:val="24"/>
          <w:highlight w:val="none"/>
          <w14:textFill>
            <w14:solidFill>
              <w14:schemeClr w14:val="tx1"/>
            </w14:solidFill>
          </w14:textFill>
        </w:rPr>
      </w:pPr>
    </w:p>
    <w:p w14:paraId="19BEFD0C">
      <w:pPr>
        <w:tabs>
          <w:tab w:val="left" w:pos="6300"/>
        </w:tabs>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致</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（采购代理机构名称）：</w:t>
      </w:r>
    </w:p>
    <w:p w14:paraId="7CD121BD">
      <w:pPr>
        <w:tabs>
          <w:tab w:val="left" w:pos="6300"/>
        </w:tabs>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w:t>
      </w:r>
      <w:r>
        <w:rPr>
          <w:rFonts w:hint="eastAsia" w:ascii="宋体" w:hAnsi="宋体" w:cs="宋体"/>
          <w:color w:val="000000" w:themeColor="text1"/>
          <w:sz w:val="24"/>
          <w:highlight w:val="none"/>
          <w:u w:val="single"/>
          <w14:textFill>
            <w14:solidFill>
              <w14:schemeClr w14:val="tx1"/>
            </w14:solidFill>
          </w14:textFill>
        </w:rPr>
        <w:t xml:space="preserve">              </w:t>
      </w:r>
      <w:r>
        <w:rPr>
          <w:rFonts w:hint="eastAsia" w:ascii="宋体" w:hAnsi="宋体" w:cs="宋体"/>
          <w:color w:val="000000" w:themeColor="text1"/>
          <w:sz w:val="24"/>
          <w:highlight w:val="none"/>
          <w14:textFill>
            <w14:solidFill>
              <w14:schemeClr w14:val="tx1"/>
            </w14:solidFill>
          </w14:textFill>
        </w:rPr>
        <w:t>（供应商名称）郑重承诺：</w:t>
      </w:r>
    </w:p>
    <w:p w14:paraId="55991CD6">
      <w:pPr>
        <w:tabs>
          <w:tab w:val="left" w:pos="6300"/>
        </w:tabs>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1.我方具有良好的商业信誉和健全的财务会计制度，具有履行合同所必需的设备和专业技术能力，具</w:t>
      </w:r>
      <w:r>
        <w:rPr>
          <w:rFonts w:hint="eastAsia" w:ascii="宋体" w:hAnsi="宋体" w:cs="宋体"/>
          <w:color w:val="000000" w:themeColor="text1"/>
          <w:sz w:val="24"/>
          <w:highlight w:val="none"/>
          <w:lang w:val="zh-CN"/>
          <w14:textFill>
            <w14:solidFill>
              <w14:schemeClr w14:val="tx1"/>
            </w14:solidFill>
          </w14:textFill>
        </w:rPr>
        <w:t>有依法缴纳税收和社会保障金的良好记录</w:t>
      </w:r>
      <w:r>
        <w:rPr>
          <w:rFonts w:hint="eastAsia" w:ascii="宋体" w:hAnsi="宋体" w:cs="宋体"/>
          <w:color w:val="000000" w:themeColor="text1"/>
          <w:sz w:val="24"/>
          <w:highlight w:val="none"/>
          <w14:textFill>
            <w14:solidFill>
              <w14:schemeClr w14:val="tx1"/>
            </w14:solidFill>
          </w14:textFill>
        </w:rPr>
        <w:t>，参加本项目采购活动前三年内无重大违法活动记录。</w:t>
      </w:r>
    </w:p>
    <w:p w14:paraId="4FBB7679">
      <w:pPr>
        <w:tabs>
          <w:tab w:val="left" w:pos="6300"/>
        </w:tabs>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2.我方未列入在信用中国网站（www.creditchina.gov.cn）“失信被执行人”、“重大税收违法案件当事人名单”中，也未列入中国政府采购网（www.ccgp.gov.cn）“政府采购严重违法失信行为记录名单”中。</w:t>
      </w:r>
    </w:p>
    <w:p w14:paraId="717D637B">
      <w:pPr>
        <w:tabs>
          <w:tab w:val="left" w:pos="6300"/>
        </w:tabs>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3.我方在采购项目评审（评标）环节结束后，随时接受采购人、采购代理机构的检查验证，配合提供相关证明材料，证明符合《中华人民共和国政府采购法》规定的供应商基本资格条件。</w:t>
      </w:r>
    </w:p>
    <w:p w14:paraId="17BACFA6">
      <w:pPr>
        <w:tabs>
          <w:tab w:val="left" w:pos="6300"/>
        </w:tabs>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我方对以上承诺负全部法律责任。</w:t>
      </w:r>
    </w:p>
    <w:p w14:paraId="28591CEC">
      <w:pPr>
        <w:tabs>
          <w:tab w:val="left" w:pos="6300"/>
        </w:tabs>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特此承诺。</w:t>
      </w:r>
    </w:p>
    <w:p w14:paraId="54139566">
      <w:pPr>
        <w:tabs>
          <w:tab w:val="left" w:pos="6300"/>
        </w:tabs>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58D758AB">
      <w:pPr>
        <w:tabs>
          <w:tab w:val="left" w:pos="6300"/>
        </w:tabs>
        <w:snapToGrid w:val="0"/>
        <w:spacing w:line="500" w:lineRule="exact"/>
        <w:ind w:firstLine="480" w:firstLineChars="200"/>
        <w:jc w:val="right"/>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（供应商公章）</w:t>
      </w:r>
    </w:p>
    <w:p w14:paraId="52A2B1C4">
      <w:pPr>
        <w:tabs>
          <w:tab w:val="left" w:pos="6300"/>
        </w:tabs>
        <w:snapToGrid w:val="0"/>
        <w:spacing w:line="500" w:lineRule="exact"/>
        <w:ind w:firstLine="7920" w:firstLineChars="33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年   月   日</w:t>
      </w:r>
    </w:p>
    <w:p w14:paraId="4B0061BF">
      <w:pPr>
        <w:snapToGrid w:val="0"/>
        <w:spacing w:line="400" w:lineRule="exact"/>
        <w:ind w:firstLine="56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highlight w:val="none"/>
          <w14:textFill>
            <w14:solidFill>
              <w14:schemeClr w14:val="tx1"/>
            </w14:solidFill>
          </w14:textFill>
        </w:rPr>
        <w:br w:type="page"/>
      </w:r>
      <w:r>
        <w:rPr>
          <w:rFonts w:hint="eastAsia" w:ascii="宋体" w:hAnsi="宋体" w:cs="宋体"/>
          <w:color w:val="000000" w:themeColor="text1"/>
          <w:sz w:val="24"/>
          <w:szCs w:val="24"/>
          <w:highlight w:val="none"/>
          <w14:textFill>
            <w14:solidFill>
              <w14:schemeClr w14:val="tx1"/>
            </w14:solidFill>
          </w14:textFill>
        </w:rPr>
        <w:t>（五）特定资格条件证明文件</w:t>
      </w:r>
    </w:p>
    <w:p w14:paraId="7D9DFE30">
      <w:pPr>
        <w:tabs>
          <w:tab w:val="left" w:pos="6300"/>
        </w:tabs>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p>
    <w:p w14:paraId="3107330A">
      <w:pPr>
        <w:pStyle w:val="4"/>
        <w:adjustRightInd w:val="0"/>
        <w:snapToGrid w:val="0"/>
        <w:spacing w:before="0" w:after="0" w:line="400" w:lineRule="exact"/>
        <w:ind w:firstLine="560" w:firstLineChars="200"/>
        <w:rPr>
          <w:rFonts w:hint="eastAsia" w:ascii="宋体" w:hAnsi="宋体" w:eastAsia="宋体" w:cs="宋体"/>
          <w:color w:val="000000" w:themeColor="text1"/>
          <w:sz w:val="24"/>
          <w:highlight w:val="none"/>
          <w14:textFill>
            <w14:solidFill>
              <w14:schemeClr w14:val="tx1"/>
            </w14:solidFill>
          </w14:textFill>
        </w:rPr>
      </w:pPr>
      <w:bookmarkStart w:id="171" w:name="_Toc14422"/>
      <w:r>
        <w:rPr>
          <w:rFonts w:hint="eastAsia" w:ascii="宋体" w:hAnsi="宋体" w:eastAsia="宋体" w:cs="宋体"/>
          <w:b w:val="0"/>
          <w:color w:val="000000" w:themeColor="text1"/>
          <w:sz w:val="28"/>
          <w:highlight w:val="none"/>
          <w14:textFill>
            <w14:solidFill>
              <w14:schemeClr w14:val="tx1"/>
            </w14:solidFill>
          </w14:textFill>
        </w:rPr>
        <w:br w:type="page"/>
      </w:r>
      <w:bookmarkStart w:id="172" w:name="_Toc22532"/>
      <w:bookmarkStart w:id="173" w:name="_Toc76462354"/>
      <w:r>
        <w:rPr>
          <w:rFonts w:hint="eastAsia" w:ascii="宋体" w:hAnsi="宋体" w:eastAsia="宋体" w:cs="宋体"/>
          <w:color w:val="000000" w:themeColor="text1"/>
          <w:sz w:val="24"/>
          <w:highlight w:val="none"/>
          <w14:textFill>
            <w14:solidFill>
              <w14:schemeClr w14:val="tx1"/>
            </w14:solidFill>
          </w14:textFill>
        </w:rPr>
        <w:t>五、其他资料</w:t>
      </w:r>
      <w:bookmarkEnd w:id="171"/>
      <w:bookmarkEnd w:id="172"/>
      <w:bookmarkEnd w:id="173"/>
    </w:p>
    <w:p w14:paraId="78A0E05A">
      <w:pPr>
        <w:tabs>
          <w:tab w:val="left" w:pos="6300"/>
        </w:tabs>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（一）中小企业声明函、监狱企业证明文件、残疾人福利性单位声明函</w:t>
      </w:r>
    </w:p>
    <w:p w14:paraId="6950C51E">
      <w:pPr>
        <w:widowControl/>
        <w:autoSpaceDE w:val="0"/>
        <w:spacing w:line="360" w:lineRule="auto"/>
        <w:ind w:firstLine="482" w:firstLineChars="200"/>
        <w:jc w:val="center"/>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b/>
          <w:bCs/>
          <w:color w:val="000000" w:themeColor="text1"/>
          <w:kern w:val="0"/>
          <w:sz w:val="24"/>
          <w:szCs w:val="24"/>
          <w:highlight w:val="none"/>
          <w14:textFill>
            <w14:solidFill>
              <w14:schemeClr w14:val="tx1"/>
            </w14:solidFill>
          </w14:textFill>
        </w:rPr>
        <w:t>中小企业声明函（工程）</w:t>
      </w:r>
    </w:p>
    <w:p w14:paraId="6278F264">
      <w:pPr>
        <w:widowControl/>
        <w:autoSpaceDE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本公司郑重声明，根据《政府采购促进中小企业发展管理办法》（财库﹝2020﹞46 号）的规定，本公司参加</w:t>
      </w:r>
      <w:r>
        <w:rPr>
          <w:rFonts w:hint="eastAsia" w:ascii="宋体" w:hAnsi="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i/>
          <w:iCs/>
          <w:color w:val="000000" w:themeColor="text1"/>
          <w:kern w:val="0"/>
          <w:sz w:val="24"/>
          <w:szCs w:val="24"/>
          <w:highlight w:val="none"/>
          <w14:textFill>
            <w14:solidFill>
              <w14:schemeClr w14:val="tx1"/>
            </w14:solidFill>
          </w14:textFill>
        </w:rPr>
        <w:t>（单位名称）</w:t>
      </w:r>
      <w:r>
        <w:rPr>
          <w:rFonts w:hint="eastAsia" w:ascii="宋体" w:hAnsi="宋体" w:cs="宋体"/>
          <w:color w:val="000000" w:themeColor="text1"/>
          <w:kern w:val="0"/>
          <w:sz w:val="24"/>
          <w:szCs w:val="24"/>
          <w:highlight w:val="none"/>
          <w14:textFill>
            <w14:solidFill>
              <w14:schemeClr w14:val="tx1"/>
            </w14:solidFill>
          </w14:textFill>
        </w:rPr>
        <w:t>的</w:t>
      </w:r>
      <w:r>
        <w:rPr>
          <w:rFonts w:hint="eastAsia" w:ascii="宋体" w:hAnsi="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i/>
          <w:iCs/>
          <w:color w:val="000000" w:themeColor="text1"/>
          <w:kern w:val="0"/>
          <w:sz w:val="24"/>
          <w:szCs w:val="24"/>
          <w:highlight w:val="none"/>
          <w14:textFill>
            <w14:solidFill>
              <w14:schemeClr w14:val="tx1"/>
            </w14:solidFill>
          </w14:textFill>
        </w:rPr>
        <w:t>（项目名称）</w:t>
      </w:r>
      <w:r>
        <w:rPr>
          <w:rFonts w:hint="eastAsia" w:ascii="宋体" w:hAnsi="宋体" w:cs="宋体"/>
          <w:color w:val="000000" w:themeColor="text1"/>
          <w:kern w:val="0"/>
          <w:sz w:val="24"/>
          <w:szCs w:val="24"/>
          <w:highlight w:val="none"/>
          <w14:textFill>
            <w14:solidFill>
              <w14:schemeClr w14:val="tx1"/>
            </w14:solidFill>
          </w14:textFill>
        </w:rPr>
        <w:t>采购活动，工程的施工单位全部为符合政策要求的中小企业。相关企业（含联合体中的中小企业、签订分包意向协议的中小企业）的具体情况如下：</w:t>
      </w:r>
    </w:p>
    <w:p w14:paraId="0B9F41B3">
      <w:pPr>
        <w:widowControl/>
        <w:autoSpaceDE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1</w:t>
      </w:r>
      <w:r>
        <w:rPr>
          <w:rFonts w:hint="eastAsia" w:ascii="宋体" w:hAnsi="宋体" w:cs="宋体"/>
          <w:i/>
          <w:iCs/>
          <w:color w:val="000000" w:themeColor="text1"/>
          <w:kern w:val="0"/>
          <w:sz w:val="24"/>
          <w:szCs w:val="24"/>
          <w:highlight w:val="none"/>
          <w:u w:val="single"/>
          <w14:textFill>
            <w14:solidFill>
              <w14:schemeClr w14:val="tx1"/>
            </w14:solidFill>
          </w14:textFill>
        </w:rPr>
        <w:t xml:space="preserve">.（标的名称） </w:t>
      </w:r>
      <w:r>
        <w:rPr>
          <w:rFonts w:hint="eastAsia" w:ascii="宋体" w:hAnsi="宋体" w:cs="宋体"/>
          <w:color w:val="000000" w:themeColor="text1"/>
          <w:kern w:val="0"/>
          <w:sz w:val="24"/>
          <w:szCs w:val="24"/>
          <w:highlight w:val="none"/>
          <w14:textFill>
            <w14:solidFill>
              <w14:schemeClr w14:val="tx1"/>
            </w14:solidFill>
          </w14:textFill>
        </w:rPr>
        <w:t>，属于</w:t>
      </w:r>
      <w:r>
        <w:rPr>
          <w:rFonts w:hint="eastAsia" w:ascii="宋体" w:hAnsi="宋体" w:cs="宋体"/>
          <w:i/>
          <w:iCs/>
          <w:color w:val="000000" w:themeColor="text1"/>
          <w:kern w:val="0"/>
          <w:sz w:val="24"/>
          <w:szCs w:val="24"/>
          <w:highlight w:val="none"/>
          <w:u w:val="single"/>
          <w14:textFill>
            <w14:solidFill>
              <w14:schemeClr w14:val="tx1"/>
            </w14:solidFill>
          </w14:textFill>
        </w:rPr>
        <w:t xml:space="preserve">（采购文件中明确的所属行业） </w:t>
      </w:r>
      <w:r>
        <w:rPr>
          <w:rFonts w:hint="eastAsia" w:ascii="宋体" w:hAnsi="宋体" w:cs="宋体"/>
          <w:color w:val="000000" w:themeColor="text1"/>
          <w:kern w:val="0"/>
          <w:sz w:val="24"/>
          <w:szCs w:val="24"/>
          <w:highlight w:val="none"/>
          <w14:textFill>
            <w14:solidFill>
              <w14:schemeClr w14:val="tx1"/>
            </w14:solidFill>
          </w14:textFill>
        </w:rPr>
        <w:t>；承建（承接）企业为</w:t>
      </w:r>
      <w:r>
        <w:rPr>
          <w:rFonts w:hint="eastAsia" w:ascii="宋体" w:hAnsi="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i/>
          <w:iCs/>
          <w:color w:val="000000" w:themeColor="text1"/>
          <w:kern w:val="0"/>
          <w:sz w:val="24"/>
          <w:szCs w:val="24"/>
          <w:highlight w:val="none"/>
          <w:u w:val="single"/>
          <w14:textFill>
            <w14:solidFill>
              <w14:schemeClr w14:val="tx1"/>
            </w14:solidFill>
          </w14:textFill>
        </w:rPr>
        <w:t xml:space="preserve">（企业名称） </w:t>
      </w:r>
      <w:r>
        <w:rPr>
          <w:rFonts w:hint="eastAsia" w:ascii="宋体" w:hAnsi="宋体" w:cs="宋体"/>
          <w:color w:val="000000" w:themeColor="text1"/>
          <w:kern w:val="0"/>
          <w:sz w:val="24"/>
          <w:szCs w:val="24"/>
          <w:highlight w:val="none"/>
          <w14:textFill>
            <w14:solidFill>
              <w14:schemeClr w14:val="tx1"/>
            </w14:solidFill>
          </w14:textFill>
        </w:rPr>
        <w:t>，从业人员</w:t>
      </w:r>
      <w:r>
        <w:rPr>
          <w:rFonts w:hint="eastAsia" w:ascii="宋体" w:hAnsi="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人，营业收入为</w:t>
      </w:r>
      <w:r>
        <w:rPr>
          <w:rFonts w:hint="eastAsia" w:ascii="宋体" w:hAnsi="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万元，资产总额为</w:t>
      </w:r>
      <w:r>
        <w:rPr>
          <w:rFonts w:hint="eastAsia" w:ascii="宋体" w:hAnsi="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万元，属于</w:t>
      </w:r>
      <w:r>
        <w:rPr>
          <w:rFonts w:hint="eastAsia" w:ascii="宋体" w:hAnsi="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i/>
          <w:iCs/>
          <w:color w:val="000000" w:themeColor="text1"/>
          <w:kern w:val="0"/>
          <w:sz w:val="24"/>
          <w:szCs w:val="24"/>
          <w:highlight w:val="none"/>
          <w:u w:val="single"/>
          <w14:textFill>
            <w14:solidFill>
              <w14:schemeClr w14:val="tx1"/>
            </w14:solidFill>
          </w14:textFill>
        </w:rPr>
        <w:t xml:space="preserve">（中型企业、小型企业、微型企业）   </w:t>
      </w:r>
      <w:r>
        <w:rPr>
          <w:rFonts w:hint="eastAsia" w:ascii="宋体" w:hAnsi="宋体" w:cs="宋体"/>
          <w:color w:val="000000" w:themeColor="text1"/>
          <w:kern w:val="0"/>
          <w:sz w:val="24"/>
          <w:szCs w:val="24"/>
          <w:highlight w:val="none"/>
          <w14:textFill>
            <w14:solidFill>
              <w14:schemeClr w14:val="tx1"/>
            </w14:solidFill>
          </w14:textFill>
        </w:rPr>
        <w:t xml:space="preserve">； </w:t>
      </w:r>
    </w:p>
    <w:p w14:paraId="11DF8D87">
      <w:pPr>
        <w:widowControl/>
        <w:autoSpaceDE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2.</w:t>
      </w:r>
      <w:r>
        <w:rPr>
          <w:rFonts w:hint="eastAsia" w:ascii="宋体" w:hAnsi="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i/>
          <w:iCs/>
          <w:color w:val="000000" w:themeColor="text1"/>
          <w:kern w:val="0"/>
          <w:sz w:val="24"/>
          <w:szCs w:val="24"/>
          <w:highlight w:val="none"/>
          <w:u w:val="single"/>
          <w14:textFill>
            <w14:solidFill>
              <w14:schemeClr w14:val="tx1"/>
            </w14:solidFill>
          </w14:textFill>
        </w:rPr>
        <w:t xml:space="preserve">（标的名称）  </w:t>
      </w:r>
      <w:r>
        <w:rPr>
          <w:rFonts w:hint="eastAsia" w:ascii="宋体" w:hAnsi="宋体" w:cs="宋体"/>
          <w:color w:val="000000" w:themeColor="text1"/>
          <w:kern w:val="0"/>
          <w:sz w:val="24"/>
          <w:szCs w:val="24"/>
          <w:highlight w:val="none"/>
          <w14:textFill>
            <w14:solidFill>
              <w14:schemeClr w14:val="tx1"/>
            </w14:solidFill>
          </w14:textFill>
        </w:rPr>
        <w:t>，属于</w:t>
      </w:r>
      <w:r>
        <w:rPr>
          <w:rFonts w:hint="eastAsia" w:ascii="宋体" w:hAnsi="宋体" w:cs="宋体"/>
          <w:i/>
          <w:iCs/>
          <w:color w:val="000000" w:themeColor="text1"/>
          <w:kern w:val="0"/>
          <w:sz w:val="24"/>
          <w:szCs w:val="24"/>
          <w:highlight w:val="none"/>
          <w:u w:val="single"/>
          <w14:textFill>
            <w14:solidFill>
              <w14:schemeClr w14:val="tx1"/>
            </w14:solidFill>
          </w14:textFill>
        </w:rPr>
        <w:t xml:space="preserve">（采购文件中明确的所属行业）   </w:t>
      </w:r>
      <w:r>
        <w:rPr>
          <w:rFonts w:hint="eastAsia" w:ascii="宋体" w:hAnsi="宋体" w:cs="宋体"/>
          <w:color w:val="000000" w:themeColor="text1"/>
          <w:kern w:val="0"/>
          <w:sz w:val="24"/>
          <w:szCs w:val="24"/>
          <w:highlight w:val="none"/>
          <w14:textFill>
            <w14:solidFill>
              <w14:schemeClr w14:val="tx1"/>
            </w14:solidFill>
          </w14:textFill>
        </w:rPr>
        <w:t xml:space="preserve">； </w:t>
      </w:r>
    </w:p>
    <w:p w14:paraId="61F26FA5">
      <w:pPr>
        <w:widowControl/>
        <w:autoSpaceDE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承建（承接）企业为</w:t>
      </w:r>
      <w:r>
        <w:rPr>
          <w:rFonts w:hint="eastAsia" w:ascii="宋体" w:hAnsi="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i/>
          <w:iCs/>
          <w:color w:val="000000" w:themeColor="text1"/>
          <w:kern w:val="0"/>
          <w:sz w:val="24"/>
          <w:szCs w:val="24"/>
          <w:highlight w:val="none"/>
          <w:u w:val="single"/>
          <w14:textFill>
            <w14:solidFill>
              <w14:schemeClr w14:val="tx1"/>
            </w14:solidFill>
          </w14:textFill>
        </w:rPr>
        <w:t xml:space="preserve">（企业名称）  </w:t>
      </w:r>
      <w:r>
        <w:rPr>
          <w:rFonts w:hint="eastAsia" w:ascii="宋体" w:hAnsi="宋体" w:cs="宋体"/>
          <w:color w:val="000000" w:themeColor="text1"/>
          <w:kern w:val="0"/>
          <w:sz w:val="24"/>
          <w:szCs w:val="24"/>
          <w:highlight w:val="none"/>
          <w14:textFill>
            <w14:solidFill>
              <w14:schemeClr w14:val="tx1"/>
            </w14:solidFill>
          </w14:textFill>
        </w:rPr>
        <w:t>，从业人员</w:t>
      </w:r>
      <w:r>
        <w:rPr>
          <w:rFonts w:hint="eastAsia" w:ascii="宋体" w:hAnsi="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人，营业收入为</w:t>
      </w:r>
      <w:r>
        <w:rPr>
          <w:rFonts w:hint="eastAsia" w:ascii="宋体" w:hAnsi="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万元，资产总额为</w:t>
      </w:r>
      <w:r>
        <w:rPr>
          <w:rFonts w:hint="eastAsia" w:ascii="宋体" w:hAnsi="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color w:val="000000" w:themeColor="text1"/>
          <w:kern w:val="0"/>
          <w:sz w:val="24"/>
          <w:szCs w:val="24"/>
          <w:highlight w:val="none"/>
          <w14:textFill>
            <w14:solidFill>
              <w14:schemeClr w14:val="tx1"/>
            </w14:solidFill>
          </w14:textFill>
        </w:rPr>
        <w:t>万元，属于</w:t>
      </w:r>
      <w:r>
        <w:rPr>
          <w:rFonts w:hint="eastAsia" w:ascii="宋体" w:hAnsi="宋体" w:cs="宋体"/>
          <w:color w:val="000000" w:themeColor="text1"/>
          <w:kern w:val="0"/>
          <w:sz w:val="24"/>
          <w:szCs w:val="24"/>
          <w:highlight w:val="none"/>
          <w:u w:val="single"/>
          <w14:textFill>
            <w14:solidFill>
              <w14:schemeClr w14:val="tx1"/>
            </w14:solidFill>
          </w14:textFill>
        </w:rPr>
        <w:t xml:space="preserve">  </w:t>
      </w:r>
      <w:r>
        <w:rPr>
          <w:rFonts w:hint="eastAsia" w:ascii="宋体" w:hAnsi="宋体" w:cs="宋体"/>
          <w:i/>
          <w:iCs/>
          <w:color w:val="000000" w:themeColor="text1"/>
          <w:kern w:val="0"/>
          <w:sz w:val="24"/>
          <w:szCs w:val="24"/>
          <w:highlight w:val="none"/>
          <w:u w:val="single"/>
          <w14:textFill>
            <w14:solidFill>
              <w14:schemeClr w14:val="tx1"/>
            </w14:solidFill>
          </w14:textFill>
        </w:rPr>
        <w:t xml:space="preserve">（中型企业、小型企业、微型企业）  </w:t>
      </w:r>
      <w:r>
        <w:rPr>
          <w:rFonts w:hint="eastAsia" w:ascii="宋体" w:hAnsi="宋体" w:cs="宋体"/>
          <w:color w:val="000000" w:themeColor="text1"/>
          <w:kern w:val="0"/>
          <w:sz w:val="24"/>
          <w:szCs w:val="24"/>
          <w:highlight w:val="none"/>
          <w14:textFill>
            <w14:solidFill>
              <w14:schemeClr w14:val="tx1"/>
            </w14:solidFill>
          </w14:textFill>
        </w:rPr>
        <w:t xml:space="preserve">； </w:t>
      </w:r>
    </w:p>
    <w:p w14:paraId="118897F6">
      <w:pPr>
        <w:widowControl/>
        <w:autoSpaceDE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w:t>
      </w:r>
    </w:p>
    <w:p w14:paraId="4082EC37">
      <w:pPr>
        <w:widowControl/>
        <w:autoSpaceDE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以上企业，不属于大企业的分支机构，不存在控股股东 为大企业的情形，也不存在与大企业的负责人为同一人的情 形。</w:t>
      </w:r>
    </w:p>
    <w:p w14:paraId="2AF148C1">
      <w:pPr>
        <w:widowControl/>
        <w:autoSpaceDE w:val="0"/>
        <w:spacing w:line="360" w:lineRule="auto"/>
        <w:ind w:firstLine="480" w:firstLineChars="2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xml:space="preserve">本企业对上述声明内容的真实性负责。如有虚假，将依 法承担相应责任。 </w:t>
      </w:r>
    </w:p>
    <w:p w14:paraId="68F07FDA">
      <w:pPr>
        <w:widowControl/>
        <w:autoSpaceDE w:val="0"/>
        <w:spacing w:line="360" w:lineRule="auto"/>
        <w:ind w:firstLine="4080" w:firstLineChars="1700"/>
        <w:jc w:val="left"/>
        <w:rPr>
          <w:rFonts w:hint="eastAsia" w:ascii="宋体" w:hAnsi="宋体" w:cs="宋体"/>
          <w:color w:val="000000" w:themeColor="text1"/>
          <w:kern w:val="0"/>
          <w:sz w:val="24"/>
          <w:szCs w:val="24"/>
          <w:highlight w:val="none"/>
          <w14:textFill>
            <w14:solidFill>
              <w14:schemeClr w14:val="tx1"/>
            </w14:solidFill>
          </w14:textFill>
        </w:rPr>
      </w:pPr>
    </w:p>
    <w:p w14:paraId="7B6B51D7">
      <w:pPr>
        <w:widowControl/>
        <w:autoSpaceDE w:val="0"/>
        <w:spacing w:line="360" w:lineRule="auto"/>
        <w:jc w:val="left"/>
        <w:rPr>
          <w:rFonts w:hint="eastAsia" w:ascii="宋体" w:hAnsi="宋体" w:cs="宋体"/>
          <w:color w:val="000000" w:themeColor="text1"/>
          <w:kern w:val="0"/>
          <w:sz w:val="24"/>
          <w:szCs w:val="24"/>
          <w:highlight w:val="none"/>
          <w14:textFill>
            <w14:solidFill>
              <w14:schemeClr w14:val="tx1"/>
            </w14:solidFill>
          </w14:textFill>
        </w:rPr>
      </w:pPr>
    </w:p>
    <w:p w14:paraId="34064109">
      <w:pPr>
        <w:widowControl/>
        <w:autoSpaceDE w:val="0"/>
        <w:spacing w:line="360" w:lineRule="auto"/>
        <w:ind w:firstLine="4080" w:firstLineChars="1700"/>
        <w:jc w:val="left"/>
        <w:rPr>
          <w:rFonts w:hint="eastAsia" w:ascii="宋体" w:hAnsi="宋体" w:cs="宋体"/>
          <w:color w:val="000000" w:themeColor="text1"/>
          <w:kern w:val="0"/>
          <w:sz w:val="24"/>
          <w:szCs w:val="24"/>
          <w:highlight w:val="none"/>
          <w14:textFill>
            <w14:solidFill>
              <w14:schemeClr w14:val="tx1"/>
            </w14:solidFill>
          </w14:textFill>
        </w:rPr>
      </w:pPr>
    </w:p>
    <w:p w14:paraId="7B4C6C57">
      <w:pPr>
        <w:widowControl/>
        <w:autoSpaceDE w:val="0"/>
        <w:spacing w:line="360" w:lineRule="auto"/>
        <w:ind w:firstLine="4080" w:firstLineChars="1700"/>
        <w:jc w:val="left"/>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xml:space="preserve">企业名称（盖章）： </w:t>
      </w:r>
    </w:p>
    <w:p w14:paraId="63B23974">
      <w:pPr>
        <w:widowControl/>
        <w:autoSpaceDE w:val="0"/>
        <w:spacing w:line="360" w:lineRule="auto"/>
        <w:ind w:firstLine="4080" w:firstLineChars="1700"/>
        <w:jc w:val="left"/>
        <w:rPr>
          <w:rFonts w:hint="eastAsia" w:ascii="宋体" w:hAnsi="宋体" w:cs="宋体"/>
          <w:color w:val="000000" w:themeColor="text1"/>
          <w:kern w:val="0"/>
          <w:sz w:val="24"/>
          <w:szCs w:val="24"/>
          <w:highlight w:val="none"/>
          <w14:textFill>
            <w14:solidFill>
              <w14:schemeClr w14:val="tx1"/>
            </w14:solidFill>
          </w14:textFill>
        </w:rPr>
      </w:pPr>
      <w:r>
        <w:rPr>
          <w:rFonts w:hint="eastAsia" w:ascii="宋体" w:hAnsi="宋体" w:cs="宋体"/>
          <w:color w:val="000000" w:themeColor="text1"/>
          <w:kern w:val="0"/>
          <w:sz w:val="24"/>
          <w:szCs w:val="24"/>
          <w:highlight w:val="none"/>
          <w14:textFill>
            <w14:solidFill>
              <w14:schemeClr w14:val="tx1"/>
            </w14:solidFill>
          </w14:textFill>
        </w:rPr>
        <w:t xml:space="preserve">日 期： </w:t>
      </w:r>
    </w:p>
    <w:p w14:paraId="6446EC29">
      <w:pPr>
        <w:widowControl/>
        <w:autoSpaceDE w:val="0"/>
        <w:spacing w:line="360" w:lineRule="auto"/>
        <w:jc w:val="left"/>
        <w:rPr>
          <w:rFonts w:hint="eastAsia" w:ascii="宋体" w:hAnsi="宋体" w:cs="宋体"/>
          <w:b/>
          <w:color w:val="000000" w:themeColor="text1"/>
          <w:kern w:val="0"/>
          <w:sz w:val="24"/>
          <w:szCs w:val="24"/>
          <w:highlight w:val="none"/>
          <w14:textFill>
            <w14:solidFill>
              <w14:schemeClr w14:val="tx1"/>
            </w14:solidFill>
          </w14:textFill>
        </w:rPr>
      </w:pPr>
    </w:p>
    <w:p w14:paraId="08BA7352">
      <w:pPr>
        <w:widowControl/>
        <w:autoSpaceDE w:val="0"/>
        <w:spacing w:line="360" w:lineRule="auto"/>
        <w:jc w:val="left"/>
        <w:rPr>
          <w:rFonts w:hint="eastAsia" w:ascii="宋体" w:hAnsi="宋体" w:cs="宋体"/>
          <w:b/>
          <w:color w:val="000000" w:themeColor="text1"/>
          <w:kern w:val="0"/>
          <w:sz w:val="24"/>
          <w:szCs w:val="24"/>
          <w:highlight w:val="none"/>
          <w14:textFill>
            <w14:solidFill>
              <w14:schemeClr w14:val="tx1"/>
            </w14:solidFill>
          </w14:textFill>
        </w:rPr>
      </w:pPr>
    </w:p>
    <w:p w14:paraId="646EB16F">
      <w:pPr>
        <w:tabs>
          <w:tab w:val="left" w:pos="6300"/>
        </w:tabs>
        <w:snapToGrid w:val="0"/>
        <w:spacing w:line="420" w:lineRule="exact"/>
        <w:jc w:val="left"/>
        <w:rPr>
          <w:rFonts w:hint="eastAsia"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填写时应注意以下事项：</w:t>
      </w:r>
    </w:p>
    <w:p w14:paraId="1A6C399A">
      <w:pPr>
        <w:tabs>
          <w:tab w:val="left" w:pos="6300"/>
        </w:tabs>
        <w:snapToGrid w:val="0"/>
        <w:spacing w:line="420" w:lineRule="exact"/>
        <w:ind w:firstLine="420" w:firstLineChars="200"/>
        <w:jc w:val="left"/>
        <w:rPr>
          <w:rFonts w:hint="eastAsia" w:ascii="宋体" w:hAnsi="宋体" w:cs="宋体"/>
          <w:color w:val="000000" w:themeColor="text1"/>
          <w:kern w:val="0"/>
          <w:sz w:val="21"/>
          <w:szCs w:val="21"/>
          <w:highlight w:val="none"/>
          <w14:textFill>
            <w14:solidFill>
              <w14:schemeClr w14:val="tx1"/>
            </w14:solidFill>
          </w14:textFill>
        </w:rPr>
      </w:pPr>
      <w:r>
        <w:rPr>
          <w:rFonts w:hint="eastAsia" w:ascii="宋体" w:hAnsi="宋体" w:cs="宋体"/>
          <w:color w:val="000000" w:themeColor="text1"/>
          <w:kern w:val="0"/>
          <w:sz w:val="21"/>
          <w:szCs w:val="21"/>
          <w:highlight w:val="none"/>
          <w14:textFill>
            <w14:solidFill>
              <w14:schemeClr w14:val="tx1"/>
            </w14:solidFill>
          </w14:textFill>
        </w:rPr>
        <w:t>1.从业人员、营业收入、资产总额填报上一年度数据，无上一年度数据的新成立企业可不填报。</w:t>
      </w:r>
    </w:p>
    <w:p w14:paraId="62F214C2">
      <w:pPr>
        <w:tabs>
          <w:tab w:val="left" w:pos="6300"/>
        </w:tabs>
        <w:snapToGrid w:val="0"/>
        <w:spacing w:line="420" w:lineRule="exact"/>
        <w:ind w:firstLine="420" w:firstLineChars="200"/>
        <w:jc w:val="left"/>
        <w:rPr>
          <w:rFonts w:hint="eastAsia" w:ascii="宋体" w:hAnsi="宋体" w:cs="宋体"/>
          <w:bCs/>
          <w:color w:val="000000" w:themeColor="text1"/>
          <w:kern w:val="0"/>
          <w:sz w:val="21"/>
          <w:szCs w:val="21"/>
          <w:highlight w:val="none"/>
          <w14:textFill>
            <w14:solidFill>
              <w14:schemeClr w14:val="tx1"/>
            </w14:solidFill>
          </w14:textFill>
        </w:rPr>
      </w:pPr>
      <w:r>
        <w:rPr>
          <w:rFonts w:hint="eastAsia" w:ascii="宋体" w:hAnsi="宋体" w:cs="宋体"/>
          <w:bCs/>
          <w:color w:val="000000" w:themeColor="text1"/>
          <w:kern w:val="0"/>
          <w:sz w:val="21"/>
          <w:szCs w:val="21"/>
          <w:highlight w:val="none"/>
          <w14:textFill>
            <w14:solidFill>
              <w14:schemeClr w14:val="tx1"/>
            </w14:solidFill>
          </w14:textFill>
        </w:rPr>
        <w:t>2.中小企业应当按照《中小企业划型标准规定》（工信部联企业〔2011〕300号），如实填写并提交《中小企业声明函》。</w:t>
      </w:r>
    </w:p>
    <w:p w14:paraId="7000DCB1">
      <w:pPr>
        <w:tabs>
          <w:tab w:val="left" w:pos="6300"/>
        </w:tabs>
        <w:snapToGrid w:val="0"/>
        <w:spacing w:line="500" w:lineRule="exact"/>
        <w:ind w:firstLine="420" w:firstLineChars="200"/>
        <w:rPr>
          <w:rFonts w:hint="eastAsia" w:ascii="宋体" w:hAnsi="宋体" w:cs="宋体"/>
          <w:bCs/>
          <w:color w:val="000000" w:themeColor="text1"/>
          <w:kern w:val="0"/>
          <w:sz w:val="21"/>
          <w:szCs w:val="21"/>
          <w:highlight w:val="none"/>
          <w14:textFill>
            <w14:solidFill>
              <w14:schemeClr w14:val="tx1"/>
            </w14:solidFill>
          </w14:textFill>
        </w:rPr>
      </w:pPr>
      <w:r>
        <w:rPr>
          <w:rFonts w:hint="eastAsia" w:ascii="宋体" w:hAnsi="宋体" w:cs="宋体"/>
          <w:bCs/>
          <w:color w:val="000000" w:themeColor="text1"/>
          <w:kern w:val="0"/>
          <w:sz w:val="21"/>
          <w:szCs w:val="21"/>
          <w:highlight w:val="none"/>
          <w14:textFill>
            <w14:solidFill>
              <w14:schemeClr w14:val="tx1"/>
            </w14:solidFill>
          </w14:textFill>
        </w:rPr>
        <w:t>3.供应商填写《中小企业声明函》中所属行业时，应与采购文件第一篇“采购标的对应的中小企业划分标准所属行业”中填写的所属行业一致。</w:t>
      </w:r>
    </w:p>
    <w:p w14:paraId="2F666B5F">
      <w:pPr>
        <w:tabs>
          <w:tab w:val="left" w:pos="6300"/>
        </w:tabs>
        <w:snapToGrid w:val="0"/>
        <w:spacing w:line="500" w:lineRule="exact"/>
        <w:ind w:firstLine="420" w:firstLineChars="200"/>
        <w:rPr>
          <w:rFonts w:hint="eastAsia" w:ascii="宋体" w:hAnsi="宋体" w:cs="宋体"/>
          <w:bCs/>
          <w:color w:val="000000" w:themeColor="text1"/>
          <w:kern w:val="0"/>
          <w:sz w:val="21"/>
          <w:szCs w:val="21"/>
          <w:highlight w:val="none"/>
          <w14:textFill>
            <w14:solidFill>
              <w14:schemeClr w14:val="tx1"/>
            </w14:solidFill>
          </w14:textFill>
        </w:rPr>
      </w:pPr>
      <w:r>
        <w:rPr>
          <w:rFonts w:hint="eastAsia" w:ascii="宋体" w:hAnsi="宋体" w:cs="宋体"/>
          <w:bCs/>
          <w:color w:val="000000" w:themeColor="text1"/>
          <w:kern w:val="0"/>
          <w:sz w:val="21"/>
          <w:szCs w:val="21"/>
          <w:highlight w:val="none"/>
          <w14:textFill>
            <w14:solidFill>
              <w14:schemeClr w14:val="tx1"/>
            </w14:solidFill>
          </w14:textFill>
        </w:rPr>
        <w:t>4.本声明函“企业名称（盖章）”处为供应商盖章。</w:t>
      </w:r>
    </w:p>
    <w:p w14:paraId="43BF337F">
      <w:pPr>
        <w:tabs>
          <w:tab w:val="left" w:pos="6300"/>
        </w:tabs>
        <w:snapToGrid w:val="0"/>
        <w:spacing w:line="500" w:lineRule="exact"/>
        <w:ind w:firstLine="420" w:firstLineChars="200"/>
        <w:rPr>
          <w:rFonts w:hint="eastAsia" w:ascii="宋体" w:hAnsi="宋体" w:cs="宋体"/>
          <w:bCs/>
          <w:color w:val="000000" w:themeColor="text1"/>
          <w:kern w:val="0"/>
          <w:sz w:val="21"/>
          <w:szCs w:val="21"/>
          <w:highlight w:val="none"/>
          <w:u w:val="single"/>
          <w14:textFill>
            <w14:solidFill>
              <w14:schemeClr w14:val="tx1"/>
            </w14:solidFill>
          </w14:textFill>
        </w:rPr>
      </w:pPr>
    </w:p>
    <w:p w14:paraId="1F45C5C1">
      <w:pPr>
        <w:tabs>
          <w:tab w:val="left" w:pos="6300"/>
        </w:tabs>
        <w:snapToGrid w:val="0"/>
        <w:spacing w:line="500" w:lineRule="exac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注：各行业划型标准：</w:t>
      </w:r>
    </w:p>
    <w:p w14:paraId="285BD93F">
      <w:pPr>
        <w:tabs>
          <w:tab w:val="left" w:pos="6300"/>
        </w:tabs>
        <w:snapToGrid w:val="0"/>
        <w:spacing w:line="400" w:lineRule="exact"/>
        <w:ind w:firstLine="420" w:firstLineChars="20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（一）农、林、牧、渔业。营业收入20000万元以下的为中小微型企业。其中，营业收入500万元及以上的为中型企业，营业收入50万元及以上的为小型企业，营业收入50万元以下的为微型企业。</w:t>
      </w:r>
    </w:p>
    <w:p w14:paraId="6AF04D6E">
      <w:pPr>
        <w:tabs>
          <w:tab w:val="left" w:pos="6300"/>
        </w:tabs>
        <w:snapToGrid w:val="0"/>
        <w:spacing w:line="400" w:lineRule="exact"/>
        <w:ind w:firstLine="420" w:firstLineChars="20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p w14:paraId="3708769C">
      <w:pPr>
        <w:tabs>
          <w:tab w:val="left" w:pos="6300"/>
        </w:tabs>
        <w:snapToGrid w:val="0"/>
        <w:spacing w:line="400" w:lineRule="exact"/>
        <w:ind w:firstLine="420" w:firstLineChars="20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p>
    <w:p w14:paraId="2A51EA13">
      <w:pPr>
        <w:tabs>
          <w:tab w:val="left" w:pos="6300"/>
        </w:tabs>
        <w:snapToGrid w:val="0"/>
        <w:spacing w:line="400" w:lineRule="exact"/>
        <w:ind w:firstLine="420" w:firstLineChars="20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p>
    <w:p w14:paraId="6626DEBB">
      <w:pPr>
        <w:tabs>
          <w:tab w:val="left" w:pos="6300"/>
        </w:tabs>
        <w:snapToGrid w:val="0"/>
        <w:spacing w:line="400" w:lineRule="exact"/>
        <w:ind w:firstLine="420" w:firstLineChars="20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p>
    <w:p w14:paraId="656CD6B9">
      <w:pPr>
        <w:tabs>
          <w:tab w:val="left" w:pos="6300"/>
        </w:tabs>
        <w:snapToGrid w:val="0"/>
        <w:spacing w:line="400" w:lineRule="exact"/>
        <w:ind w:firstLine="420" w:firstLineChars="20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p>
    <w:p w14:paraId="56A22E59">
      <w:pPr>
        <w:tabs>
          <w:tab w:val="left" w:pos="6300"/>
        </w:tabs>
        <w:snapToGrid w:val="0"/>
        <w:spacing w:line="400" w:lineRule="exact"/>
        <w:ind w:firstLine="420" w:firstLineChars="20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p>
    <w:p w14:paraId="7F1476D0">
      <w:pPr>
        <w:tabs>
          <w:tab w:val="left" w:pos="6300"/>
        </w:tabs>
        <w:snapToGrid w:val="0"/>
        <w:spacing w:line="400" w:lineRule="exact"/>
        <w:ind w:firstLine="420" w:firstLineChars="20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p>
    <w:p w14:paraId="1C7E0F0F">
      <w:pPr>
        <w:tabs>
          <w:tab w:val="left" w:pos="6300"/>
        </w:tabs>
        <w:snapToGrid w:val="0"/>
        <w:spacing w:line="400" w:lineRule="exact"/>
        <w:ind w:firstLine="420" w:firstLineChars="20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7C35ED51">
      <w:pPr>
        <w:tabs>
          <w:tab w:val="left" w:pos="6300"/>
        </w:tabs>
        <w:snapToGrid w:val="0"/>
        <w:spacing w:line="400" w:lineRule="exact"/>
        <w:ind w:firstLine="420" w:firstLineChars="20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p>
    <w:p w14:paraId="5F7F9750">
      <w:pPr>
        <w:tabs>
          <w:tab w:val="left" w:pos="6300"/>
        </w:tabs>
        <w:snapToGrid w:val="0"/>
        <w:spacing w:line="400" w:lineRule="exact"/>
        <w:ind w:firstLine="420" w:firstLineChars="20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p>
    <w:p w14:paraId="7A60F78F">
      <w:pPr>
        <w:tabs>
          <w:tab w:val="left" w:pos="6300"/>
        </w:tabs>
        <w:snapToGrid w:val="0"/>
        <w:spacing w:line="400" w:lineRule="exact"/>
        <w:ind w:firstLine="420" w:firstLineChars="20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p>
    <w:p w14:paraId="31A08FD8">
      <w:pPr>
        <w:tabs>
          <w:tab w:val="left" w:pos="6300"/>
        </w:tabs>
        <w:snapToGrid w:val="0"/>
        <w:spacing w:line="400" w:lineRule="exact"/>
        <w:ind w:firstLine="420" w:firstLineChars="20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p>
    <w:p w14:paraId="22C2FFAE">
      <w:pPr>
        <w:tabs>
          <w:tab w:val="left" w:pos="6300"/>
        </w:tabs>
        <w:snapToGrid w:val="0"/>
        <w:spacing w:line="400" w:lineRule="exact"/>
        <w:ind w:firstLine="420" w:firstLineChars="20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p>
    <w:p w14:paraId="538F18F8">
      <w:pPr>
        <w:tabs>
          <w:tab w:val="left" w:pos="6300"/>
        </w:tabs>
        <w:snapToGrid w:val="0"/>
        <w:spacing w:line="400" w:lineRule="exact"/>
        <w:ind w:firstLine="420" w:firstLineChars="20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1AAD6783">
      <w:pPr>
        <w:tabs>
          <w:tab w:val="left" w:pos="6300"/>
        </w:tabs>
        <w:snapToGrid w:val="0"/>
        <w:spacing w:line="400" w:lineRule="exact"/>
        <w:ind w:firstLine="420" w:firstLineChars="200"/>
        <w:jc w:val="left"/>
        <w:rPr>
          <w:rFonts w:hint="eastAsia" w:ascii="宋体" w:hAnsi="宋体" w:cs="宋体"/>
          <w:color w:val="000000" w:themeColor="text1"/>
          <w:sz w:val="21"/>
          <w:szCs w:val="21"/>
          <w:highlight w:val="none"/>
          <w14:textFill>
            <w14:solidFill>
              <w14:schemeClr w14:val="tx1"/>
            </w14:solidFill>
          </w14:textFill>
        </w:rPr>
      </w:pPr>
      <w:r>
        <w:rPr>
          <w:rFonts w:hint="eastAsia" w:ascii="宋体" w:hAnsi="宋体" w:cs="宋体"/>
          <w:color w:val="000000" w:themeColor="text1"/>
          <w:sz w:val="21"/>
          <w:szCs w:val="21"/>
          <w:highlight w:val="none"/>
          <w14:textFill>
            <w14:solidFill>
              <w14:schemeClr w14:val="tx1"/>
            </w14:solidFill>
          </w14:textFill>
        </w:rPr>
        <w:t>（十六）其他未列明行业。从业人员300人以下的为中小微型企业。其中，从业人员100人及以上的为中型企业；从业人员10人及以上的为小型企业；从业人员10人以下的为微型企业。</w:t>
      </w:r>
    </w:p>
    <w:p w14:paraId="5CB95743">
      <w:pPr>
        <w:tabs>
          <w:tab w:val="left" w:pos="6300"/>
        </w:tabs>
        <w:snapToGrid w:val="0"/>
        <w:spacing w:line="500" w:lineRule="exact"/>
        <w:ind w:firstLine="480" w:firstLineChars="20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r>
      <w:r>
        <w:rPr>
          <w:rFonts w:hint="eastAsia" w:ascii="宋体" w:hAnsi="宋体" w:cs="宋体"/>
          <w:color w:val="000000" w:themeColor="text1"/>
          <w:highlight w:val="none"/>
          <w14:textFill>
            <w14:solidFill>
              <w14:schemeClr w14:val="tx1"/>
            </w14:solidFill>
          </w14:textFill>
        </w:rPr>
        <w:t>监狱企业证明文件</w:t>
      </w:r>
    </w:p>
    <w:p w14:paraId="4318210E">
      <w:pPr>
        <w:tabs>
          <w:tab w:val="left" w:pos="6300"/>
        </w:tabs>
        <w:snapToGrid w:val="0"/>
        <w:spacing w:line="4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以省级以上监狱管理局、戒毒管理局（含新疆生产建设兵团）出具的属于监狱企业的证明文件为准。</w:t>
      </w:r>
    </w:p>
    <w:p w14:paraId="18416D22">
      <w:pPr>
        <w:tabs>
          <w:tab w:val="left" w:pos="6300"/>
        </w:tabs>
        <w:snapToGrid w:val="0"/>
        <w:spacing w:line="500" w:lineRule="exact"/>
        <w:ind w:firstLine="480" w:firstLineChars="200"/>
        <w:jc w:val="center"/>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br w:type="page"/>
      </w:r>
      <w:r>
        <w:rPr>
          <w:rFonts w:hint="eastAsia" w:ascii="宋体" w:hAnsi="宋体" w:cs="宋体"/>
          <w:color w:val="000000" w:themeColor="text1"/>
          <w:highlight w:val="none"/>
          <w14:textFill>
            <w14:solidFill>
              <w14:schemeClr w14:val="tx1"/>
            </w14:solidFill>
          </w14:textFill>
        </w:rPr>
        <w:t>残疾人福利性单位声明函</w:t>
      </w:r>
    </w:p>
    <w:p w14:paraId="3926E2D2">
      <w:pPr>
        <w:tabs>
          <w:tab w:val="left" w:pos="6300"/>
        </w:tabs>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1A74567F">
      <w:pPr>
        <w:tabs>
          <w:tab w:val="left" w:pos="6300"/>
        </w:tabs>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本单位对上述声明的真实性负责。如有虚假，将依法承担相应责任。</w:t>
      </w:r>
    </w:p>
    <w:p w14:paraId="1DA0CF52">
      <w:pPr>
        <w:tabs>
          <w:tab w:val="left" w:pos="6300"/>
        </w:tabs>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184FD48E">
      <w:pPr>
        <w:tabs>
          <w:tab w:val="left" w:pos="6300"/>
        </w:tabs>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31DFF519">
      <w:pPr>
        <w:tabs>
          <w:tab w:val="left" w:pos="6300"/>
        </w:tabs>
        <w:snapToGrid w:val="0"/>
        <w:spacing w:line="50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供应商名称（盖章）：</w:t>
      </w:r>
    </w:p>
    <w:p w14:paraId="71B3A98C">
      <w:pPr>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sz w:val="24"/>
          <w:highlight w:val="none"/>
          <w14:textFill>
            <w14:solidFill>
              <w14:schemeClr w14:val="tx1"/>
            </w14:solidFill>
          </w14:textFill>
        </w:rPr>
        <w:t xml:space="preserve">                                                  日  期：</w:t>
      </w:r>
    </w:p>
    <w:p w14:paraId="20AE03DE">
      <w:pPr>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1179D7EA">
      <w:pPr>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5B66868D">
      <w:pPr>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3F4699EF">
      <w:pPr>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2078A3BB">
      <w:pPr>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1967BC16">
      <w:pPr>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35C108C7">
      <w:pPr>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2C20AEA5">
      <w:pPr>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6FFC93FB">
      <w:pPr>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2EFD2F62">
      <w:pPr>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52266B7C">
      <w:pPr>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48E3564C">
      <w:pPr>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23DD68BD">
      <w:pPr>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r>
        <w:rPr>
          <w:rFonts w:hint="eastAsia" w:ascii="宋体" w:hAnsi="宋体" w:cs="宋体"/>
          <w:color w:val="000000" w:themeColor="text1"/>
          <w:kern w:val="0"/>
          <w:sz w:val="24"/>
          <w:highlight w:val="none"/>
          <w14:textFill>
            <w14:solidFill>
              <w14:schemeClr w14:val="tx1"/>
            </w14:solidFill>
          </w14:textFill>
        </w:rPr>
        <w:t>若</w:t>
      </w:r>
      <w:r>
        <w:rPr>
          <w:rFonts w:hint="eastAsia" w:ascii="宋体" w:hAnsi="宋体" w:eastAsia="宋体" w:cs="宋体"/>
          <w:color w:val="000000" w:themeColor="text1"/>
          <w:sz w:val="24"/>
          <w:highlight w:val="none"/>
          <w:lang w:eastAsia="zh-CN"/>
          <w14:textFill>
            <w14:solidFill>
              <w14:schemeClr w14:val="tx1"/>
            </w14:solidFill>
          </w14:textFill>
        </w:rPr>
        <w:t>成交供应商</w:t>
      </w:r>
      <w:r>
        <w:rPr>
          <w:rFonts w:hint="eastAsia" w:ascii="宋体" w:hAnsi="宋体" w:cs="宋体"/>
          <w:color w:val="000000" w:themeColor="text1"/>
          <w:kern w:val="0"/>
          <w:sz w:val="24"/>
          <w:highlight w:val="none"/>
          <w14:textFill>
            <w14:solidFill>
              <w14:schemeClr w14:val="tx1"/>
            </w14:solidFill>
          </w14:textFill>
        </w:rPr>
        <w:t>为残疾人福利性单位的，将在结果公告时公告其《残疾人福利性单位声明函》。</w:t>
      </w:r>
    </w:p>
    <w:p w14:paraId="4361A9F6">
      <w:pPr>
        <w:snapToGrid w:val="0"/>
        <w:spacing w:line="440" w:lineRule="exact"/>
        <w:ind w:firstLine="480" w:firstLineChars="200"/>
        <w:rPr>
          <w:rFonts w:hint="eastAsia" w:ascii="宋体" w:hAnsi="宋体" w:cs="宋体"/>
          <w:color w:val="000000" w:themeColor="text1"/>
          <w:sz w:val="24"/>
          <w:highlight w:val="none"/>
          <w14:textFill>
            <w14:solidFill>
              <w14:schemeClr w14:val="tx1"/>
            </w14:solidFill>
          </w14:textFill>
        </w:rPr>
      </w:pPr>
    </w:p>
    <w:p w14:paraId="1812944B">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br w:type="page"/>
      </w:r>
    </w:p>
    <w:p w14:paraId="52F2290B">
      <w:pPr>
        <w:snapToGrid w:val="0"/>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（二）其他与项目有关的资料</w:t>
      </w:r>
    </w:p>
    <w:p w14:paraId="4755F749">
      <w:pPr>
        <w:spacing w:line="400" w:lineRule="exact"/>
        <w:ind w:firstLine="480" w:firstLineChars="200"/>
        <w:rPr>
          <w:rFonts w:hint="eastAsia" w:ascii="宋体" w:hAnsi="宋体" w:cs="宋体"/>
          <w:color w:val="000000" w:themeColor="text1"/>
          <w:sz w:val="24"/>
          <w:szCs w:val="24"/>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其他与项目有关的资料（自附）：供应商总体情况介绍、其他与本项目有关的资料等。</w:t>
      </w:r>
    </w:p>
    <w:p w14:paraId="5B74A930">
      <w:pPr>
        <w:spacing w:line="360" w:lineRule="auto"/>
        <w:ind w:firstLine="480" w:firstLineChars="200"/>
        <w:rPr>
          <w:rFonts w:hint="eastAsia" w:ascii="宋体" w:hAnsi="宋体" w:cs="宋体"/>
          <w:color w:val="000000" w:themeColor="text1"/>
          <w:sz w:val="24"/>
          <w:szCs w:val="24"/>
          <w:highlight w:val="none"/>
          <w14:textFill>
            <w14:solidFill>
              <w14:schemeClr w14:val="tx1"/>
            </w14:solidFill>
          </w14:textFill>
        </w:rPr>
      </w:pPr>
    </w:p>
    <w:p w14:paraId="2605956D">
      <w:pPr>
        <w:spacing w:line="360" w:lineRule="auto"/>
        <w:ind w:firstLine="480" w:firstLineChars="200"/>
        <w:jc w:val="center"/>
        <w:rPr>
          <w:rFonts w:hint="eastAsia" w:ascii="宋体" w:hAnsi="宋体" w:cs="宋体"/>
          <w:color w:val="000000" w:themeColor="text1"/>
          <w:sz w:val="24"/>
          <w:szCs w:val="24"/>
          <w:highlight w:val="none"/>
          <w14:textFill>
            <w14:solidFill>
              <w14:schemeClr w14:val="tx1"/>
            </w14:solidFill>
          </w14:textFill>
        </w:rPr>
      </w:pPr>
    </w:p>
    <w:p w14:paraId="40943640">
      <w:pPr>
        <w:spacing w:line="360" w:lineRule="auto"/>
        <w:ind w:firstLine="480" w:firstLineChars="200"/>
        <w:jc w:val="center"/>
        <w:rPr>
          <w:rFonts w:hint="eastAsia" w:ascii="宋体" w:hAnsi="宋体" w:cs="宋体"/>
          <w:color w:val="000000" w:themeColor="text1"/>
          <w:sz w:val="24"/>
          <w:szCs w:val="24"/>
          <w:highlight w:val="none"/>
          <w14:textFill>
            <w14:solidFill>
              <w14:schemeClr w14:val="tx1"/>
            </w14:solidFill>
          </w14:textFill>
        </w:rPr>
      </w:pPr>
    </w:p>
    <w:p w14:paraId="2FB64A00">
      <w:pPr>
        <w:spacing w:line="360" w:lineRule="auto"/>
        <w:ind w:firstLine="480" w:firstLineChars="200"/>
        <w:jc w:val="center"/>
        <w:rPr>
          <w:rFonts w:hint="eastAsia" w:ascii="宋体" w:hAnsi="宋体" w:cs="宋体"/>
          <w:color w:val="000000" w:themeColor="text1"/>
          <w:sz w:val="24"/>
          <w:szCs w:val="24"/>
          <w:highlight w:val="none"/>
          <w14:textFill>
            <w14:solidFill>
              <w14:schemeClr w14:val="tx1"/>
            </w14:solidFill>
          </w14:textFill>
        </w:rPr>
      </w:pPr>
    </w:p>
    <w:p w14:paraId="38BD1DB7">
      <w:pPr>
        <w:spacing w:line="360" w:lineRule="auto"/>
        <w:ind w:firstLine="480" w:firstLineChars="200"/>
        <w:jc w:val="center"/>
        <w:rPr>
          <w:rFonts w:hint="eastAsia" w:ascii="宋体" w:hAnsi="宋体" w:cs="宋体"/>
          <w:color w:val="000000" w:themeColor="text1"/>
          <w:sz w:val="24"/>
          <w:szCs w:val="24"/>
          <w:highlight w:val="none"/>
          <w14:textFill>
            <w14:solidFill>
              <w14:schemeClr w14:val="tx1"/>
            </w14:solidFill>
          </w14:textFill>
        </w:rPr>
      </w:pPr>
    </w:p>
    <w:p w14:paraId="2D7E89F8">
      <w:pPr>
        <w:spacing w:line="360" w:lineRule="auto"/>
        <w:ind w:firstLine="480" w:firstLineChars="200"/>
        <w:jc w:val="center"/>
        <w:rPr>
          <w:rFonts w:hint="eastAsia" w:ascii="宋体" w:hAnsi="宋体" w:cs="宋体"/>
          <w:color w:val="000000" w:themeColor="text1"/>
          <w:sz w:val="24"/>
          <w:szCs w:val="24"/>
          <w:highlight w:val="none"/>
          <w14:textFill>
            <w14:solidFill>
              <w14:schemeClr w14:val="tx1"/>
            </w14:solidFill>
          </w14:textFill>
        </w:rPr>
      </w:pPr>
    </w:p>
    <w:p w14:paraId="52724E7A">
      <w:pPr>
        <w:spacing w:line="360" w:lineRule="auto"/>
        <w:ind w:firstLine="480" w:firstLineChars="200"/>
        <w:jc w:val="center"/>
        <w:rPr>
          <w:rFonts w:hint="eastAsia" w:ascii="宋体" w:hAnsi="宋体" w:cs="宋体"/>
          <w:color w:val="000000" w:themeColor="text1"/>
          <w:sz w:val="24"/>
          <w:szCs w:val="24"/>
          <w:highlight w:val="none"/>
          <w14:textFill>
            <w14:solidFill>
              <w14:schemeClr w14:val="tx1"/>
            </w14:solidFill>
          </w14:textFill>
        </w:rPr>
      </w:pPr>
    </w:p>
    <w:p w14:paraId="40B913B3">
      <w:pPr>
        <w:spacing w:line="360" w:lineRule="auto"/>
        <w:ind w:firstLine="480" w:firstLineChars="200"/>
        <w:jc w:val="center"/>
        <w:rPr>
          <w:rFonts w:hint="eastAsia" w:ascii="宋体" w:hAnsi="宋体" w:cs="宋体"/>
          <w:color w:val="000000" w:themeColor="text1"/>
          <w:sz w:val="24"/>
          <w:szCs w:val="24"/>
          <w:highlight w:val="none"/>
          <w14:textFill>
            <w14:solidFill>
              <w14:schemeClr w14:val="tx1"/>
            </w14:solidFill>
          </w14:textFill>
        </w:rPr>
      </w:pPr>
    </w:p>
    <w:p w14:paraId="51AA6267">
      <w:pPr>
        <w:spacing w:line="360" w:lineRule="auto"/>
        <w:ind w:firstLine="480" w:firstLineChars="200"/>
        <w:jc w:val="center"/>
        <w:rPr>
          <w:rFonts w:hint="eastAsia" w:ascii="宋体" w:hAnsi="宋体" w:cs="宋体"/>
          <w:color w:val="000000" w:themeColor="text1"/>
          <w:sz w:val="24"/>
          <w:szCs w:val="24"/>
          <w:highlight w:val="none"/>
          <w14:textFill>
            <w14:solidFill>
              <w14:schemeClr w14:val="tx1"/>
            </w14:solidFill>
          </w14:textFill>
        </w:rPr>
      </w:pPr>
    </w:p>
    <w:p w14:paraId="45AFCB26">
      <w:pPr>
        <w:spacing w:line="360" w:lineRule="auto"/>
        <w:ind w:firstLine="480" w:firstLineChars="200"/>
        <w:jc w:val="center"/>
        <w:rPr>
          <w:rFonts w:hint="eastAsia" w:ascii="宋体" w:hAnsi="宋体" w:cs="宋体"/>
          <w:color w:val="000000" w:themeColor="text1"/>
          <w:sz w:val="24"/>
          <w:szCs w:val="24"/>
          <w:highlight w:val="none"/>
          <w14:textFill>
            <w14:solidFill>
              <w14:schemeClr w14:val="tx1"/>
            </w14:solidFill>
          </w14:textFill>
        </w:rPr>
      </w:pPr>
    </w:p>
    <w:p w14:paraId="27CA338D">
      <w:pPr>
        <w:spacing w:line="360" w:lineRule="auto"/>
        <w:ind w:firstLine="480" w:firstLineChars="200"/>
        <w:jc w:val="center"/>
        <w:rPr>
          <w:rFonts w:hint="eastAsia" w:ascii="宋体" w:hAnsi="宋体" w:cs="宋体"/>
          <w:color w:val="000000" w:themeColor="text1"/>
          <w:sz w:val="24"/>
          <w:szCs w:val="24"/>
          <w:highlight w:val="none"/>
          <w14:textFill>
            <w14:solidFill>
              <w14:schemeClr w14:val="tx1"/>
            </w14:solidFill>
          </w14:textFill>
        </w:rPr>
      </w:pPr>
    </w:p>
    <w:p w14:paraId="72A11048">
      <w:pPr>
        <w:spacing w:line="360" w:lineRule="auto"/>
        <w:ind w:firstLine="480" w:firstLineChars="200"/>
        <w:jc w:val="center"/>
        <w:rPr>
          <w:rFonts w:hint="eastAsia" w:ascii="宋体" w:hAnsi="宋体" w:cs="宋体"/>
          <w:color w:val="000000" w:themeColor="text1"/>
          <w:sz w:val="24"/>
          <w:szCs w:val="24"/>
          <w:highlight w:val="none"/>
          <w14:textFill>
            <w14:solidFill>
              <w14:schemeClr w14:val="tx1"/>
            </w14:solidFill>
          </w14:textFill>
        </w:rPr>
      </w:pPr>
    </w:p>
    <w:p w14:paraId="4EE9D71A">
      <w:pPr>
        <w:spacing w:line="360" w:lineRule="auto"/>
        <w:ind w:firstLine="480" w:firstLineChars="200"/>
        <w:jc w:val="center"/>
        <w:rPr>
          <w:rFonts w:hint="eastAsia" w:ascii="宋体" w:hAnsi="宋体" w:cs="宋体"/>
          <w:color w:val="000000" w:themeColor="text1"/>
          <w:sz w:val="24"/>
          <w:szCs w:val="24"/>
          <w:highlight w:val="none"/>
          <w14:textFill>
            <w14:solidFill>
              <w14:schemeClr w14:val="tx1"/>
            </w14:solidFill>
          </w14:textFill>
        </w:rPr>
      </w:pPr>
    </w:p>
    <w:p w14:paraId="025DB058">
      <w:pPr>
        <w:spacing w:line="360" w:lineRule="auto"/>
        <w:ind w:firstLine="480" w:firstLineChars="200"/>
        <w:jc w:val="center"/>
        <w:rPr>
          <w:rFonts w:hint="eastAsia" w:ascii="宋体" w:hAnsi="宋体" w:cs="宋体"/>
          <w:color w:val="000000" w:themeColor="text1"/>
          <w:sz w:val="24"/>
          <w:szCs w:val="24"/>
          <w:highlight w:val="none"/>
          <w14:textFill>
            <w14:solidFill>
              <w14:schemeClr w14:val="tx1"/>
            </w14:solidFill>
          </w14:textFill>
        </w:rPr>
      </w:pPr>
    </w:p>
    <w:p w14:paraId="09A6FCF4">
      <w:pPr>
        <w:spacing w:line="360" w:lineRule="auto"/>
        <w:ind w:firstLine="480" w:firstLineChars="200"/>
        <w:jc w:val="center"/>
        <w:rPr>
          <w:rFonts w:hint="eastAsia" w:ascii="宋体" w:hAnsi="宋体" w:cs="宋体"/>
          <w:color w:val="000000" w:themeColor="text1"/>
          <w:sz w:val="24"/>
          <w:szCs w:val="24"/>
          <w:highlight w:val="none"/>
          <w14:textFill>
            <w14:solidFill>
              <w14:schemeClr w14:val="tx1"/>
            </w14:solidFill>
          </w14:textFill>
        </w:rPr>
      </w:pPr>
    </w:p>
    <w:p w14:paraId="35BE2A2C">
      <w:pPr>
        <w:spacing w:line="360" w:lineRule="auto"/>
        <w:ind w:firstLine="480" w:firstLineChars="200"/>
        <w:jc w:val="center"/>
        <w:rPr>
          <w:rFonts w:hint="eastAsia" w:ascii="宋体" w:hAnsi="宋体" w:cs="宋体"/>
          <w:color w:val="000000" w:themeColor="text1"/>
          <w:sz w:val="24"/>
          <w:szCs w:val="24"/>
          <w:highlight w:val="none"/>
          <w14:textFill>
            <w14:solidFill>
              <w14:schemeClr w14:val="tx1"/>
            </w14:solidFill>
          </w14:textFill>
        </w:rPr>
      </w:pPr>
    </w:p>
    <w:p w14:paraId="3DC9B4E5">
      <w:pPr>
        <w:spacing w:line="360" w:lineRule="auto"/>
        <w:ind w:firstLine="480" w:firstLineChars="200"/>
        <w:jc w:val="center"/>
        <w:outlineLvl w:val="0"/>
        <w:rPr>
          <w:rFonts w:hint="eastAsia" w:ascii="宋体" w:hAnsi="宋体" w:cs="宋体"/>
          <w:color w:val="000000" w:themeColor="text1"/>
          <w:highlight w:val="none"/>
          <w14:textFill>
            <w14:solidFill>
              <w14:schemeClr w14:val="tx1"/>
            </w14:solidFill>
          </w14:textFill>
        </w:rPr>
      </w:pPr>
      <w:r>
        <w:rPr>
          <w:rFonts w:hint="eastAsia" w:ascii="宋体" w:hAnsi="宋体" w:cs="宋体"/>
          <w:color w:val="000000" w:themeColor="text1"/>
          <w:sz w:val="24"/>
          <w:szCs w:val="24"/>
          <w:highlight w:val="none"/>
          <w14:textFill>
            <w14:solidFill>
              <w14:schemeClr w14:val="tx1"/>
            </w14:solidFill>
          </w14:textFill>
        </w:rPr>
        <w:t>（结束）</w:t>
      </w:r>
    </w:p>
    <w:p w14:paraId="69E30180">
      <w:pPr>
        <w:rPr>
          <w:rFonts w:hint="eastAsia" w:ascii="宋体" w:hAnsi="宋体" w:cs="宋体"/>
          <w:color w:val="000000" w:themeColor="text1"/>
          <w:highlight w:val="none"/>
          <w14:textFill>
            <w14:solidFill>
              <w14:schemeClr w14:val="tx1"/>
            </w14:solidFill>
          </w14:textFill>
        </w:rPr>
      </w:pPr>
    </w:p>
    <w:sectPr>
      <w:headerReference r:id="rId13" w:type="default"/>
      <w:pgSz w:w="11907" w:h="16840"/>
      <w:pgMar w:top="1134" w:right="1191" w:bottom="1134" w:left="1304" w:header="851" w:footer="992" w:gutter="0"/>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embedRegular r:id="rId1" w:fontKey="{32486B97-B02F-4AAD-893B-34DFB8998873}"/>
  </w:font>
  <w:font w:name="方正仿宋_GBK">
    <w:panose1 w:val="03000509000000000000"/>
    <w:charset w:val="86"/>
    <w:family w:val="script"/>
    <w:pitch w:val="default"/>
    <w:sig w:usb0="00000001" w:usb1="080E0000" w:usb2="00000000" w:usb3="00000000" w:csb0="00040000" w:csb1="00000000"/>
    <w:embedRegular r:id="rId2" w:fontKey="{A8652E9C-D8F0-409E-A6D2-96D611B3A6F4}"/>
  </w:font>
  <w:font w:name="仿宋_GB2312">
    <w:altName w:val="仿宋"/>
    <w:panose1 w:val="02010609030101010101"/>
    <w:charset w:val="86"/>
    <w:family w:val="modern"/>
    <w:pitch w:val="default"/>
    <w:sig w:usb0="00000000" w:usb1="00000000" w:usb2="00000000" w:usb3="00000000" w:csb0="00040000" w:csb1="00000000"/>
  </w:font>
  <w:font w:name="Consolas">
    <w:panose1 w:val="020B0609020204030204"/>
    <w:charset w:val="00"/>
    <w:family w:val="modern"/>
    <w:pitch w:val="default"/>
    <w:sig w:usb0="E10002FF" w:usb1="4000FCFF" w:usb2="00000009" w:usb3="00000000" w:csb0="6000019F" w:csb1="DFD70000"/>
  </w:font>
  <w:font w:name="Segoe UI">
    <w:panose1 w:val="020B0502040204020203"/>
    <w:charset w:val="00"/>
    <w:family w:val="swiss"/>
    <w:pitch w:val="default"/>
    <w:sig w:usb0="E10022FF" w:usb1="C000E47F" w:usb2="00000029" w:usb3="00000000" w:csb0="200001DF" w:csb1="20000000"/>
    <w:embedRegular r:id="rId3" w:fontKey="{782DE569-FEA5-4C97-9153-C3E00C23DBA6}"/>
  </w:font>
  <w:font w:name="仿宋">
    <w:panose1 w:val="02010609060101010101"/>
    <w:charset w:val="86"/>
    <w:family w:val="modern"/>
    <w:pitch w:val="default"/>
    <w:sig w:usb0="800002BF" w:usb1="38CF7CFA" w:usb2="00000016" w:usb3="00000000" w:csb0="00040001" w:csb1="00000000"/>
    <w:embedRegular r:id="rId4" w:fontKey="{05AB2D62-6FC8-4616-A2F5-A5C3D1BD65D9}"/>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27FDFCA">
    <w:pPr>
      <w:pStyle w:val="2"/>
    </w:pPr>
    <w:r>
      <mc:AlternateContent>
        <mc:Choice Requires="wps">
          <w:drawing>
            <wp:anchor distT="0" distB="0" distL="114300" distR="114300" simplePos="0" relativeHeight="251659264" behindDoc="0" locked="0" layoutInCell="1" allowOverlap="1">
              <wp:simplePos x="0" y="0"/>
              <wp:positionH relativeFrom="margin">
                <wp:align>right</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90B06D6">
                          <w:pPr>
                            <w:pStyle w:val="2"/>
                          </w:pPr>
                          <w:r>
                            <w:fldChar w:fldCharType="begin"/>
                          </w:r>
                          <w:r>
                            <w:instrText xml:space="preserve"> PAGE  \* MERGEFORMAT </w:instrText>
                          </w:r>
                          <w:r>
                            <w:fldChar w:fldCharType="separate"/>
                          </w:r>
                          <w:r>
                            <w:t>- 1 -</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90B06D6">
                    <w:pPr>
                      <w:pStyle w:val="2"/>
                    </w:pPr>
                    <w:r>
                      <w:fldChar w:fldCharType="begin"/>
                    </w:r>
                    <w:r>
                      <w:instrText xml:space="preserve"> PAGE  \* MERGEFORMAT </w:instrText>
                    </w:r>
                    <w:r>
                      <w:fldChar w:fldCharType="separate"/>
                    </w:r>
                    <w:r>
                      <w:t>- 1 -</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EE36A58">
    <w:pPr>
      <w:pStyle w:val="2"/>
      <w:framePr w:wrap="around" w:vAnchor="text" w:hAnchor="margin" w:xAlign="center" w:y="1"/>
      <w:rPr>
        <w:rStyle w:val="21"/>
      </w:rPr>
    </w:pPr>
    <w:r>
      <w:fldChar w:fldCharType="begin"/>
    </w:r>
    <w:r>
      <w:rPr>
        <w:rStyle w:val="21"/>
      </w:rPr>
      <w:instrText xml:space="preserve">PAGE  </w:instrText>
    </w:r>
    <w:r>
      <w:fldChar w:fldCharType="separate"/>
    </w:r>
    <w:r>
      <w:fldChar w:fldCharType="end"/>
    </w:r>
  </w:p>
  <w:p w14:paraId="6CCDE943">
    <w:pPr>
      <w:pStyle w:val="2"/>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69B833F">
    <w:pPr>
      <w:pStyle w:val="2"/>
      <w:rPr>
        <w:rStyle w:val="21"/>
      </w:rPr>
    </w:pPr>
    <w:r>
      <mc:AlternateContent>
        <mc:Choice Requires="wps">
          <w:drawing>
            <wp:anchor distT="0" distB="0" distL="114300" distR="114300" simplePos="0" relativeHeight="251660288" behindDoc="0" locked="0" layoutInCell="1" allowOverlap="1">
              <wp:simplePos x="0" y="0"/>
              <wp:positionH relativeFrom="margin">
                <wp:align>right</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1E7D9D9">
                          <w:pPr>
                            <w:pStyle w:val="2"/>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">
              <v:fill on="f" focussize="0,0"/>
              <v:stroke on="f" weight="0.5pt"/>
              <v:imagedata o:title=""/>
              <o:lock v:ext="edit" aspectratio="f"/>
              <v:textbox inset="0mm,0mm,0mm,0mm" style="mso-fit-shape-to-text:t;">
                <w:txbxContent>
                  <w:p w14:paraId="71E7D9D9">
                    <w:pPr>
                      <w:pStyle w:val="2"/>
                    </w:pPr>
                    <w:r>
                      <w:fldChar w:fldCharType="begin"/>
                    </w:r>
                    <w:r>
                      <w:instrText xml:space="preserve"> PAGE  \* MERGEFORMAT </w:instrText>
                    </w:r>
                    <w:r>
                      <w:fldChar w:fldCharType="separate"/>
                    </w:r>
                    <w:r>
                      <w:t>1</w:t>
                    </w:r>
                    <w:r>
                      <w:fldChar w:fldCharType="end"/>
                    </w:r>
                  </w:p>
                </w:txbxContent>
              </v:textbox>
            </v:shape>
          </w:pict>
        </mc:Fallback>
      </mc:AlternateContent>
    </w:r>
  </w:p>
  <w:p w14:paraId="1B6680B7">
    <w:pPr>
      <w:pStyle w:val="2"/>
      <w:jc w:val="center"/>
      <w:rPr>
        <w:rFonts w:hint="eastAsia" w:ascii="宋体" w:hAnsi="宋体"/>
        <w:sz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5437A4">
    <w:pPr>
      <w:pStyle w:val="2"/>
      <w:rPr>
        <w:rFonts w:hint="eastAsia" w:ascii="宋体" w:hAnsi="宋体"/>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right</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6B03344">
                          <w:pPr>
                            <w:pStyle w:val="2"/>
                          </w:pPr>
                          <w:r>
                            <w:fldChar w:fldCharType="begin"/>
                          </w:r>
                          <w:r>
                            <w:instrText xml:space="preserve"> PAGE  \* MERGEFORMAT </w:instrText>
                          </w:r>
                          <w:r>
                            <w:fldChar w:fldCharType="separate"/>
                          </w:r>
                          <w:r>
                            <w:t>7</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0O3bcsAgAAV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vQ7dtywCAABVBAAADgAAAAAAAAABACAAAAAfAQAAZHJzL2Uyb0RvYy54bWxQSwUGAAAAAAYA&#10;BgBZAQAAvQUAAAAA&#10;">
              <v:fill on="f" focussize="0,0"/>
              <v:stroke on="f" weight="0.5pt"/>
              <v:imagedata o:title=""/>
              <o:lock v:ext="edit" aspectratio="f"/>
              <v:textbox inset="0mm,0mm,0mm,0mm" style="mso-fit-shape-to-text:t;">
                <w:txbxContent>
                  <w:p w14:paraId="16B03344">
                    <w:pPr>
                      <w:pStyle w:val="2"/>
                    </w:pPr>
                    <w:r>
                      <w:fldChar w:fldCharType="begin"/>
                    </w:r>
                    <w:r>
                      <w:instrText xml:space="preserve"> PAGE  \* MERGEFORMAT </w:instrText>
                    </w:r>
                    <w:r>
                      <w:fldChar w:fldCharType="separate"/>
                    </w:r>
                    <w:r>
                      <w:t>7</w:t>
                    </w:r>
                    <w:r>
                      <w:fldChar w:fldCharType="end"/>
                    </w:r>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23148A4">
    <w:pPr>
      <w:pStyle w:val="2"/>
      <w:rPr>
        <w:rFonts w:hint="eastAsia" w:ascii="宋体" w:hAnsi="宋体"/>
        <w:sz w:val="21"/>
        <w:szCs w:val="21"/>
      </w:rPr>
    </w:pPr>
    <w:r>
      <w:rPr>
        <w:sz w:val="21"/>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2D70926F">
                          <w:pPr>
                            <w:pStyle w:val="2"/>
                          </w:pPr>
                          <w:r>
                            <w:fldChar w:fldCharType="begin"/>
                          </w:r>
                          <w:r>
                            <w:instrText xml:space="preserve"> PAGE  \* MERGEFORMAT </w:instrText>
                          </w:r>
                          <w:r>
                            <w:fldChar w:fldCharType="separate"/>
                          </w:r>
                          <w:r>
                            <w:t>- 16 -</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">
              <v:fill on="f" focussize="0,0"/>
              <v:stroke on="f"/>
              <v:imagedata o:title=""/>
              <o:lock v:ext="edit" aspectratio="f"/>
              <v:textbox inset="0mm,0mm,0mm,0mm" style="mso-fit-shape-to-text:t;">
                <w:txbxContent>
                  <w:p w14:paraId="2D70926F">
                    <w:pPr>
                      <w:pStyle w:val="2"/>
                    </w:pPr>
                    <w:r>
                      <w:fldChar w:fldCharType="begin"/>
                    </w:r>
                    <w:r>
                      <w:instrText xml:space="preserve"> PAGE  \* MERGEFORMAT </w:instrText>
                    </w:r>
                    <w:r>
                      <w:fldChar w:fldCharType="separate"/>
                    </w:r>
                    <w:r>
                      <w:t>- 16 -</w:t>
                    </w:r>
                    <w:r>
                      <w:fldChar w:fldCharType="end"/>
                    </w:r>
                  </w:p>
                </w:txbxContent>
              </v:textbox>
            </v:shape>
          </w:pict>
        </mc:Fallback>
      </mc:AlternateContent>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27770D7">
    <w:pPr>
      <w:pStyle w:val="2"/>
      <w:framePr w:wrap="around" w:vAnchor="text" w:hAnchor="margin" w:xAlign="center" w:y="1"/>
      <w:rPr>
        <w:rStyle w:val="21"/>
      </w:rPr>
    </w:pPr>
    <w:r>
      <w:fldChar w:fldCharType="begin"/>
    </w:r>
    <w:r>
      <w:rPr>
        <w:rStyle w:val="21"/>
      </w:rPr>
      <w:instrText xml:space="preserve">PAGE  </w:instrText>
    </w:r>
    <w:r>
      <w:fldChar w:fldCharType="separate"/>
    </w:r>
    <w:r>
      <w:fldChar w:fldCharType="end"/>
    </w:r>
  </w:p>
  <w:p w14:paraId="6A07FBBA">
    <w:pPr>
      <w:pStyle w:val="2"/>
      <w:ind w:right="360"/>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3E15687">
    <w:pPr>
      <w:pStyle w:val="2"/>
      <w:rPr>
        <w:rFonts w:hint="eastAsia" w:ascii="宋体" w:hAnsi="宋体"/>
        <w:sz w:val="21"/>
        <w:szCs w:val="21"/>
      </w:rPr>
    </w:pPr>
    <w:r>
      <w:rPr>
        <w:sz w:val="21"/>
      </w:rPr>
      <mc:AlternateContent>
        <mc:Choice Requires="wps">
          <w:drawing>
            <wp:anchor distT="0" distB="0" distL="114300" distR="114300" simplePos="0" relativeHeight="251662336" behindDoc="0" locked="0" layoutInCell="1" allowOverlap="1">
              <wp:simplePos x="0" y="0"/>
              <wp:positionH relativeFrom="margin">
                <wp:align>right</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7F7D680">
                          <w:pPr>
                            <w:pStyle w:val="2"/>
                          </w:pPr>
                          <w:r>
                            <w:fldChar w:fldCharType="begin"/>
                          </w:r>
                          <w:r>
                            <w:instrText xml:space="preserve"> PAGE  \* MERGEFORMAT </w:instrText>
                          </w:r>
                          <w:r>
                            <w:fldChar w:fldCharType="separate"/>
                          </w:r>
                          <w:r>
                            <w:t>48</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right;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K9j2DAsAgAAV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PQa5aFrd5ZHqGj&#10;eN6ujgECtrpGUToleq3QbW1l+smI7fznvo16+hssHw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">
              <v:fill on="f" focussize="0,0"/>
              <v:stroke on="f" weight="0.5pt"/>
              <v:imagedata o:title=""/>
              <o:lock v:ext="edit" aspectratio="f"/>
              <v:textbox inset="0mm,0mm,0mm,0mm" style="mso-fit-shape-to-text:t;">
                <w:txbxContent>
                  <w:p w14:paraId="77F7D680">
                    <w:pPr>
                      <w:pStyle w:val="2"/>
                    </w:pPr>
                    <w:r>
                      <w:fldChar w:fldCharType="begin"/>
                    </w:r>
                    <w:r>
                      <w:instrText xml:space="preserve"> PAGE  \* MERGEFORMAT </w:instrText>
                    </w:r>
                    <w:r>
                      <w:fldChar w:fldCharType="separate"/>
                    </w:r>
                    <w:r>
                      <w:t>48</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6B4238">
    <w:pPr>
      <w:pStyle w:val="13"/>
      <w:jc w:val="both"/>
      <w:rPr>
        <w:rFonts w:ascii="方正仿宋_GBK" w:eastAsia="方正仿宋_GBK"/>
        <w:sz w:val="21"/>
        <w:szCs w:val="21"/>
      </w:rPr>
    </w:pPr>
    <w:r>
      <w:rPr>
        <w:rFonts w:hint="eastAsia" w:ascii="方正仿宋_GBK" w:eastAsia="方正仿宋_GBK"/>
        <w:sz w:val="21"/>
        <w:szCs w:val="21"/>
      </w:rPr>
      <w:t xml:space="preserve">                                                                        竞争性磋商文件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D2BBDBE">
    <w:pPr>
      <w:pStyle w:val="13"/>
      <w:pBdr>
        <w:bottom w:val="none" w:color="auto" w:sz="0" w:space="0"/>
      </w:pBd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52BF6D">
    <w:pPr>
      <w:pStyle w:val="13"/>
      <w:jc w:val="both"/>
      <w:rPr>
        <w:rFonts w:ascii="方正仿宋_GBK" w:eastAsia="方正仿宋_GBK"/>
        <w:sz w:val="21"/>
        <w:szCs w:val="21"/>
      </w:rPr>
    </w:pPr>
    <w:r>
      <w:rPr>
        <w:rFonts w:hint="eastAsia" w:ascii="方正仿宋_GBK" w:eastAsia="方正仿宋_GBK"/>
        <w:sz w:val="21"/>
        <w:szCs w:val="21"/>
      </w:rPr>
      <w:t xml:space="preserve">   </w:t>
    </w:r>
  </w:p>
  <w:p w14:paraId="52B1267D">
    <w:pPr>
      <w:pStyle w:val="13"/>
      <w:jc w:val="right"/>
      <w:rPr>
        <w:szCs w:val="18"/>
      </w:rPr>
    </w:pPr>
    <w:r>
      <w:rPr>
        <w:rFonts w:hint="eastAsia" w:ascii="方正仿宋_GBK" w:eastAsia="方正仿宋_GBK"/>
        <w:sz w:val="21"/>
        <w:szCs w:val="21"/>
      </w:rPr>
      <w:t xml:space="preserve"> 竞争性磋商文件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5494974">
    <w:pPr>
      <w:pStyle w:val="13"/>
      <w:jc w:val="both"/>
      <w:rPr>
        <w:rFonts w:ascii="方正仿宋_GBK" w:eastAsia="方正仿宋_GBK"/>
        <w:sz w:val="21"/>
        <w:szCs w:val="21"/>
      </w:rPr>
    </w:pPr>
    <w:r>
      <w:rPr>
        <w:rFonts w:hint="eastAsia" w:ascii="方正仿宋_GBK" w:eastAsia="方正仿宋_GBK"/>
        <w:sz w:val="21"/>
        <w:szCs w:val="21"/>
      </w:rPr>
      <w:t xml:space="preserve">                                                                          竞争性磋商文件</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49C0391"/>
    <w:multiLevelType w:val="singleLevel"/>
    <w:tmpl w:val="849C0391"/>
    <w:lvl w:ilvl="0" w:tentative="0">
      <w:start w:val="1"/>
      <w:numFmt w:val="decimal"/>
      <w:suff w:val="nothing"/>
      <w:lvlText w:val="%1、"/>
      <w:lvlJc w:val="left"/>
    </w:lvl>
  </w:abstractNum>
  <w:abstractNum w:abstractNumId="1">
    <w:nsid w:val="94B50F4C"/>
    <w:multiLevelType w:val="multilevel"/>
    <w:tmpl w:val="94B50F4C"/>
    <w:lvl w:ilvl="0" w:tentative="0">
      <w:start w:val="1"/>
      <w:numFmt w:val="chineseCounting"/>
      <w:pStyle w:val="3"/>
      <w:suff w:val="nothing"/>
      <w:lvlText w:val="%1、"/>
      <w:lvlJc w:val="left"/>
      <w:pPr>
        <w:tabs>
          <w:tab w:val="left" w:pos="0"/>
        </w:tabs>
        <w:ind w:left="0" w:firstLine="0"/>
      </w:pPr>
      <w:rPr>
        <w:rFonts w:hint="eastAsia"/>
      </w:rPr>
    </w:lvl>
    <w:lvl w:ilvl="1" w:tentative="0">
      <w:start w:val="1"/>
      <w:numFmt w:val="chineseCounting"/>
      <w:suff w:val="nothing"/>
      <w:lvlText w:val="（%2）"/>
      <w:lvlJc w:val="left"/>
      <w:pPr>
        <w:ind w:left="0" w:firstLine="0"/>
      </w:pPr>
      <w:rPr>
        <w:rFonts w:hint="eastAsia"/>
        <w:sz w:val="28"/>
        <w:szCs w:val="28"/>
      </w:rPr>
    </w:lvl>
    <w:lvl w:ilvl="2" w:tentative="0">
      <w:start w:val="1"/>
      <w:numFmt w:val="decimal"/>
      <w:suff w:val="nothing"/>
      <w:lvlText w:val="%3．"/>
      <w:lvlJc w:val="left"/>
      <w:pPr>
        <w:ind w:left="0" w:firstLine="400"/>
      </w:pPr>
      <w:rPr>
        <w:rFonts w:hint="eastAsia"/>
        <w:b/>
        <w:bCs/>
        <w:sz w:val="28"/>
        <w:szCs w:val="28"/>
      </w:rPr>
    </w:lvl>
    <w:lvl w:ilvl="3" w:tentative="0">
      <w:start w:val="1"/>
      <w:numFmt w:val="decimal"/>
      <w:suff w:val="nothing"/>
      <w:lvlText w:val="%3.%4"/>
      <w:lvlJc w:val="left"/>
      <w:pPr>
        <w:ind w:left="0" w:firstLine="402"/>
      </w:pPr>
      <w:rPr>
        <w:rFonts w:hint="eastAsia" w:ascii="Times New Roman" w:hAnsi="Times New Roman" w:cs="Times New Roman"/>
        <w:b/>
        <w:bCs/>
        <w:sz w:val="28"/>
        <w:szCs w:val="28"/>
      </w:rPr>
    </w:lvl>
    <w:lvl w:ilvl="4" w:tentative="0">
      <w:start w:val="1"/>
      <w:numFmt w:val="decimal"/>
      <w:suff w:val="nothing"/>
      <w:lvlText w:val="%3.%4.%5"/>
      <w:lvlJc w:val="left"/>
      <w:pPr>
        <w:ind w:left="0" w:firstLine="402"/>
      </w:pPr>
      <w:rPr>
        <w:rFonts w:hint="eastAsia"/>
      </w:rPr>
    </w:lvl>
    <w:lvl w:ilvl="5" w:tentative="0">
      <w:start w:val="1"/>
      <w:numFmt w:val="decimal"/>
      <w:suff w:val="nothing"/>
      <w:lvlText w:val="%3.%4.%5.%6"/>
      <w:lvlJc w:val="left"/>
      <w:pPr>
        <w:ind w:left="0" w:firstLine="402"/>
      </w:pPr>
      <w:rPr>
        <w:rFonts w:hint="eastAsia"/>
      </w:rPr>
    </w:lvl>
    <w:lvl w:ilvl="6" w:tentative="0">
      <w:start w:val="1"/>
      <w:numFmt w:val="decimal"/>
      <w:suff w:val="nothing"/>
      <w:lvlText w:val="%3.%4.%5.%6.%7"/>
      <w:lvlJc w:val="left"/>
      <w:pPr>
        <w:tabs>
          <w:tab w:val="left" w:pos="0"/>
        </w:tabs>
        <w:ind w:left="0" w:firstLine="402"/>
      </w:pPr>
      <w:rPr>
        <w:rFonts w:hint="eastAsia"/>
      </w:rPr>
    </w:lvl>
    <w:lvl w:ilvl="7" w:tentative="0">
      <w:start w:val="1"/>
      <w:numFmt w:val="decimal"/>
      <w:suff w:val="nothing"/>
      <w:lvlText w:val="%3.%4.%5.%6.%7.%8"/>
      <w:lvlJc w:val="left"/>
      <w:pPr>
        <w:ind w:left="0" w:firstLine="402"/>
      </w:pPr>
      <w:rPr>
        <w:rFonts w:hint="eastAsia"/>
      </w:rPr>
    </w:lvl>
    <w:lvl w:ilvl="8" w:tentative="0">
      <w:start w:val="1"/>
      <w:numFmt w:val="lowerRoman"/>
      <w:suff w:val="nothing"/>
      <w:lvlText w:val="%9 "/>
      <w:lvlJc w:val="left"/>
      <w:pPr>
        <w:ind w:left="0" w:firstLine="402"/>
      </w:pPr>
      <w:rPr>
        <w:rFonts w:hint="eastAsia"/>
      </w:rPr>
    </w:lvl>
  </w:abstractNum>
  <w:abstractNum w:abstractNumId="2">
    <w:nsid w:val="B5B947AF"/>
    <w:multiLevelType w:val="singleLevel"/>
    <w:tmpl w:val="B5B947AF"/>
    <w:lvl w:ilvl="0" w:tentative="0">
      <w:start w:val="1"/>
      <w:numFmt w:val="decimal"/>
      <w:suff w:val="nothing"/>
      <w:lvlText w:val="%1、"/>
      <w:lvlJc w:val="left"/>
    </w:lvl>
  </w:abstractNum>
  <w:abstractNum w:abstractNumId="3">
    <w:nsid w:val="D5D6C899"/>
    <w:multiLevelType w:val="singleLevel"/>
    <w:tmpl w:val="D5D6C899"/>
    <w:lvl w:ilvl="0" w:tentative="0">
      <w:start w:val="1"/>
      <w:numFmt w:val="decimal"/>
      <w:lvlText w:val="%1."/>
      <w:lvlJc w:val="left"/>
      <w:pPr>
        <w:tabs>
          <w:tab w:val="left" w:pos="312"/>
        </w:tabs>
      </w:pPr>
    </w:lvl>
  </w:abstractNum>
  <w:abstractNum w:abstractNumId="4">
    <w:nsid w:val="E4D73AEE"/>
    <w:multiLevelType w:val="singleLevel"/>
    <w:tmpl w:val="E4D73AEE"/>
    <w:lvl w:ilvl="0" w:tentative="0">
      <w:start w:val="5"/>
      <w:numFmt w:val="chineseCounting"/>
      <w:suff w:val="nothing"/>
      <w:lvlText w:val="%1、"/>
      <w:lvlJc w:val="left"/>
      <w:pPr>
        <w:ind w:left="78"/>
      </w:pPr>
      <w:rPr>
        <w:rFonts w:hint="eastAsia"/>
      </w:rPr>
    </w:lvl>
  </w:abstractNum>
  <w:abstractNum w:abstractNumId="5">
    <w:nsid w:val="09CB1524"/>
    <w:multiLevelType w:val="singleLevel"/>
    <w:tmpl w:val="09CB1524"/>
    <w:lvl w:ilvl="0" w:tentative="0">
      <w:start w:val="1"/>
      <w:numFmt w:val="decimal"/>
      <w:lvlText w:val="%1."/>
      <w:lvlJc w:val="left"/>
      <w:pPr>
        <w:tabs>
          <w:tab w:val="left" w:pos="312"/>
        </w:tabs>
      </w:pPr>
    </w:lvl>
  </w:abstractNum>
  <w:num w:numId="1">
    <w:abstractNumId w:val="1"/>
  </w:num>
  <w:num w:numId="2">
    <w:abstractNumId w:val="4"/>
  </w:num>
  <w:num w:numId="3">
    <w:abstractNumId w:val="5"/>
  </w:num>
  <w:num w:numId="4">
    <w:abstractNumId w:val="3"/>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TrueTypeFonts/>
  <w:saveSubsetFonts/>
  <w:bordersDoNotSurroundHeader w:val="1"/>
  <w:bordersDoNotSurroundFooter w:val="1"/>
  <w:documentProtection w:enforcement="0"/>
  <w:defaultTabStop w:val="420"/>
  <w:drawingGridVerticalSpacing w:val="156"/>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hjNmU2MzVjZDFjOTgxMTIzNzQ1Nzg2ZTEwMDcwZTgifQ=="/>
  </w:docVars>
  <w:rsids>
    <w:rsidRoot w:val="39875029"/>
    <w:rsid w:val="00033421"/>
    <w:rsid w:val="00077900"/>
    <w:rsid w:val="00093D2C"/>
    <w:rsid w:val="00164AE9"/>
    <w:rsid w:val="001A1DA7"/>
    <w:rsid w:val="00284F37"/>
    <w:rsid w:val="003263DE"/>
    <w:rsid w:val="0034580D"/>
    <w:rsid w:val="003925CC"/>
    <w:rsid w:val="003C5897"/>
    <w:rsid w:val="00446574"/>
    <w:rsid w:val="00493CDB"/>
    <w:rsid w:val="00634E78"/>
    <w:rsid w:val="007007DA"/>
    <w:rsid w:val="009A141A"/>
    <w:rsid w:val="00B6748C"/>
    <w:rsid w:val="00C36872"/>
    <w:rsid w:val="00C93991"/>
    <w:rsid w:val="00D41877"/>
    <w:rsid w:val="00D443D0"/>
    <w:rsid w:val="00E26542"/>
    <w:rsid w:val="00F04C4F"/>
    <w:rsid w:val="00F76805"/>
    <w:rsid w:val="011253ED"/>
    <w:rsid w:val="01255120"/>
    <w:rsid w:val="012956E2"/>
    <w:rsid w:val="017E4FE9"/>
    <w:rsid w:val="01992D53"/>
    <w:rsid w:val="01A56261"/>
    <w:rsid w:val="020511FC"/>
    <w:rsid w:val="021F15B6"/>
    <w:rsid w:val="02323C36"/>
    <w:rsid w:val="023B22DD"/>
    <w:rsid w:val="02647498"/>
    <w:rsid w:val="02905F7E"/>
    <w:rsid w:val="02D316E4"/>
    <w:rsid w:val="02EA20DE"/>
    <w:rsid w:val="034D490C"/>
    <w:rsid w:val="03DB35F1"/>
    <w:rsid w:val="03F90AE6"/>
    <w:rsid w:val="04C64E27"/>
    <w:rsid w:val="04F05A45"/>
    <w:rsid w:val="04FE695E"/>
    <w:rsid w:val="053E424B"/>
    <w:rsid w:val="05B141BF"/>
    <w:rsid w:val="05ED6CAA"/>
    <w:rsid w:val="06834F57"/>
    <w:rsid w:val="07221EF2"/>
    <w:rsid w:val="07997C1C"/>
    <w:rsid w:val="07BE53C7"/>
    <w:rsid w:val="07C81187"/>
    <w:rsid w:val="07E9545C"/>
    <w:rsid w:val="081B0E01"/>
    <w:rsid w:val="081E3BA3"/>
    <w:rsid w:val="08316AA1"/>
    <w:rsid w:val="08BE49AC"/>
    <w:rsid w:val="090C5E54"/>
    <w:rsid w:val="094A4F82"/>
    <w:rsid w:val="099679D3"/>
    <w:rsid w:val="099A6934"/>
    <w:rsid w:val="09D0061C"/>
    <w:rsid w:val="0A30381F"/>
    <w:rsid w:val="0AB20FB1"/>
    <w:rsid w:val="0AED0AB4"/>
    <w:rsid w:val="0B113A44"/>
    <w:rsid w:val="0BAA702F"/>
    <w:rsid w:val="0BC67500"/>
    <w:rsid w:val="0BDE2A9B"/>
    <w:rsid w:val="0BE502CE"/>
    <w:rsid w:val="0C4B5C57"/>
    <w:rsid w:val="0C871385"/>
    <w:rsid w:val="0CA43CE5"/>
    <w:rsid w:val="0CDB6831"/>
    <w:rsid w:val="0D5C4992"/>
    <w:rsid w:val="0DBF4967"/>
    <w:rsid w:val="0DDD4A7E"/>
    <w:rsid w:val="0DE23090"/>
    <w:rsid w:val="0E0513D6"/>
    <w:rsid w:val="0E9953A0"/>
    <w:rsid w:val="0EAA60E0"/>
    <w:rsid w:val="0EE6687B"/>
    <w:rsid w:val="0F1D7D7F"/>
    <w:rsid w:val="0F817ED1"/>
    <w:rsid w:val="0F83112A"/>
    <w:rsid w:val="0FA1275E"/>
    <w:rsid w:val="0FD6760D"/>
    <w:rsid w:val="0FEE34C9"/>
    <w:rsid w:val="10252EC6"/>
    <w:rsid w:val="102F32DE"/>
    <w:rsid w:val="104D064D"/>
    <w:rsid w:val="105C48D7"/>
    <w:rsid w:val="106E7B49"/>
    <w:rsid w:val="10802FF2"/>
    <w:rsid w:val="10D3794D"/>
    <w:rsid w:val="1119244E"/>
    <w:rsid w:val="114822AF"/>
    <w:rsid w:val="11582DFE"/>
    <w:rsid w:val="11A025A1"/>
    <w:rsid w:val="11EB4164"/>
    <w:rsid w:val="124421D7"/>
    <w:rsid w:val="126B4E0C"/>
    <w:rsid w:val="12714AD8"/>
    <w:rsid w:val="12850F8A"/>
    <w:rsid w:val="12C304B1"/>
    <w:rsid w:val="12E44E0E"/>
    <w:rsid w:val="12E7375C"/>
    <w:rsid w:val="12ED571D"/>
    <w:rsid w:val="13286583"/>
    <w:rsid w:val="133815F1"/>
    <w:rsid w:val="136A2E67"/>
    <w:rsid w:val="143C5E52"/>
    <w:rsid w:val="14C27361"/>
    <w:rsid w:val="14DB226E"/>
    <w:rsid w:val="14E56F90"/>
    <w:rsid w:val="15035F1E"/>
    <w:rsid w:val="151A4078"/>
    <w:rsid w:val="152662DA"/>
    <w:rsid w:val="15595889"/>
    <w:rsid w:val="157B57FF"/>
    <w:rsid w:val="15D9177A"/>
    <w:rsid w:val="16387944"/>
    <w:rsid w:val="166C51F9"/>
    <w:rsid w:val="166D48F4"/>
    <w:rsid w:val="16AD1388"/>
    <w:rsid w:val="16CA52C0"/>
    <w:rsid w:val="16DE7DF3"/>
    <w:rsid w:val="17593315"/>
    <w:rsid w:val="176127D3"/>
    <w:rsid w:val="17732C32"/>
    <w:rsid w:val="17A53AA5"/>
    <w:rsid w:val="17B07C79"/>
    <w:rsid w:val="17C4348D"/>
    <w:rsid w:val="17F0030D"/>
    <w:rsid w:val="17F05133"/>
    <w:rsid w:val="18441ED8"/>
    <w:rsid w:val="18475E6C"/>
    <w:rsid w:val="18585984"/>
    <w:rsid w:val="188015D5"/>
    <w:rsid w:val="194E27AB"/>
    <w:rsid w:val="198B52DD"/>
    <w:rsid w:val="19A60971"/>
    <w:rsid w:val="19C448BA"/>
    <w:rsid w:val="19CF2DF3"/>
    <w:rsid w:val="19D21766"/>
    <w:rsid w:val="1A9F5FA4"/>
    <w:rsid w:val="1AAB4E68"/>
    <w:rsid w:val="1ACE6D17"/>
    <w:rsid w:val="1B417B88"/>
    <w:rsid w:val="1BFC6BB8"/>
    <w:rsid w:val="1BFE2CE6"/>
    <w:rsid w:val="1CDA364E"/>
    <w:rsid w:val="1D3A18FD"/>
    <w:rsid w:val="1D3C1D18"/>
    <w:rsid w:val="1D6B43AB"/>
    <w:rsid w:val="1DAC622F"/>
    <w:rsid w:val="1EA12416"/>
    <w:rsid w:val="1EBA3559"/>
    <w:rsid w:val="1ED80850"/>
    <w:rsid w:val="1ED956AE"/>
    <w:rsid w:val="1F7252F9"/>
    <w:rsid w:val="20256A93"/>
    <w:rsid w:val="209B125A"/>
    <w:rsid w:val="20B3149C"/>
    <w:rsid w:val="20BB7071"/>
    <w:rsid w:val="210448FA"/>
    <w:rsid w:val="213718CA"/>
    <w:rsid w:val="21632F63"/>
    <w:rsid w:val="217D32FC"/>
    <w:rsid w:val="21907D9E"/>
    <w:rsid w:val="21A96E67"/>
    <w:rsid w:val="21EA3CF8"/>
    <w:rsid w:val="22347B8E"/>
    <w:rsid w:val="228127CE"/>
    <w:rsid w:val="22D2486E"/>
    <w:rsid w:val="22ED6C1D"/>
    <w:rsid w:val="23003CB7"/>
    <w:rsid w:val="23382BB9"/>
    <w:rsid w:val="237179BF"/>
    <w:rsid w:val="239D2DE4"/>
    <w:rsid w:val="23B964D0"/>
    <w:rsid w:val="23F925FD"/>
    <w:rsid w:val="243B1A1F"/>
    <w:rsid w:val="24764C99"/>
    <w:rsid w:val="24A75482"/>
    <w:rsid w:val="24FE0232"/>
    <w:rsid w:val="250E27D7"/>
    <w:rsid w:val="2522608D"/>
    <w:rsid w:val="254523F9"/>
    <w:rsid w:val="25987046"/>
    <w:rsid w:val="259A3A7F"/>
    <w:rsid w:val="25AE18E8"/>
    <w:rsid w:val="25D924E4"/>
    <w:rsid w:val="25E71088"/>
    <w:rsid w:val="25EB4B24"/>
    <w:rsid w:val="26393359"/>
    <w:rsid w:val="266343FB"/>
    <w:rsid w:val="2667250D"/>
    <w:rsid w:val="269A5C3D"/>
    <w:rsid w:val="26D20FF7"/>
    <w:rsid w:val="26D41635"/>
    <w:rsid w:val="26E20CE4"/>
    <w:rsid w:val="270B33A4"/>
    <w:rsid w:val="27351CB2"/>
    <w:rsid w:val="27427F2B"/>
    <w:rsid w:val="281A2C55"/>
    <w:rsid w:val="286430FA"/>
    <w:rsid w:val="28805439"/>
    <w:rsid w:val="28817B5B"/>
    <w:rsid w:val="28932D5E"/>
    <w:rsid w:val="29604833"/>
    <w:rsid w:val="2963517E"/>
    <w:rsid w:val="297D12CC"/>
    <w:rsid w:val="29B40E46"/>
    <w:rsid w:val="2A0A00BB"/>
    <w:rsid w:val="2AA77599"/>
    <w:rsid w:val="2AA82E5F"/>
    <w:rsid w:val="2AAF3D96"/>
    <w:rsid w:val="2AD341DE"/>
    <w:rsid w:val="2B132E66"/>
    <w:rsid w:val="2B19433B"/>
    <w:rsid w:val="2B567972"/>
    <w:rsid w:val="2B6E7F7D"/>
    <w:rsid w:val="2B8F395A"/>
    <w:rsid w:val="2B90195F"/>
    <w:rsid w:val="2BCD5122"/>
    <w:rsid w:val="2C2937EF"/>
    <w:rsid w:val="2C83526D"/>
    <w:rsid w:val="2CBB4E5E"/>
    <w:rsid w:val="2CC015B4"/>
    <w:rsid w:val="2CDF0AFD"/>
    <w:rsid w:val="2CF77A09"/>
    <w:rsid w:val="2D9C5EBB"/>
    <w:rsid w:val="2DA172B7"/>
    <w:rsid w:val="2DB337F3"/>
    <w:rsid w:val="2E4D0051"/>
    <w:rsid w:val="2F2A3AE4"/>
    <w:rsid w:val="2F657FE4"/>
    <w:rsid w:val="2F964D63"/>
    <w:rsid w:val="2FA80F28"/>
    <w:rsid w:val="3018450B"/>
    <w:rsid w:val="301F116C"/>
    <w:rsid w:val="304A677E"/>
    <w:rsid w:val="3082085A"/>
    <w:rsid w:val="30A66E48"/>
    <w:rsid w:val="30B50068"/>
    <w:rsid w:val="30B96AA6"/>
    <w:rsid w:val="313D29AE"/>
    <w:rsid w:val="31765C55"/>
    <w:rsid w:val="318E1E79"/>
    <w:rsid w:val="31BA480D"/>
    <w:rsid w:val="31DE6E0A"/>
    <w:rsid w:val="31EC7411"/>
    <w:rsid w:val="31F97D80"/>
    <w:rsid w:val="32B341CC"/>
    <w:rsid w:val="32DA39C5"/>
    <w:rsid w:val="333A0650"/>
    <w:rsid w:val="335D0CAA"/>
    <w:rsid w:val="33CD0840"/>
    <w:rsid w:val="346040E6"/>
    <w:rsid w:val="34C02A60"/>
    <w:rsid w:val="34D55071"/>
    <w:rsid w:val="352E3D4F"/>
    <w:rsid w:val="354A13D9"/>
    <w:rsid w:val="354E03E2"/>
    <w:rsid w:val="35623CBD"/>
    <w:rsid w:val="35843E04"/>
    <w:rsid w:val="35862EE6"/>
    <w:rsid w:val="35C802BA"/>
    <w:rsid w:val="35DD5ACC"/>
    <w:rsid w:val="35E93C67"/>
    <w:rsid w:val="36055CAE"/>
    <w:rsid w:val="36087190"/>
    <w:rsid w:val="362042B0"/>
    <w:rsid w:val="36421E64"/>
    <w:rsid w:val="370F76FD"/>
    <w:rsid w:val="37920A5A"/>
    <w:rsid w:val="37976ECE"/>
    <w:rsid w:val="37AD1388"/>
    <w:rsid w:val="37E9461B"/>
    <w:rsid w:val="38533652"/>
    <w:rsid w:val="38871AAA"/>
    <w:rsid w:val="38A0578F"/>
    <w:rsid w:val="38AD19AF"/>
    <w:rsid w:val="38AE5852"/>
    <w:rsid w:val="39370AC7"/>
    <w:rsid w:val="39875029"/>
    <w:rsid w:val="3A3A5C00"/>
    <w:rsid w:val="3A6E76C8"/>
    <w:rsid w:val="3B464510"/>
    <w:rsid w:val="3B50107A"/>
    <w:rsid w:val="3B6D2BD1"/>
    <w:rsid w:val="3B8E4566"/>
    <w:rsid w:val="3BAC71B0"/>
    <w:rsid w:val="3C0C2DE0"/>
    <w:rsid w:val="3C3A3427"/>
    <w:rsid w:val="3C592935"/>
    <w:rsid w:val="3C8A2084"/>
    <w:rsid w:val="3C915DF5"/>
    <w:rsid w:val="3D4C5207"/>
    <w:rsid w:val="3D983201"/>
    <w:rsid w:val="3DE57280"/>
    <w:rsid w:val="3DEB4A20"/>
    <w:rsid w:val="3E205F42"/>
    <w:rsid w:val="3E472A3B"/>
    <w:rsid w:val="3E4F5F4D"/>
    <w:rsid w:val="3E611186"/>
    <w:rsid w:val="3E7B77DE"/>
    <w:rsid w:val="3ED11FD0"/>
    <w:rsid w:val="3F5B3E28"/>
    <w:rsid w:val="3F8B7941"/>
    <w:rsid w:val="3FB460B2"/>
    <w:rsid w:val="3FC27987"/>
    <w:rsid w:val="3FC419CD"/>
    <w:rsid w:val="3FFC10F6"/>
    <w:rsid w:val="4004001B"/>
    <w:rsid w:val="400E31D7"/>
    <w:rsid w:val="4021297B"/>
    <w:rsid w:val="40481EE7"/>
    <w:rsid w:val="407C4056"/>
    <w:rsid w:val="407D392A"/>
    <w:rsid w:val="40987DEF"/>
    <w:rsid w:val="40B97058"/>
    <w:rsid w:val="40C16715"/>
    <w:rsid w:val="40D15439"/>
    <w:rsid w:val="41456B3D"/>
    <w:rsid w:val="417143FA"/>
    <w:rsid w:val="41A7482A"/>
    <w:rsid w:val="41BE41FA"/>
    <w:rsid w:val="41F50CD7"/>
    <w:rsid w:val="423D5A66"/>
    <w:rsid w:val="4250579A"/>
    <w:rsid w:val="42880E28"/>
    <w:rsid w:val="42915181"/>
    <w:rsid w:val="43227182"/>
    <w:rsid w:val="43395DA8"/>
    <w:rsid w:val="433E1A96"/>
    <w:rsid w:val="43AF5162"/>
    <w:rsid w:val="43B46D34"/>
    <w:rsid w:val="43DA1079"/>
    <w:rsid w:val="43E74ECE"/>
    <w:rsid w:val="44183A20"/>
    <w:rsid w:val="44327B12"/>
    <w:rsid w:val="446472DA"/>
    <w:rsid w:val="4484172B"/>
    <w:rsid w:val="44846754"/>
    <w:rsid w:val="44AC7451"/>
    <w:rsid w:val="44B21999"/>
    <w:rsid w:val="44E86CCF"/>
    <w:rsid w:val="45244CBC"/>
    <w:rsid w:val="452D44E9"/>
    <w:rsid w:val="45C55FAA"/>
    <w:rsid w:val="45EF07B4"/>
    <w:rsid w:val="46592743"/>
    <w:rsid w:val="47046567"/>
    <w:rsid w:val="471057A1"/>
    <w:rsid w:val="4769658B"/>
    <w:rsid w:val="48650FAE"/>
    <w:rsid w:val="48A630C4"/>
    <w:rsid w:val="48D34A2F"/>
    <w:rsid w:val="48D901CD"/>
    <w:rsid w:val="48E37548"/>
    <w:rsid w:val="491F1A22"/>
    <w:rsid w:val="49464361"/>
    <w:rsid w:val="495E079C"/>
    <w:rsid w:val="499C29F7"/>
    <w:rsid w:val="49B74350"/>
    <w:rsid w:val="4A430B43"/>
    <w:rsid w:val="4A8815CE"/>
    <w:rsid w:val="4A975B75"/>
    <w:rsid w:val="4AF869CF"/>
    <w:rsid w:val="4B07324C"/>
    <w:rsid w:val="4B0F1D94"/>
    <w:rsid w:val="4B2B0DC3"/>
    <w:rsid w:val="4B3C2ACB"/>
    <w:rsid w:val="4B4C4BB5"/>
    <w:rsid w:val="4BB74194"/>
    <w:rsid w:val="4BD40ACE"/>
    <w:rsid w:val="4BDD030F"/>
    <w:rsid w:val="4D341113"/>
    <w:rsid w:val="4D3D39CF"/>
    <w:rsid w:val="4E24489C"/>
    <w:rsid w:val="4E4F6905"/>
    <w:rsid w:val="4E6E38FA"/>
    <w:rsid w:val="4EB1309C"/>
    <w:rsid w:val="4EEE25C2"/>
    <w:rsid w:val="4EEF5779"/>
    <w:rsid w:val="4EF43951"/>
    <w:rsid w:val="4F037D7E"/>
    <w:rsid w:val="4F2A2ECF"/>
    <w:rsid w:val="4F451B8F"/>
    <w:rsid w:val="4F824AB9"/>
    <w:rsid w:val="4FC155E1"/>
    <w:rsid w:val="4FEA0478"/>
    <w:rsid w:val="504B134F"/>
    <w:rsid w:val="513070BC"/>
    <w:rsid w:val="518D5982"/>
    <w:rsid w:val="51DE0460"/>
    <w:rsid w:val="51E952C3"/>
    <w:rsid w:val="52007A19"/>
    <w:rsid w:val="52012C49"/>
    <w:rsid w:val="521832EC"/>
    <w:rsid w:val="52546633"/>
    <w:rsid w:val="525E5979"/>
    <w:rsid w:val="527C6137"/>
    <w:rsid w:val="528978A2"/>
    <w:rsid w:val="536301E1"/>
    <w:rsid w:val="539C07A0"/>
    <w:rsid w:val="539D4A73"/>
    <w:rsid w:val="54492996"/>
    <w:rsid w:val="545340DE"/>
    <w:rsid w:val="54D84385"/>
    <w:rsid w:val="54FB070E"/>
    <w:rsid w:val="550A5C7C"/>
    <w:rsid w:val="55A734CB"/>
    <w:rsid w:val="55AE07DF"/>
    <w:rsid w:val="55B0425A"/>
    <w:rsid w:val="56101070"/>
    <w:rsid w:val="56D522F0"/>
    <w:rsid w:val="57115230"/>
    <w:rsid w:val="57A06AE5"/>
    <w:rsid w:val="57DB30F5"/>
    <w:rsid w:val="57F73D6A"/>
    <w:rsid w:val="584840D0"/>
    <w:rsid w:val="585D2B85"/>
    <w:rsid w:val="589A2724"/>
    <w:rsid w:val="58E32A6C"/>
    <w:rsid w:val="59136180"/>
    <w:rsid w:val="592E53AB"/>
    <w:rsid w:val="594F0101"/>
    <w:rsid w:val="595C0C60"/>
    <w:rsid w:val="5966544B"/>
    <w:rsid w:val="59B7725E"/>
    <w:rsid w:val="59B80C41"/>
    <w:rsid w:val="59B864C0"/>
    <w:rsid w:val="59BE5DFE"/>
    <w:rsid w:val="59E73BD7"/>
    <w:rsid w:val="5A143836"/>
    <w:rsid w:val="5A4C4641"/>
    <w:rsid w:val="5A967C4C"/>
    <w:rsid w:val="5AF97571"/>
    <w:rsid w:val="5B9B4318"/>
    <w:rsid w:val="5BFC3AC5"/>
    <w:rsid w:val="5C2D659B"/>
    <w:rsid w:val="5C761BD3"/>
    <w:rsid w:val="5D86691C"/>
    <w:rsid w:val="5DC85264"/>
    <w:rsid w:val="5E1831B8"/>
    <w:rsid w:val="5E2808E1"/>
    <w:rsid w:val="5E4A2CDD"/>
    <w:rsid w:val="5E531852"/>
    <w:rsid w:val="5E7D5648"/>
    <w:rsid w:val="5E8217E9"/>
    <w:rsid w:val="5E9071F2"/>
    <w:rsid w:val="5F505382"/>
    <w:rsid w:val="5F884C02"/>
    <w:rsid w:val="5FA12D79"/>
    <w:rsid w:val="5FB67FA1"/>
    <w:rsid w:val="5FE21543"/>
    <w:rsid w:val="60003E8A"/>
    <w:rsid w:val="6036030D"/>
    <w:rsid w:val="609225A9"/>
    <w:rsid w:val="60C339B0"/>
    <w:rsid w:val="60FB503C"/>
    <w:rsid w:val="6110727B"/>
    <w:rsid w:val="61BD341C"/>
    <w:rsid w:val="61BE3F83"/>
    <w:rsid w:val="61FD5CD9"/>
    <w:rsid w:val="620B3CCC"/>
    <w:rsid w:val="624A76B8"/>
    <w:rsid w:val="6250428E"/>
    <w:rsid w:val="62617FE0"/>
    <w:rsid w:val="6286607D"/>
    <w:rsid w:val="62B63B6B"/>
    <w:rsid w:val="62EE529E"/>
    <w:rsid w:val="62EF025F"/>
    <w:rsid w:val="637A221F"/>
    <w:rsid w:val="63F368C6"/>
    <w:rsid w:val="64BD6867"/>
    <w:rsid w:val="64CA2D32"/>
    <w:rsid w:val="64D7457E"/>
    <w:rsid w:val="64DF67F8"/>
    <w:rsid w:val="650E31F9"/>
    <w:rsid w:val="6512724A"/>
    <w:rsid w:val="654236BA"/>
    <w:rsid w:val="654640F6"/>
    <w:rsid w:val="65491EA9"/>
    <w:rsid w:val="658B0713"/>
    <w:rsid w:val="65916010"/>
    <w:rsid w:val="65BF1775"/>
    <w:rsid w:val="65BF2E5B"/>
    <w:rsid w:val="65EB5BF7"/>
    <w:rsid w:val="65F82F53"/>
    <w:rsid w:val="66300481"/>
    <w:rsid w:val="6646463A"/>
    <w:rsid w:val="67134D8E"/>
    <w:rsid w:val="677D22DE"/>
    <w:rsid w:val="68134AF3"/>
    <w:rsid w:val="6819075E"/>
    <w:rsid w:val="683868D1"/>
    <w:rsid w:val="68AC76AE"/>
    <w:rsid w:val="68AE0CB4"/>
    <w:rsid w:val="68D0468F"/>
    <w:rsid w:val="68E818AA"/>
    <w:rsid w:val="690156CC"/>
    <w:rsid w:val="696C5577"/>
    <w:rsid w:val="696D1EDE"/>
    <w:rsid w:val="69891522"/>
    <w:rsid w:val="69A44C17"/>
    <w:rsid w:val="69C34026"/>
    <w:rsid w:val="69E1127F"/>
    <w:rsid w:val="6A2D62D3"/>
    <w:rsid w:val="6A875729"/>
    <w:rsid w:val="6AA02D6B"/>
    <w:rsid w:val="6AD9782B"/>
    <w:rsid w:val="6B3D1C68"/>
    <w:rsid w:val="6B4D2FA6"/>
    <w:rsid w:val="6B6A0DCB"/>
    <w:rsid w:val="6BAF67DE"/>
    <w:rsid w:val="6BD777F2"/>
    <w:rsid w:val="6C3C2767"/>
    <w:rsid w:val="6CF0377D"/>
    <w:rsid w:val="6CFE5C6F"/>
    <w:rsid w:val="6D970171"/>
    <w:rsid w:val="6E0C7F17"/>
    <w:rsid w:val="6EB06CD9"/>
    <w:rsid w:val="6F5244FA"/>
    <w:rsid w:val="6F731884"/>
    <w:rsid w:val="6FFD4727"/>
    <w:rsid w:val="700F1192"/>
    <w:rsid w:val="70496D8B"/>
    <w:rsid w:val="704D10EC"/>
    <w:rsid w:val="7064352D"/>
    <w:rsid w:val="707A1AB0"/>
    <w:rsid w:val="70932B72"/>
    <w:rsid w:val="70BD5DEE"/>
    <w:rsid w:val="711E1BBC"/>
    <w:rsid w:val="714A1FBA"/>
    <w:rsid w:val="71634D8D"/>
    <w:rsid w:val="7165247D"/>
    <w:rsid w:val="71BB412E"/>
    <w:rsid w:val="72615139"/>
    <w:rsid w:val="72763092"/>
    <w:rsid w:val="72E06587"/>
    <w:rsid w:val="73174128"/>
    <w:rsid w:val="732B4922"/>
    <w:rsid w:val="73301C15"/>
    <w:rsid w:val="73974727"/>
    <w:rsid w:val="73A3131E"/>
    <w:rsid w:val="73BC241D"/>
    <w:rsid w:val="73D71C98"/>
    <w:rsid w:val="74494E0C"/>
    <w:rsid w:val="74786307"/>
    <w:rsid w:val="74C23BFD"/>
    <w:rsid w:val="75772B22"/>
    <w:rsid w:val="75CF35E2"/>
    <w:rsid w:val="760B3334"/>
    <w:rsid w:val="760F4A49"/>
    <w:rsid w:val="762A4B49"/>
    <w:rsid w:val="764672F0"/>
    <w:rsid w:val="764A2D61"/>
    <w:rsid w:val="764C58E9"/>
    <w:rsid w:val="76C842B2"/>
    <w:rsid w:val="76E934EC"/>
    <w:rsid w:val="77A40D34"/>
    <w:rsid w:val="78000AED"/>
    <w:rsid w:val="78727D3C"/>
    <w:rsid w:val="797D277A"/>
    <w:rsid w:val="79BA1D7E"/>
    <w:rsid w:val="79BF1407"/>
    <w:rsid w:val="79DB12C6"/>
    <w:rsid w:val="7A5E7D4D"/>
    <w:rsid w:val="7A9A6F99"/>
    <w:rsid w:val="7A9C574B"/>
    <w:rsid w:val="7AE75F94"/>
    <w:rsid w:val="7AE97EA0"/>
    <w:rsid w:val="7BFC50FD"/>
    <w:rsid w:val="7C2A25DC"/>
    <w:rsid w:val="7C5C02BC"/>
    <w:rsid w:val="7C7E5979"/>
    <w:rsid w:val="7C821F38"/>
    <w:rsid w:val="7D175C7D"/>
    <w:rsid w:val="7D4460EE"/>
    <w:rsid w:val="7E16039D"/>
    <w:rsid w:val="7E4975A1"/>
    <w:rsid w:val="7E7501C9"/>
    <w:rsid w:val="7EA27EAF"/>
    <w:rsid w:val="7ED54355"/>
    <w:rsid w:val="7F201ED8"/>
    <w:rsid w:val="7F463751"/>
    <w:rsid w:val="7F570E2A"/>
    <w:rsid w:val="7F732689"/>
    <w:rsid w:val="7FB41B12"/>
    <w:rsid w:val="7FD91C2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39"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nhideWhenUsed="0" w:uiPriority="99"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qFormat="1" w:unhideWhenUsed="0" w:uiPriority="0" w:semiHidden="0" w:name="HTML Cite"/>
    <w:lsdException w:qFormat="1"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keepLines/>
      <w:numPr>
        <w:ilvl w:val="0"/>
        <w:numId w:val="1"/>
      </w:numPr>
      <w:spacing w:beforeLines="0" w:beforeAutospacing="0" w:afterLines="0" w:afterAutospacing="0" w:line="360" w:lineRule="auto"/>
      <w:ind w:left="0" w:firstLine="0"/>
      <w:jc w:val="left"/>
      <w:outlineLvl w:val="0"/>
    </w:pPr>
    <w:rPr>
      <w:rFonts w:ascii="Times New Roman" w:hAnsi="Times New Roman" w:eastAsia="方正仿宋_GBK" w:cs="Times New Roman"/>
      <w:b/>
      <w:kern w:val="44"/>
      <w:sz w:val="32"/>
    </w:rPr>
  </w:style>
  <w:style w:type="paragraph" w:styleId="4">
    <w:name w:val="heading 2"/>
    <w:basedOn w:val="1"/>
    <w:next w:val="1"/>
    <w:link w:val="33"/>
    <w:qFormat/>
    <w:uiPriority w:val="0"/>
    <w:pPr>
      <w:keepNext/>
      <w:keepLines/>
      <w:spacing w:before="260" w:after="260" w:line="413" w:lineRule="auto"/>
      <w:outlineLvl w:val="1"/>
    </w:pPr>
    <w:rPr>
      <w:rFonts w:ascii="Arial" w:hAnsi="Arial" w:eastAsia="黑体"/>
      <w:b/>
      <w:sz w:val="32"/>
    </w:rPr>
  </w:style>
  <w:style w:type="paragraph" w:styleId="5">
    <w:name w:val="heading 3"/>
    <w:basedOn w:val="1"/>
    <w:next w:val="1"/>
    <w:qFormat/>
    <w:uiPriority w:val="0"/>
    <w:pPr>
      <w:keepNext/>
      <w:keepLines/>
      <w:spacing w:before="260" w:after="260" w:line="413" w:lineRule="auto"/>
      <w:outlineLvl w:val="2"/>
    </w:pPr>
    <w:rPr>
      <w:b/>
      <w:sz w:val="32"/>
    </w:rPr>
  </w:style>
  <w:style w:type="character" w:default="1" w:styleId="19">
    <w:name w:val="Default Paragraph Font"/>
    <w:semiHidden/>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6">
    <w:name w:val="annotation text"/>
    <w:basedOn w:val="1"/>
    <w:qFormat/>
    <w:uiPriority w:val="0"/>
    <w:pPr>
      <w:adjustRightInd w:val="0"/>
      <w:spacing w:line="360" w:lineRule="atLeast"/>
      <w:jc w:val="left"/>
      <w:textAlignment w:val="baseline"/>
    </w:pPr>
    <w:rPr>
      <w:kern w:val="0"/>
      <w:sz w:val="24"/>
    </w:rPr>
  </w:style>
  <w:style w:type="paragraph" w:styleId="7">
    <w:name w:val="Body Text"/>
    <w:basedOn w:val="1"/>
    <w:next w:val="1"/>
    <w:qFormat/>
    <w:uiPriority w:val="0"/>
    <w:rPr>
      <w:rFonts w:ascii="仿宋_GB2312" w:eastAsia="仿宋_GB2312"/>
      <w:sz w:val="32"/>
    </w:rPr>
  </w:style>
  <w:style w:type="paragraph" w:styleId="8">
    <w:name w:val="Body Text Indent"/>
    <w:basedOn w:val="1"/>
    <w:qFormat/>
    <w:uiPriority w:val="0"/>
    <w:pPr>
      <w:spacing w:line="700" w:lineRule="exact"/>
      <w:ind w:left="960"/>
    </w:pPr>
    <w:rPr>
      <w:sz w:val="44"/>
    </w:rPr>
  </w:style>
  <w:style w:type="paragraph" w:styleId="9">
    <w:name w:val="toc 3"/>
    <w:basedOn w:val="1"/>
    <w:next w:val="1"/>
    <w:qFormat/>
    <w:uiPriority w:val="0"/>
    <w:pPr>
      <w:ind w:left="840" w:leftChars="400"/>
    </w:pPr>
  </w:style>
  <w:style w:type="paragraph" w:styleId="10">
    <w:name w:val="Plain Text"/>
    <w:basedOn w:val="1"/>
    <w:qFormat/>
    <w:uiPriority w:val="0"/>
    <w:rPr>
      <w:rFonts w:ascii="宋体" w:hAnsi="Courier New"/>
      <w:sz w:val="21"/>
    </w:rPr>
  </w:style>
  <w:style w:type="paragraph" w:styleId="11">
    <w:name w:val="Date"/>
    <w:basedOn w:val="1"/>
    <w:next w:val="1"/>
    <w:qFormat/>
    <w:uiPriority w:val="0"/>
  </w:style>
  <w:style w:type="paragraph" w:styleId="12">
    <w:name w:val="Body Text Indent 2"/>
    <w:basedOn w:val="1"/>
    <w:qFormat/>
    <w:uiPriority w:val="0"/>
    <w:pPr>
      <w:snapToGrid w:val="0"/>
      <w:spacing w:line="560" w:lineRule="atLeast"/>
      <w:ind w:firstLine="540"/>
    </w:pPr>
  </w:style>
  <w:style w:type="paragraph" w:styleId="13">
    <w:name w:val="header"/>
    <w:basedOn w:val="1"/>
    <w:qFormat/>
    <w:uiPriority w:val="0"/>
    <w:pPr>
      <w:pBdr>
        <w:bottom w:val="single" w:color="auto" w:sz="6" w:space="1"/>
      </w:pBdr>
      <w:tabs>
        <w:tab w:val="center" w:pos="4153"/>
        <w:tab w:val="right" w:pos="8306"/>
      </w:tabs>
      <w:snapToGrid w:val="0"/>
      <w:jc w:val="center"/>
    </w:pPr>
    <w:rPr>
      <w:sz w:val="18"/>
    </w:rPr>
  </w:style>
  <w:style w:type="paragraph" w:styleId="14">
    <w:name w:val="toc 1"/>
    <w:basedOn w:val="1"/>
    <w:next w:val="1"/>
    <w:qFormat/>
    <w:uiPriority w:val="0"/>
    <w:pPr>
      <w:spacing w:line="180" w:lineRule="auto"/>
      <w:jc w:val="center"/>
    </w:pPr>
    <w:rPr>
      <w:sz w:val="30"/>
    </w:rPr>
  </w:style>
  <w:style w:type="paragraph" w:styleId="15">
    <w:name w:val="toc 2"/>
    <w:basedOn w:val="1"/>
    <w:next w:val="1"/>
    <w:qFormat/>
    <w:uiPriority w:val="39"/>
    <w:pPr>
      <w:ind w:left="420" w:leftChars="200"/>
    </w:pPr>
  </w:style>
  <w:style w:type="paragraph" w:styleId="16">
    <w:name w:val="Body Text First Indent 2"/>
    <w:basedOn w:val="8"/>
    <w:next w:val="1"/>
    <w:qFormat/>
    <w:uiPriority w:val="0"/>
    <w:pPr>
      <w:spacing w:after="120" w:line="240" w:lineRule="auto"/>
      <w:ind w:left="420" w:leftChars="200" w:firstLine="420" w:firstLineChars="200"/>
    </w:pPr>
  </w:style>
  <w:style w:type="table" w:styleId="18">
    <w:name w:val="Table Grid"/>
    <w:basedOn w:val="17"/>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0">
    <w:name w:val="Strong"/>
    <w:basedOn w:val="19"/>
    <w:qFormat/>
    <w:uiPriority w:val="0"/>
    <w:rPr>
      <w:b/>
      <w:bCs/>
    </w:rPr>
  </w:style>
  <w:style w:type="character" w:styleId="21">
    <w:name w:val="page number"/>
    <w:qFormat/>
    <w:uiPriority w:val="0"/>
  </w:style>
  <w:style w:type="character" w:styleId="22">
    <w:name w:val="Emphasis"/>
    <w:basedOn w:val="19"/>
    <w:qFormat/>
    <w:uiPriority w:val="0"/>
    <w:rPr>
      <w:i/>
      <w:iCs/>
      <w:color w:val="000000"/>
      <w:u w:val="none"/>
    </w:rPr>
  </w:style>
  <w:style w:type="character" w:styleId="23">
    <w:name w:val="Hyperlink"/>
    <w:qFormat/>
    <w:uiPriority w:val="99"/>
    <w:rPr>
      <w:color w:val="0000FF"/>
      <w:u w:val="single"/>
    </w:rPr>
  </w:style>
  <w:style w:type="character" w:styleId="24">
    <w:name w:val="HTML Code"/>
    <w:basedOn w:val="19"/>
    <w:qFormat/>
    <w:uiPriority w:val="0"/>
    <w:rPr>
      <w:rFonts w:ascii="Consolas" w:hAnsi="Consolas" w:eastAsia="Consolas" w:cs="Consolas"/>
      <w:color w:val="DD1144"/>
      <w:sz w:val="15"/>
      <w:szCs w:val="15"/>
      <w:bdr w:val="single" w:color="E1E1E8" w:sz="6" w:space="0"/>
      <w:shd w:val="clear" w:color="auto" w:fill="F7F7F9"/>
    </w:rPr>
  </w:style>
  <w:style w:type="character" w:styleId="25">
    <w:name w:val="HTML Cite"/>
    <w:basedOn w:val="19"/>
    <w:qFormat/>
    <w:uiPriority w:val="0"/>
    <w:rPr>
      <w:b/>
      <w:bCs/>
      <w:color w:val="888888"/>
    </w:rPr>
  </w:style>
  <w:style w:type="character" w:customStyle="1" w:styleId="26">
    <w:name w:val="标题 2 Char"/>
    <w:qFormat/>
    <w:uiPriority w:val="0"/>
    <w:rPr>
      <w:rFonts w:ascii="Arial" w:hAnsi="Arial" w:eastAsia="黑体"/>
      <w:b/>
      <w:sz w:val="32"/>
    </w:rPr>
  </w:style>
  <w:style w:type="paragraph" w:customStyle="1" w:styleId="27">
    <w:name w:val="BodyText"/>
    <w:basedOn w:val="1"/>
    <w:next w:val="1"/>
    <w:qFormat/>
    <w:uiPriority w:val="0"/>
    <w:pPr>
      <w:spacing w:line="500" w:lineRule="exact"/>
      <w:textAlignment w:val="baseline"/>
    </w:pPr>
    <w:rPr>
      <w:rFonts w:ascii="宋体" w:hAnsi="宋体"/>
      <w:kern w:val="0"/>
    </w:rPr>
  </w:style>
  <w:style w:type="paragraph" w:customStyle="1" w:styleId="28">
    <w:name w:val="图例"/>
    <w:basedOn w:val="1"/>
    <w:qFormat/>
    <w:uiPriority w:val="0"/>
    <w:pPr>
      <w:spacing w:before="120" w:after="120" w:line="360" w:lineRule="auto"/>
      <w:jc w:val="center"/>
    </w:pPr>
    <w:rPr>
      <w:rFonts w:eastAsia="仿宋_GB2312"/>
      <w:b/>
      <w:sz w:val="24"/>
    </w:rPr>
  </w:style>
  <w:style w:type="paragraph" w:customStyle="1" w:styleId="29">
    <w:name w:val="1"/>
    <w:basedOn w:val="1"/>
    <w:next w:val="10"/>
    <w:qFormat/>
    <w:uiPriority w:val="0"/>
    <w:rPr>
      <w:rFonts w:ascii="宋体" w:hAnsi="Courier New"/>
      <w:sz w:val="21"/>
    </w:rPr>
  </w:style>
  <w:style w:type="paragraph" w:customStyle="1" w:styleId="30">
    <w:name w:val="BT3"/>
    <w:basedOn w:val="5"/>
    <w:qFormat/>
    <w:uiPriority w:val="0"/>
    <w:pPr>
      <w:snapToGrid w:val="0"/>
      <w:spacing w:line="440" w:lineRule="exact"/>
      <w:ind w:firstLine="470" w:firstLineChars="196"/>
    </w:pPr>
    <w:rPr>
      <w:rFonts w:hAnsi="宋体"/>
      <w:b w:val="0"/>
      <w:szCs w:val="28"/>
    </w:rPr>
  </w:style>
  <w:style w:type="paragraph" w:customStyle="1" w:styleId="31">
    <w:name w:val="Table Text"/>
    <w:basedOn w:val="1"/>
    <w:semiHidden/>
    <w:qFormat/>
    <w:uiPriority w:val="0"/>
    <w:rPr>
      <w:rFonts w:ascii="宋体" w:hAnsi="宋体" w:cs="宋体"/>
      <w:sz w:val="20"/>
      <w:lang w:eastAsia="en-US"/>
    </w:rPr>
  </w:style>
  <w:style w:type="paragraph" w:customStyle="1" w:styleId="32">
    <w:name w:val="xl40"/>
    <w:basedOn w:val="1"/>
    <w:qFormat/>
    <w:uiPriority w:val="0"/>
    <w:pPr>
      <w:widowControl/>
      <w:pBdr>
        <w:left w:val="single" w:color="auto" w:sz="4" w:space="0"/>
        <w:right w:val="single" w:color="auto" w:sz="4" w:space="0"/>
      </w:pBdr>
      <w:spacing w:before="100" w:beforeAutospacing="1" w:after="100" w:afterAutospacing="1"/>
      <w:jc w:val="center"/>
    </w:pPr>
    <w:rPr>
      <w:rFonts w:ascii="宋体" w:hAnsi="宋体"/>
      <w:kern w:val="0"/>
      <w:sz w:val="24"/>
    </w:rPr>
  </w:style>
  <w:style w:type="character" w:customStyle="1" w:styleId="33">
    <w:name w:val="标题 2 字符"/>
    <w:link w:val="4"/>
    <w:qFormat/>
    <w:uiPriority w:val="0"/>
    <w:rPr>
      <w:rFonts w:ascii="Arial" w:hAnsi="Arial" w:eastAsia="黑体"/>
      <w:b/>
      <w:kern w:val="2"/>
      <w:sz w:val="32"/>
    </w:rPr>
  </w:style>
  <w:style w:type="paragraph" w:customStyle="1" w:styleId="34">
    <w:name w:val="正文文本缩进 21"/>
    <w:basedOn w:val="1"/>
    <w:qFormat/>
    <w:uiPriority w:val="0"/>
    <w:pPr>
      <w:snapToGrid w:val="0"/>
      <w:spacing w:line="560" w:lineRule="atLeast"/>
      <w:ind w:firstLine="540"/>
    </w:pPr>
  </w:style>
  <w:style w:type="character" w:customStyle="1" w:styleId="35">
    <w:name w:val="active6"/>
    <w:basedOn w:val="19"/>
    <w:qFormat/>
    <w:uiPriority w:val="0"/>
    <w:rPr>
      <w:color w:val="FFFFFF"/>
      <w:shd w:val="clear" w:color="auto" w:fill="E02F23"/>
    </w:rPr>
  </w:style>
  <w:style w:type="character" w:customStyle="1" w:styleId="36">
    <w:name w:val="active1"/>
    <w:basedOn w:val="19"/>
    <w:qFormat/>
    <w:uiPriority w:val="0"/>
    <w:rPr>
      <w:color w:val="FFFFFF"/>
      <w:shd w:val="clear" w:color="auto" w:fill="E02F23"/>
    </w:rPr>
  </w:style>
  <w:style w:type="paragraph" w:styleId="37">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oter" Target="footer5.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theme" Target="theme/theme1.xml"/><Relationship Id="rId13" Type="http://schemas.openxmlformats.org/officeDocument/2006/relationships/header" Target="header4.xml"/><Relationship Id="rId12" Type="http://schemas.openxmlformats.org/officeDocument/2006/relationships/footer" Target="footer7.xml"/><Relationship Id="rId11" Type="http://schemas.openxmlformats.org/officeDocument/2006/relationships/header" Target="header3.xml"/><Relationship Id="rId10" Type="http://schemas.openxmlformats.org/officeDocument/2006/relationships/footer" Target="footer6.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59</Pages>
  <Words>10315</Words>
  <Characters>12000</Characters>
  <Lines>1307</Lines>
  <Paragraphs>1049</Paragraphs>
  <TotalTime>2</TotalTime>
  <ScaleCrop>false</ScaleCrop>
  <LinksUpToDate>false</LinksUpToDate>
  <CharactersWithSpaces>12157</CharactersWithSpaces>
  <Application>WPS Office_12.1.0.21915_F1E327BC-269C-435d-A152-05C5408002CA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2023-12-28T01:50:00Z</dcterms:created>
  <dc:creator>叶琼</dc:creator>
  <cp:lastModifiedBy>zfh-1016</cp:lastModifiedBy>
  <dcterms:modified xsi:type="dcterms:W3CDTF">2025-07-15T06:15:51Z</dcterms:modified>
  <cp:revision>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2052-12.1.0.21915</vt:lpwstr>
  </property>
  <property fmtid="{D5CDD505-2E9C-101B-9397-08002B2CF9AE}" pid="3" name="ICV">
    <vt:lpwstr>F8747D5D49564A12AB66D626C68AD76B</vt:lpwstr>
  </property>
  <property fmtid="{D5CDD505-2E9C-101B-9397-08002B2CF9AE}" pid="4" name="KSOTemplateDocerSaveRecord">
    <vt:lpwstr>eyJoZGlkIjoiOGY3YmJlMTYyNWE5MWZkNGYzODE5ZWE2YzM3MjQxYjIiLCJ1c2VySWQiOiI0NTAyNzg0NDAifQ==</vt:lpwstr>
  </property>
</Properties>
</file>