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版本号：SYCG-CS-2500420250321001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三原县优于1米卫星影像编程数据及遥感监测数据技术协作项目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SYCG-CS-25004</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三原县优于1米卫星影像编程数据及遥感监测数据技术协作项目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SYCG-CS-25004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三原县优于1米卫星影像编程数据及遥感监测数据技术协作项目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陕西省咸阳市三原县优于1米卫星影像编程数据及遥感监测数据技术协作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拟派往本项目的负责人必须具有遥感、测绘相关专业高级工程师职称、注册测绘师资格，提供2024年1月至今任意一个月的供应商为其缴纳的社会保险的证明材料（五险一金提供一项即可），且未担任其它正在实施项目的项目负责人，无不良信用记录。</w:t>
      </w:r>
    </w:p>
    <w:p>
      <w:pPr>
        <w:pStyle w:val="null3"/>
      </w:pPr>
      <w:r>
        <w:rPr>
          <w:rFonts w:ascii="仿宋_GB2312" w:hAnsi="仿宋_GB2312" w:cs="仿宋_GB2312" w:eastAsia="仿宋_GB2312"/>
        </w:rPr>
        <w:t>2、供应商资质：供应商需具备测绘行政主管部门颁发的乙级或以上测绘资质，且专业类别必须包含摄影测量与遥感</w:t>
      </w:r>
    </w:p>
    <w:p>
      <w:pPr>
        <w:pStyle w:val="null3"/>
      </w:pPr>
      <w:r>
        <w:rPr>
          <w:rFonts w:ascii="仿宋_GB2312" w:hAnsi="仿宋_GB2312" w:cs="仿宋_GB2312" w:eastAsia="仿宋_GB2312"/>
        </w:rPr>
        <w:t>3、数据获取能力：具有获取优于1米卫星影像编程数据的合法渠道和能力，提供相关证明材料，授权或与卫星数据供应商的合作协议等。</w:t>
      </w:r>
    </w:p>
    <w:p>
      <w:pPr>
        <w:pStyle w:val="null3"/>
      </w:pPr>
      <w:r>
        <w:rPr>
          <w:rFonts w:ascii="仿宋_GB2312" w:hAnsi="仿宋_GB2312" w:cs="仿宋_GB2312" w:eastAsia="仿宋_GB2312"/>
        </w:rPr>
        <w:t>4、技术能力：拥有遥感监测相关的软件著作权或自主研发的遥感监测技术平台，提供相关证书或技术说明材料</w:t>
      </w:r>
    </w:p>
    <w:p>
      <w:pPr>
        <w:pStyle w:val="null3"/>
      </w:pPr>
      <w:r>
        <w:rPr>
          <w:rFonts w:ascii="仿宋_GB2312" w:hAnsi="仿宋_GB2312" w:cs="仿宋_GB2312" w:eastAsia="仿宋_GB2312"/>
        </w:rPr>
        <w:t>5、保密能力：具有健全的保密制度和保密设施，能够确保项目数据安全，供应商需提供保密承诺函，承诺对项目中涉及的所有数据和信息严格保密。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陕西省咸阳市三原县政府大院内西北角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15877619722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符合相关验收方案要求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陕西省咸阳市三原县优于1米卫星影像编程数据及遥感监测数据技术协作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499,800.00</w:t>
      </w:r>
    </w:p>
    <w:p>
      <w:pPr>
        <w:pStyle w:val="null3"/>
      </w:pPr>
      <w:r>
        <w:rPr>
          <w:rFonts w:ascii="仿宋_GB2312" w:hAnsi="仿宋_GB2312" w:cs="仿宋_GB2312" w:eastAsia="仿宋_GB2312"/>
        </w:rPr>
        <w:t>采购包最高限价（元）: 499,800.00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三原县优于1米卫星影像编程数据及遥感监测数据技术协作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499,800.00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标的名称：三原县优于1米卫星影像编程数据及遥感监测数据技术协作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空间分辨率</w:t>
            </w:r>
          </w:p>
        </w:tc>
        <w:tc>
          <w:tcPr>
            <w:tcW w:type="dxa" w:w="2076"/>
          </w:tcPr>
          <w:p>
            <w:pPr>
              <w:pStyle w:val="null3"/>
            </w:pPr>
            <w:r>
              <w:rPr>
                <w:rFonts w:ascii="仿宋_GB2312" w:hAnsi="仿宋_GB2312" w:cs="仿宋_GB2312" w:eastAsia="仿宋_GB2312"/>
              </w:rPr>
              <w:t>空间分辨率：全色影像分辨率优于1米，多光谱影像分辨率根据具体需求确定，但应保证能够满足地物分类和变化检测的精度要求，一般情况下，多光谱影像分辨率应优于4米。</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光谱分辨率</w:t>
            </w:r>
          </w:p>
        </w:tc>
        <w:tc>
          <w:tcPr>
            <w:tcW w:type="dxa" w:w="2076"/>
          </w:tcPr>
          <w:p>
            <w:pPr>
              <w:pStyle w:val="null3"/>
            </w:pPr>
            <w:r>
              <w:rPr>
                <w:rFonts w:ascii="仿宋_GB2312" w:hAnsi="仿宋_GB2312" w:cs="仿宋_GB2312" w:eastAsia="仿宋_GB2312"/>
              </w:rPr>
              <w:t>具备多个光谱波段，包括可见光波段（蓝、绿、红）、近红外波段等，光谱分辨率应能够区分不同地物的光谱特征差异。</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辐射分辨率</w:t>
            </w:r>
          </w:p>
        </w:tc>
        <w:tc>
          <w:tcPr>
            <w:tcW w:type="dxa" w:w="2076"/>
          </w:tcPr>
          <w:p>
            <w:pPr>
              <w:pStyle w:val="null3"/>
            </w:pPr>
            <w:r>
              <w:rPr>
                <w:rFonts w:ascii="仿宋_GB2312" w:hAnsi="仿宋_GB2312" w:cs="仿宋_GB2312" w:eastAsia="仿宋_GB2312"/>
              </w:rPr>
              <w:t>辐射分辨率不低于12bit，以保证影像能够记录丰富的地物辐射信息，提高影像的动态范围和可解译性。</w:t>
            </w: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处理速度</w:t>
            </w:r>
          </w:p>
        </w:tc>
        <w:tc>
          <w:tcPr>
            <w:tcW w:type="dxa" w:w="2076"/>
          </w:tcPr>
          <w:p>
            <w:pPr>
              <w:pStyle w:val="null3"/>
            </w:pPr>
            <w:r>
              <w:rPr>
                <w:rFonts w:ascii="仿宋_GB2312" w:hAnsi="仿宋_GB2312" w:cs="仿宋_GB2312" w:eastAsia="仿宋_GB2312"/>
              </w:rPr>
              <w:t>对于批量的卫星影像数据处理任务，应具备高效的处理能力，能够在规定的时间内完成数据预处理、影像融合、镶嵌拼接等工作。</w:t>
            </w:r>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处理精度</w:t>
            </w:r>
          </w:p>
        </w:tc>
        <w:tc>
          <w:tcPr>
            <w:tcW w:type="dxa" w:w="2076"/>
          </w:tcPr>
          <w:p>
            <w:pPr>
              <w:pStyle w:val="null3"/>
            </w:pPr>
            <w:r>
              <w:rPr>
                <w:rFonts w:ascii="仿宋_GB2312" w:hAnsi="仿宋_GB2312" w:cs="仿宋_GB2312" w:eastAsia="仿宋_GB2312"/>
              </w:rPr>
              <w:t>数据处理后的几何精度误差应控制在0.5个像元以内，辐射精度误差应在可接受的范围内，确保处理后的影像数据能够满足高精度的遥感监测和分析需求。</w:t>
            </w:r>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监测期次</w:t>
            </w:r>
          </w:p>
        </w:tc>
        <w:tc>
          <w:tcPr>
            <w:tcW w:type="dxa" w:w="2076"/>
          </w:tcPr>
          <w:p>
            <w:pPr>
              <w:pStyle w:val="null3"/>
            </w:pPr>
            <w:r>
              <w:rPr>
                <w:rFonts w:ascii="仿宋_GB2312" w:hAnsi="仿宋_GB2312" w:cs="仿宋_GB2312" w:eastAsia="仿宋_GB2312"/>
                <w:sz w:val="21"/>
              </w:rPr>
              <w:t>按季度获取覆盖三原县的有效卫星影像数据</w:t>
            </w:r>
            <w:r>
              <w:rPr>
                <w:rFonts w:ascii="仿宋_GB2312" w:hAnsi="仿宋_GB2312" w:cs="仿宋_GB2312" w:eastAsia="仿宋_GB2312"/>
                <w:sz w:val="21"/>
              </w:rPr>
              <w:t>4期次</w:t>
            </w:r>
            <w:r>
              <w:rPr>
                <w:rFonts w:ascii="仿宋_GB2312" w:hAnsi="仿宋_GB2312" w:cs="仿宋_GB2312" w:eastAsia="仿宋_GB2312"/>
                <w:sz w:val="21"/>
              </w:rPr>
              <w:t>，依据最新卫星影像对比基期遥感影像数据及土地利用现状年度变更调查数据库，提供最新监测期的耕地变化遥感监测图斑。</w:t>
            </w:r>
          </w:p>
        </w:tc>
      </w:tr>
      <w:tr>
        <w:tc>
          <w:tcPr>
            <w:tcW w:type="dxa" w:w="2076"/>
          </w:tcPr>
          <w:p/>
        </w:tc>
        <w:tc>
          <w:tcPr>
            <w:tcW w:type="dxa" w:w="2076"/>
          </w:tcPr>
          <w:p>
            <w:pPr>
              <w:pStyle w:val="null3"/>
            </w:pPr>
            <w:r>
              <w:rPr>
                <w:rFonts w:ascii="仿宋_GB2312" w:hAnsi="仿宋_GB2312" w:cs="仿宋_GB2312" w:eastAsia="仿宋_GB2312"/>
              </w:rPr>
              <w:t>7</w:t>
            </w:r>
          </w:p>
        </w:tc>
        <w:tc>
          <w:tcPr>
            <w:tcW w:type="dxa" w:w="2076"/>
          </w:tcPr>
          <w:p>
            <w:pPr>
              <w:pStyle w:val="null3"/>
            </w:pPr>
            <w:r>
              <w:rPr>
                <w:rFonts w:ascii="仿宋_GB2312" w:hAnsi="仿宋_GB2312" w:cs="仿宋_GB2312" w:eastAsia="仿宋_GB2312"/>
              </w:rPr>
              <w:t>监测时效性</w:t>
            </w:r>
          </w:p>
        </w:tc>
        <w:tc>
          <w:tcPr>
            <w:tcW w:type="dxa" w:w="2076"/>
          </w:tcPr>
          <w:p>
            <w:pPr>
              <w:pStyle w:val="null3"/>
            </w:pPr>
            <w:r>
              <w:rPr>
                <w:rFonts w:ascii="仿宋_GB2312" w:hAnsi="仿宋_GB2312" w:cs="仿宋_GB2312" w:eastAsia="仿宋_GB2312"/>
              </w:rPr>
              <w:t>从数据获取到监测结果发布的时间间隔应尽可能短，对于紧急监测任务，应在3个工作日内完成数据处理与监测分析，提交监测报告；对于常规监测任务，应在一周内完成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三原县自然资源局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符合相关验收方案要求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30天内完成转账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因合同执行过程中双方发生纠纷，可由双方当事人协商解决或由双方主管部门调解，若达不成协议，当事人双方同意向项目所在地有管辖权的人民法院诉。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本项目的负责人必须具有遥感、测绘相关专业高级工程师职称、注册测绘师资格，提供2024年1月至今任意一个月的供应商为其缴纳的社会保险的证明材料（五险一金提供一项即可），且未担任其它正在实施项目的项目负责人，无不良信用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供应商需具备测绘行政主管部门颁发的乙级或以上测绘资质，且专业类别必须包含摄影测量与遥感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数据获取能力</w:t>
            </w:r>
          </w:p>
        </w:tc>
        <w:tc>
          <w:tcPr>
            <w:tcW w:type="dxa" w:w="3322"/>
          </w:tcPr>
          <w:p>
            <w:pPr>
              <w:pStyle w:val="null3"/>
            </w:pPr>
            <w:r>
              <w:rPr>
                <w:rFonts w:ascii="仿宋_GB2312" w:hAnsi="仿宋_GB2312" w:cs="仿宋_GB2312" w:eastAsia="仿宋_GB2312"/>
              </w:rPr>
              <w:t>具有获取优于1米卫星影像编程数据的合法渠道和能力，提供相关证明材料，授权或与卫星数据供应商的合作协议等。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技术能力</w:t>
            </w:r>
          </w:p>
        </w:tc>
        <w:tc>
          <w:tcPr>
            <w:tcW w:type="dxa" w:w="3322"/>
          </w:tcPr>
          <w:p>
            <w:pPr>
              <w:pStyle w:val="null3"/>
            </w:pPr>
            <w:r>
              <w:rPr>
                <w:rFonts w:ascii="仿宋_GB2312" w:hAnsi="仿宋_GB2312" w:cs="仿宋_GB2312" w:eastAsia="仿宋_GB2312"/>
              </w:rPr>
              <w:t>拥有遥感监测相关的软件著作权或自主研发的遥感监测技术平台，提供相关证书或技术说明材料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保密能力</w:t>
            </w:r>
          </w:p>
        </w:tc>
        <w:tc>
          <w:tcPr>
            <w:tcW w:type="dxa" w:w="3322"/>
          </w:tcPr>
          <w:p>
            <w:pPr>
              <w:pStyle w:val="null3"/>
            </w:pPr>
            <w:r>
              <w:rPr>
                <w:rFonts w:ascii="仿宋_GB2312" w:hAnsi="仿宋_GB2312" w:cs="仿宋_GB2312" w:eastAsia="仿宋_GB2312"/>
              </w:rPr>
              <w:t>具有健全的保密制度和保密设施，能够确保项目数据安全，供应商需提供保密承诺函，承诺对项目中涉及的所有数据和信息严格保密。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投标人名称营业执照/事业单位法人证书/专业服务机构执业许可证/民办非企业单位登记证书一致性；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响应文件封面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详细评审85.0000分</w:t>
            </w:r>
          </w:p>
          <w:p>
            <w:pPr>
              <w:pStyle w:val="null3"/>
            </w:pPr>
            <w:r>
              <w:rPr>
                <w:rFonts w:ascii="仿宋_GB2312" w:hAnsi="仿宋_GB2312" w:cs="仿宋_GB2312" w:eastAsia="仿宋_GB2312"/>
              </w:rPr>
              <w:t>报价得分15.0000分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影像数据处理技术（15分）</w:t>
            </w:r>
          </w:p>
        </w:tc>
        <w:tc>
          <w:tcPr>
            <w:tcW w:type="dxa" w:w="2492"/>
          </w:tcPr>
          <w:p>
            <w:pPr>
              <w:pStyle w:val="null3"/>
            </w:pPr>
            <w:r>
              <w:rPr>
                <w:rFonts w:ascii="仿宋_GB2312" w:hAnsi="仿宋_GB2312" w:cs="仿宋_GB2312" w:eastAsia="仿宋_GB2312"/>
              </w:rPr>
              <w:t>阐述对1米卫星影像编程数据处理的技术路线和工作流程。先进合理得10 - 15分 ，有一定可行性得5 - 9分，存在明显缺陷得0 - 4分。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遥感监测方法（10分）</w:t>
            </w:r>
          </w:p>
        </w:tc>
        <w:tc>
          <w:tcPr>
            <w:tcW w:type="dxa" w:w="2492"/>
          </w:tcPr>
          <w:p>
            <w:pPr>
              <w:pStyle w:val="null3"/>
            </w:pPr>
            <w:r>
              <w:rPr>
                <w:rFonts w:ascii="仿宋_GB2312" w:hAnsi="仿宋_GB2312" w:cs="仿宋_GB2312" w:eastAsia="仿宋_GB2312"/>
              </w:rPr>
              <w:t>介绍针对项目的遥感监测技术流程、精度保障措施。科学有效得7 - 10分 ，基本满足要求得3 - 6分，不足较多得0 - 2分。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质量控制措施（10分）</w:t>
            </w:r>
          </w:p>
        </w:tc>
        <w:tc>
          <w:tcPr>
            <w:tcW w:type="dxa" w:w="2492"/>
          </w:tcPr>
          <w:p>
            <w:pPr>
              <w:pStyle w:val="null3"/>
            </w:pPr>
            <w:r>
              <w:rPr>
                <w:rFonts w:ascii="仿宋_GB2312" w:hAnsi="仿宋_GB2312" w:cs="仿宋_GB2312" w:eastAsia="仿宋_GB2312"/>
              </w:rPr>
              <w:t>说明确保数据质量的检查、审核机制。完善严谨得7 - 10分 ，有一定措施得3 - 6分，措施薄弱得0 - 2分。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项目团队（10分）</w:t>
            </w:r>
          </w:p>
        </w:tc>
        <w:tc>
          <w:tcPr>
            <w:tcW w:type="dxa" w:w="2492"/>
          </w:tcPr>
          <w:p>
            <w:pPr>
              <w:pStyle w:val="null3"/>
            </w:pPr>
            <w:r>
              <w:rPr>
                <w:rFonts w:ascii="仿宋_GB2312" w:hAnsi="仿宋_GB2312" w:cs="仿宋_GB2312" w:eastAsia="仿宋_GB2312"/>
              </w:rPr>
              <w:t>团队中专业技术人员的资质、经验及人员配置合理性。人员专业能力强、配置合理得7 - 10分 ，基本满足项目需求得3 - 6分，人员不足或经验欠缺得0 - 2分。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服务响应时间（10分）</w:t>
            </w:r>
          </w:p>
        </w:tc>
        <w:tc>
          <w:tcPr>
            <w:tcW w:type="dxa" w:w="2492"/>
          </w:tcPr>
          <w:p>
            <w:pPr>
              <w:pStyle w:val="null3"/>
            </w:pPr>
            <w:r>
              <w:rPr>
                <w:rFonts w:ascii="仿宋_GB2312" w:hAnsi="仿宋_GB2312" w:cs="仿宋_GB2312" w:eastAsia="仿宋_GB2312"/>
              </w:rPr>
              <w:t>对项目实施过程中问题的响应速度和解决时间承诺。响应迅速、解决时间短得7 - 10分 ，有合理响应机制得3 - 6分，响应时间长、机制不完善得0 - 2分。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售后服务（10分）</w:t>
            </w:r>
          </w:p>
        </w:tc>
        <w:tc>
          <w:tcPr>
            <w:tcW w:type="dxa" w:w="2492"/>
          </w:tcPr>
          <w:p>
            <w:pPr>
              <w:pStyle w:val="null3"/>
            </w:pPr>
            <w:r>
              <w:rPr>
                <w:rFonts w:ascii="仿宋_GB2312" w:hAnsi="仿宋_GB2312" w:cs="仿宋_GB2312" w:eastAsia="仿宋_GB2312"/>
              </w:rPr>
              <w:t>提供售后服务的内容、期限及保障措施。售后服务全面、期限长、保障有力得7 - 10分 ，有基本售后服务得3 - 6分，售后服务不完善得0 - 2分。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类似项目业绩（15分）</w:t>
            </w:r>
          </w:p>
        </w:tc>
        <w:tc>
          <w:tcPr>
            <w:tcW w:type="dxa" w:w="2492"/>
          </w:tcPr>
          <w:p>
            <w:pPr>
              <w:pStyle w:val="null3"/>
            </w:pPr>
            <w:r>
              <w:rPr>
                <w:rFonts w:ascii="仿宋_GB2312" w:hAnsi="仿宋_GB2312" w:cs="仿宋_GB2312" w:eastAsia="仿宋_GB2312"/>
              </w:rPr>
              <w:t>提供2021年至今类似卫星影像数据处理及遥感监测项目业绩合同。每提供一个得3分，最高15分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项目实施效果（5分）</w:t>
            </w:r>
          </w:p>
        </w:tc>
        <w:tc>
          <w:tcPr>
            <w:tcW w:type="dxa" w:w="2492"/>
          </w:tcPr>
          <w:p>
            <w:pPr>
              <w:pStyle w:val="null3"/>
            </w:pPr>
            <w:r>
              <w:rPr>
                <w:rFonts w:ascii="仿宋_GB2312" w:hAnsi="仿宋_GB2312" w:cs="仿宋_GB2312" w:eastAsia="仿宋_GB2312"/>
              </w:rPr>
              <w:t>已完成项目的验收情况、客户评价。验收顺利、客户评价好得4 - 5分 ，验收合格、评价一般得2 - 3分，有验收问题或差评得0 - 1分。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满足招标文件要求且报价最低的为评标基准价，其价格分为满分15分 。其他供应商的价格分按照公式计算：（评标基准价/投标报价）×15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