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440001-2024-36221</w:t>
      </w:r>
    </w:p>
    <w:p>
      <w:pPr>
        <w:pStyle w:val="null3"/>
        <w:jc w:val="center"/>
        <w:outlineLvl w:val="3"/>
      </w:pPr>
      <w:r>
        <w:rPr>
          <w:sz w:val="24"/>
          <w:b/>
        </w:rPr>
        <w:t>采购项目编号：</w:t>
      </w:r>
      <w:r>
        <w:rPr>
          <w:sz w:val="24"/>
          <w:b/>
        </w:rPr>
        <w:t>HXGZ202405C571</w:t>
      </w:r>
    </w:p>
    <w:p>
      <w:pPr>
        <w:pStyle w:val="null3"/>
        <w:jc w:val="center"/>
        <w:outlineLvl w:val="3"/>
      </w:pPr>
      <w:r>
        <w:rPr>
          <w:sz w:val="24"/>
          <w:b/>
        </w:rPr>
        <w:t>项目名称：</w:t>
      </w:r>
      <w:r>
        <w:rPr>
          <w:sz w:val="24"/>
          <w:b/>
        </w:rPr>
        <w:t>广东省公安厅2024-24交管业务收费对账管理平台开发（2024年）项目(三次)</w:t>
      </w:r>
    </w:p>
    <w:p>
      <w:pPr>
        <w:pStyle w:val="null3"/>
        <w:jc w:val="center"/>
        <w:outlineLvl w:val="3"/>
      </w:pPr>
      <w:r>
        <w:rPr>
          <w:sz w:val="24"/>
          <w:b/>
        </w:rPr>
        <w:t>采购人：</w:t>
      </w:r>
      <w:r>
        <w:rPr>
          <w:sz w:val="24"/>
          <w:b/>
        </w:rPr>
        <w:t>广东省公安厅（本部）</w:t>
      </w:r>
    </w:p>
    <w:p>
      <w:pPr>
        <w:pStyle w:val="null3"/>
        <w:jc w:val="center"/>
        <w:outlineLvl w:val="3"/>
      </w:pPr>
      <w:r>
        <w:rPr>
          <w:sz w:val="24"/>
          <w:b/>
        </w:rPr>
        <w:t>采购代理机构：</w:t>
      </w:r>
      <w:r>
        <w:rPr>
          <w:sz w:val="24"/>
          <w:b/>
        </w:rPr>
        <w:t>广东华信招标有限公司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广东华信招标有限公司</w:t>
      </w:r>
      <w:r>
        <w:rPr/>
        <w:t>受</w:t>
      </w:r>
      <w:r>
        <w:rPr/>
        <w:t>广东省公安厅（本部）</w:t>
      </w:r>
      <w:r>
        <w:rPr/>
        <w:t>的委托，采用</w:t>
      </w:r>
      <w:r>
        <w:rPr/>
        <w:t>竞争性磋商</w:t>
      </w:r>
      <w:r>
        <w:rPr/>
        <w:t>方式组织采购</w:t>
      </w:r>
      <w:r>
        <w:rPr/>
        <w:t>广东省公安厅2024-24交管业务收费对账管理平台开发（2024年）项目(三次)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广东省公安厅2024-24交管业务收费对账管理平台开发（2024年）项目(三次)</w:t>
      </w:r>
    </w:p>
    <w:p>
      <w:pPr>
        <w:pStyle w:val="null3"/>
        <w:ind w:firstLine="480"/>
      </w:pPr>
      <w:r>
        <w:rPr/>
        <w:t>采购计划编号：</w:t>
      </w:r>
      <w:r>
        <w:rPr/>
        <w:t>440001-2024-36221</w:t>
      </w:r>
    </w:p>
    <w:p>
      <w:pPr>
        <w:pStyle w:val="null3"/>
        <w:ind w:firstLine="480"/>
      </w:pPr>
      <w:r>
        <w:rPr/>
        <w:t>采购项目编号：</w:t>
      </w:r>
      <w:r>
        <w:rPr/>
        <w:t>HXGZ202405C571</w:t>
      </w:r>
    </w:p>
    <w:p>
      <w:pPr>
        <w:pStyle w:val="null3"/>
        <w:ind w:firstLine="480"/>
      </w:pPr>
      <w:r>
        <w:rPr/>
        <w:t>采购方式：</w:t>
      </w:r>
      <w:r>
        <w:rPr/>
        <w:t>竞争性磋商</w:t>
      </w:r>
    </w:p>
    <w:p>
      <w:pPr>
        <w:pStyle w:val="null3"/>
        <w:ind w:firstLine="480"/>
      </w:pPr>
      <w:r>
        <w:rPr/>
        <w:t>预算金额：</w:t>
      </w:r>
      <w:r>
        <w:rPr/>
        <w:t>1,065,400.00</w:t>
      </w:r>
      <w:r>
        <w:rPr/>
        <w:t>元</w:t>
      </w:r>
    </w:p>
    <w:p>
      <w:pPr>
        <w:pStyle w:val="null3"/>
        <w:outlineLvl w:val="3"/>
      </w:pPr>
      <w:r>
        <w:rPr>
          <w:sz w:val="24"/>
          <w:b/>
        </w:rPr>
        <w:t>2.项目内容及需求情况（采购项目技术规格、参数及要求）</w:t>
      </w:r>
    </w:p>
    <w:p>
      <w:pPr>
        <w:pStyle w:val="null3"/>
      </w:pPr>
      <w:r>
        <w:rPr/>
        <w:t>采购包1(广东省公安厅2024-24交管业务收费对账管理平台开发（2024年）项目):</w:t>
      </w:r>
    </w:p>
    <w:p>
      <w:pPr>
        <w:pStyle w:val="null3"/>
      </w:pPr>
      <w:r>
        <w:rPr/>
        <w:t>采购包预算金额：1,065,400.00元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广东省公安厅2024-24交管业务收费对账管理平台开发（2024年）项目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合同履行期限：合同签订后 24 个月内完成项目全部建设内容的开发、上线和验收工作。</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2）有依法缴纳税收和社会保障资金的良好记录：提供响应截止日前6个月内任意1个月依法缴纳税收和社会保障资金的相关材料。如依法免税或不需要缴纳社会保障资金的，提供相应证明材料。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3）具有良好的商业信誉和健全的财务会计制度：供应商提供2023年的年度财务状况报告复印件，或响应截止之日前6个月任意1个月的财务状况报告复印件；或银行出具的资信证明材料复印件。</w:t>
      </w:r>
    </w:p>
    <w:p>
      <w:pPr>
        <w:pStyle w:val="null3"/>
      </w:pPr>
      <w:r>
        <w:rPr/>
        <w:t>4）履行合同所必需的设备和专业技术能力：提供具备履行合同所必须的设备和专业技术能力证明资料或声明函，格式自拟。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采购包1（广东省公安厅2024-24交管业务收费对账管理平台开发（2024年）项目）：</w:t>
      </w:r>
      <w:r>
        <w:rPr/>
        <w:t>本项目专门面向中小微企业采购，需提供《中小企业声明函》（服务、工程）（本项目中小企业划分标准所属行业为软件和信息技术服务业）。</w:t>
      </w:r>
    </w:p>
    <w:p>
      <w:pPr>
        <w:pStyle w:val="null3"/>
        <w:outlineLvl w:val="3"/>
      </w:pPr>
      <w:r>
        <w:rPr>
          <w:sz w:val="24"/>
          <w:b/>
        </w:rPr>
        <w:t>3.本项目特定的资格要求：</w:t>
      </w:r>
    </w:p>
    <w:p>
      <w:pPr>
        <w:pStyle w:val="null3"/>
      </w:pPr>
      <w:r>
        <w:rPr/>
        <w:t>采购包1（广东省公安厅2024-24交管业务收费对账管理平台开发（2024年）项目）：</w:t>
      </w:r>
    </w:p>
    <w:p>
      <w:pPr>
        <w:pStyle w:val="null3"/>
      </w:pPr>
      <w:r>
        <w:rPr/>
        <w:t>1)供应商未被列入“信用中国”网站(www.creditchina.gov.cn)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磋商，需查询分公司及其总公司的信用情况。（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包组）投标。为本项目提供整体设计、规范编制或者项目管理、监理、检测等服务的供应商，不得再参与本项目投标。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广东华信招标有限公司（www.gdhxzb.cn）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广东省公安厅（本部）</w:t>
      </w:r>
    </w:p>
    <w:p>
      <w:pPr>
        <w:pStyle w:val="null3"/>
        <w:ind w:firstLine="480"/>
      </w:pPr>
      <w:r>
        <w:rPr/>
        <w:t>地址：</w:t>
      </w:r>
      <w:r>
        <w:rPr/>
        <w:t>黄华路97号大院</w:t>
      </w:r>
    </w:p>
    <w:p>
      <w:pPr>
        <w:pStyle w:val="null3"/>
        <w:ind w:firstLine="480"/>
      </w:pPr>
      <w:r>
        <w:rPr/>
        <w:t>联系方式：</w:t>
      </w:r>
      <w:r>
        <w:rPr/>
        <w:t>020-83111528</w:t>
      </w:r>
    </w:p>
    <w:p>
      <w:pPr>
        <w:pStyle w:val="null3"/>
        <w:outlineLvl w:val="3"/>
      </w:pPr>
      <w:r>
        <w:rPr>
          <w:sz w:val="24"/>
          <w:b/>
        </w:rPr>
        <w:t>2.采购代理机构信息</w:t>
      </w:r>
    </w:p>
    <w:p>
      <w:pPr>
        <w:pStyle w:val="null3"/>
        <w:ind w:firstLine="480"/>
      </w:pPr>
      <w:r>
        <w:rPr/>
        <w:t>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余小姐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为进一步提高群众缴费的便利性，根据公安部便民利企的有关要求，遵循财政票据管理改革标准化、规范化的业务要求，为广东省公安厅提供交管业务收费对账管理平台开发服务。</w:t>
      </w:r>
    </w:p>
    <w:p>
      <w:pPr>
        <w:pStyle w:val="null3"/>
      </w:pPr>
      <w:r>
        <w:rPr/>
        <w:t>采购包1（广东省公安厅2024-24交管业务收费对账管理平台开发（2024年）项目）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 24 个月内完成项目全部建设内容的开发、上线和验收工作。</w:t>
            </w:r>
          </w:p>
        </w:tc>
      </w:tr>
      <w:tr>
        <w:tc>
          <w:tcPr>
            <w:tcW w:type="dxa" w:w="4153"/>
          </w:tcPr>
          <w:p>
            <w:pPr>
              <w:pStyle w:val="null3"/>
            </w:pPr>
            <w:r>
              <w:rPr/>
              <w:t>标的提供的地点</w:t>
            </w:r>
          </w:p>
        </w:tc>
        <w:tc>
          <w:tcPr>
            <w:tcW w:type="dxa" w:w="4153"/>
          </w:tcPr>
          <w:p>
            <w:pPr>
              <w:pStyle w:val="null3"/>
            </w:pPr>
            <w:r>
              <w:rPr/>
              <w:t>广东省公安厅交通管理局。</w:t>
            </w:r>
          </w:p>
        </w:tc>
      </w:tr>
      <w:tr>
        <w:tc>
          <w:tcPr>
            <w:tcW w:type="dxa" w:w="4153"/>
          </w:tcPr>
          <w:p>
            <w:pPr>
              <w:pStyle w:val="null3"/>
            </w:pPr>
            <w:r>
              <w:rPr/>
              <w:t>付款方式</w:t>
            </w:r>
          </w:p>
        </w:tc>
        <w:tc>
          <w:tcPr>
            <w:tcW w:type="dxa" w:w="4153"/>
          </w:tcPr>
          <w:p>
            <w:pPr>
              <w:pStyle w:val="null3"/>
            </w:pPr>
            <w:r>
              <w:rPr/>
              <w:t>1期：支付比例100%,1、合同签订后的10个工作日内办理支付申请手续，申请支付合同总额的30%。 2、初步验收通过后的10个工作日内办理支付申请手续，申请支付合同总额的50%。 3、第三笔款是最终验收后的支付款项，第三笔款的应付款为合同总额的20%，但第三笔款的实付款为应付款与服务考核评价挂钩计算的结果。最终验收通过后的10个工作日内，按照“实付款=第三笔款的应付款×服务考核评价得分/100”计算第三笔款的实付款（服务考核评价要求，详见下文第四点服务考核评价要求），办理支付申请手续，申请支付第三笔款的实付款。 如项目发生合同融资，采购人应当将合同款项支付到合同约定收款账户。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的主要依据包括本采购需求书、响应文件、合同文件，以及采购需求说明书和设计方案等。验收（包括初步验收、最终验收）流程和要求按照《广东省公安厅信息化项目管理办法》（粤公科信办［2021］73号）相关规定执行。项目验收包括初验和终验，项目基本完成项目合同建设内容，具备上线运行条件，即可进行初验。项目通过初验，系统在试运行期内稳定运行（系统试运行期为期6个月），且通过安全测评（包括网络安全等级保护测评服务和专项安全测评服务）、国密测评、信息技术应用创新符合性测试(取得测试报告)、验收测评，才能进行终验。同时需要满足以下要求： （1）系统功能，按照采购需求书的要求，逐一检查系统功能是否达到设计要求。 （2）系统性能按照采购需求书的性能指标，逐一测试系统指标是否能达到设计要求。 （3）文档资料检查系统设计文档是否齐全，是否合格。 2、验收时间：成交供应商项目完成后，认为达到项目要求的，应向采购人提出书面验收申请，采购人无异议的，7日内组织终验，验收应在采购人与成交供应商双方共同参加下进行。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其他，供应商须准备PPT对本项目进行述标： 1、述标人数：一般不超过2人（含授权委托代表）。 2、述标时间：不超过15分钟。 3、述标设备：供应商需准备述标相关设备及材料（如电脑等），现场仅提供投影功能。 4、述标内容：供应商讲解的内容包括但不限于建设方案、项目重难点解决方案等内容。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广东省公安厅2024-24交管业务收费对账管理平台开发（2024年）项目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1,065,400.00</w:t>
            </w:r>
          </w:p>
        </w:tc>
        <w:tc>
          <w:tcPr>
            <w:tcW w:type="dxa" w:w="933"/>
          </w:tcPr>
          <w:p>
            <w:pPr>
              <w:pStyle w:val="null3"/>
              <w:jc w:val="right"/>
            </w:pPr>
            <w:r>
              <w:rPr/>
              <w:t>1,065,400.00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广东省公安厅2024-24交管业务收费对账管理平台开发（2024年）项目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本项目最高限价（预算金额）：人民币</w:t>
            </w:r>
            <w:r>
              <w:rPr>
                <w:sz w:val="21"/>
              </w:rPr>
              <w:t>106.54</w:t>
            </w:r>
            <w:r>
              <w:rPr>
                <w:sz w:val="21"/>
              </w:rPr>
              <w:t>万元</w:t>
            </w:r>
          </w:p>
        </w:tc>
      </w:tr>
      <w:tr>
        <w:tc>
          <w:tcPr>
            <w:tcW w:type="dxa" w:w="2076"/>
          </w:tcPr>
          <w:p/>
        </w:tc>
        <w:tc>
          <w:tcPr>
            <w:tcW w:type="dxa" w:w="415"/>
          </w:tcPr>
          <w:p>
            <w:pPr>
              <w:pStyle w:val="null3"/>
            </w:pPr>
            <w:r>
              <w:rPr/>
              <w:t>2</w:t>
            </w:r>
          </w:p>
        </w:tc>
        <w:tc>
          <w:tcPr>
            <w:tcW w:type="dxa" w:w="5814"/>
          </w:tcPr>
          <w:p>
            <w:pPr>
              <w:pStyle w:val="null3"/>
              <w:ind w:firstLine="422"/>
            </w:pPr>
            <w:r>
              <w:rPr>
                <w:sz w:val="21"/>
                <w:b/>
              </w:rPr>
              <w:t>一、采购项目需实现的功能和目标</w:t>
            </w:r>
          </w:p>
          <w:p>
            <w:pPr>
              <w:pStyle w:val="null3"/>
              <w:ind w:firstLine="422"/>
            </w:pPr>
            <w:r>
              <w:rPr>
                <w:sz w:val="21"/>
                <w:b/>
              </w:rPr>
              <w:t>1）技术实现内容：</w:t>
            </w:r>
          </w:p>
          <w:p>
            <w:pPr>
              <w:pStyle w:val="null3"/>
              <w:ind w:firstLine="420"/>
            </w:pPr>
            <w:r>
              <w:rPr>
                <w:sz w:val="21"/>
              </w:rPr>
              <w:t>1.系统目标：</w:t>
            </w:r>
            <w:r>
              <w:rPr>
                <w:sz w:val="21"/>
              </w:rPr>
              <w:t>为进一步提高群众缴费的便利性，根据公安部便民利企的有关要求，</w:t>
            </w:r>
            <w:r>
              <w:rPr>
                <w:sz w:val="21"/>
              </w:rPr>
              <w:t>遵循财政票据管理改革标准化、规范化的业务要求，开发便民收费程序和交管收费对账程序，对接交管业务外挂系统、综合应用平台、广东省财政厅缴费系统</w:t>
            </w:r>
            <w:r>
              <w:rPr>
                <w:sz w:val="21"/>
              </w:rPr>
              <w:t>及自助终端机</w:t>
            </w:r>
            <w:r>
              <w:rPr>
                <w:sz w:val="21"/>
              </w:rPr>
              <w:t>，集中整合资源</w:t>
            </w:r>
            <w:r>
              <w:rPr>
                <w:sz w:val="21"/>
              </w:rPr>
              <w:t>，实现群众业务查询、缴费、退费退库申请</w:t>
            </w:r>
            <w:r>
              <w:rPr>
                <w:sz w:val="21"/>
              </w:rPr>
              <w:t>、查询下载电子缴款书、</w:t>
            </w:r>
            <w:r>
              <w:rPr>
                <w:sz w:val="21"/>
              </w:rPr>
              <w:t>业务进度查询、</w:t>
            </w:r>
            <w:r>
              <w:rPr>
                <w:sz w:val="21"/>
              </w:rPr>
              <w:t>历史</w:t>
            </w:r>
            <w:r>
              <w:rPr>
                <w:sz w:val="21"/>
              </w:rPr>
              <w:t>业务</w:t>
            </w:r>
            <w:r>
              <w:rPr>
                <w:sz w:val="21"/>
              </w:rPr>
              <w:t>查询等功能，实现支撑管理后台</w:t>
            </w:r>
            <w:r>
              <w:rPr>
                <w:sz w:val="21"/>
              </w:rPr>
              <w:t>收费对账与退费退库管理、</w:t>
            </w:r>
            <w:r>
              <w:rPr>
                <w:sz w:val="21"/>
              </w:rPr>
              <w:t>查询业务办理、收费统计、权限管理、异常监管、全链条回查等功能。</w:t>
            </w:r>
          </w:p>
          <w:p>
            <w:pPr>
              <w:pStyle w:val="null3"/>
              <w:ind w:firstLine="420"/>
            </w:pPr>
            <w:r>
              <w:rPr>
                <w:sz w:val="21"/>
              </w:rPr>
              <w:t>本系统支持的交管收费</w:t>
            </w:r>
            <w:r>
              <w:rPr>
                <w:sz w:val="21"/>
              </w:rPr>
              <w:t>科目</w:t>
            </w:r>
            <w:r>
              <w:rPr>
                <w:sz w:val="21"/>
              </w:rPr>
              <w:t>：</w:t>
            </w:r>
          </w:p>
          <w:p>
            <w:pPr>
              <w:pStyle w:val="null3"/>
              <w:ind w:firstLine="420"/>
            </w:pPr>
            <w:r>
              <w:rPr>
                <w:sz w:val="21"/>
              </w:rPr>
              <w:t>1.港澳车牌证规费：港澳车制牌、</w:t>
            </w:r>
            <w:r>
              <w:rPr>
                <w:sz w:val="21"/>
              </w:rPr>
              <w:t>制</w:t>
            </w:r>
            <w:r>
              <w:rPr>
                <w:sz w:val="21"/>
              </w:rPr>
              <w:t>证费用；</w:t>
            </w:r>
          </w:p>
          <w:p>
            <w:pPr>
              <w:pStyle w:val="null3"/>
              <w:ind w:firstLine="420"/>
            </w:pPr>
            <w:r>
              <w:rPr>
                <w:sz w:val="21"/>
              </w:rPr>
              <w:t>2.电动自行车牌证规费：电动自行车制牌、</w:t>
            </w:r>
            <w:r>
              <w:rPr>
                <w:sz w:val="21"/>
              </w:rPr>
              <w:t>制</w:t>
            </w:r>
            <w:r>
              <w:rPr>
                <w:sz w:val="21"/>
              </w:rPr>
              <w:t>证费用；</w:t>
            </w:r>
          </w:p>
          <w:p>
            <w:pPr>
              <w:pStyle w:val="null3"/>
              <w:ind w:firstLine="420"/>
            </w:pPr>
            <w:r>
              <w:rPr>
                <w:sz w:val="21"/>
              </w:rPr>
              <w:t>3.车驾管规费：机动车制牌、</w:t>
            </w:r>
            <w:r>
              <w:rPr>
                <w:sz w:val="21"/>
              </w:rPr>
              <w:t>制</w:t>
            </w:r>
            <w:r>
              <w:rPr>
                <w:sz w:val="21"/>
              </w:rPr>
              <w:t>证，驾驶人考试费用；</w:t>
            </w:r>
          </w:p>
          <w:p>
            <w:pPr>
              <w:pStyle w:val="null3"/>
              <w:ind w:firstLine="420"/>
            </w:pPr>
            <w:r>
              <w:rPr>
                <w:sz w:val="21"/>
              </w:rPr>
              <w:t>4.</w:t>
            </w:r>
            <w:r>
              <w:rPr>
                <w:sz w:val="21"/>
              </w:rPr>
              <w:t>交通</w:t>
            </w:r>
            <w:r>
              <w:rPr>
                <w:sz w:val="21"/>
              </w:rPr>
              <w:t>违法</w:t>
            </w:r>
            <w:r>
              <w:rPr>
                <w:sz w:val="21"/>
              </w:rPr>
              <w:t>罚款</w:t>
            </w:r>
            <w:r>
              <w:rPr>
                <w:sz w:val="21"/>
              </w:rPr>
              <w:t>；</w:t>
            </w:r>
          </w:p>
          <w:p>
            <w:pPr>
              <w:pStyle w:val="null3"/>
              <w:ind w:firstLine="420"/>
            </w:pPr>
            <w:r>
              <w:rPr>
                <w:sz w:val="21"/>
              </w:rPr>
              <w:t>5. 0警业务缴款：警用特种车辆制牌、证费。</w:t>
            </w:r>
          </w:p>
          <w:p>
            <w:pPr>
              <w:pStyle w:val="null3"/>
              <w:ind w:firstLine="420"/>
            </w:pPr>
            <w:r>
              <w:rPr>
                <w:sz w:val="21"/>
              </w:rPr>
              <w:t>实现主要功能：</w:t>
            </w:r>
          </w:p>
          <w:p>
            <w:pPr>
              <w:pStyle w:val="null3"/>
              <w:ind w:firstLine="420"/>
            </w:pPr>
            <w:r>
              <w:rPr>
                <w:sz w:val="21"/>
              </w:rPr>
              <w:t>1</w:t>
            </w:r>
            <w:r>
              <w:rPr>
                <w:sz w:val="21"/>
              </w:rPr>
              <w:t>.对接交管业务外挂系统、综合应用平台、广东省财政厅缴费系统、港澳车系统</w:t>
            </w:r>
            <w:r>
              <w:rPr>
                <w:sz w:val="21"/>
              </w:rPr>
              <w:t>及自助终端机</w:t>
            </w:r>
            <w:r>
              <w:rPr>
                <w:sz w:val="21"/>
              </w:rPr>
              <w:t>，打通业务办理和支付缴库的关联，实现数据分发，共享，对账监管，退费退库；</w:t>
            </w:r>
          </w:p>
          <w:p>
            <w:pPr>
              <w:pStyle w:val="null3"/>
              <w:ind w:firstLine="420"/>
            </w:pPr>
            <w:r>
              <w:rPr>
                <w:sz w:val="21"/>
              </w:rPr>
              <w:t>2</w:t>
            </w:r>
            <w:r>
              <w:rPr>
                <w:sz w:val="21"/>
              </w:rPr>
              <w:t>.实现管理后台查询跟踪已缴款业务办理详情、收费信息统计、缴款二维码人员权限管理、异常监管、全链条回查等功能；</w:t>
            </w:r>
          </w:p>
          <w:p>
            <w:pPr>
              <w:pStyle w:val="null3"/>
              <w:ind w:firstLine="420"/>
            </w:pPr>
            <w:r>
              <w:rPr>
                <w:sz w:val="21"/>
              </w:rPr>
              <w:t>3</w:t>
            </w:r>
            <w:r>
              <w:rPr>
                <w:sz w:val="21"/>
              </w:rPr>
              <w:t>.支持通过银行柜台缴费、扫缴款二维码、输入缴款通知书号等</w:t>
            </w:r>
            <w:r>
              <w:rPr>
                <w:sz w:val="21"/>
              </w:rPr>
              <w:t>线上线下多种</w:t>
            </w:r>
            <w:r>
              <w:rPr>
                <w:sz w:val="21"/>
              </w:rPr>
              <w:t>渠道完成缴款业务。</w:t>
            </w:r>
          </w:p>
          <w:p>
            <w:pPr>
              <w:pStyle w:val="null3"/>
              <w:ind w:firstLine="420"/>
            </w:pPr>
            <w:r>
              <w:rPr>
                <w:sz w:val="21"/>
              </w:rPr>
              <w:t>本项目建设完成后，将进一步深化</w:t>
            </w:r>
            <w:r>
              <w:rPr>
                <w:sz w:val="21"/>
              </w:rPr>
              <w:t>“放管服”改革要求，提高交管数据整合，数据安全，服务高效，操作便捷的科技化水平，提升行政效能和</w:t>
            </w:r>
            <w:r>
              <w:rPr>
                <w:sz w:val="21"/>
              </w:rPr>
              <w:t>群众</w:t>
            </w:r>
            <w:r>
              <w:rPr>
                <w:sz w:val="21"/>
              </w:rPr>
              <w:t>满意度。</w:t>
            </w:r>
          </w:p>
          <w:p>
            <w:pPr>
              <w:pStyle w:val="null3"/>
              <w:ind w:firstLine="422"/>
            </w:pPr>
            <w:r>
              <w:rPr>
                <w:sz w:val="21"/>
                <w:b/>
              </w:rPr>
              <w:t>2）技术路线：</w:t>
            </w:r>
          </w:p>
          <w:p>
            <w:pPr>
              <w:pStyle w:val="null3"/>
              <w:ind w:firstLine="420"/>
            </w:pPr>
            <w:r>
              <w:rPr>
                <w:sz w:val="21"/>
              </w:rPr>
              <w:t>1</w:t>
            </w:r>
            <w:r>
              <w:rPr>
                <w:sz w:val="21"/>
              </w:rPr>
              <w:t>.适配ARM架构芯片，基于国产操作系统和数据库，使用BS架构、JAVA/PYTHON等语言开发，部署使用省级政务云</w:t>
            </w:r>
            <w:r>
              <w:rPr>
                <w:sz w:val="21"/>
              </w:rPr>
              <w:t>、警务云</w:t>
            </w:r>
            <w:r>
              <w:rPr>
                <w:sz w:val="21"/>
              </w:rPr>
              <w:t>平台提供的</w:t>
            </w:r>
            <w:r>
              <w:rPr>
                <w:sz w:val="21"/>
              </w:rPr>
              <w:t>安全可信的</w:t>
            </w:r>
            <w:r>
              <w:rPr>
                <w:sz w:val="21"/>
              </w:rPr>
              <w:t>国产化服务。</w:t>
            </w:r>
          </w:p>
          <w:p>
            <w:pPr>
              <w:pStyle w:val="null3"/>
              <w:ind w:firstLine="420"/>
            </w:pPr>
            <w:r>
              <w:rPr>
                <w:sz w:val="21"/>
              </w:rPr>
              <w:t>2</w:t>
            </w:r>
            <w:r>
              <w:rPr>
                <w:sz w:val="21"/>
              </w:rPr>
              <w:t>.通过政务云提供的安全可靠的基础开发环境，实现统一的项目、需求、代码、测试、运维监测管理，在开发环节即开始解决适配、知识产权的问题，实现知识资产全过程管理。</w:t>
            </w:r>
          </w:p>
          <w:p>
            <w:pPr>
              <w:pStyle w:val="null3"/>
              <w:ind w:firstLine="420"/>
            </w:pPr>
            <w:r>
              <w:rPr>
                <w:sz w:val="21"/>
              </w:rPr>
              <w:t>3</w:t>
            </w:r>
            <w:r>
              <w:rPr>
                <w:sz w:val="21"/>
              </w:rPr>
              <w:t>.构建安全可靠的数据安全防护体系，做好人员、技术和管理制度的有机结合，有效防范数据风险。</w:t>
            </w:r>
          </w:p>
          <w:p>
            <w:pPr>
              <w:pStyle w:val="null3"/>
              <w:ind w:firstLine="422"/>
            </w:pPr>
            <w:r>
              <w:rPr>
                <w:sz w:val="21"/>
                <w:b/>
              </w:rPr>
              <w:t>3)</w:t>
            </w:r>
            <w:r>
              <w:rPr>
                <w:sz w:val="21"/>
                <w:b/>
              </w:rPr>
              <w:t>开发要求</w:t>
            </w:r>
            <w:r>
              <w:rPr>
                <w:sz w:val="21"/>
                <w:b/>
              </w:rPr>
              <w:t>：</w:t>
            </w:r>
          </w:p>
          <w:p>
            <w:pPr>
              <w:pStyle w:val="null3"/>
              <w:ind w:firstLine="420"/>
            </w:pPr>
            <w:r>
              <w:rPr>
                <w:sz w:val="21"/>
              </w:rPr>
              <w:t>1.</w:t>
            </w:r>
            <w:r>
              <w:rPr>
                <w:sz w:val="21"/>
              </w:rPr>
              <w:t>成交供应商开发的系统应具有先进、实用、安全、可靠、可扩展以及界面美观、大方的特点。</w:t>
            </w:r>
          </w:p>
          <w:p>
            <w:pPr>
              <w:pStyle w:val="null3"/>
              <w:ind w:firstLine="420"/>
            </w:pPr>
            <w:r>
              <w:rPr>
                <w:sz w:val="21"/>
              </w:rPr>
              <w:t>2.</w:t>
            </w:r>
            <w:r>
              <w:rPr>
                <w:sz w:val="21"/>
              </w:rPr>
              <w:t>系统设计要做到：代码标准化、模块标准化、文档标准化、测试标准化以及信息标准化。</w:t>
            </w:r>
          </w:p>
          <w:p>
            <w:pPr>
              <w:pStyle w:val="null3"/>
              <w:ind w:firstLine="420"/>
            </w:pPr>
            <w:r>
              <w:rPr>
                <w:sz w:val="21"/>
              </w:rPr>
              <w:t>3.</w:t>
            </w:r>
            <w:r>
              <w:rPr>
                <w:sz w:val="21"/>
              </w:rPr>
              <w:t>为后期工程或其他系统预留接口，并为后期工程的顺利开展或其他系统对接作技术准备，包括以下：在软件系统设计、数据库设计方面具有灵活性，方便以后能够系统扩充。</w:t>
            </w:r>
          </w:p>
          <w:p>
            <w:pPr>
              <w:pStyle w:val="null3"/>
              <w:ind w:firstLine="422"/>
            </w:pPr>
            <w:r>
              <w:rPr>
                <w:sz w:val="21"/>
                <w:b/>
              </w:rPr>
              <w:t>4）</w:t>
            </w:r>
            <w:r>
              <w:rPr>
                <w:sz w:val="21"/>
                <w:b/>
              </w:rPr>
              <w:t>提交的成果：</w:t>
            </w:r>
          </w:p>
          <w:p>
            <w:pPr>
              <w:pStyle w:val="null3"/>
              <w:ind w:firstLine="420"/>
            </w:pPr>
            <w:r>
              <w:rPr>
                <w:sz w:val="21"/>
              </w:rPr>
              <w:t>成交供应商在规定时间内按照采购文件的要求完成系统的设计、研发、安装实施、测试、调试、验收等工作，并同时以光盘形式向采购人提供计算机软件，即本项目应用软件全套软件成果，即项目的文档、代码和可执行程序。</w:t>
            </w:r>
          </w:p>
          <w:p>
            <w:pPr>
              <w:pStyle w:val="null3"/>
              <w:ind w:firstLine="422"/>
            </w:pPr>
            <w:r>
              <w:rPr>
                <w:sz w:val="21"/>
                <w:b/>
              </w:rPr>
              <w:t>5）</w:t>
            </w:r>
            <w:r>
              <w:rPr>
                <w:sz w:val="21"/>
                <w:b/>
              </w:rPr>
              <w:t>提交的技术文档主要如下：</w:t>
            </w:r>
          </w:p>
          <w:p>
            <w:pPr>
              <w:pStyle w:val="null3"/>
              <w:jc w:val="both"/>
            </w:pPr>
            <w:r>
              <w:rPr>
                <w:sz w:val="21"/>
              </w:rPr>
              <w:t xml:space="preserve">       所有资料包括完备的项目实施文档、系统设计文档、功能模块说明、程序代码、使用手册等</w:t>
            </w:r>
            <w:r>
              <w:rPr>
                <w:sz w:val="21"/>
              </w:rPr>
              <w:t>。</w:t>
            </w:r>
          </w:p>
        </w:tc>
      </w:tr>
      <w:tr>
        <w:tc>
          <w:tcPr>
            <w:tcW w:type="dxa" w:w="2076"/>
          </w:tcPr>
          <w:p/>
        </w:tc>
        <w:tc>
          <w:tcPr>
            <w:tcW w:type="dxa" w:w="415"/>
          </w:tcPr>
          <w:p>
            <w:pPr>
              <w:pStyle w:val="null3"/>
            </w:pPr>
            <w:r>
              <w:rPr/>
              <w:t>3</w:t>
            </w:r>
          </w:p>
        </w:tc>
        <w:tc>
          <w:tcPr>
            <w:tcW w:type="dxa" w:w="5814"/>
          </w:tcPr>
          <w:p>
            <w:pPr>
              <w:pStyle w:val="null3"/>
              <w:ind w:firstLine="422"/>
            </w:pPr>
            <w:r>
              <w:rPr>
                <w:sz w:val="21"/>
                <w:b/>
              </w:rPr>
              <w:t>二、项目要求</w:t>
            </w:r>
          </w:p>
          <w:p>
            <w:pPr>
              <w:pStyle w:val="null3"/>
              <w:ind w:firstLine="422"/>
            </w:pPr>
            <w:r>
              <w:rPr>
                <w:sz w:val="21"/>
                <w:b/>
              </w:rPr>
              <w:t>1）业务现状</w:t>
            </w:r>
          </w:p>
          <w:p>
            <w:pPr>
              <w:pStyle w:val="null3"/>
              <w:ind w:firstLine="420"/>
            </w:pPr>
            <w:r>
              <w:rPr>
                <w:sz w:val="21"/>
              </w:rPr>
              <w:t>1.目前群众在办理完</w:t>
            </w:r>
            <w:r>
              <w:rPr>
                <w:sz w:val="21"/>
              </w:rPr>
              <w:t>公安交管</w:t>
            </w:r>
            <w:r>
              <w:rPr>
                <w:sz w:val="21"/>
              </w:rPr>
              <w:t>业务之后，可以</w:t>
            </w:r>
            <w:r>
              <w:rPr>
                <w:sz w:val="21"/>
              </w:rPr>
              <w:t>通过窗口</w:t>
            </w:r>
            <w:r>
              <w:rPr>
                <w:sz w:val="21"/>
              </w:rPr>
              <w:t>进行</w:t>
            </w:r>
            <w:r>
              <w:rPr>
                <w:sz w:val="21"/>
              </w:rPr>
              <w:t>扫码缴费</w:t>
            </w:r>
            <w:r>
              <w:rPr>
                <w:sz w:val="21"/>
              </w:rPr>
              <w:t>，可通过互联网平台</w:t>
            </w:r>
            <w:r>
              <w:rPr>
                <w:sz w:val="21"/>
              </w:rPr>
              <w:t>12123app</w:t>
            </w:r>
            <w:r>
              <w:rPr>
                <w:sz w:val="21"/>
              </w:rPr>
              <w:t>缴费</w:t>
            </w:r>
            <w:r>
              <w:rPr>
                <w:sz w:val="21"/>
              </w:rPr>
              <w:t>，</w:t>
            </w:r>
            <w:r>
              <w:rPr>
                <w:sz w:val="21"/>
              </w:rPr>
              <w:t>并</w:t>
            </w:r>
            <w:r>
              <w:rPr>
                <w:sz w:val="21"/>
              </w:rPr>
              <w:t>已和广东省财政厅建立一个对账机制，通过系统对接，定期进行对账工作。</w:t>
            </w:r>
          </w:p>
          <w:p>
            <w:pPr>
              <w:pStyle w:val="null3"/>
              <w:ind w:firstLine="420"/>
            </w:pPr>
            <w:r>
              <w:rPr>
                <w:sz w:val="21"/>
              </w:rPr>
              <w:t>2.但目前业务缴费系统较为分散，不同业务</w:t>
            </w:r>
            <w:r>
              <w:rPr>
                <w:sz w:val="21"/>
              </w:rPr>
              <w:t>使用</w:t>
            </w:r>
            <w:r>
              <w:rPr>
                <w:sz w:val="21"/>
              </w:rPr>
              <w:t>不同的缴费系统，管理及维护成本较大。网上缴费渠道单一，群众仅能通过</w:t>
            </w:r>
            <w:r>
              <w:rPr>
                <w:sz w:val="21"/>
              </w:rPr>
              <w:t>12123app</w:t>
            </w:r>
            <w:r>
              <w:rPr>
                <w:sz w:val="21"/>
              </w:rPr>
              <w:t>进行</w:t>
            </w:r>
            <w:r>
              <w:rPr>
                <w:sz w:val="21"/>
              </w:rPr>
              <w:t>缴费</w:t>
            </w:r>
            <w:r>
              <w:rPr>
                <w:sz w:val="21"/>
              </w:rPr>
              <w:t>。电动自行车牌证缴费暂未</w:t>
            </w:r>
            <w:r>
              <w:rPr>
                <w:sz w:val="21"/>
              </w:rPr>
              <w:t>有</w:t>
            </w:r>
            <w:r>
              <w:rPr>
                <w:sz w:val="21"/>
              </w:rPr>
              <w:t>统一的缴费渠道。</w:t>
            </w:r>
          </w:p>
          <w:p>
            <w:pPr>
              <w:pStyle w:val="null3"/>
              <w:ind w:firstLine="422"/>
            </w:pPr>
            <w:r>
              <w:rPr>
                <w:sz w:val="21"/>
                <w:b/>
              </w:rPr>
              <w:t>2）软件开发要求</w:t>
            </w:r>
          </w:p>
          <w:p>
            <w:pPr>
              <w:pStyle w:val="null3"/>
              <w:ind w:firstLine="420"/>
            </w:pPr>
            <w:r>
              <w:rPr>
                <w:sz w:val="21"/>
              </w:rPr>
              <w:t>主要内容为与广东省财政厅缴费系统对接完成支付缴库，与交管业务外挂系统、综合应用平台对接完成交管业务办理，为互联网渠道提供专属缴款流程接口，整合资源，打通数据关联，开发后台管理</w:t>
            </w:r>
            <w:r>
              <w:rPr>
                <w:sz w:val="21"/>
              </w:rPr>
              <w:t>、</w:t>
            </w:r>
            <w:r>
              <w:rPr>
                <w:sz w:val="21"/>
              </w:rPr>
              <w:t>数据统计</w:t>
            </w:r>
            <w:r>
              <w:rPr>
                <w:sz w:val="21"/>
              </w:rPr>
              <w:t>等</w:t>
            </w:r>
            <w:r>
              <w:rPr>
                <w:sz w:val="21"/>
              </w:rPr>
              <w:t>功能。具体功能要求如下所示：</w:t>
            </w:r>
          </w:p>
          <w:p>
            <w:pPr>
              <w:pStyle w:val="null3"/>
              <w:ind w:firstLine="422"/>
            </w:pPr>
            <w:r>
              <w:rPr>
                <w:sz w:val="21"/>
                <w:b/>
              </w:rPr>
              <w:t>A</w:t>
            </w:r>
            <w:r>
              <w:rPr>
                <w:sz w:val="21"/>
                <w:b/>
              </w:rPr>
              <w:t>交管业务流水缴款管理</w:t>
            </w:r>
          </w:p>
          <w:p>
            <w:pPr>
              <w:pStyle w:val="null3"/>
              <w:ind w:firstLine="420"/>
            </w:pPr>
            <w:r>
              <w:rPr>
                <w:sz w:val="21"/>
              </w:rPr>
              <w:t>交管业务流水缴费管理包含港澳车牌证规费、电动自行车牌证规费、车驾管规费、车辆违法业务缴款、</w:t>
            </w:r>
            <w:r>
              <w:rPr>
                <w:sz w:val="21"/>
              </w:rPr>
              <w:t>O</w:t>
            </w:r>
            <w:r>
              <w:rPr>
                <w:sz w:val="21"/>
              </w:rPr>
              <w:t>警车业务缴款、已缴款信息查询、已缴款业务发票二维码生成、缴款渠道账号权限管理、收费信息统计、对账管理、退费退库管理、异常监管、全链条回查等。</w:t>
            </w:r>
          </w:p>
          <w:p>
            <w:pPr>
              <w:pStyle w:val="null3"/>
              <w:ind w:firstLine="422"/>
            </w:pPr>
            <w:r>
              <w:rPr>
                <w:sz w:val="21"/>
                <w:b/>
              </w:rPr>
              <w:t>B.对接交管业务外挂系统</w:t>
            </w:r>
          </w:p>
          <w:p>
            <w:pPr>
              <w:pStyle w:val="null3"/>
              <w:ind w:firstLine="420"/>
            </w:pPr>
            <w:r>
              <w:rPr>
                <w:sz w:val="21"/>
              </w:rPr>
              <w:t>获取缴纳费用所需的业务数据信息</w:t>
            </w:r>
            <w:r>
              <w:rPr>
                <w:sz w:val="21"/>
              </w:rPr>
              <w:t>。</w:t>
            </w:r>
          </w:p>
          <w:p>
            <w:pPr>
              <w:pStyle w:val="null3"/>
              <w:ind w:firstLine="422"/>
            </w:pPr>
            <w:r>
              <w:rPr>
                <w:sz w:val="21"/>
                <w:b/>
              </w:rPr>
              <w:t>C</w:t>
            </w:r>
            <w:r>
              <w:rPr>
                <w:sz w:val="21"/>
                <w:b/>
              </w:rPr>
              <w:t>.</w:t>
            </w:r>
            <w:r>
              <w:rPr>
                <w:sz w:val="21"/>
                <w:b/>
              </w:rPr>
              <w:t>对接综合应用平台</w:t>
            </w:r>
          </w:p>
          <w:p>
            <w:pPr>
              <w:pStyle w:val="null3"/>
              <w:ind w:firstLine="420"/>
            </w:pPr>
            <w:r>
              <w:rPr>
                <w:sz w:val="21"/>
              </w:rPr>
              <w:t>获取缴纳费用所需的业务数据信息</w:t>
            </w:r>
            <w:r>
              <w:rPr>
                <w:sz w:val="21"/>
              </w:rPr>
              <w:t>。</w:t>
            </w:r>
          </w:p>
          <w:p>
            <w:pPr>
              <w:pStyle w:val="null3"/>
              <w:ind w:firstLine="422"/>
            </w:pPr>
            <w:r>
              <w:rPr>
                <w:sz w:val="21"/>
                <w:b/>
              </w:rPr>
              <w:t>D.对接广东省财政厅缴费系统</w:t>
            </w:r>
          </w:p>
          <w:p>
            <w:pPr>
              <w:pStyle w:val="null3"/>
              <w:ind w:firstLine="420"/>
            </w:pPr>
            <w:r>
              <w:rPr>
                <w:sz w:val="21"/>
              </w:rPr>
              <w:t>包含开具电子缴款书接口、查询开具电子缴款书情况接口、查询缴款情况接口、打印电子缴款书接口和退付作废冲红接口。</w:t>
            </w:r>
          </w:p>
          <w:p>
            <w:pPr>
              <w:pStyle w:val="null3"/>
              <w:ind w:firstLine="422"/>
            </w:pPr>
            <w:r>
              <w:rPr>
                <w:sz w:val="21"/>
                <w:b/>
              </w:rPr>
              <w:t>3）</w:t>
            </w:r>
            <w:r>
              <w:rPr>
                <w:sz w:val="21"/>
                <w:b/>
              </w:rPr>
              <w:t>系统业务运营服务</w:t>
            </w:r>
          </w:p>
          <w:p>
            <w:pPr>
              <w:pStyle w:val="null3"/>
              <w:ind w:firstLine="420"/>
            </w:pPr>
            <w:r>
              <w:rPr>
                <w:sz w:val="21"/>
              </w:rPr>
              <w:t>1.</w:t>
            </w:r>
            <w:r>
              <w:rPr>
                <w:sz w:val="21"/>
              </w:rPr>
              <w:t>主要内容为数据运营服务，将已有缴款对账系统中的相关历史数据迁移到新开发的省公安厅交管业务收费对账管理系统。</w:t>
            </w:r>
            <w:r>
              <w:rPr>
                <w:sz w:val="21"/>
              </w:rPr>
              <w:t>具体工作内容如下：</w:t>
            </w:r>
          </w:p>
          <w:p>
            <w:pPr>
              <w:pStyle w:val="null3"/>
              <w:ind w:firstLine="420"/>
            </w:pPr>
            <w:r>
              <w:rPr>
                <w:sz w:val="21"/>
              </w:rPr>
              <w:t>2.</w:t>
            </w:r>
            <w:r>
              <w:rPr>
                <w:sz w:val="21"/>
              </w:rPr>
              <w:t>数据库规划：根据迁移需求，确定目标数据库类型、版本和架构，并进行规划和设计。</w:t>
            </w:r>
          </w:p>
          <w:p>
            <w:pPr>
              <w:pStyle w:val="null3"/>
              <w:ind w:firstLine="420"/>
            </w:pPr>
            <w:r>
              <w:rPr>
                <w:sz w:val="21"/>
              </w:rPr>
              <w:t>3.</w:t>
            </w:r>
            <w:r>
              <w:rPr>
                <w:sz w:val="21"/>
              </w:rPr>
              <w:t>数据清理和准备：评估源数据库的数据质量，进行数据清理和修复工作，以确保数据的完整性和一致性。</w:t>
            </w:r>
          </w:p>
          <w:p>
            <w:pPr>
              <w:pStyle w:val="null3"/>
              <w:ind w:firstLine="420"/>
            </w:pPr>
            <w:r>
              <w:rPr>
                <w:sz w:val="21"/>
              </w:rPr>
              <w:t>4.</w:t>
            </w:r>
            <w:r>
              <w:rPr>
                <w:sz w:val="21"/>
              </w:rPr>
              <w:t>迁移策略：确定合适的迁移策略，如在线迁移、离线迁移、分阶段迁移等，根据数据库大小和性能要求选择合适的迁移方式。</w:t>
            </w:r>
          </w:p>
          <w:p>
            <w:pPr>
              <w:pStyle w:val="null3"/>
              <w:ind w:firstLine="420"/>
            </w:pPr>
            <w:r>
              <w:rPr>
                <w:sz w:val="21"/>
              </w:rPr>
              <w:t>5.</w:t>
            </w:r>
            <w:r>
              <w:rPr>
                <w:sz w:val="21"/>
              </w:rPr>
              <w:t>迁移测试：在实际迁移之前，进行测试迁移以验证迁移过程的可行性和完整性，包括数据一致性、性能和功能测试等。</w:t>
            </w:r>
          </w:p>
          <w:p>
            <w:pPr>
              <w:pStyle w:val="null3"/>
              <w:ind w:firstLine="420"/>
            </w:pPr>
            <w:r>
              <w:rPr>
                <w:sz w:val="21"/>
              </w:rPr>
              <w:t>6.</w:t>
            </w:r>
            <w:r>
              <w:rPr>
                <w:sz w:val="21"/>
              </w:rPr>
              <w:t>迁移数据传输：将源数据库中的数据导出，并通过合适的方式（例如文件传输、网络传输等）将数据导入目标数据库中。</w:t>
            </w:r>
          </w:p>
          <w:p>
            <w:pPr>
              <w:pStyle w:val="null3"/>
              <w:ind w:firstLine="420"/>
            </w:pPr>
            <w:r>
              <w:rPr>
                <w:sz w:val="21"/>
              </w:rPr>
              <w:t>7.</w:t>
            </w:r>
            <w:r>
              <w:rPr>
                <w:sz w:val="21"/>
              </w:rPr>
              <w:t>数据库结构迁移：根据目标数据库的结构要求，对源数据库的结构进行转换和调整，包括表结构、索引、约束、触发器等。</w:t>
            </w:r>
          </w:p>
          <w:p>
            <w:pPr>
              <w:pStyle w:val="null3"/>
              <w:ind w:firstLine="420"/>
            </w:pPr>
            <w:r>
              <w:rPr>
                <w:sz w:val="21"/>
              </w:rPr>
              <w:t>8.</w:t>
            </w:r>
            <w:r>
              <w:rPr>
                <w:sz w:val="21"/>
              </w:rPr>
              <w:t>数据迁移验证：对迁移后的数据库进行验证，确保数据的完整性和一致性，并与源数据库进行对比。</w:t>
            </w:r>
          </w:p>
          <w:p>
            <w:pPr>
              <w:pStyle w:val="null3"/>
              <w:ind w:firstLine="420"/>
            </w:pPr>
            <w:r>
              <w:rPr>
                <w:sz w:val="21"/>
              </w:rPr>
              <w:t>9.</w:t>
            </w:r>
            <w:r>
              <w:rPr>
                <w:sz w:val="21"/>
              </w:rPr>
              <w:t>迁移回滚计划：为了应对可能出现的问题，制定迁移回滚计划，包括备份源数据库、记录迁移过程中的变更等。</w:t>
            </w:r>
          </w:p>
          <w:p>
            <w:pPr>
              <w:pStyle w:val="null3"/>
              <w:ind w:firstLine="420"/>
            </w:pPr>
            <w:r>
              <w:rPr>
                <w:sz w:val="21"/>
              </w:rPr>
              <w:t>10.</w:t>
            </w:r>
            <w:r>
              <w:rPr>
                <w:sz w:val="21"/>
              </w:rPr>
              <w:t>迁移后处理：完成数据库迁移后的收尾工作，例如更新应用程序配置、修改连接字符串、重新生成索引和统计数据等。</w:t>
            </w:r>
          </w:p>
          <w:p>
            <w:pPr>
              <w:pStyle w:val="null3"/>
              <w:ind w:firstLine="420"/>
            </w:pPr>
            <w:r>
              <w:rPr>
                <w:sz w:val="21"/>
              </w:rPr>
              <w:t>11.</w:t>
            </w:r>
            <w:r>
              <w:rPr>
                <w:sz w:val="21"/>
              </w:rPr>
              <w:t>迁移后转换：将老旧系统外挂的业务流水表，缴费查询表，缴费核销表，总体对账表，明细对账表按转换策略导入统一规范化的新库。</w:t>
            </w:r>
          </w:p>
          <w:p>
            <w:pPr>
              <w:pStyle w:val="null3"/>
              <w:ind w:firstLine="420"/>
            </w:pPr>
            <w:r>
              <w:rPr>
                <w:sz w:val="21"/>
              </w:rPr>
              <w:t>12.</w:t>
            </w:r>
            <w:r>
              <w:rPr>
                <w:sz w:val="21"/>
              </w:rPr>
              <w:t>迁移文档和培训：详细记录数据库迁移的过程和步骤，编写文档，并为相关人员提供培训，以确保顺利完成迁移工作。</w:t>
            </w:r>
          </w:p>
          <w:p>
            <w:pPr>
              <w:pStyle w:val="null3"/>
              <w:ind w:firstLine="420"/>
            </w:pPr>
            <w:r>
              <w:rPr>
                <w:sz w:val="21"/>
              </w:rPr>
              <w:t>服务产出物，包括但不仅限以下内容：</w:t>
            </w:r>
          </w:p>
          <w:p>
            <w:pPr>
              <w:pStyle w:val="null3"/>
              <w:ind w:firstLine="420"/>
            </w:pPr>
            <w:r>
              <w:rPr>
                <w:sz w:val="21"/>
              </w:rPr>
              <w:t>（</w:t>
            </w:r>
            <w:r>
              <w:rPr>
                <w:sz w:val="21"/>
              </w:rPr>
              <w:t>1）</w:t>
            </w:r>
            <w:r>
              <w:rPr>
                <w:sz w:val="21"/>
              </w:rPr>
              <w:t>数据库迁移规划方案</w:t>
            </w:r>
            <w:r>
              <w:rPr>
                <w:sz w:val="21"/>
              </w:rPr>
              <w:t>；</w:t>
            </w:r>
          </w:p>
          <w:p>
            <w:pPr>
              <w:pStyle w:val="null3"/>
              <w:ind w:firstLine="420"/>
            </w:pPr>
            <w:r>
              <w:rPr>
                <w:sz w:val="21"/>
              </w:rPr>
              <w:t>（</w:t>
            </w:r>
            <w:r>
              <w:rPr>
                <w:sz w:val="21"/>
              </w:rPr>
              <w:t>2）</w:t>
            </w:r>
            <w:r>
              <w:rPr>
                <w:sz w:val="21"/>
              </w:rPr>
              <w:t>数据库迁移应急处置手册</w:t>
            </w:r>
            <w:r>
              <w:rPr>
                <w:sz w:val="21"/>
              </w:rPr>
              <w:t>；</w:t>
            </w:r>
          </w:p>
          <w:p>
            <w:pPr>
              <w:pStyle w:val="null3"/>
              <w:ind w:firstLine="420"/>
            </w:pPr>
            <w:r>
              <w:rPr>
                <w:sz w:val="21"/>
              </w:rPr>
              <w:t>（</w:t>
            </w:r>
            <w:r>
              <w:rPr>
                <w:sz w:val="21"/>
              </w:rPr>
              <w:t>3）</w:t>
            </w:r>
            <w:r>
              <w:rPr>
                <w:sz w:val="21"/>
              </w:rPr>
              <w:t>数据库新旧对象转换表</w:t>
            </w:r>
            <w:r>
              <w:rPr>
                <w:sz w:val="21"/>
              </w:rPr>
              <w:t>；</w:t>
            </w:r>
          </w:p>
          <w:p>
            <w:pPr>
              <w:pStyle w:val="null3"/>
              <w:ind w:firstLine="420"/>
            </w:pPr>
            <w:r>
              <w:rPr>
                <w:sz w:val="21"/>
              </w:rPr>
              <w:t>（</w:t>
            </w:r>
            <w:r>
              <w:rPr>
                <w:sz w:val="21"/>
              </w:rPr>
              <w:t>4）</w:t>
            </w:r>
            <w:r>
              <w:rPr>
                <w:sz w:val="21"/>
              </w:rPr>
              <w:t>数据库迁移测试。</w:t>
            </w:r>
          </w:p>
          <w:p>
            <w:pPr>
              <w:pStyle w:val="null3"/>
              <w:ind w:firstLine="422"/>
            </w:pPr>
            <w:r>
              <w:rPr>
                <w:sz w:val="21"/>
                <w:b/>
              </w:rPr>
              <w:t>4）系统安全</w:t>
            </w:r>
          </w:p>
          <w:p>
            <w:pPr>
              <w:pStyle w:val="null3"/>
              <w:ind w:firstLine="420"/>
            </w:pPr>
            <w:r>
              <w:rPr>
                <w:sz w:val="21"/>
              </w:rPr>
              <w:t>根据本系统中应用系统的重要程度和自身安全需求，依据国家标准《计算机信息系统安全保护等级划分准则》，实行等级防护、适度防护，使系统最终达到等级保护第二级安全保护标准的要求。</w:t>
            </w:r>
          </w:p>
          <w:p>
            <w:pPr>
              <w:pStyle w:val="null3"/>
              <w:ind w:firstLine="422"/>
            </w:pPr>
            <w:r>
              <w:rPr>
                <w:sz w:val="21"/>
                <w:b/>
              </w:rPr>
              <w:t>5）性能指标要求</w:t>
            </w:r>
          </w:p>
          <w:p>
            <w:pPr>
              <w:pStyle w:val="null3"/>
              <w:ind w:firstLine="420"/>
            </w:pPr>
            <w:r>
              <w:rPr>
                <w:sz w:val="21"/>
              </w:rPr>
              <w:t>1.</w:t>
            </w:r>
            <w:r>
              <w:rPr>
                <w:sz w:val="21"/>
              </w:rPr>
              <w:t>并发最大值</w:t>
            </w:r>
            <w:r>
              <w:rPr>
                <w:sz w:val="21"/>
              </w:rPr>
              <w:t>不少于</w:t>
            </w:r>
            <w:r>
              <w:rPr>
                <w:sz w:val="21"/>
              </w:rPr>
              <w:t>200笔，在线最大值</w:t>
            </w:r>
            <w:r>
              <w:rPr>
                <w:sz w:val="21"/>
              </w:rPr>
              <w:t>不少于</w:t>
            </w:r>
            <w:r>
              <w:rPr>
                <w:sz w:val="21"/>
              </w:rPr>
              <w:t>2000个链接</w:t>
            </w:r>
            <w:r>
              <w:rPr>
                <w:sz w:val="21"/>
              </w:rPr>
              <w:t>；</w:t>
            </w:r>
          </w:p>
          <w:p>
            <w:pPr>
              <w:pStyle w:val="null3"/>
              <w:ind w:firstLine="420"/>
            </w:pPr>
            <w:r>
              <w:rPr>
                <w:sz w:val="21"/>
              </w:rPr>
              <w:t>2.系统在申请资源条件下执行任务的效率包含，平均操作响应时间≤</w:t>
            </w:r>
            <w:r>
              <w:rPr>
                <w:sz w:val="21"/>
              </w:rPr>
              <w:t>5秒，平均交易处理速度</w:t>
            </w:r>
            <w:r>
              <w:rPr>
                <w:sz w:val="21"/>
              </w:rPr>
              <w:t>≤</w:t>
            </w:r>
            <w:r>
              <w:rPr>
                <w:sz w:val="21"/>
              </w:rPr>
              <w:t>3秒，平均资源利用率</w:t>
            </w:r>
            <w:r>
              <w:rPr>
                <w:sz w:val="21"/>
              </w:rPr>
              <w:t>≥</w:t>
            </w:r>
            <w:r>
              <w:rPr>
                <w:sz w:val="21"/>
              </w:rPr>
              <w:t>申请资源的</w:t>
            </w:r>
            <w:r>
              <w:rPr>
                <w:sz w:val="21"/>
              </w:rPr>
              <w:t>35%</w:t>
            </w:r>
            <w:r>
              <w:rPr>
                <w:sz w:val="21"/>
              </w:rPr>
              <w:t>；</w:t>
            </w:r>
          </w:p>
          <w:p>
            <w:pPr>
              <w:pStyle w:val="null3"/>
              <w:ind w:firstLine="420"/>
            </w:pPr>
            <w:r>
              <w:rPr>
                <w:sz w:val="21"/>
              </w:rPr>
              <w:t>3.系统能够在长时间运行中保持稳定性和可靠性，减少故障和停机的可能性，平均无故障时间（</w:t>
            </w:r>
            <w:r>
              <w:rPr>
                <w:sz w:val="21"/>
              </w:rPr>
              <w:t>MTTF）每月1次，平均修复时间（MTTR）30分钟，故障率不超过巡检次数的2%，数据库服务器和应用服务器等核心节点7×24小时不间断持续运行，自助终端7×12小时不间断持续运行</w:t>
            </w:r>
            <w:r>
              <w:rPr>
                <w:sz w:val="21"/>
              </w:rPr>
              <w:t>；</w:t>
            </w:r>
          </w:p>
          <w:p>
            <w:pPr>
              <w:pStyle w:val="null3"/>
              <w:ind w:firstLine="420"/>
            </w:pPr>
            <w:r>
              <w:rPr>
                <w:sz w:val="21"/>
              </w:rPr>
              <w:t>4.</w:t>
            </w:r>
            <w:r>
              <w:rPr>
                <w:sz w:val="21"/>
              </w:rPr>
              <w:t>可恢复性：系统可迅速从故障中恢复，不影响用户的正常使用，恢复时间</w:t>
            </w:r>
            <w:r>
              <w:rPr>
                <w:sz w:val="21"/>
              </w:rPr>
              <w:t>≤</w:t>
            </w:r>
            <w:r>
              <w:rPr>
                <w:sz w:val="21"/>
              </w:rPr>
              <w:t>30分钟</w:t>
            </w:r>
            <w:r>
              <w:rPr>
                <w:sz w:val="21"/>
              </w:rPr>
              <w:t>；</w:t>
            </w:r>
          </w:p>
          <w:p>
            <w:pPr>
              <w:pStyle w:val="null3"/>
              <w:ind w:firstLine="420"/>
            </w:pPr>
            <w:r>
              <w:rPr>
                <w:sz w:val="21"/>
              </w:rPr>
              <w:t>5.</w:t>
            </w:r>
            <w:r>
              <w:rPr>
                <w:sz w:val="21"/>
              </w:rPr>
              <w:t>可维护性：系统设计和实现的代码复杂度，可维护性指数，修改成本等达到行业以上标准</w:t>
            </w:r>
            <w:r>
              <w:rPr>
                <w:sz w:val="21"/>
              </w:rPr>
              <w:t>；</w:t>
            </w:r>
          </w:p>
          <w:p>
            <w:pPr>
              <w:pStyle w:val="null3"/>
              <w:ind w:firstLine="420"/>
            </w:pPr>
            <w:r>
              <w:rPr>
                <w:sz w:val="21"/>
              </w:rPr>
              <w:t>6.</w:t>
            </w:r>
            <w:r>
              <w:rPr>
                <w:sz w:val="21"/>
              </w:rPr>
              <w:t>易用性：系统的界面和功能设计符合用户的期望，易于使用和学习</w:t>
            </w:r>
            <w:r>
              <w:rPr>
                <w:sz w:val="21"/>
              </w:rPr>
              <w:t>；</w:t>
            </w:r>
          </w:p>
          <w:p>
            <w:pPr>
              <w:pStyle w:val="null3"/>
              <w:ind w:firstLine="420"/>
            </w:pPr>
            <w:r>
              <w:rPr>
                <w:sz w:val="21"/>
              </w:rPr>
              <w:t>7.</w:t>
            </w:r>
            <w:r>
              <w:rPr>
                <w:sz w:val="21"/>
              </w:rPr>
              <w:t>可扩展性：系统在面对不断增长的用户量和数据规模时，能够保持性能和功能的稳定性。</w:t>
            </w:r>
            <w:r>
              <w:rPr>
                <w:sz w:val="21"/>
              </w:rPr>
              <w:t>采用</w:t>
            </w:r>
            <w:r>
              <w:rPr>
                <w:sz w:val="21"/>
              </w:rPr>
              <w:t>微服务分层解耦的架构设计保障系统的扩展性能力，采用软硬件结合的负载均衡保障资源的扩展能力，前瞻的智能容量规划保障应急状态下系统无需重新分配大块资源</w:t>
            </w:r>
            <w:r>
              <w:rPr>
                <w:sz w:val="21"/>
              </w:rPr>
              <w:t>。</w:t>
            </w:r>
          </w:p>
          <w:p>
            <w:pPr>
              <w:pStyle w:val="null3"/>
              <w:ind w:firstLine="422"/>
            </w:pPr>
            <w:r>
              <w:rPr>
                <w:sz w:val="21"/>
                <w:b/>
              </w:rPr>
              <w:t>6）</w:t>
            </w:r>
            <w:r>
              <w:rPr>
                <w:sz w:val="21"/>
                <w:b/>
              </w:rPr>
              <w:t>其他要求</w:t>
            </w:r>
          </w:p>
          <w:p>
            <w:pPr>
              <w:pStyle w:val="null3"/>
              <w:ind w:firstLine="420"/>
            </w:pPr>
            <w:r>
              <w:rPr>
                <w:sz w:val="21"/>
              </w:rPr>
              <w:t>1.</w:t>
            </w:r>
            <w:r>
              <w:rPr>
                <w:sz w:val="21"/>
              </w:rPr>
              <w:t>系统建设要求使用安全可靠的技术和软硬件产品。</w:t>
            </w:r>
          </w:p>
          <w:p>
            <w:pPr>
              <w:pStyle w:val="null3"/>
              <w:ind w:firstLine="420"/>
            </w:pPr>
            <w:r>
              <w:rPr>
                <w:sz w:val="21"/>
              </w:rPr>
              <w:t>2.</w:t>
            </w:r>
            <w:r>
              <w:rPr>
                <w:sz w:val="21"/>
              </w:rPr>
              <w:t>系统需支持</w:t>
            </w:r>
            <w:r>
              <w:rPr>
                <w:sz w:val="21"/>
              </w:rPr>
              <w:t>IPv6。</w:t>
            </w:r>
          </w:p>
          <w:p>
            <w:pPr>
              <w:pStyle w:val="null3"/>
              <w:ind w:firstLine="420"/>
            </w:pPr>
            <w:r>
              <w:rPr>
                <w:sz w:val="21"/>
              </w:rPr>
              <w:t>3.</w:t>
            </w:r>
            <w:r>
              <w:rPr>
                <w:sz w:val="21"/>
              </w:rPr>
              <w:t>质量要求：为保证本项目能按时高质</w:t>
            </w:r>
            <w:r>
              <w:rPr>
                <w:sz w:val="21"/>
              </w:rPr>
              <w:t>量</w:t>
            </w:r>
            <w:r>
              <w:rPr>
                <w:sz w:val="21"/>
              </w:rPr>
              <w:t>的顺利完成，规避项目风险或将风险降至最低程度，成交供应商应建立项目质量管理体系，包括但不限于质量目标、质量指标、岗位责任、问题处理计划、质量评价、整改完善等内容，并建立奖惩制度。</w:t>
            </w:r>
          </w:p>
          <w:p>
            <w:pPr>
              <w:pStyle w:val="null3"/>
              <w:ind w:firstLine="422"/>
            </w:pPr>
            <w:r>
              <w:rPr>
                <w:sz w:val="21"/>
                <w:b/>
              </w:rPr>
              <w:t>7）</w:t>
            </w:r>
            <w:r>
              <w:rPr>
                <w:sz w:val="21"/>
                <w:b/>
              </w:rPr>
              <w:t>实施要求</w:t>
            </w:r>
          </w:p>
          <w:p>
            <w:pPr>
              <w:pStyle w:val="null3"/>
              <w:ind w:firstLine="420"/>
            </w:pPr>
            <w:r>
              <w:rPr>
                <w:sz w:val="21"/>
              </w:rPr>
              <w:t>1.</w:t>
            </w:r>
            <w:r>
              <w:rPr>
                <w:sz w:val="21"/>
              </w:rPr>
              <w:t>成交供应商必须提供严格按照项目建设日程表执行。日程表内容至少应包括需求调研、系统设计、编码、系统联调、系统试运行、验收、技术培训，用户操作培训等。</w:t>
            </w:r>
          </w:p>
          <w:p>
            <w:pPr>
              <w:pStyle w:val="null3"/>
              <w:ind w:firstLine="420"/>
            </w:pPr>
            <w:r>
              <w:rPr>
                <w:sz w:val="21"/>
              </w:rPr>
              <w:t>2.</w:t>
            </w:r>
            <w:r>
              <w:rPr>
                <w:sz w:val="21"/>
              </w:rPr>
              <w:t>成交供应商应在验收前提供完善的系统说明文档和使用手册说明书（包括系统需求分析、数据库设计、系统管理员手册、用户使用操作手册、系统维护手册等），制定日常维护计划和操作说明，并应在系统发生变更时进行上述文档的及时更新。</w:t>
            </w:r>
          </w:p>
          <w:p>
            <w:pPr>
              <w:pStyle w:val="null3"/>
              <w:ind w:firstLine="420"/>
            </w:pPr>
            <w:r>
              <w:rPr>
                <w:sz w:val="21"/>
              </w:rPr>
              <w:t>3.</w:t>
            </w:r>
            <w:r>
              <w:rPr>
                <w:sz w:val="21"/>
              </w:rPr>
              <w:t>系统版权属广东省公安厅拥有，应用</w:t>
            </w:r>
            <w:r>
              <w:rPr>
                <w:sz w:val="21"/>
              </w:rPr>
              <w:t>成交供应商</w:t>
            </w:r>
            <w:r>
              <w:rPr>
                <w:sz w:val="21"/>
              </w:rPr>
              <w:t>必须向</w:t>
            </w:r>
            <w:r>
              <w:rPr>
                <w:sz w:val="21"/>
              </w:rPr>
              <w:t>采购人</w:t>
            </w:r>
            <w:r>
              <w:rPr>
                <w:sz w:val="21"/>
              </w:rPr>
              <w:t>单位无偿提供程序的源代码和相关的技术文档。</w:t>
            </w:r>
          </w:p>
          <w:p>
            <w:pPr>
              <w:pStyle w:val="null3"/>
              <w:ind w:firstLine="420"/>
            </w:pPr>
            <w:r>
              <w:rPr>
                <w:sz w:val="21"/>
              </w:rPr>
              <w:t>4.</w:t>
            </w:r>
            <w:r>
              <w:rPr>
                <w:sz w:val="21"/>
              </w:rPr>
              <w:t>成交供应商必须服从并密切配合</w:t>
            </w:r>
            <w:r>
              <w:rPr>
                <w:sz w:val="21"/>
              </w:rPr>
              <w:t>采购人</w:t>
            </w:r>
            <w:r>
              <w:rPr>
                <w:sz w:val="21"/>
              </w:rPr>
              <w:t>单位指定的监理单位的工程监理。</w:t>
            </w:r>
          </w:p>
          <w:p>
            <w:pPr>
              <w:pStyle w:val="null3"/>
              <w:ind w:firstLine="420"/>
            </w:pPr>
            <w:r>
              <w:rPr>
                <w:sz w:val="21"/>
              </w:rPr>
              <w:t>5.</w:t>
            </w:r>
            <w:r>
              <w:rPr>
                <w:sz w:val="21"/>
              </w:rPr>
              <w:t>成交供应商施工的每个阶段都需要配合</w:t>
            </w:r>
            <w:r>
              <w:rPr>
                <w:sz w:val="21"/>
              </w:rPr>
              <w:t>采购人</w:t>
            </w:r>
            <w:r>
              <w:rPr>
                <w:sz w:val="21"/>
              </w:rPr>
              <w:t>和监理单位进行项目建设过程中的工期节点检查。对于成交供应商自身原因造成的工期延误，</w:t>
            </w:r>
            <w:r>
              <w:rPr>
                <w:sz w:val="21"/>
              </w:rPr>
              <w:t>采购人</w:t>
            </w:r>
            <w:r>
              <w:rPr>
                <w:sz w:val="21"/>
              </w:rPr>
              <w:t>可根据合同要求追究成交供应商责任。</w:t>
            </w:r>
          </w:p>
          <w:p>
            <w:pPr>
              <w:pStyle w:val="null3"/>
              <w:ind w:firstLine="420"/>
            </w:pPr>
            <w:r>
              <w:rPr>
                <w:sz w:val="21"/>
              </w:rPr>
              <w:t>6.</w:t>
            </w:r>
            <w:r>
              <w:rPr>
                <w:sz w:val="21"/>
              </w:rPr>
              <w:t>从开工之日起</w:t>
            </w:r>
            <w:r>
              <w:rPr>
                <w:sz w:val="21"/>
              </w:rPr>
              <w:t>,直至项目竣工最终验收后将项目移交给</w:t>
            </w:r>
            <w:r>
              <w:rPr>
                <w:sz w:val="21"/>
              </w:rPr>
              <w:t>采购人</w:t>
            </w:r>
            <w:r>
              <w:rPr>
                <w:sz w:val="21"/>
              </w:rPr>
              <w:t>前，成交供应商对所有有关项目的材料、半成品、成品和配套设备装置负全责。成交供应商应负责保障</w:t>
            </w:r>
            <w:r>
              <w:rPr>
                <w:sz w:val="21"/>
              </w:rPr>
              <w:t>采购人</w:t>
            </w:r>
            <w:r>
              <w:rPr>
                <w:sz w:val="21"/>
              </w:rPr>
              <w:t>免于由于成交供应商保护不周而造成的所有赔偿责任或其费用。在项目最终验收合格后，成交供应商与</w:t>
            </w:r>
            <w:r>
              <w:rPr>
                <w:sz w:val="21"/>
              </w:rPr>
              <w:t>采购人</w:t>
            </w:r>
            <w:r>
              <w:rPr>
                <w:sz w:val="21"/>
              </w:rPr>
              <w:t>签订项目设备清单移交确认书后，项目设备资产所有权才归</w:t>
            </w:r>
            <w:r>
              <w:rPr>
                <w:sz w:val="21"/>
              </w:rPr>
              <w:t>采购人</w:t>
            </w:r>
            <w:r>
              <w:rPr>
                <w:sz w:val="21"/>
              </w:rPr>
              <w:t>拥有。</w:t>
            </w:r>
          </w:p>
          <w:p>
            <w:pPr>
              <w:pStyle w:val="null3"/>
              <w:ind w:firstLine="422"/>
            </w:pPr>
            <w:r>
              <w:rPr>
                <w:sz w:val="21"/>
                <w:b/>
              </w:rPr>
              <w:t>8）</w:t>
            </w:r>
            <w:r>
              <w:rPr>
                <w:sz w:val="21"/>
                <w:b/>
              </w:rPr>
              <w:t>技术文档要求</w:t>
            </w:r>
          </w:p>
          <w:p>
            <w:pPr>
              <w:pStyle w:val="null3"/>
              <w:ind w:firstLine="420"/>
            </w:pPr>
            <w:r>
              <w:rPr>
                <w:sz w:val="21"/>
              </w:rPr>
              <w:t>成交供应商应在项目完成时至少提供以下技术文件资料：</w:t>
            </w:r>
          </w:p>
          <w:p>
            <w:pPr>
              <w:pStyle w:val="null3"/>
              <w:ind w:firstLine="420"/>
            </w:pPr>
            <w:r>
              <w:rPr>
                <w:sz w:val="21"/>
              </w:rPr>
              <w:t>①</w:t>
            </w:r>
            <w:r>
              <w:rPr>
                <w:sz w:val="21"/>
              </w:rPr>
              <w:t>《需求说明书》</w:t>
            </w:r>
          </w:p>
          <w:p>
            <w:pPr>
              <w:pStyle w:val="null3"/>
              <w:ind w:firstLine="420"/>
            </w:pPr>
            <w:r>
              <w:rPr>
                <w:sz w:val="21"/>
              </w:rPr>
              <w:t>②</w:t>
            </w:r>
            <w:r>
              <w:rPr>
                <w:sz w:val="21"/>
              </w:rPr>
              <w:t>《系统概要设计说明书》</w:t>
            </w:r>
          </w:p>
          <w:p>
            <w:pPr>
              <w:pStyle w:val="null3"/>
              <w:ind w:firstLine="420"/>
            </w:pPr>
            <w:r>
              <w:rPr>
                <w:sz w:val="21"/>
              </w:rPr>
              <w:t>③</w:t>
            </w:r>
            <w:r>
              <w:rPr>
                <w:sz w:val="21"/>
              </w:rPr>
              <w:t>《系统详细设计说明书》</w:t>
            </w:r>
          </w:p>
          <w:p>
            <w:pPr>
              <w:pStyle w:val="null3"/>
              <w:ind w:firstLine="420"/>
            </w:pPr>
            <w:r>
              <w:rPr>
                <w:sz w:val="21"/>
              </w:rPr>
              <w:t>④</w:t>
            </w:r>
            <w:r>
              <w:rPr>
                <w:sz w:val="21"/>
              </w:rPr>
              <w:t>《数据库设计说明书》</w:t>
            </w:r>
          </w:p>
          <w:p>
            <w:pPr>
              <w:pStyle w:val="null3"/>
              <w:ind w:firstLine="420"/>
            </w:pPr>
            <w:r>
              <w:rPr>
                <w:sz w:val="21"/>
              </w:rPr>
              <w:t>⑤</w:t>
            </w:r>
            <w:r>
              <w:rPr>
                <w:sz w:val="21"/>
              </w:rPr>
              <w:t>《测试方案</w:t>
            </w:r>
            <w:r>
              <w:rPr>
                <w:sz w:val="21"/>
              </w:rPr>
              <w:t>/计划》</w:t>
            </w:r>
          </w:p>
          <w:p>
            <w:pPr>
              <w:pStyle w:val="null3"/>
              <w:ind w:firstLine="420"/>
            </w:pPr>
            <w:r>
              <w:rPr>
                <w:sz w:val="21"/>
              </w:rPr>
              <w:t>⑥</w:t>
            </w:r>
            <w:r>
              <w:rPr>
                <w:sz w:val="21"/>
              </w:rPr>
              <w:t>《测试记录》</w:t>
            </w:r>
          </w:p>
          <w:p>
            <w:pPr>
              <w:pStyle w:val="null3"/>
              <w:ind w:firstLine="420"/>
            </w:pPr>
            <w:r>
              <w:rPr>
                <w:sz w:val="21"/>
              </w:rPr>
              <w:t>⑦</w:t>
            </w:r>
            <w:r>
              <w:rPr>
                <w:sz w:val="21"/>
              </w:rPr>
              <w:t>《项目测试报告》</w:t>
            </w:r>
          </w:p>
          <w:p>
            <w:pPr>
              <w:pStyle w:val="null3"/>
              <w:ind w:firstLine="420"/>
            </w:pPr>
            <w:r>
              <w:rPr>
                <w:sz w:val="21"/>
              </w:rPr>
              <w:t>⑧</w:t>
            </w:r>
            <w:r>
              <w:rPr>
                <w:sz w:val="21"/>
              </w:rPr>
              <w:t>《培训方案、计划》</w:t>
            </w:r>
          </w:p>
          <w:p>
            <w:pPr>
              <w:pStyle w:val="null3"/>
              <w:ind w:firstLine="420"/>
            </w:pPr>
            <w:r>
              <w:rPr>
                <w:sz w:val="21"/>
              </w:rPr>
              <w:t>⑨</w:t>
            </w:r>
            <w:r>
              <w:rPr>
                <w:sz w:val="21"/>
              </w:rPr>
              <w:t>《用户手册》</w:t>
            </w:r>
          </w:p>
          <w:p>
            <w:pPr>
              <w:pStyle w:val="null3"/>
              <w:ind w:firstLine="420"/>
            </w:pPr>
            <w:r>
              <w:rPr>
                <w:sz w:val="21"/>
              </w:rPr>
              <w:t>⑩</w:t>
            </w:r>
            <w:r>
              <w:rPr>
                <w:sz w:val="21"/>
              </w:rPr>
              <w:t>《维护手册》</w:t>
            </w:r>
          </w:p>
          <w:p>
            <w:pPr>
              <w:pStyle w:val="null3"/>
              <w:ind w:firstLine="420"/>
            </w:pPr>
            <w:r>
              <w:rPr>
                <w:sz w:val="21"/>
              </w:rPr>
              <w:t>⑪</w:t>
            </w:r>
            <w:r>
              <w:rPr>
                <w:sz w:val="21"/>
              </w:rPr>
              <w:t>《培训教材》</w:t>
            </w:r>
          </w:p>
          <w:p>
            <w:pPr>
              <w:pStyle w:val="null3"/>
              <w:ind w:firstLine="420"/>
            </w:pPr>
            <w:r>
              <w:rPr>
                <w:sz w:val="21"/>
              </w:rPr>
              <w:t>⑫</w:t>
            </w:r>
            <w:r>
              <w:rPr>
                <w:sz w:val="21"/>
              </w:rPr>
              <w:t>售后服务保证文件。</w:t>
            </w:r>
          </w:p>
          <w:p>
            <w:pPr>
              <w:pStyle w:val="null3"/>
              <w:ind w:firstLine="420"/>
            </w:pPr>
            <w:r>
              <w:rPr>
                <w:sz w:val="21"/>
              </w:rPr>
              <w:t>⑬</w:t>
            </w:r>
            <w:r>
              <w:rPr>
                <w:sz w:val="21"/>
              </w:rPr>
              <w:t>其他用户方要求的技术资料。</w:t>
            </w:r>
          </w:p>
          <w:p>
            <w:pPr>
              <w:pStyle w:val="null3"/>
              <w:ind w:firstLine="422"/>
            </w:pPr>
            <w:r>
              <w:rPr>
                <w:sz w:val="21"/>
                <w:b/>
              </w:rPr>
              <w:t>9）</w:t>
            </w:r>
            <w:r>
              <w:rPr>
                <w:sz w:val="21"/>
                <w:b/>
              </w:rPr>
              <w:t>培训要求</w:t>
            </w:r>
          </w:p>
          <w:p>
            <w:pPr>
              <w:pStyle w:val="null3"/>
              <w:ind w:firstLine="420"/>
            </w:pPr>
            <w:r>
              <w:rPr>
                <w:sz w:val="21"/>
              </w:rPr>
              <w:t>成交供应商应提供相应的系统操作与运维等方面的培训。有关操作培训课程，应在系统试运行前完成。成交供应商应提供面向系统管理员的系统配置、运维等方面的培训，培训人数不少于</w:t>
            </w:r>
            <w:r>
              <w:rPr>
                <w:sz w:val="21"/>
              </w:rPr>
              <w:t>20人。成交供应商将详细的培训课程以及时间表交给</w:t>
            </w:r>
            <w:r>
              <w:rPr>
                <w:sz w:val="21"/>
              </w:rPr>
              <w:t>采购人</w:t>
            </w:r>
            <w:r>
              <w:rPr>
                <w:sz w:val="21"/>
              </w:rPr>
              <w:t>，最后以</w:t>
            </w:r>
            <w:r>
              <w:rPr>
                <w:sz w:val="21"/>
              </w:rPr>
              <w:t>采购人</w:t>
            </w:r>
            <w:r>
              <w:rPr>
                <w:sz w:val="21"/>
              </w:rPr>
              <w:t>认可为准。对于所有培训，成交供应商必须派出具有相应专业资格和实际工作经验的人员进行培训。所有的培训资料必须是中文书写。</w:t>
            </w:r>
          </w:p>
          <w:p>
            <w:pPr>
              <w:pStyle w:val="null3"/>
              <w:jc w:val="both"/>
            </w:pPr>
            <w:r>
              <w:rPr>
                <w:sz w:val="21"/>
              </w:rPr>
              <w:t xml:space="preserve">       成交供应商应将所有培训费用（含培训教材费）及各项支出列入响应报价中。</w:t>
            </w:r>
          </w:p>
        </w:tc>
      </w:tr>
      <w:tr>
        <w:tc>
          <w:tcPr>
            <w:tcW w:type="dxa" w:w="2076"/>
          </w:tcPr>
          <w:p/>
        </w:tc>
        <w:tc>
          <w:tcPr>
            <w:tcW w:type="dxa" w:w="415"/>
          </w:tcPr>
          <w:p>
            <w:pPr>
              <w:pStyle w:val="null3"/>
            </w:pPr>
            <w:r>
              <w:rPr/>
              <w:t>4</w:t>
            </w:r>
          </w:p>
        </w:tc>
        <w:tc>
          <w:tcPr>
            <w:tcW w:type="dxa" w:w="5814"/>
          </w:tcPr>
          <w:p>
            <w:pPr>
              <w:pStyle w:val="null3"/>
              <w:ind w:firstLine="422"/>
            </w:pPr>
            <w:r>
              <w:rPr>
                <w:sz w:val="21"/>
                <w:b/>
              </w:rPr>
              <w:t>三</w:t>
            </w:r>
            <w:r>
              <w:rPr>
                <w:sz w:val="21"/>
                <w:b/>
              </w:rPr>
              <w:t>、</w:t>
            </w:r>
            <w:r>
              <w:rPr>
                <w:sz w:val="21"/>
                <w:b/>
              </w:rPr>
              <w:t>售后服务</w:t>
            </w:r>
          </w:p>
          <w:p>
            <w:pPr>
              <w:pStyle w:val="null3"/>
              <w:ind w:firstLine="420"/>
            </w:pPr>
            <w:r>
              <w:rPr>
                <w:sz w:val="21"/>
              </w:rPr>
              <w:t>1.自项目竣工验收完成之日起，提供1年的应用软件免费服务，质保期内，成交供应商负责整个系统的安装、维护、升级等服务工作，成交供应商应由专门的维护部门并指定固定技术力量用于系统的维护。售后服务内容包括：应用系统非数据结构改变的功能改进性维护等，纠错性维护成交供应商须长期免费服务。维护内容为适应性维护与日常技术维护；在质保期内，提供1名驻场运维人员；提供7天×24小时售后服务，接到服务请求后4小时内排除故障或到达现场给予技术支持，对于电话方式无法解决的问题，成交供应商必须在4小时之内派员到现场维护；</w:t>
            </w:r>
          </w:p>
          <w:p>
            <w:pPr>
              <w:pStyle w:val="null3"/>
              <w:ind w:firstLine="420"/>
            </w:pPr>
            <w:r>
              <w:rPr>
                <w:sz w:val="21"/>
              </w:rPr>
              <w:t>2.提供系统的例行巡检工作，并提供巡检报告；</w:t>
            </w:r>
          </w:p>
          <w:p>
            <w:pPr>
              <w:pStyle w:val="null3"/>
              <w:ind w:firstLine="420"/>
            </w:pPr>
            <w:r>
              <w:rPr>
                <w:sz w:val="21"/>
              </w:rPr>
              <w:t>3.在运维期间，提供不少于两次的技术、操作、业务培训；</w:t>
            </w:r>
          </w:p>
          <w:p>
            <w:pPr>
              <w:pStyle w:val="null3"/>
              <w:ind w:firstLine="420"/>
            </w:pPr>
            <w:r>
              <w:rPr>
                <w:sz w:val="21"/>
              </w:rPr>
              <w:t>4.响应采购人的特殊需求，在重大事件或者安保期间，提供待命、现场值班保障等技术支持。</w:t>
            </w:r>
          </w:p>
          <w:p>
            <w:pPr>
              <w:pStyle w:val="null3"/>
              <w:ind w:firstLine="420"/>
            </w:pPr>
            <w:r>
              <w:rPr>
                <w:sz w:val="21"/>
              </w:rPr>
              <w:t>5.质保期满后，成交供应商承诺以最优惠价格向采购人提供与质保期相同的维护、升级等。具体费用另行约定。</w:t>
            </w:r>
          </w:p>
          <w:p>
            <w:pPr>
              <w:pStyle w:val="null3"/>
              <w:jc w:val="both"/>
            </w:pPr>
            <w:r>
              <w:rPr>
                <w:sz w:val="21"/>
              </w:rPr>
              <w:t xml:space="preserve">       6.质保期内，成交供应商保证每 1 个月对系统巡检一次，并在 3 天内完成巡检工作，并向采购人提交巡检报告。</w:t>
            </w:r>
          </w:p>
        </w:tc>
      </w:tr>
      <w:tr>
        <w:tc>
          <w:tcPr>
            <w:tcW w:type="dxa" w:w="2076"/>
          </w:tcPr>
          <w:p/>
        </w:tc>
        <w:tc>
          <w:tcPr>
            <w:tcW w:type="dxa" w:w="415"/>
          </w:tcPr>
          <w:p>
            <w:pPr>
              <w:pStyle w:val="null3"/>
            </w:pPr>
            <w:r>
              <w:rPr/>
              <w:t>5</w:t>
            </w:r>
          </w:p>
        </w:tc>
        <w:tc>
          <w:tcPr>
            <w:tcW w:type="dxa" w:w="5814"/>
          </w:tcPr>
          <w:p>
            <w:pPr>
              <w:pStyle w:val="null3"/>
              <w:ind w:firstLine="422"/>
            </w:pPr>
            <w:r>
              <w:rPr>
                <w:sz w:val="21"/>
                <w:b/>
              </w:rPr>
              <w:t>四</w:t>
            </w:r>
            <w:r>
              <w:rPr>
                <w:sz w:val="21"/>
                <w:b/>
              </w:rPr>
              <w:t>、</w:t>
            </w:r>
            <w:r>
              <w:rPr>
                <w:sz w:val="21"/>
                <w:b/>
              </w:rPr>
              <w:t>服务考核评价要求</w:t>
            </w:r>
          </w:p>
          <w:p>
            <w:pPr>
              <w:pStyle w:val="null3"/>
              <w:ind w:firstLine="420"/>
            </w:pPr>
            <w:r>
              <w:rPr>
                <w:sz w:val="21"/>
              </w:rPr>
              <w:t>服务考核评价指采购人、监理方对本项目建设过程中（合同签订后至最终验收通过之日前）成交供应商的建设服务质量进行的评价。</w:t>
            </w:r>
          </w:p>
          <w:p>
            <w:pPr>
              <w:pStyle w:val="null3"/>
              <w:jc w:val="both"/>
            </w:pPr>
            <w:r>
              <w:rPr>
                <w:sz w:val="21"/>
              </w:rPr>
              <w:t>项目整体评价：项目整体评价，是指在本系统软件开发工作和业务运营服务工作完成后，对成交供应商的项目实施质量进行一次整体评价。在完成本系统软件开发工作和业务运营服务工作（以最终验收报告为准）后</w:t>
            </w:r>
            <w:r>
              <w:rPr>
                <w:sz w:val="21"/>
              </w:rPr>
              <w:t>7个工作日内，采购人向成交供应商发出《项目整体评价通知书》，内容包括成交供应商在进行本项目工作中的质量评价和评分</w:t>
            </w:r>
            <w:r>
              <w:rPr>
                <w:sz w:val="21"/>
              </w:rPr>
              <w:t>，评分满分为</w:t>
            </w:r>
            <w:r>
              <w:rPr>
                <w:sz w:val="21"/>
              </w:rPr>
              <w:t>100分</w:t>
            </w:r>
            <w:r>
              <w:rPr>
                <w:sz w:val="21"/>
              </w:rPr>
              <w:t>。</w:t>
            </w:r>
          </w:p>
        </w:tc>
      </w:tr>
      <w:tr>
        <w:tc>
          <w:tcPr>
            <w:tcW w:type="dxa" w:w="2076"/>
          </w:tcPr>
          <w:p/>
        </w:tc>
        <w:tc>
          <w:tcPr>
            <w:tcW w:type="dxa" w:w="415"/>
          </w:tcPr>
          <w:p>
            <w:pPr>
              <w:pStyle w:val="null3"/>
            </w:pPr>
            <w:r>
              <w:rPr/>
              <w:t>6</w:t>
            </w:r>
          </w:p>
        </w:tc>
        <w:tc>
          <w:tcPr>
            <w:tcW w:type="dxa" w:w="5814"/>
          </w:tcPr>
          <w:p>
            <w:pPr>
              <w:pStyle w:val="null3"/>
              <w:ind w:firstLine="422"/>
            </w:pPr>
            <w:r>
              <w:rPr>
                <w:sz w:val="21"/>
                <w:b/>
              </w:rPr>
              <w:t>五</w:t>
            </w:r>
            <w:r>
              <w:rPr>
                <w:sz w:val="21"/>
                <w:b/>
              </w:rPr>
              <w:t>、</w:t>
            </w:r>
            <w:r>
              <w:rPr>
                <w:sz w:val="21"/>
                <w:b/>
              </w:rPr>
              <w:t>费用要求</w:t>
            </w:r>
          </w:p>
          <w:p>
            <w:pPr>
              <w:pStyle w:val="null3"/>
              <w:ind w:firstLine="420"/>
            </w:pPr>
            <w:r>
              <w:rPr>
                <w:sz w:val="21"/>
              </w:rPr>
              <w:t>1.本项目响应总报价要求包含全部工程建设费用（并包含交易服务费）。</w:t>
            </w:r>
          </w:p>
          <w:p>
            <w:pPr>
              <w:pStyle w:val="null3"/>
              <w:ind w:firstLine="420"/>
            </w:pPr>
            <w:r>
              <w:rPr>
                <w:sz w:val="21"/>
              </w:rPr>
              <w:t>2.本项目费用包括但不限于项目实施期间进行需求调研、设计、接口开发和调测、部署调试、软件建设、系统业务运营及项目实施人员的工资、补贴等人工费、交通费、餐费、资料费、信息技术应用创新符合性测试费等相关费用，响应时应包含在响应总价内。</w:t>
            </w:r>
          </w:p>
        </w:tc>
      </w:tr>
      <w:tr>
        <w:tc>
          <w:tcPr>
            <w:tcW w:type="dxa" w:w="2076"/>
          </w:tcPr>
          <w:p/>
        </w:tc>
        <w:tc>
          <w:tcPr>
            <w:tcW w:type="dxa" w:w="415"/>
          </w:tcPr>
          <w:p>
            <w:pPr>
              <w:pStyle w:val="null3"/>
            </w:pPr>
            <w:r>
              <w:rPr/>
              <w:t>7</w:t>
            </w:r>
          </w:p>
        </w:tc>
        <w:tc>
          <w:tcPr>
            <w:tcW w:type="dxa" w:w="5814"/>
          </w:tcPr>
          <w:p>
            <w:pPr>
              <w:pStyle w:val="null3"/>
              <w:ind w:firstLine="422"/>
            </w:pPr>
            <w:r>
              <w:rPr>
                <w:sz w:val="21"/>
                <w:b/>
              </w:rPr>
              <w:t>六</w:t>
            </w:r>
            <w:r>
              <w:rPr>
                <w:sz w:val="21"/>
                <w:b/>
              </w:rPr>
              <w:t>、</w:t>
            </w:r>
            <w:r>
              <w:rPr>
                <w:sz w:val="21"/>
                <w:b/>
              </w:rPr>
              <w:t>其他要求</w:t>
            </w:r>
          </w:p>
          <w:p>
            <w:pPr>
              <w:pStyle w:val="null3"/>
              <w:ind w:firstLine="420"/>
            </w:pPr>
            <w:r>
              <w:rPr>
                <w:sz w:val="21"/>
              </w:rPr>
              <w:t>1.由成交供应商根据采购人需求框架充分调查并与采购人协商后于本合同生效后60个工作日内提出《需求规格说明书》。《需求规格说明书》的内容自动包括但不限于采购文件所要求的所有系统功能需求，如有减少或降低，须有专门说明，并经双方书面确认才能生效。《需求规格说明书》将作为本合同执行不可分割的部分。</w:t>
            </w:r>
          </w:p>
          <w:p>
            <w:pPr>
              <w:pStyle w:val="null3"/>
              <w:ind w:firstLine="420"/>
            </w:pPr>
            <w:r>
              <w:rPr>
                <w:sz w:val="21"/>
              </w:rPr>
              <w:t>2.</w:t>
            </w:r>
            <w:r>
              <w:rPr>
                <w:sz w:val="21"/>
              </w:rPr>
              <w:t>若需求发生变更，变更后的需求同样经签字确认后，以需求变更补充文件的形式，同样作为本</w:t>
            </w:r>
            <w:r>
              <w:rPr>
                <w:sz w:val="21"/>
              </w:rPr>
              <w:t>项目</w:t>
            </w:r>
            <w:r>
              <w:rPr>
                <w:sz w:val="21"/>
              </w:rPr>
              <w:t>执行不可分割的部分。</w:t>
            </w:r>
          </w:p>
          <w:p>
            <w:pPr>
              <w:pStyle w:val="null3"/>
              <w:ind w:firstLine="420"/>
            </w:pPr>
            <w:r>
              <w:rPr>
                <w:sz w:val="21"/>
              </w:rPr>
              <w:t>3.</w:t>
            </w:r>
            <w:r>
              <w:rPr>
                <w:sz w:val="21"/>
              </w:rPr>
              <w:t>合同签订后</w:t>
            </w:r>
            <w:r>
              <w:rPr>
                <w:sz w:val="21"/>
              </w:rPr>
              <w:t>24</w:t>
            </w:r>
            <w:r>
              <w:rPr>
                <w:sz w:val="21"/>
              </w:rPr>
              <w:t xml:space="preserve"> </w:t>
            </w:r>
            <w:r>
              <w:rPr>
                <w:sz w:val="21"/>
              </w:rPr>
              <w:t>个月内完成项目全部建设内容的开发、上线</w:t>
            </w:r>
            <w:r>
              <w:rPr>
                <w:sz w:val="21"/>
              </w:rPr>
              <w:t>、验收</w:t>
            </w:r>
            <w:r>
              <w:rPr>
                <w:sz w:val="21"/>
              </w:rPr>
              <w:t>工作。</w:t>
            </w:r>
          </w:p>
          <w:p>
            <w:pPr>
              <w:pStyle w:val="null3"/>
              <w:ind w:firstLine="420"/>
            </w:pPr>
            <w:r>
              <w:rPr>
                <w:sz w:val="21"/>
              </w:rPr>
              <w:t>4.成交供应商应在本合同生效后10日内向采购人提交研究开发计划。研究开发计划应包括以下主要内容：1.项目开发计划；2.项目实施计划；3.人员配备计划。</w:t>
            </w:r>
          </w:p>
          <w:p>
            <w:pPr>
              <w:pStyle w:val="null3"/>
              <w:jc w:val="both"/>
            </w:pPr>
            <w:r>
              <w:rPr>
                <w:sz w:val="21"/>
              </w:rPr>
              <w:t xml:space="preserve">       5.</w:t>
            </w:r>
            <w:r>
              <w:rPr>
                <w:sz w:val="21"/>
              </w:rPr>
              <w:t>供应商须根据采购需求为本项目配备具有相关专业能力、经验丰富的服务团队，需满足（具有与本项目相关经验</w:t>
            </w:r>
            <w:r>
              <w:rPr>
                <w:sz w:val="21"/>
              </w:rPr>
              <w:t>1年及以上）等条件，并且建立严格规范的项目管理制度，保证服务质量，全流程持续跟踪服务情况，确保项目顺利实施。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广东省公安厅（本部）</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项目预算总金额作为招标代理服务费的计算基数；（2）招标代理服务费采用差额定率累进法进行计算，按照以下标准计取：100万元以下的部分，按照1.5%计取；100-500万元的部分，按照0.8%计取；500-1000万元的部分，按照0.45%计取；1000-5000万元的部分，按照0.25%计取。 本项目代理服务费发票只提供增值税普通发票业务，需增值税专用发票不含。</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广东华信招标有限公司</w:t>
      </w:r>
      <w:r>
        <w:rPr/>
        <w:t>代收。具体操作要求详见</w:t>
      </w:r>
      <w:r>
        <w:rPr/>
        <w:t>广东华信招标有限公司</w:t>
      </w:r>
      <w:r>
        <w:rPr/>
        <w:t>有关指引，递交事宜请自行咨询</w:t>
      </w:r>
      <w:r>
        <w:rPr/>
        <w:t>广东华信招标有限公司</w:t>
      </w:r>
      <w:r>
        <w:rPr/>
        <w:t>；请各供应商在响应文件递交截止时间前按须知前附表规定的金额递交至</w:t>
      </w:r>
      <w:r>
        <w:rPr/>
        <w:t>广东华信招标有限公司</w:t>
      </w:r>
      <w:r>
        <w:rPr/>
        <w:t>，到账情况以开启时</w:t>
      </w:r>
      <w:r>
        <w:rPr/>
        <w:t>广东华信招标有限公司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广东华信招标有限公司（www.gdhxzb.cn）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广东华信招标有限公司（www.gdhxzb.cn）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余小姐</w:t>
      </w:r>
    </w:p>
    <w:p>
      <w:pPr>
        <w:pStyle w:val="null3"/>
        <w:ind w:firstLine="480"/>
      </w:pPr>
      <w:r>
        <w:rPr/>
        <w:t>电话：</w:t>
      </w:r>
      <w:r>
        <w:rPr/>
        <w:t>020-87564924</w:t>
      </w:r>
    </w:p>
    <w:p>
      <w:pPr>
        <w:pStyle w:val="null3"/>
        <w:ind w:firstLine="480"/>
      </w:pPr>
      <w:r>
        <w:rPr/>
        <w:t>传真：</w:t>
      </w:r>
      <w:r>
        <w:rPr/>
        <w:t>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公安厅2024-24交管业务收费对账管理平台开发（2024年）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广东华信招标有限公司</w:t>
      </w:r>
      <w:r>
        <w:rPr/>
        <w:t>统一对外发布。</w:t>
      </w:r>
    </w:p>
    <w:p>
      <w:pPr>
        <w:pStyle w:val="null3"/>
        <w:ind w:firstLine="480"/>
      </w:pPr>
      <w:r>
        <w:rPr/>
        <w:t>（2）对</w:t>
      </w:r>
      <w:r>
        <w:rPr/>
        <w:t>广东华信招标有限公司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采购包1（广东省公安厅2024-24交管业务收费对账管理平台开发（2024年）项目）：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采购包1（广东省公安厅2024-24交管业务收费对账管理平台开发（2024年）项目）：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供应商提供2023年的年度财务状况报告复印件，或响应截止之日前6个月任意1个月的财务状况报告复印件；或银行出具的资信证明材料复印件。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磋商，需查询分公司及其总公司的信用情况。（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为本项目提供整体设计、规范编制或者项目管理、监理、检测等服务的供应商，不得再参与本项目投标。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本项目专门面向中小微企业采购，需提供《中小企业声明函》（服务、工程）（本项目中小企业划分标准所属行业为软件和信息技术服务业）。</w:t>
            </w:r>
          </w:p>
        </w:tc>
      </w:tr>
    </w:tbl>
    <w:p>
      <w:pPr>
        <w:pStyle w:val="null3"/>
        <w:ind w:firstLine="480"/>
      </w:pPr>
      <w:r>
        <w:rPr/>
        <w:t>表二符合性审查表：</w:t>
      </w:r>
    </w:p>
    <w:p>
      <w:pPr>
        <w:pStyle w:val="null3"/>
      </w:pPr>
      <w:r>
        <w:rPr/>
        <w:t>采购包1（广东省公安厅2024-24交管业务收费对账管理平台开发（2024年）项目）：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磋商有效期</w:t>
            </w:r>
          </w:p>
        </w:tc>
        <w:tc>
          <w:tcPr>
            <w:tcW w:type="dxa" w:w="4238"/>
          </w:tcPr>
          <w:p>
            <w:pPr>
              <w:pStyle w:val="null3"/>
            </w:pPr>
            <w:r>
              <w:rPr/>
              <w:t>符合磋商有效期90日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报价未超过本项目最高限价</w:t>
            </w:r>
          </w:p>
        </w:tc>
      </w:tr>
      <w:tr>
        <w:tc>
          <w:tcPr>
            <w:tcW w:type="dxa" w:w="890"/>
          </w:tcPr>
          <w:p>
            <w:pPr>
              <w:pStyle w:val="null3"/>
            </w:pPr>
            <w:r>
              <w:rPr/>
              <w:t>3</w:t>
            </w:r>
          </w:p>
        </w:tc>
        <w:tc>
          <w:tcPr>
            <w:tcW w:type="dxa" w:w="3178"/>
          </w:tcPr>
          <w:p>
            <w:pPr>
              <w:pStyle w:val="null3"/>
            </w:pPr>
            <w:r>
              <w:rPr/>
              <w:t>响应文件签署</w:t>
            </w:r>
          </w:p>
        </w:tc>
        <w:tc>
          <w:tcPr>
            <w:tcW w:type="dxa" w:w="4238"/>
          </w:tcPr>
          <w:p>
            <w:pPr>
              <w:pStyle w:val="null3"/>
            </w:pPr>
            <w:r>
              <w:rPr/>
              <w:t>响应文件签署合格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完全满足磋商文件中标注“★”的条款</w:t>
            </w:r>
          </w:p>
        </w:tc>
      </w:tr>
      <w:tr>
        <w:tc>
          <w:tcPr>
            <w:tcW w:type="dxa" w:w="890"/>
          </w:tcPr>
          <w:p>
            <w:pPr>
              <w:pStyle w:val="null3"/>
            </w:pPr>
            <w:r>
              <w:rPr/>
              <w:t>5</w:t>
            </w:r>
          </w:p>
        </w:tc>
        <w:tc>
          <w:tcPr>
            <w:tcW w:type="dxa" w:w="3178"/>
          </w:tcPr>
          <w:p>
            <w:pPr>
              <w:pStyle w:val="null3"/>
            </w:pPr>
            <w:r>
              <w:rPr/>
              <w:t>有关法律、法规、规章或磋商文件规定的属于响应无效的情形</w:t>
            </w:r>
          </w:p>
        </w:tc>
        <w:tc>
          <w:tcPr>
            <w:tcW w:type="dxa" w:w="4238"/>
          </w:tcPr>
          <w:p>
            <w:pPr>
              <w:pStyle w:val="null3"/>
            </w:pPr>
            <w:r>
              <w:rPr/>
              <w:t>未出现有关法律、法规、规章或磋商文件规定的属于响应无效的情形</w:t>
            </w:r>
          </w:p>
        </w:tc>
      </w:tr>
      <w:tr>
        <w:tc>
          <w:tcPr>
            <w:tcW w:type="dxa" w:w="890"/>
          </w:tcPr>
          <w:p>
            <w:pPr>
              <w:pStyle w:val="null3"/>
            </w:pPr>
            <w:r>
              <w:rPr/>
              <w:t>6</w:t>
            </w:r>
          </w:p>
        </w:tc>
        <w:tc>
          <w:tcPr>
            <w:tcW w:type="dxa" w:w="3178"/>
          </w:tcPr>
          <w:p>
            <w:pPr>
              <w:pStyle w:val="null3"/>
            </w:pPr>
            <w:r>
              <w:rPr/>
              <w:t>其他未实质性响应磋商文件要求的</w:t>
            </w:r>
          </w:p>
        </w:tc>
        <w:tc>
          <w:tcPr>
            <w:tcW w:type="dxa" w:w="4238"/>
          </w:tcPr>
          <w:p>
            <w:pPr>
              <w:pStyle w:val="null3"/>
            </w:pPr>
            <w:r>
              <w:rPr/>
              <w:t>没有其他未实质性响应磋商文件要求的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采购包1(广东省公安厅2024-24交管业务收费对账管理平台开发（2024年）项目):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软件技术路线实施方案（一） (2.0分)</w:t>
            </w:r>
            <w:r>
              <w:rPr/>
              <w:t>，（等次分值选择：</w:t>
            </w:r>
            <w:r>
              <w:rPr/>
              <w:t>0.0;</w:t>
            </w:r>
            <w:r>
              <w:rPr/>
              <w:t>2.0;</w:t>
            </w:r>
            <w:r>
              <w:rPr/>
              <w:t>）</w:t>
            </w:r>
          </w:p>
        </w:tc>
        <w:tc>
          <w:tcPr>
            <w:tcW w:type="dxa" w:w="5076"/>
          </w:tcPr>
          <w:p>
            <w:pPr>
              <w:pStyle w:val="null3"/>
              <w:jc w:val="left"/>
            </w:pPr>
            <w:r>
              <w:rPr/>
              <w:t>根据需求中“一、采购项目需实现的功能和目标”中第2）技术路线要求；供应商针对本项目提供的软件技术路线实施方案进行评审： 提供软件技术路线实施方案的；得2分；如未能提供软件技术路线实施方案的，以下评分项均不得分；</w:t>
            </w:r>
          </w:p>
        </w:tc>
      </w:tr>
      <w:tr>
        <w:tc>
          <w:tcPr>
            <w:tcW w:type="dxa" w:w="922"/>
            <w:gridSpan w:val="2"/>
            <w:vMerge/>
          </w:tcPr>
          <w:p/>
        </w:tc>
        <w:tc>
          <w:tcPr>
            <w:tcW w:type="dxa" w:w="2307"/>
          </w:tcPr>
          <w:p>
            <w:pPr>
              <w:pStyle w:val="null3"/>
              <w:jc w:val="left"/>
            </w:pPr>
            <w:r>
              <w:rPr/>
              <w:t>软件技术路线实施方案（二） (3.0分)</w:t>
            </w:r>
            <w:r>
              <w:rPr/>
              <w:t>，（等次分值选择：</w:t>
            </w:r>
            <w:r>
              <w:rPr/>
              <w:t>0.0;</w:t>
            </w:r>
            <w:r>
              <w:rPr/>
              <w:t>1.0;</w:t>
            </w:r>
            <w:r>
              <w:rPr/>
              <w:t>2.0;</w:t>
            </w:r>
            <w:r>
              <w:rPr/>
              <w:t>3.0;</w:t>
            </w:r>
            <w:r>
              <w:rPr/>
              <w:t>）</w:t>
            </w:r>
          </w:p>
        </w:tc>
        <w:tc>
          <w:tcPr>
            <w:tcW w:type="dxa" w:w="5076"/>
          </w:tcPr>
          <w:p>
            <w:pPr>
              <w:pStyle w:val="null3"/>
              <w:jc w:val="left"/>
            </w:pPr>
            <w:r>
              <w:rPr/>
              <w:t>投标人提供的软件技术路线实施方案中： （1）软件技术路线实施方案全面，具体，可操作性强，方案科学合理，完全满足且优于项目需求的，得3分； （2）软件技术路线实施方案较全面，较具体，可操作性较强，方案较合理，完全满足项目需求的，得2分； （3）软件技术路线实施方案不够全面，不够具体，可操作性较差，方案不够合理，不完全满足项目需求的，得1分； （4）未提供相关表述不得分。</w:t>
            </w:r>
          </w:p>
        </w:tc>
      </w:tr>
      <w:tr>
        <w:tc>
          <w:tcPr>
            <w:tcW w:type="dxa" w:w="922"/>
            <w:gridSpan w:val="2"/>
            <w:vMerge/>
          </w:tcPr>
          <w:p/>
        </w:tc>
        <w:tc>
          <w:tcPr>
            <w:tcW w:type="dxa" w:w="2307"/>
          </w:tcPr>
          <w:p>
            <w:pPr>
              <w:pStyle w:val="null3"/>
              <w:jc w:val="left"/>
            </w:pPr>
            <w:r>
              <w:rPr/>
              <w:t>软件功能建设方案（一） (3.0分)</w:t>
            </w:r>
            <w:r>
              <w:rPr/>
              <w:t>，（等次分值选择：</w:t>
            </w:r>
            <w:r>
              <w:rPr/>
              <w:t>0.0;</w:t>
            </w:r>
            <w:r>
              <w:rPr/>
              <w:t>3.0;</w:t>
            </w:r>
            <w:r>
              <w:rPr/>
              <w:t>）</w:t>
            </w:r>
          </w:p>
        </w:tc>
        <w:tc>
          <w:tcPr>
            <w:tcW w:type="dxa" w:w="5076"/>
          </w:tcPr>
          <w:p>
            <w:pPr>
              <w:pStyle w:val="null3"/>
              <w:jc w:val="left"/>
            </w:pPr>
            <w:r>
              <w:rPr/>
              <w:t>根据供应商针对本项目提供的软件功能建设方案进行评审： 提供软件功能建设方案的；得3分；如未能提供软件功能建设方案的，以下评分项均不得分；</w:t>
            </w:r>
          </w:p>
        </w:tc>
      </w:tr>
      <w:tr>
        <w:tc>
          <w:tcPr>
            <w:tcW w:type="dxa" w:w="922"/>
            <w:gridSpan w:val="2"/>
            <w:vMerge/>
          </w:tcPr>
          <w:p/>
        </w:tc>
        <w:tc>
          <w:tcPr>
            <w:tcW w:type="dxa" w:w="2307"/>
          </w:tcPr>
          <w:p>
            <w:pPr>
              <w:pStyle w:val="null3"/>
              <w:jc w:val="left"/>
            </w:pPr>
            <w:r>
              <w:rPr/>
              <w:t>软件功能建设方案（二） (12.0分)</w:t>
            </w:r>
            <w:r>
              <w:rPr/>
              <w:t>，（等次分值选择：</w:t>
            </w:r>
            <w:r>
              <w:rPr/>
              <w:t>0.0;</w:t>
            </w:r>
            <w:r>
              <w:rPr/>
              <w:t>6.0;</w:t>
            </w:r>
            <w:r>
              <w:rPr/>
              <w:t>12.0;</w:t>
            </w:r>
            <w:r>
              <w:rPr/>
              <w:t>）</w:t>
            </w:r>
          </w:p>
        </w:tc>
        <w:tc>
          <w:tcPr>
            <w:tcW w:type="dxa" w:w="5076"/>
          </w:tcPr>
          <w:p>
            <w:pPr>
              <w:pStyle w:val="null3"/>
              <w:jc w:val="left"/>
            </w:pPr>
            <w:r>
              <w:rPr/>
              <w:t>投标人提供的软件功能建设方案中： （1）软件功能建设方案针对性强、可操作性强，软件功能点理解透彻，功能设计完全满足且优于项目需求的，得12分； （2）软件功能建设方案针对性较强、可操作性较强，软件功能点理解较为透彻，功能设计基本满足项目需求的，得6分； （3）软件功能建设方案不具体、可操作性不强，功能设计不满足项目需求的，不得分。</w:t>
            </w:r>
          </w:p>
        </w:tc>
      </w:tr>
      <w:tr>
        <w:tc>
          <w:tcPr>
            <w:tcW w:type="dxa" w:w="922"/>
            <w:gridSpan w:val="2"/>
            <w:vMerge/>
          </w:tcPr>
          <w:p/>
        </w:tc>
        <w:tc>
          <w:tcPr>
            <w:tcW w:type="dxa" w:w="2307"/>
          </w:tcPr>
          <w:p>
            <w:pPr>
              <w:pStyle w:val="null3"/>
              <w:jc w:val="left"/>
            </w:pPr>
            <w:r>
              <w:rPr/>
              <w:t>项目重点难点分析、应对措施及相关的合理化建议（一） (9.0分)</w:t>
            </w:r>
            <w:r>
              <w:rPr/>
              <w:t>，（等次分值选择：</w:t>
            </w:r>
            <w:r>
              <w:rPr/>
              <w:t>0.0;</w:t>
            </w:r>
            <w:r>
              <w:rPr/>
              <w:t>9.0;</w:t>
            </w:r>
            <w:r>
              <w:rPr/>
              <w:t>）</w:t>
            </w:r>
          </w:p>
        </w:tc>
        <w:tc>
          <w:tcPr>
            <w:tcW w:type="dxa" w:w="5076"/>
          </w:tcPr>
          <w:p>
            <w:pPr>
              <w:pStyle w:val="null3"/>
              <w:jc w:val="left"/>
            </w:pPr>
            <w:r>
              <w:rPr/>
              <w:t>根据供应商针对对账管理、退费退库、异常监管、全链条回查等重点难点的分析、应对措施及相关的合理化建议进行评审： 提供的项目重点难点分析、应对措施及相关的合理化建议能同时包含（1）对项目重点难点问题的识别和分析；（2）阐述的解决方案、应对措施；（3）根据经验提供相关建议；得9分；如未能提供项目重点难点分析、应对措施及相关的合理化建议的，以下评分项均不得分；</w:t>
            </w:r>
          </w:p>
        </w:tc>
      </w:tr>
      <w:tr>
        <w:tc>
          <w:tcPr>
            <w:tcW w:type="dxa" w:w="922"/>
            <w:gridSpan w:val="2"/>
            <w:vMerge/>
          </w:tcPr>
          <w:p/>
        </w:tc>
        <w:tc>
          <w:tcPr>
            <w:tcW w:type="dxa" w:w="2307"/>
          </w:tcPr>
          <w:p>
            <w:pPr>
              <w:pStyle w:val="null3"/>
              <w:jc w:val="left"/>
            </w:pPr>
            <w:r>
              <w:rPr/>
              <w:t>项目重点难点分析、应对措施及相关的合理化建议（二） (6.0分)</w:t>
            </w:r>
            <w:r>
              <w:rPr/>
              <w:t>，（等次分值选择：</w:t>
            </w:r>
            <w:r>
              <w:rPr/>
              <w:t>0.0;</w:t>
            </w:r>
            <w:r>
              <w:rPr/>
              <w:t>3.0;</w:t>
            </w:r>
            <w:r>
              <w:rPr/>
              <w:t>6.0;</w:t>
            </w:r>
            <w:r>
              <w:rPr/>
              <w:t>）</w:t>
            </w:r>
          </w:p>
        </w:tc>
        <w:tc>
          <w:tcPr>
            <w:tcW w:type="dxa" w:w="5076"/>
          </w:tcPr>
          <w:p>
            <w:pPr>
              <w:pStyle w:val="null3"/>
              <w:jc w:val="left"/>
            </w:pPr>
            <w:r>
              <w:rPr/>
              <w:t>提供的项目重点难点分析、应对措施及相关的合理化建议中：（1）项目重点难点问题的识别和分析准确全面，阐述的解决方案、应对措施准确科学合理，相关建议操作性强，完全满足且优于项目需求的，得6分； （2）项目重点难点问题的识别和分析较全面，阐述的解决方案、应对措施较准确科学合理，相关建议操作性较强，基本满足项目需求的，得3分； （3）项目重点难点问题的识别和分析不全面，阐述的解决方案、应对措施不准确科学合理，相关建议无法操作性，不满足项目需求的，不得分。</w:t>
            </w:r>
          </w:p>
        </w:tc>
      </w:tr>
      <w:tr>
        <w:tc>
          <w:tcPr>
            <w:tcW w:type="dxa" w:w="922"/>
            <w:gridSpan w:val="2"/>
            <w:vMerge/>
          </w:tcPr>
          <w:p/>
        </w:tc>
        <w:tc>
          <w:tcPr>
            <w:tcW w:type="dxa" w:w="2307"/>
          </w:tcPr>
          <w:p>
            <w:pPr>
              <w:pStyle w:val="null3"/>
              <w:jc w:val="left"/>
            </w:pPr>
            <w:r>
              <w:rPr/>
              <w:t>质量保障措施及方案（一） (6.0分)</w:t>
            </w:r>
            <w:r>
              <w:rPr/>
              <w:t>，（等次分值选择：</w:t>
            </w:r>
            <w:r>
              <w:rPr/>
              <w:t>0.0;</w:t>
            </w:r>
            <w:r>
              <w:rPr/>
              <w:t>6.0;</w:t>
            </w:r>
            <w:r>
              <w:rPr/>
              <w:t>）</w:t>
            </w:r>
          </w:p>
        </w:tc>
        <w:tc>
          <w:tcPr>
            <w:tcW w:type="dxa" w:w="5076"/>
          </w:tcPr>
          <w:p>
            <w:pPr>
              <w:pStyle w:val="null3"/>
              <w:jc w:val="left"/>
            </w:pPr>
            <w:r>
              <w:rPr/>
              <w:t>根据供应商针对本项目提供的质量保障措施及方案进行评审： 提供的质量保障措施及方案能同时包含（1）项目管理方案；（2）质量保障与风险控制；（3）进度安排；得6分；如未能提供质量保障措施及方案的，以下评分项均不得分；</w:t>
            </w:r>
          </w:p>
        </w:tc>
      </w:tr>
      <w:tr>
        <w:tc>
          <w:tcPr>
            <w:tcW w:type="dxa" w:w="922"/>
            <w:gridSpan w:val="2"/>
            <w:vMerge/>
          </w:tcPr>
          <w:p/>
        </w:tc>
        <w:tc>
          <w:tcPr>
            <w:tcW w:type="dxa" w:w="2307"/>
          </w:tcPr>
          <w:p>
            <w:pPr>
              <w:pStyle w:val="null3"/>
              <w:jc w:val="left"/>
            </w:pPr>
            <w:r>
              <w:rPr/>
              <w:t>质量保障措施及方案（二） (4.0分)</w:t>
            </w:r>
            <w:r>
              <w:rPr/>
              <w:t>，（等次分值选择：</w:t>
            </w:r>
            <w:r>
              <w:rPr/>
              <w:t>0.0;</w:t>
            </w:r>
            <w:r>
              <w:rPr/>
              <w:t>2.0;</w:t>
            </w:r>
            <w:r>
              <w:rPr/>
              <w:t>4.0;</w:t>
            </w:r>
            <w:r>
              <w:rPr/>
              <w:t>）</w:t>
            </w:r>
          </w:p>
        </w:tc>
        <w:tc>
          <w:tcPr>
            <w:tcW w:type="dxa" w:w="5076"/>
          </w:tcPr>
          <w:p>
            <w:pPr>
              <w:pStyle w:val="null3"/>
              <w:jc w:val="left"/>
            </w:pPr>
            <w:r>
              <w:rPr/>
              <w:t>提供的质量保障措施及方案中：（1）项目管理方案科学、合理，质量保障与风险控制合理、完整，进度安排贴合项目要求，完全满足且优于项目需求的，得4分； （2）项目管理方案较科学、合理，质量保障与风险控制较合理、完整，进度安排基本符合项目要求，基本满足项目需求的，得2分； （3）项目管理方案不科学、不合理，质量保障与风险控制差，进度安排不符合项目要求，不满足项目需求的，不得分。</w:t>
            </w:r>
          </w:p>
        </w:tc>
      </w:tr>
      <w:tr>
        <w:tc>
          <w:tcPr>
            <w:tcW w:type="dxa" w:w="922"/>
            <w:gridSpan w:val="2"/>
            <w:vMerge/>
          </w:tcPr>
          <w:p/>
        </w:tc>
        <w:tc>
          <w:tcPr>
            <w:tcW w:type="dxa" w:w="2307"/>
          </w:tcPr>
          <w:p>
            <w:pPr>
              <w:pStyle w:val="null3"/>
              <w:jc w:val="left"/>
            </w:pPr>
            <w:r>
              <w:rPr/>
              <w:t>项目完成（服务期满）后的服务承诺 (5.0分)</w:t>
            </w:r>
            <w:r>
              <w:rPr/>
              <w:t>，（等次分值选择：</w:t>
            </w:r>
            <w:r>
              <w:rPr/>
              <w:t>0.0;</w:t>
            </w:r>
            <w:r>
              <w:rPr/>
              <w:t>3.0;</w:t>
            </w:r>
            <w:r>
              <w:rPr/>
              <w:t>5.0;</w:t>
            </w:r>
            <w:r>
              <w:rPr/>
              <w:t>）</w:t>
            </w:r>
          </w:p>
        </w:tc>
        <w:tc>
          <w:tcPr>
            <w:tcW w:type="dxa" w:w="5076"/>
          </w:tcPr>
          <w:p>
            <w:pPr>
              <w:pStyle w:val="null3"/>
              <w:jc w:val="left"/>
            </w:pPr>
            <w:r>
              <w:rPr/>
              <w:t>根据供应商针对本项目提供的项目完成（服务期满）后的服务承诺进行评审： （1）承诺服务期满后主动办理交接手续并移交业务资料； （2）供应商承诺服务期满后主动离岗并与后续服务公司进行交接； （3）供应商承诺服务期满后，后续服务公司未到位前仍按原合同服务承诺提供有偿服务。 承诺满足上述（1）-（3）三点的得5分，满足任意两点得3分，少于两点不得分； 注：须提供《项目完成（服务期满）后的服务承诺函》（格式自定），未提供承诺或承诺内容不满足要求不得分。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供应商通过相关认证情况 (5.0分)</w:t>
            </w:r>
          </w:p>
        </w:tc>
        <w:tc>
          <w:tcPr>
            <w:tcW w:type="dxa" w:w="5076"/>
          </w:tcPr>
          <w:p>
            <w:pPr>
              <w:pStyle w:val="null3"/>
              <w:jc w:val="left"/>
            </w:pPr>
            <w:r>
              <w:rPr/>
              <w:t>（一）评分内容： (1)具有ISO9001质量管理体系认证证书得2分； (2)具有ISO27001信息安全管理体系认证证书得3分. （二）评分依据： 1.要求提供有效的认证证书扫描件及全国认证认可信息公共服务平台（http://cx.cnca.cn）认证信息查询截图（截图需显示证书状态为有效）作为得分依据。 2.以上资料均要求提供扫描件（及官方网站截图）。评分中出现无证明资料或专家无法凭所提供资料判断是否得分的情况，一律作不得分处理。 3.以上证书如因供应商成立时间不足3个月而未能申请到的，也可相应得分，需提供成立时间证明材料，不提供不得分。</w:t>
            </w:r>
          </w:p>
        </w:tc>
      </w:tr>
      <w:tr>
        <w:tc>
          <w:tcPr>
            <w:tcW w:type="dxa" w:w="922"/>
            <w:gridSpan w:val="2"/>
            <w:vMerge/>
          </w:tcPr>
          <w:p/>
        </w:tc>
        <w:tc>
          <w:tcPr>
            <w:tcW w:type="dxa" w:w="2307"/>
          </w:tcPr>
          <w:p>
            <w:pPr>
              <w:pStyle w:val="null3"/>
              <w:jc w:val="left"/>
            </w:pPr>
            <w:r>
              <w:rPr/>
              <w:t>供应商同类项目业绩情况 (8.0分)</w:t>
            </w:r>
          </w:p>
        </w:tc>
        <w:tc>
          <w:tcPr>
            <w:tcW w:type="dxa" w:w="5076"/>
          </w:tcPr>
          <w:p>
            <w:pPr>
              <w:pStyle w:val="null3"/>
              <w:jc w:val="left"/>
            </w:pPr>
            <w:r>
              <w:rPr/>
              <w:t>根据供应商提供的近三年（2021年1月1日至项目响应截止之日，）获得同类项目业绩，每提供1个得2分，本项最多得8分。 注：1.要求提供合同关键信息（含签订合同双方的单位名称、合同项目名称、签订合同双方的落款盖章、签订日期的关键页）作为得分依据。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拟安排的项目负责人情况（仅限一人） (10.0分)</w:t>
            </w:r>
          </w:p>
        </w:tc>
        <w:tc>
          <w:tcPr>
            <w:tcW w:type="dxa" w:w="5076"/>
          </w:tcPr>
          <w:p>
            <w:pPr>
              <w:pStyle w:val="null3"/>
              <w:jc w:val="left"/>
            </w:pPr>
            <w:r>
              <w:rPr/>
              <w:t>拟安排项目负责人为供应商单位员工： （1）具有计算机或自动化相关专业本科（或以上）学历，并同时具有计算机技术与软件专业高级资格证书（如：系统分析师或系统架构设计师或信息系统项目管理师或系统规划与管理师）得7分，否则不得分。 （2）具有信息化建设项目参与经验或有信息化项目维护经验的得3分。 注：1.要求提供通过供应商缴纳的响应截止日期前一个月（由于社保部门原因最近一个月的社保证明无法提供的可往前顺延一个月，若供应商成立不足一个月的，需提供成立情况说明函（格式自拟），无需提供相关人员社保，亦可得分；若为退休返聘人员，需提供说明函（格式自拟），无需提供相关人员社保，亦可得分）的社保证明作为本单位员工的证明依据。 2.要求提供相关证书扫描件，要求提供学历证书的还需提供学信网查询记录，对于较早颁发的学历证书，学信网无法查询的，还需提供毕业院校或者人社部门出具的证明，否则无效。 3.以上资料均要求提供扫描件（或官方网站截图）。评分中出现无证明资料或专家无法凭所提供资料判断是否得分的情况，一律作不得分处理。 4.如涉及人员工作经验，要求提供项目合同关键信息作为得分依据，通过合同关键信息无法判断是否得分的，还须同时提供合同甲方出具的证明文件。</w:t>
            </w:r>
          </w:p>
        </w:tc>
      </w:tr>
      <w:tr>
        <w:tc>
          <w:tcPr>
            <w:tcW w:type="dxa" w:w="922"/>
            <w:gridSpan w:val="2"/>
            <w:vMerge/>
          </w:tcPr>
          <w:p/>
        </w:tc>
        <w:tc>
          <w:tcPr>
            <w:tcW w:type="dxa" w:w="2307"/>
          </w:tcPr>
          <w:p>
            <w:pPr>
              <w:pStyle w:val="null3"/>
              <w:jc w:val="left"/>
            </w:pPr>
            <w:r>
              <w:rPr/>
              <w:t>拟安排的项目主要团队成员（主要技术人员）情况（项目负责人除外） (12.0分)</w:t>
            </w:r>
          </w:p>
        </w:tc>
        <w:tc>
          <w:tcPr>
            <w:tcW w:type="dxa" w:w="5076"/>
          </w:tcPr>
          <w:p>
            <w:pPr>
              <w:pStyle w:val="null3"/>
              <w:jc w:val="left"/>
            </w:pPr>
            <w:r>
              <w:rPr/>
              <w:t>拟安排项目主要团队成员为供应商单位员工（以社保为准），要求不少于（含）5人，其中具有交通管理相关或计算机类相关专业本科（或以上）学历不少于5人，否则此项不得分。 （1）团队成员中至少有1人具有计算机技术与软件专业中级资格证书（如：软件设计师或系统集成项目管理工程师或信息安全工程师或数据库系统工程师）的，得4分； （2）具有信息化建设项目参与经验或有信息化项目维护经验的，每1人得2分，最高8分。 注：1.要求提供通过供应商缴纳的响应截止日期前一个月（由于社保部门原因最近一个月的社保证明无法提供的可往前顺延一个月，若供应商成立不足一个月的，需提供成立情况说明函（格式自拟），无需提供相关人员社保，亦可得分；若为退休返聘人员，需提供说明函（格式自拟），无需提供相关人员社保，亦可得分）的社保证明作为本单位员工的证明依据。 2.要求提供相关证书扫描件，要求提供学历证书的还需提供学信网查询记录，对于较早颁发的学历证书，学信网无法查询的，还需提供毕业院校或者人社部门出具的证明，否则无效。 3.以上资料均要求提供扫描件（或官方网站截图）。评分中出现无证明资料或专家无法凭所提供资料判断是否得分的情况，一律作不得分处理。 4. 如涉及人员工作经验，要求提供项目合同关键信息作为得分依据，通过合同关键信息无法判断是否得分的，还须同时提供合同甲方出具的证明文件。</w:t>
            </w:r>
          </w:p>
        </w:tc>
      </w:tr>
      <w:tr>
        <w:tc>
          <w:tcPr>
            <w:tcW w:type="dxa" w:w="922"/>
            <w:gridSpan w:val="2"/>
            <w:vMerge/>
          </w:tcPr>
          <w:p/>
        </w:tc>
        <w:tc>
          <w:tcPr>
            <w:tcW w:type="dxa" w:w="2307"/>
          </w:tcPr>
          <w:p>
            <w:pPr>
              <w:pStyle w:val="null3"/>
              <w:jc w:val="left"/>
            </w:pPr>
            <w:r>
              <w:rPr/>
              <w:t>供应商自主知识产权产品（创新、设计）情况 (5.0分)</w:t>
            </w:r>
          </w:p>
        </w:tc>
        <w:tc>
          <w:tcPr>
            <w:tcW w:type="dxa" w:w="5076"/>
          </w:tcPr>
          <w:p>
            <w:pPr>
              <w:pStyle w:val="null3"/>
              <w:jc w:val="left"/>
            </w:pPr>
            <w:r>
              <w:rPr/>
              <w:t>供应商具有交通管理相关的专利、软件著作权情况，每提供1个得1分，最多得5分。 注：1.要求提供有效的产权（专利）、软件著作权证书等证明材料作为得分依据。 2.以上资料均要求提供扫描件（或官方网站截图）。评分中出现无证明资料或专家无法凭所提供资料判断是否得分的情况，一律作不得分处理。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排名第三的响应供应商为第三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rPr>
        <w:t>广东省政府采购</w:t>
      </w:r>
    </w:p>
    <w:p>
      <w:pPr>
        <w:pStyle w:val="null3"/>
        <w:jc w:val="center"/>
      </w:pPr>
      <w:r>
        <w:rPr>
          <w:sz w:val="48"/>
          <w:b/>
          <w:color w:val="000000"/>
        </w:rPr>
        <w:t>合</w:t>
      </w:r>
      <w:r>
        <w:rPr>
          <w:sz w:val="48"/>
          <w:b/>
          <w:color w:val="000000"/>
        </w:rPr>
        <w:t>同</w:t>
      </w:r>
      <w:r>
        <w:rPr>
          <w:sz w:val="48"/>
          <w:b/>
          <w:color w:val="000000"/>
        </w:rPr>
        <w:t>书</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color w:val="000000"/>
              </w:rPr>
              <w:t>采购编号：</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color w:val="000000"/>
              </w:rPr>
              <w:t>项目名称：</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6"/>
          <w:b/>
          <w:color w:val="000000"/>
        </w:rPr>
        <w:t>注：合同格式仅作为参考，最终以双方签订的合同为准。</w:t>
      </w:r>
    </w:p>
    <w:p>
      <w:pPr>
        <w:pStyle w:val="null3"/>
      </w:pPr>
      <w:r>
        <w:rPr/>
        <w:t xml:space="preserve"> </w:t>
      </w:r>
    </w:p>
    <w:p>
      <w:pPr>
        <w:pStyle w:val="null3"/>
        <w:jc w:val="center"/>
      </w:pPr>
      <w:r>
        <w:rPr>
          <w:sz w:val="36"/>
          <w:b/>
          <w:color w:val="000000"/>
        </w:rPr>
        <w:t>服务合同（范本）</w:t>
      </w:r>
    </w:p>
    <w:p>
      <w:pPr>
        <w:pStyle w:val="null3"/>
        <w:jc w:val="both"/>
      </w:pPr>
      <w:r>
        <w:rPr>
          <w:sz w:val="21"/>
          <w:color w:val="000000"/>
        </w:rPr>
        <w:t>甲　　方：广东省公安厅</w:t>
      </w:r>
    </w:p>
    <w:p>
      <w:pPr>
        <w:pStyle w:val="null3"/>
        <w:jc w:val="both"/>
      </w:pPr>
      <w:r>
        <w:rPr>
          <w:sz w:val="21"/>
          <w:color w:val="000000"/>
        </w:rPr>
        <w:t>电　　话：</w:t>
      </w:r>
    </w:p>
    <w:p>
      <w:pPr>
        <w:pStyle w:val="null3"/>
        <w:jc w:val="both"/>
      </w:pPr>
      <w:r>
        <w:rPr>
          <w:sz w:val="21"/>
          <w:color w:val="000000"/>
        </w:rPr>
        <w:t>传　　真：</w:t>
      </w:r>
    </w:p>
    <w:p>
      <w:pPr>
        <w:pStyle w:val="null3"/>
        <w:jc w:val="both"/>
      </w:pPr>
      <w:r>
        <w:rPr>
          <w:sz w:val="21"/>
          <w:color w:val="000000"/>
        </w:rPr>
        <w:t>地　　址：</w:t>
      </w:r>
      <w:r>
        <w:rPr>
          <w:sz w:val="21"/>
        </w:rPr>
        <w:t xml:space="preserve"> </w:t>
      </w:r>
    </w:p>
    <w:p>
      <w:pPr>
        <w:pStyle w:val="null3"/>
        <w:jc w:val="both"/>
      </w:pPr>
      <w:r>
        <w:rPr>
          <w:sz w:val="21"/>
          <w:color w:val="000000"/>
        </w:rPr>
        <w:t>乙　　方：</w:t>
      </w:r>
    </w:p>
    <w:p>
      <w:pPr>
        <w:pStyle w:val="null3"/>
        <w:jc w:val="both"/>
      </w:pPr>
      <w:r>
        <w:rPr>
          <w:sz w:val="21"/>
          <w:color w:val="000000"/>
        </w:rPr>
        <w:t>电　　话：</w:t>
      </w:r>
    </w:p>
    <w:p>
      <w:pPr>
        <w:pStyle w:val="null3"/>
        <w:jc w:val="both"/>
      </w:pPr>
      <w:r>
        <w:rPr>
          <w:sz w:val="21"/>
          <w:color w:val="000000"/>
        </w:rPr>
        <w:t>传　　真：</w:t>
      </w:r>
    </w:p>
    <w:p>
      <w:pPr>
        <w:pStyle w:val="null3"/>
        <w:jc w:val="both"/>
      </w:pPr>
      <w:r>
        <w:rPr>
          <w:sz w:val="21"/>
          <w:color w:val="000000"/>
        </w:rPr>
        <w:t>地　　址：</w:t>
      </w:r>
    </w:p>
    <w:p>
      <w:pPr>
        <w:pStyle w:val="null3"/>
        <w:jc w:val="both"/>
      </w:pPr>
      <w:r>
        <w:rPr>
          <w:sz w:val="21"/>
          <w:color w:val="000000"/>
        </w:rPr>
        <w:t>项目名称：</w:t>
      </w:r>
    </w:p>
    <w:p>
      <w:pPr>
        <w:pStyle w:val="null3"/>
        <w:jc w:val="both"/>
      </w:pPr>
      <w:r>
        <w:rPr>
          <w:sz w:val="21"/>
          <w:color w:val="000000"/>
        </w:rPr>
        <w:t>采购编号：</w:t>
      </w:r>
    </w:p>
    <w:p>
      <w:pPr>
        <w:pStyle w:val="null3"/>
        <w:ind w:firstLine="420"/>
        <w:jc w:val="both"/>
      </w:pPr>
      <w:r>
        <w:rPr>
          <w:sz w:val="21"/>
          <w:color w:val="000000"/>
        </w:rPr>
        <w:t>根据</w:t>
      </w:r>
      <w:r>
        <w:rPr>
          <w:sz w:val="21"/>
          <w:color w:val="000000"/>
          <w:u w:val="single"/>
        </w:rPr>
        <w:t xml:space="preserve">              </w:t>
      </w:r>
      <w:r>
        <w:rPr>
          <w:sz w:val="21"/>
          <w:color w:val="000000"/>
          <w:u w:val="single"/>
        </w:rPr>
        <w:t>项目</w:t>
      </w:r>
      <w:r>
        <w:rPr>
          <w:sz w:val="21"/>
          <w:color w:val="000000"/>
        </w:rPr>
        <w:t>的采购结果，</w:t>
      </w:r>
      <w:r>
        <w:rPr>
          <w:sz w:val="21"/>
          <w:color w:val="000000"/>
        </w:rPr>
        <w:t>乙方评定为项目中标单位，现按照</w:t>
      </w:r>
      <w:r>
        <w:rPr>
          <w:sz w:val="21"/>
          <w:color w:val="000000"/>
        </w:rPr>
        <w:t>采购</w:t>
      </w:r>
      <w:r>
        <w:rPr>
          <w:sz w:val="21"/>
          <w:color w:val="000000"/>
        </w:rPr>
        <w:t>结果，甲乙双方签订本合同。甲方委托乙方研究开发</w:t>
      </w:r>
      <w:r>
        <w:rPr>
          <w:sz w:val="21"/>
          <w:color w:val="000000"/>
        </w:rPr>
        <w:t>广东省公安厅</w:t>
      </w:r>
      <w:r>
        <w:rPr>
          <w:sz w:val="21"/>
          <w:color w:val="000000"/>
        </w:rPr>
        <w:t>2024-24交管业务收费对账管理平台开发（2024年）项目</w:t>
      </w:r>
      <w:r>
        <w:rPr>
          <w:sz w:val="21"/>
          <w:color w:val="000000"/>
        </w:rPr>
        <w:t>（以下简称</w:t>
      </w:r>
      <w:r>
        <w:rPr>
          <w:sz w:val="21"/>
          <w:color w:val="000000"/>
        </w:rPr>
        <w:t>“本项目”），并支付研究开发经费和报酬, 乙方接受委托并进行此项研究开发工作。</w:t>
      </w:r>
    </w:p>
    <w:p>
      <w:pPr>
        <w:pStyle w:val="null3"/>
        <w:ind w:firstLine="420"/>
        <w:jc w:val="both"/>
      </w:pPr>
      <w:r>
        <w:rPr>
          <w:sz w:val="21"/>
          <w:color w:val="000000"/>
        </w:rPr>
        <w:t>双方经过平等协商，在真实、充分地表达各自意愿的基础上，根据《中华人民共和国民法典》、《中华人民共和国政府采购法》、采购文件、乙方投标承诺的内容和要求，达成如下协议，并由双方共同恪守：</w:t>
      </w:r>
    </w:p>
    <w:p>
      <w:pPr>
        <w:pStyle w:val="null3"/>
      </w:pPr>
      <w:r>
        <w:rPr>
          <w:sz w:val="21"/>
          <w:b/>
          <w:color w:val="000000"/>
          <w:shd w:fill="FFFFFF" w:val="clear"/>
        </w:rPr>
        <w:t>第一章</w:t>
      </w:r>
      <w:r>
        <w:rPr>
          <w:sz w:val="21"/>
          <w:b/>
          <w:color w:val="000000"/>
          <w:shd w:fill="FFFFFF" w:val="clear"/>
        </w:rPr>
        <w:t xml:space="preserve"> </w:t>
      </w:r>
      <w:r>
        <w:rPr>
          <w:sz w:val="21"/>
          <w:b/>
          <w:color w:val="000000"/>
          <w:shd w:fill="FFFFFF" w:val="clear"/>
        </w:rPr>
        <w:t>标的技术的内容、形式和要求</w:t>
      </w:r>
    </w:p>
    <w:p>
      <w:pPr>
        <w:pStyle w:val="null3"/>
        <w:jc w:val="left"/>
      </w:pPr>
      <w:r>
        <w:rPr>
          <w:sz w:val="21"/>
          <w:b/>
          <w:color w:val="000000"/>
          <w:shd w:fill="FFFFFF" w:val="clear"/>
        </w:rPr>
        <w:t>第一条</w:t>
      </w:r>
      <w:r>
        <w:rPr>
          <w:sz w:val="21"/>
          <w:b/>
          <w:color w:val="000000"/>
          <w:shd w:fill="FFFFFF" w:val="clear"/>
        </w:rPr>
        <w:t xml:space="preserve">  </w:t>
      </w:r>
      <w:r>
        <w:rPr>
          <w:sz w:val="21"/>
          <w:b/>
          <w:color w:val="000000"/>
          <w:shd w:fill="FFFFFF" w:val="clear"/>
        </w:rPr>
        <w:t>本合同研究开发项目的要求如下：</w:t>
      </w:r>
    </w:p>
    <w:p>
      <w:pPr>
        <w:pStyle w:val="null3"/>
        <w:jc w:val="left"/>
      </w:pPr>
      <w:r>
        <w:rPr>
          <w:sz w:val="21"/>
          <w:color w:val="000000"/>
          <w:shd w:fill="FFFFFF" w:val="clear"/>
        </w:rPr>
        <w:t>1．技术实现内容描述：</w:t>
      </w:r>
    </w:p>
    <w:p>
      <w:pPr>
        <w:pStyle w:val="null3"/>
        <w:ind w:firstLine="420"/>
      </w:pPr>
      <w:r>
        <w:rPr>
          <w:sz w:val="21"/>
          <w:color w:val="000000"/>
        </w:rPr>
        <w:t>（</w:t>
      </w:r>
      <w:r>
        <w:rPr>
          <w:sz w:val="21"/>
          <w:color w:val="000000"/>
        </w:rPr>
        <w:t>1）系统目标：</w:t>
      </w:r>
      <w:r>
        <w:rPr>
          <w:sz w:val="21"/>
        </w:rPr>
        <w:t>为进一步提高群众缴费的便利性，根据公安部便民利企的有关要求，</w:t>
      </w:r>
      <w:r>
        <w:rPr>
          <w:sz w:val="21"/>
        </w:rPr>
        <w:t>遵循财政票据管理改革标准化、规范化的业务要求，开发便民收费程序和交管收费对账程序，对接交管业务外挂系统、综合应用平台、广东省财政厅缴费系统</w:t>
      </w:r>
      <w:r>
        <w:rPr>
          <w:sz w:val="21"/>
        </w:rPr>
        <w:t>及自助终端机</w:t>
      </w:r>
      <w:r>
        <w:rPr>
          <w:sz w:val="21"/>
        </w:rPr>
        <w:t>，集中整合资源</w:t>
      </w:r>
      <w:r>
        <w:rPr>
          <w:sz w:val="21"/>
        </w:rPr>
        <w:t>，实现群众业务查询、缴费、退费退库申请</w:t>
      </w:r>
      <w:r>
        <w:rPr>
          <w:sz w:val="21"/>
        </w:rPr>
        <w:t>、查询下载电子缴款书、</w:t>
      </w:r>
      <w:r>
        <w:rPr>
          <w:sz w:val="21"/>
        </w:rPr>
        <w:t>业务进度查询、</w:t>
      </w:r>
      <w:r>
        <w:rPr>
          <w:sz w:val="21"/>
        </w:rPr>
        <w:t>历史</w:t>
      </w:r>
      <w:r>
        <w:rPr>
          <w:sz w:val="21"/>
        </w:rPr>
        <w:t>业务</w:t>
      </w:r>
      <w:r>
        <w:rPr>
          <w:sz w:val="21"/>
        </w:rPr>
        <w:t>查询等功能，实现支撑管理后台</w:t>
      </w:r>
      <w:r>
        <w:rPr>
          <w:sz w:val="21"/>
        </w:rPr>
        <w:t>收费对账与退费退库管理、</w:t>
      </w:r>
      <w:r>
        <w:rPr>
          <w:sz w:val="21"/>
        </w:rPr>
        <w:t>查询业务办理、收费统计、权限管理、异常监管、全链条回查等功能。</w:t>
      </w:r>
    </w:p>
    <w:p>
      <w:pPr>
        <w:pStyle w:val="null3"/>
        <w:jc w:val="left"/>
      </w:pPr>
      <w:r>
        <w:rPr>
          <w:sz w:val="24"/>
          <w:shd w:fill="FFFFFF" w:val="clear"/>
        </w:rPr>
        <w:t xml:space="preserve">                </w:t>
      </w:r>
    </w:p>
    <w:p>
      <w:pPr>
        <w:pStyle w:val="null3"/>
      </w:pPr>
      <w:r>
        <w:rPr>
          <w:sz w:val="21"/>
          <w:color w:val="000000"/>
        </w:rPr>
        <w:t>（</w:t>
      </w:r>
      <w:r>
        <w:rPr>
          <w:sz w:val="21"/>
          <w:color w:val="000000"/>
        </w:rPr>
        <w:t>2）技术路线：</w:t>
      </w:r>
    </w:p>
    <w:p>
      <w:pPr>
        <w:pStyle w:val="null3"/>
        <w:ind w:firstLine="420"/>
      </w:pPr>
      <w:r>
        <w:rPr>
          <w:sz w:val="21"/>
        </w:rPr>
        <w:t>1</w:t>
      </w:r>
      <w:r>
        <w:rPr>
          <w:sz w:val="21"/>
        </w:rPr>
        <w:t>.适配ARM架构芯片，基于国产操作系统和数据库，使用BS架构、JAVA/PYTHON等语言开发，部署使用省级政务云</w:t>
      </w:r>
      <w:r>
        <w:rPr>
          <w:sz w:val="21"/>
        </w:rPr>
        <w:t>、警务云</w:t>
      </w:r>
      <w:r>
        <w:rPr>
          <w:sz w:val="21"/>
        </w:rPr>
        <w:t>平台提供的</w:t>
      </w:r>
      <w:r>
        <w:rPr>
          <w:sz w:val="21"/>
        </w:rPr>
        <w:t>安全可信的</w:t>
      </w:r>
      <w:r>
        <w:rPr>
          <w:sz w:val="21"/>
        </w:rPr>
        <w:t>国产化服务。</w:t>
      </w:r>
    </w:p>
    <w:p>
      <w:pPr>
        <w:pStyle w:val="null3"/>
        <w:ind w:firstLine="420"/>
      </w:pPr>
      <w:r>
        <w:rPr>
          <w:sz w:val="21"/>
        </w:rPr>
        <w:t>2</w:t>
      </w:r>
      <w:r>
        <w:rPr>
          <w:sz w:val="21"/>
        </w:rPr>
        <w:t>.通过政务云提供的安全可靠的基础开发环境，实现统一的项目、需求、代码、测试、运维监测管理，在开发环节即开始解决适配、知识产权的问题，实现知识资产全过程管理。</w:t>
      </w:r>
    </w:p>
    <w:p>
      <w:pPr>
        <w:pStyle w:val="null3"/>
        <w:ind w:firstLine="420"/>
      </w:pPr>
      <w:r>
        <w:rPr>
          <w:sz w:val="21"/>
        </w:rPr>
        <w:t>3</w:t>
      </w:r>
      <w:r>
        <w:rPr>
          <w:sz w:val="21"/>
        </w:rPr>
        <w:t>.构建安全可靠的数据安全防护体系，做好人员、技术和管理制度的有机结合，有效防范数据风险。</w:t>
      </w:r>
    </w:p>
    <w:p>
      <w:pPr>
        <w:pStyle w:val="null3"/>
        <w:ind w:firstLine="420"/>
      </w:pPr>
      <w:r>
        <w:rPr>
          <w:sz w:val="21"/>
          <w:color w:val="000000"/>
        </w:rPr>
        <w:t>（</w:t>
      </w:r>
      <w:r>
        <w:rPr>
          <w:sz w:val="21"/>
          <w:color w:val="000000"/>
        </w:rPr>
        <w:t>3）开发内容：</w:t>
      </w:r>
    </w:p>
    <w:p>
      <w:pPr>
        <w:pStyle w:val="null3"/>
        <w:ind w:firstLine="420"/>
      </w:pPr>
      <w:r>
        <w:rPr>
          <w:sz w:val="21"/>
        </w:rPr>
        <w:t>1</w:t>
      </w:r>
      <w:r>
        <w:rPr>
          <w:sz w:val="21"/>
        </w:rPr>
        <w:t>.对接交管业务外挂系统、综合应用平台、广东省财政厅缴费系统、港澳车系统</w:t>
      </w:r>
      <w:r>
        <w:rPr>
          <w:sz w:val="21"/>
        </w:rPr>
        <w:t>及自助终端机</w:t>
      </w:r>
      <w:r>
        <w:rPr>
          <w:sz w:val="21"/>
        </w:rPr>
        <w:t>，打通业务办理和支付缴库的关联，实现数据分发，共享，对账监管，退费退库；</w:t>
      </w:r>
    </w:p>
    <w:p>
      <w:pPr>
        <w:pStyle w:val="null3"/>
        <w:ind w:firstLine="420"/>
      </w:pPr>
      <w:r>
        <w:rPr>
          <w:sz w:val="21"/>
        </w:rPr>
        <w:t>2</w:t>
      </w:r>
      <w:r>
        <w:rPr>
          <w:sz w:val="21"/>
        </w:rPr>
        <w:t>.实现管理后台查询跟踪已缴款业务办理详情、收费信息统计、缴款二维码人员权限管理、异常监管、全链条回查等功能；</w:t>
      </w:r>
    </w:p>
    <w:p>
      <w:pPr>
        <w:pStyle w:val="null3"/>
        <w:ind w:firstLine="420"/>
      </w:pPr>
      <w:r>
        <w:rPr>
          <w:sz w:val="21"/>
        </w:rPr>
        <w:t>3</w:t>
      </w:r>
      <w:r>
        <w:rPr>
          <w:sz w:val="21"/>
        </w:rPr>
        <w:t>.支持通过银行柜台缴费、扫缴款二维码、输入缴款通知书号等</w:t>
      </w:r>
      <w:r>
        <w:rPr>
          <w:sz w:val="21"/>
        </w:rPr>
        <w:t>线上线下多种</w:t>
      </w:r>
      <w:r>
        <w:rPr>
          <w:sz w:val="21"/>
        </w:rPr>
        <w:t>渠道完成缴款业务。</w:t>
      </w:r>
    </w:p>
    <w:p>
      <w:pPr>
        <w:pStyle w:val="null3"/>
        <w:ind w:firstLine="420"/>
      </w:pPr>
      <w:r>
        <w:rPr>
          <w:sz w:val="21"/>
        </w:rPr>
        <w:t>本项目建设完成后，将进一步深化</w:t>
      </w:r>
      <w:r>
        <w:rPr>
          <w:sz w:val="21"/>
        </w:rPr>
        <w:t>“放管服”改革要求，提高交管数据整合，数据安全，服务高效，操作便捷的科技化水平，提升行政效能和</w:t>
      </w:r>
      <w:r>
        <w:rPr>
          <w:sz w:val="21"/>
        </w:rPr>
        <w:t>群众</w:t>
      </w:r>
      <w:r>
        <w:rPr>
          <w:sz w:val="21"/>
        </w:rPr>
        <w:t>满意度。</w:t>
      </w:r>
      <w:r>
        <w:rPr/>
        <w:t xml:space="preserve">                                 </w:t>
      </w:r>
    </w:p>
    <w:p>
      <w:pPr>
        <w:pStyle w:val="null3"/>
        <w:jc w:val="left"/>
      </w:pPr>
      <w:r>
        <w:rPr>
          <w:sz w:val="21"/>
          <w:color w:val="000000"/>
          <w:shd w:fill="FFFFFF" w:val="clear"/>
        </w:rPr>
        <w:t>（详细的功能和指标要求详见附件</w:t>
      </w:r>
      <w:r>
        <w:rPr>
          <w:sz w:val="21"/>
          <w:color w:val="000000"/>
          <w:shd w:fill="FFFFFF" w:val="clear"/>
        </w:rPr>
        <w:t>1）。</w:t>
      </w:r>
    </w:p>
    <w:p>
      <w:pPr>
        <w:pStyle w:val="null3"/>
        <w:jc w:val="left"/>
      </w:pPr>
      <w:r>
        <w:rPr>
          <w:sz w:val="21"/>
          <w:color w:val="000000"/>
          <w:shd w:fill="FFFFFF" w:val="clear"/>
        </w:rPr>
        <w:t>2．由乙方根据甲方需求框架充分调查并与甲方协商后于本合同生效后60个工作日内提出《需求规格说明书》。《需求规格说明书》的内容自动包括但不限于采购文件所要求的所有系统功能需求，如有减少或降低，须有专门说明，并经双方书面确认才能生效。《需求规格说明书》将作为本合同执行不可分割的部分。</w:t>
      </w:r>
    </w:p>
    <w:p>
      <w:pPr>
        <w:pStyle w:val="null3"/>
        <w:jc w:val="left"/>
      </w:pPr>
      <w:r>
        <w:rPr>
          <w:sz w:val="21"/>
          <w:color w:val="000000"/>
          <w:shd w:fill="FFFFFF" w:val="clear"/>
        </w:rPr>
        <w:t>3．若需求发生变更，变更后的需求同样经签字确认后，以需求变更补充文件的形式，同样作为本合同执行不可分割的部分。</w:t>
      </w:r>
    </w:p>
    <w:p>
      <w:pPr>
        <w:pStyle w:val="null3"/>
        <w:jc w:val="left"/>
      </w:pPr>
      <w:r>
        <w:rPr>
          <w:sz w:val="21"/>
          <w:color w:val="000000"/>
          <w:shd w:fill="FFFFFF" w:val="clear"/>
        </w:rPr>
        <w:t xml:space="preserve">4．合同签订后 </w:t>
      </w:r>
      <w:r>
        <w:rPr>
          <w:sz w:val="21"/>
          <w:color w:val="000000"/>
          <w:shd w:fill="FFFFFF" w:val="clear"/>
        </w:rPr>
        <w:t>24</w:t>
      </w:r>
      <w:r>
        <w:rPr>
          <w:sz w:val="21"/>
          <w:color w:val="000000"/>
          <w:shd w:fill="FFFFFF" w:val="clear"/>
        </w:rPr>
        <w:t xml:space="preserve"> </w:t>
      </w:r>
      <w:r>
        <w:rPr>
          <w:sz w:val="21"/>
          <w:color w:val="000000"/>
          <w:shd w:fill="FFFFFF" w:val="clear"/>
        </w:rPr>
        <w:t>个月内完成项目全部建设内容的开发、上线</w:t>
      </w:r>
      <w:r>
        <w:rPr>
          <w:sz w:val="21"/>
          <w:color w:val="000000"/>
          <w:shd w:fill="FFFFFF" w:val="clear"/>
        </w:rPr>
        <w:t>、验收</w:t>
      </w:r>
      <w:r>
        <w:rPr>
          <w:sz w:val="21"/>
          <w:color w:val="000000"/>
          <w:shd w:fill="FFFFFF" w:val="clear"/>
        </w:rPr>
        <w:t>工作。</w:t>
      </w:r>
    </w:p>
    <w:p>
      <w:pPr>
        <w:pStyle w:val="null3"/>
        <w:jc w:val="left"/>
      </w:pPr>
      <w:r>
        <w:rPr>
          <w:sz w:val="21"/>
          <w:color w:val="000000"/>
          <w:shd w:fill="FFFFFF" w:val="clear"/>
        </w:rPr>
        <w:t>5．开发要求</w:t>
      </w:r>
    </w:p>
    <w:p>
      <w:pPr>
        <w:pStyle w:val="null3"/>
        <w:jc w:val="left"/>
      </w:pPr>
      <w:r>
        <w:rPr>
          <w:sz w:val="21"/>
          <w:color w:val="000000"/>
          <w:shd w:fill="FFFFFF" w:val="clear"/>
        </w:rPr>
        <w:t>（</w:t>
      </w:r>
      <w:r>
        <w:rPr>
          <w:sz w:val="21"/>
          <w:color w:val="000000"/>
          <w:shd w:fill="FFFFFF" w:val="clear"/>
        </w:rPr>
        <w:t>1）乙方开发的系统应具有先进、实用、安全、可靠、可扩展以及界面美观、大方的特点。</w:t>
      </w:r>
    </w:p>
    <w:p>
      <w:pPr>
        <w:pStyle w:val="null3"/>
        <w:jc w:val="left"/>
      </w:pPr>
      <w:r>
        <w:rPr>
          <w:sz w:val="21"/>
          <w:color w:val="000000"/>
          <w:shd w:fill="FFFFFF" w:val="clear"/>
        </w:rPr>
        <w:t>（</w:t>
      </w:r>
      <w:r>
        <w:rPr>
          <w:sz w:val="21"/>
          <w:color w:val="000000"/>
          <w:shd w:fill="FFFFFF" w:val="clear"/>
        </w:rPr>
        <w:t>2）系统设计要做到：代码标准化、模块标准化、文档标准化、测试标准化以及信息标准化。</w:t>
      </w:r>
    </w:p>
    <w:p>
      <w:pPr>
        <w:pStyle w:val="null3"/>
        <w:jc w:val="left"/>
      </w:pPr>
      <w:r>
        <w:rPr>
          <w:sz w:val="21"/>
          <w:color w:val="000000"/>
          <w:shd w:fill="FFFFFF" w:val="clear"/>
        </w:rPr>
        <w:t>（</w:t>
      </w:r>
      <w:r>
        <w:rPr>
          <w:sz w:val="21"/>
          <w:color w:val="000000"/>
          <w:shd w:fill="FFFFFF" w:val="clear"/>
        </w:rPr>
        <w:t>3）为后期工程或其他系统预留接口，并为后期工程的顺利开展或其他系统对接作技术准备，包括以下：在软件系统设计、数据库设计方面具有灵活性，方便以后能够系统扩充。</w:t>
      </w:r>
    </w:p>
    <w:p>
      <w:pPr>
        <w:pStyle w:val="null3"/>
        <w:jc w:val="left"/>
      </w:pPr>
      <w:r>
        <w:rPr>
          <w:sz w:val="21"/>
          <w:color w:val="000000"/>
          <w:shd w:fill="FFFFFF" w:val="clear"/>
        </w:rPr>
        <w:t>6．提交的成果：</w:t>
      </w:r>
    </w:p>
    <w:p>
      <w:pPr>
        <w:pStyle w:val="null3"/>
        <w:jc w:val="left"/>
      </w:pPr>
      <w:r>
        <w:rPr>
          <w:sz w:val="21"/>
          <w:color w:val="000000"/>
          <w:shd w:fill="FFFFFF" w:val="clear"/>
        </w:rPr>
        <w:t>乙方在规定时间内按照采购文件的要求完成系统的设计、研发、安装实施、测试、调试、验收等工作，并同时以光盘形式向甲方提供计算机软件，即本项目应用软件全套软件成果，即项目的文档、代码和可执行程序。</w:t>
      </w:r>
    </w:p>
    <w:p>
      <w:pPr>
        <w:pStyle w:val="null3"/>
        <w:jc w:val="left"/>
      </w:pPr>
      <w:r>
        <w:rPr>
          <w:sz w:val="21"/>
          <w:color w:val="000000"/>
          <w:shd w:fill="FFFFFF" w:val="clear"/>
        </w:rPr>
        <w:t>7．提交的技术文档主要如下：</w:t>
      </w:r>
    </w:p>
    <w:p>
      <w:pPr>
        <w:pStyle w:val="null3"/>
        <w:jc w:val="left"/>
      </w:pPr>
      <w:r>
        <w:rPr>
          <w:sz w:val="21"/>
          <w:color w:val="000000"/>
          <w:shd w:fill="FFFFFF" w:val="clear"/>
        </w:rPr>
        <w:t>所有资料包括完备的项目实施文档、系统设计文档、功能模块说明、程序代码、使用手册等（具体详见合同附件</w:t>
      </w:r>
      <w:r>
        <w:rPr>
          <w:sz w:val="21"/>
          <w:color w:val="000000"/>
          <w:shd w:fill="FFFFFF" w:val="clear"/>
        </w:rPr>
        <w:t>3）。</w:t>
      </w:r>
    </w:p>
    <w:p>
      <w:pPr>
        <w:pStyle w:val="null3"/>
        <w:jc w:val="left"/>
      </w:pPr>
      <w:r>
        <w:rPr>
          <w:sz w:val="21"/>
          <w:color w:val="000000"/>
          <w:shd w:fill="FFFFFF" w:val="clear"/>
        </w:rPr>
        <w:t>8. 项目验收要求如下：</w:t>
      </w:r>
    </w:p>
    <w:p>
      <w:pPr>
        <w:pStyle w:val="null3"/>
        <w:ind w:firstLine="420"/>
        <w:jc w:val="both"/>
      </w:pPr>
      <w:r>
        <w:rPr>
          <w:sz w:val="21"/>
        </w:rPr>
        <w:t>验收的主要依据包括本采购需求书、响应文件、合同文件，以及采购需求说明书和设计方案等。验收（包括初步验收、最终验收）流程和要求按照《广东省公安厅信息化项目管理办法》（粤公科信办［</w:t>
      </w:r>
      <w:r>
        <w:rPr>
          <w:sz w:val="21"/>
        </w:rPr>
        <w:t>2021］73号）相关规定执行。项目验收包括初验和终验，项目基本完成项目合同建设内容，具备上线运行条件，即可进行初验。项目通过初验，系统在试运行期内稳定运行（系统试运行期为期6个月），且通过安全测评（包括网络安全等级保护测评服务和专项安全测评服务）、国密测评、信息技术应用创新符合性测试(取得测试报告)、验收测评，才能进行终验。同时需要满足以下要求：</w:t>
      </w:r>
    </w:p>
    <w:p>
      <w:pPr>
        <w:pStyle w:val="null3"/>
        <w:ind w:firstLine="420"/>
        <w:jc w:val="both"/>
      </w:pPr>
      <w:r>
        <w:rPr>
          <w:sz w:val="21"/>
        </w:rPr>
        <w:t>（</w:t>
      </w:r>
      <w:r>
        <w:rPr>
          <w:sz w:val="21"/>
        </w:rPr>
        <w:t>1）系统功能，按照采购需求书的要求，逐一检查系统功能是否达到设计要求。</w:t>
      </w:r>
    </w:p>
    <w:p>
      <w:pPr>
        <w:pStyle w:val="null3"/>
        <w:ind w:firstLine="420"/>
        <w:jc w:val="both"/>
      </w:pPr>
      <w:r>
        <w:rPr>
          <w:sz w:val="21"/>
        </w:rPr>
        <w:t>（</w:t>
      </w:r>
      <w:r>
        <w:rPr>
          <w:sz w:val="21"/>
        </w:rPr>
        <w:t>2）系统性能按照采购需求书的性能指标，逐一测试系统指标是否能达到设计要求。</w:t>
      </w:r>
    </w:p>
    <w:p>
      <w:pPr>
        <w:pStyle w:val="null3"/>
        <w:ind w:firstLine="420"/>
        <w:jc w:val="left"/>
      </w:pPr>
      <w:r>
        <w:rPr>
          <w:sz w:val="21"/>
          <w:shd w:fill="FFFFFF" w:val="clear"/>
        </w:rPr>
        <w:t>（</w:t>
      </w:r>
      <w:r>
        <w:rPr>
          <w:sz w:val="21"/>
          <w:shd w:fill="FFFFFF" w:val="clear"/>
        </w:rPr>
        <w:t>3）文档资料检查系统设计文档是否齐全，是否合格。</w:t>
      </w:r>
    </w:p>
    <w:p>
      <w:pPr>
        <w:pStyle w:val="null3"/>
        <w:jc w:val="left"/>
      </w:pPr>
      <w:r>
        <w:rPr>
          <w:sz w:val="21"/>
          <w:color w:val="000000"/>
          <w:shd w:fill="FFFFFF" w:val="clear"/>
        </w:rPr>
        <w:t>10．售后服务承诺</w:t>
      </w:r>
    </w:p>
    <w:p>
      <w:pPr>
        <w:pStyle w:val="null3"/>
        <w:ind w:firstLine="420"/>
      </w:pPr>
      <w:r>
        <w:rPr>
          <w:sz w:val="21"/>
        </w:rPr>
        <w:t>1）自项目竣工验收完成之日起，提供1年的应用软件免费服务，质保期内，乙方负责整个系统的安装、维护、升级等服务工作，乙方应由专门的维护部门并指定固定技术力量用于系统的维护。售后服务内容包括：应用系统非数据结构改变的功能改进性维护等，纠错性维护乙方须长期免费服务。维护内容为适应性维护与日常技术维护；在质保期内，提供1名驻场运维人员；提供7天×24小时售后服务，接到服务请求后4小时内排除故障或到达现场给予技术支持，对于电话方式无法解决的问题，乙方必须在4小时之内派员到现场维护；</w:t>
      </w:r>
    </w:p>
    <w:p>
      <w:pPr>
        <w:pStyle w:val="null3"/>
        <w:ind w:firstLine="420"/>
      </w:pPr>
      <w:r>
        <w:rPr>
          <w:sz w:val="21"/>
        </w:rPr>
        <w:t>2）提供系统的例行巡检工作，并提供巡检报告；</w:t>
      </w:r>
    </w:p>
    <w:p>
      <w:pPr>
        <w:pStyle w:val="null3"/>
        <w:ind w:firstLine="420"/>
      </w:pPr>
      <w:r>
        <w:rPr>
          <w:sz w:val="21"/>
        </w:rPr>
        <w:t>3）在运维期间，提供不少于两次的技术、操作、业务培训；</w:t>
      </w:r>
    </w:p>
    <w:p>
      <w:pPr>
        <w:pStyle w:val="null3"/>
        <w:ind w:firstLine="420"/>
      </w:pPr>
      <w:r>
        <w:rPr>
          <w:sz w:val="21"/>
        </w:rPr>
        <w:t>4）响应甲方的特殊需求，在重大事件或者安保期间，提供待命、现场值班保障等技术支持。</w:t>
      </w:r>
    </w:p>
    <w:p>
      <w:pPr>
        <w:pStyle w:val="null3"/>
        <w:ind w:firstLine="420"/>
      </w:pPr>
      <w:r>
        <w:rPr>
          <w:sz w:val="21"/>
        </w:rPr>
        <w:t>5）质保期满后，乙方承诺以最优惠价格向甲方提供与质保期相同的维护、升级等。具体费用另行约定。</w:t>
      </w:r>
    </w:p>
    <w:p>
      <w:pPr>
        <w:pStyle w:val="null3"/>
        <w:ind w:firstLine="420"/>
      </w:pPr>
      <w:r>
        <w:rPr>
          <w:sz w:val="21"/>
        </w:rPr>
        <w:t>6）质保期内，乙方保证每 1 个月对系统巡检一次，并在 3 天内完成巡检工作，并向甲方提交巡检报告</w:t>
      </w:r>
      <w:r>
        <w:rPr>
          <w:sz w:val="21"/>
        </w:rPr>
        <w:t>。</w:t>
      </w:r>
    </w:p>
    <w:p>
      <w:pPr>
        <w:pStyle w:val="null3"/>
        <w:jc w:val="left"/>
      </w:pPr>
      <w:r>
        <w:rPr>
          <w:sz w:val="21"/>
          <w:b/>
          <w:color w:val="000000"/>
          <w:shd w:fill="FFFFFF" w:val="clear"/>
        </w:rPr>
        <w:t>第二条</w:t>
      </w:r>
      <w:r>
        <w:rPr>
          <w:sz w:val="24"/>
          <w:b/>
          <w:shd w:fill="FFFFFF" w:val="clear"/>
        </w:rPr>
        <w:t xml:space="preserve"> </w:t>
      </w:r>
      <w:r>
        <w:rPr>
          <w:sz w:val="21"/>
          <w:color w:val="000000"/>
          <w:shd w:fill="FFFFFF" w:val="clear"/>
        </w:rPr>
        <w:t xml:space="preserve"> </w:t>
      </w:r>
      <w:r>
        <w:rPr>
          <w:sz w:val="21"/>
          <w:color w:val="000000"/>
          <w:shd w:fill="FFFFFF" w:val="clear"/>
        </w:rPr>
        <w:t>乙方应在本合同生效后</w:t>
      </w:r>
      <w:r>
        <w:rPr>
          <w:sz w:val="21"/>
          <w:color w:val="000000"/>
          <w:shd w:fill="FFFFFF" w:val="clear"/>
        </w:rPr>
        <w:t xml:space="preserve">  10   日内向甲方提交研究开发计划。研究开发计划应包括以下主要内容：</w:t>
      </w:r>
    </w:p>
    <w:p>
      <w:pPr>
        <w:pStyle w:val="null3"/>
        <w:jc w:val="left"/>
      </w:pPr>
      <w:r>
        <w:rPr>
          <w:sz w:val="21"/>
          <w:color w:val="000000"/>
          <w:shd w:fill="FFFFFF" w:val="clear"/>
        </w:rPr>
        <w:t xml:space="preserve">1.项目开发计划。                                                  </w:t>
      </w:r>
    </w:p>
    <w:p>
      <w:pPr>
        <w:pStyle w:val="null3"/>
        <w:jc w:val="left"/>
      </w:pPr>
      <w:r>
        <w:rPr>
          <w:sz w:val="21"/>
          <w:color w:val="000000"/>
          <w:shd w:fill="FFFFFF" w:val="clear"/>
        </w:rPr>
        <w:t xml:space="preserve">2.项目实施计划。                                                          </w:t>
      </w:r>
    </w:p>
    <w:p>
      <w:pPr>
        <w:pStyle w:val="null3"/>
        <w:jc w:val="left"/>
      </w:pPr>
      <w:r>
        <w:rPr>
          <w:sz w:val="21"/>
          <w:color w:val="000000"/>
          <w:shd w:fill="FFFFFF" w:val="clear"/>
        </w:rPr>
        <w:t xml:space="preserve">3.人员配备计划。                                               </w:t>
      </w:r>
    </w:p>
    <w:p>
      <w:pPr>
        <w:pStyle w:val="null3"/>
        <w:jc w:val="left"/>
      </w:pPr>
      <w:r>
        <w:rPr>
          <w:sz w:val="21"/>
          <w:b/>
          <w:color w:val="000000"/>
          <w:shd w:fill="FFFFFF" w:val="clear"/>
        </w:rPr>
        <w:t>第三条</w:t>
      </w:r>
      <w:r>
        <w:rPr>
          <w:sz w:val="21"/>
          <w:b/>
          <w:color w:val="000000"/>
          <w:shd w:fill="FFFFFF" w:val="clear"/>
        </w:rPr>
        <w:t xml:space="preserve">  </w:t>
      </w:r>
      <w:r>
        <w:rPr>
          <w:sz w:val="21"/>
          <w:b/>
          <w:color w:val="000000"/>
          <w:shd w:fill="FFFFFF" w:val="clear"/>
        </w:rPr>
        <w:t>乙方应按下列进度完成研究开发工作：</w:t>
      </w:r>
    </w:p>
    <w:p>
      <w:pPr>
        <w:pStyle w:val="null3"/>
        <w:jc w:val="left"/>
      </w:pPr>
      <w:r>
        <w:rPr>
          <w:sz w:val="21"/>
          <w:color w:val="000000"/>
          <w:shd w:fill="FFFFFF" w:val="clear"/>
        </w:rPr>
        <w:t xml:space="preserve">1.总体计划Ⅹ年Ⅹ月Ⅹ日至Ⅹ年Ⅹ月Ⅹ日                                             </w:t>
      </w:r>
    </w:p>
    <w:p>
      <w:pPr>
        <w:pStyle w:val="null3"/>
        <w:jc w:val="left"/>
      </w:pPr>
      <w:r>
        <w:rPr>
          <w:sz w:val="21"/>
          <w:color w:val="000000"/>
          <w:shd w:fill="FFFFFF" w:val="clear"/>
        </w:rPr>
        <w:t xml:space="preserve">2.阶段性时间分配，第1、2、3……阶段                     </w:t>
      </w:r>
    </w:p>
    <w:p>
      <w:pPr>
        <w:pStyle w:val="null3"/>
        <w:jc w:val="left"/>
      </w:pPr>
      <w:r>
        <w:rPr>
          <w:sz w:val="21"/>
          <w:color w:val="000000"/>
          <w:shd w:fill="FFFFFF" w:val="clear"/>
        </w:rPr>
        <w:t xml:space="preserve">3.项目的里程碑计划详见合同附件2。    </w:t>
      </w:r>
    </w:p>
    <w:p>
      <w:pPr>
        <w:pStyle w:val="null3"/>
        <w:jc w:val="left"/>
      </w:pPr>
      <w:r>
        <w:rPr>
          <w:sz w:val="21"/>
          <w:b/>
          <w:color w:val="000000"/>
          <w:shd w:fill="FFFFFF" w:val="clear"/>
        </w:rPr>
        <w:t>第四条</w:t>
      </w:r>
      <w:r>
        <w:rPr>
          <w:sz w:val="24"/>
          <w:b/>
          <w:shd w:fill="FFFFFF" w:val="clear"/>
        </w:rPr>
        <w:t xml:space="preserve">  </w:t>
      </w:r>
      <w:r>
        <w:rPr>
          <w:sz w:val="21"/>
          <w:b/>
          <w:color w:val="000000"/>
          <w:shd w:fill="FFFFFF" w:val="clear"/>
        </w:rPr>
        <w:t>乙方</w:t>
      </w:r>
      <w:r>
        <w:rPr>
          <w:sz w:val="21"/>
          <w:b/>
          <w:color w:val="000000"/>
          <w:shd w:fill="FFFFFF" w:val="clear"/>
        </w:rPr>
        <w:t>应向</w:t>
      </w:r>
      <w:r>
        <w:rPr>
          <w:sz w:val="21"/>
          <w:b/>
          <w:color w:val="000000"/>
          <w:shd w:fill="FFFFFF" w:val="clear"/>
        </w:rPr>
        <w:t>甲方</w:t>
      </w:r>
      <w:r>
        <w:rPr>
          <w:sz w:val="21"/>
          <w:b/>
          <w:color w:val="000000"/>
          <w:shd w:fill="FFFFFF" w:val="clear"/>
        </w:rPr>
        <w:t>提供的技术资料及协作事项如下：</w:t>
      </w:r>
    </w:p>
    <w:p>
      <w:pPr>
        <w:pStyle w:val="null3"/>
        <w:jc w:val="left"/>
      </w:pPr>
      <w:r>
        <w:rPr>
          <w:sz w:val="21"/>
          <w:color w:val="000000"/>
          <w:shd w:fill="FFFFFF" w:val="clear"/>
        </w:rPr>
        <w:t>1．技术资料清单： （1）《需求说明书》（2）《系统概要设计说明书》（3）《系统详细设计说明书》（4）《数据库设计说明书》（5）《测试方案/计划》（6）《测试记录》（7）《项目测试报告》（8）《培训方案、计划》（9）《用户手册》（10）《维护手册》（11）《培训教材》（12）售后服务保证文件（13）其他用户方要求的技术资料。</w:t>
      </w:r>
    </w:p>
    <w:p>
      <w:pPr>
        <w:pStyle w:val="null3"/>
        <w:jc w:val="left"/>
      </w:pPr>
      <w:r>
        <w:rPr>
          <w:sz w:val="21"/>
          <w:color w:val="000000"/>
          <w:shd w:fill="FFFFFF" w:val="clear"/>
        </w:rPr>
        <w:t>2．提供时间和方式：何时何地乙方当面交付。</w:t>
      </w:r>
    </w:p>
    <w:p>
      <w:pPr>
        <w:pStyle w:val="null3"/>
        <w:jc w:val="left"/>
      </w:pPr>
      <w:r>
        <w:rPr>
          <w:sz w:val="21"/>
          <w:color w:val="000000"/>
          <w:shd w:fill="FFFFFF" w:val="clear"/>
        </w:rPr>
        <w:t>本合同履行完毕后，上述技术资料按以下方式处理：甲方留下自行处理。</w:t>
      </w:r>
    </w:p>
    <w:p>
      <w:pPr>
        <w:pStyle w:val="null3"/>
        <w:jc w:val="left"/>
      </w:pPr>
      <w:r>
        <w:rPr>
          <w:sz w:val="21"/>
          <w:b/>
          <w:color w:val="000000"/>
          <w:shd w:fill="FFFFFF" w:val="clear"/>
        </w:rPr>
        <w:t>第二章</w:t>
      </w:r>
      <w:r>
        <w:rPr>
          <w:sz w:val="21"/>
          <w:b/>
          <w:color w:val="000000"/>
          <w:shd w:fill="FFFFFF" w:val="clear"/>
        </w:rPr>
        <w:t xml:space="preserve"> </w:t>
      </w:r>
      <w:r>
        <w:rPr>
          <w:sz w:val="21"/>
          <w:b/>
          <w:color w:val="000000"/>
          <w:shd w:fill="FFFFFF" w:val="clear"/>
        </w:rPr>
        <w:t>权利义务</w:t>
      </w:r>
    </w:p>
    <w:p>
      <w:pPr>
        <w:pStyle w:val="null3"/>
        <w:jc w:val="left"/>
      </w:pPr>
      <w:r>
        <w:rPr>
          <w:sz w:val="21"/>
          <w:b/>
          <w:color w:val="000000"/>
          <w:shd w:fill="FFFFFF" w:val="clear"/>
        </w:rPr>
        <w:t>第五条</w:t>
      </w:r>
      <w:r>
        <w:rPr>
          <w:sz w:val="21"/>
          <w:b/>
          <w:color w:val="000000"/>
          <w:shd w:fill="FFFFFF" w:val="clear"/>
        </w:rPr>
        <w:t xml:space="preserve"> </w:t>
      </w:r>
      <w:r>
        <w:rPr>
          <w:sz w:val="21"/>
          <w:b/>
          <w:color w:val="000000"/>
          <w:shd w:fill="FFFFFF" w:val="clear"/>
        </w:rPr>
        <w:t>甲方的权利与义务：</w:t>
      </w:r>
    </w:p>
    <w:p>
      <w:pPr>
        <w:pStyle w:val="null3"/>
        <w:jc w:val="left"/>
      </w:pPr>
      <w:r>
        <w:rPr>
          <w:sz w:val="21"/>
          <w:color w:val="000000"/>
          <w:shd w:fill="FFFFFF" w:val="clear"/>
        </w:rPr>
        <w:t>1．甲方派出熟悉本项目的业务人员配合乙方完成本系统的业务需求分析。</w:t>
      </w:r>
    </w:p>
    <w:p>
      <w:pPr>
        <w:pStyle w:val="null3"/>
        <w:jc w:val="left"/>
      </w:pPr>
      <w:r>
        <w:rPr>
          <w:sz w:val="21"/>
          <w:color w:val="000000"/>
          <w:shd w:fill="FFFFFF" w:val="clear"/>
        </w:rPr>
        <w:t>2．甲方应按期按质的向乙方提供与系统开发相关的业务及技术资料。进行业务和技术资料交流时，由甲方牵头进行；若乙方向第三方提供技术资料需先经甲方确认。</w:t>
      </w:r>
    </w:p>
    <w:p>
      <w:pPr>
        <w:pStyle w:val="null3"/>
        <w:jc w:val="left"/>
      </w:pPr>
      <w:r>
        <w:rPr>
          <w:sz w:val="21"/>
          <w:color w:val="000000"/>
          <w:shd w:fill="FFFFFF" w:val="clear"/>
        </w:rPr>
        <w:t>3．由于甲方的原因使乙方工作受到阻碍或延误，以致发生了附加工作或延长了持续时间，则乙方应当将此情况与可能产生的影响及时通知甲方,完成开发任务的时间相应延长；如导致乙方工作量大幅增加，乙方可协商申请得到附加工作的报酬。</w:t>
      </w:r>
    </w:p>
    <w:p>
      <w:pPr>
        <w:pStyle w:val="null3"/>
        <w:jc w:val="left"/>
      </w:pPr>
      <w:r>
        <w:rPr>
          <w:sz w:val="21"/>
          <w:color w:val="000000"/>
          <w:shd w:fill="FFFFFF" w:val="clear"/>
        </w:rPr>
        <w:t>4．甲方负责系统开发的主要项目管理工作，并有权要求乙方提供本系统的技术资料，包括接口等。</w:t>
      </w:r>
    </w:p>
    <w:p>
      <w:pPr>
        <w:pStyle w:val="null3"/>
        <w:jc w:val="left"/>
      </w:pPr>
      <w:r>
        <w:rPr>
          <w:sz w:val="21"/>
          <w:color w:val="000000"/>
          <w:shd w:fill="FFFFFF" w:val="clear"/>
        </w:rPr>
        <w:t>5．甲方保证按照合同约定的条款，付给乙方到期应付的货款。</w:t>
      </w:r>
    </w:p>
    <w:p>
      <w:pPr>
        <w:pStyle w:val="null3"/>
        <w:jc w:val="left"/>
      </w:pPr>
      <w:r>
        <w:rPr>
          <w:sz w:val="21"/>
          <w:color w:val="000000"/>
          <w:shd w:fill="FFFFFF" w:val="clear"/>
        </w:rPr>
        <w:t>6．项目成果交付后，甲方应及时安排人员进行成果确认和组织验收。</w:t>
      </w:r>
    </w:p>
    <w:p>
      <w:pPr>
        <w:pStyle w:val="null3"/>
        <w:jc w:val="left"/>
      </w:pPr>
      <w:r>
        <w:rPr>
          <w:sz w:val="21"/>
          <w:b/>
          <w:color w:val="000000"/>
          <w:shd w:fill="FFFFFF" w:val="clear"/>
        </w:rPr>
        <w:t>第六条</w:t>
      </w:r>
      <w:r>
        <w:rPr>
          <w:sz w:val="21"/>
          <w:b/>
          <w:color w:val="000000"/>
          <w:shd w:fill="FFFFFF" w:val="clear"/>
        </w:rPr>
        <w:t xml:space="preserve"> </w:t>
      </w:r>
      <w:r>
        <w:rPr>
          <w:sz w:val="21"/>
          <w:b/>
          <w:color w:val="000000"/>
          <w:shd w:fill="FFFFFF" w:val="clear"/>
        </w:rPr>
        <w:t>乙方的权利和义务</w:t>
      </w:r>
    </w:p>
    <w:p>
      <w:pPr>
        <w:pStyle w:val="null3"/>
        <w:jc w:val="left"/>
      </w:pPr>
      <w:r>
        <w:rPr>
          <w:sz w:val="21"/>
          <w:color w:val="000000"/>
          <w:shd w:fill="FFFFFF" w:val="clear"/>
        </w:rPr>
        <w:t>1．乙方必须充分了解分析项目的功能要求和性能要求，认真投入合格的、充足的技术开发人员进行系统开发，提供所承担开发任务的全部软硬件环境，包括开发工具、开发场地等,按时、按质、按量完成本项目内容。</w:t>
      </w:r>
    </w:p>
    <w:p>
      <w:pPr>
        <w:pStyle w:val="null3"/>
        <w:jc w:val="left"/>
      </w:pPr>
      <w:r>
        <w:rPr>
          <w:sz w:val="21"/>
          <w:color w:val="000000"/>
          <w:shd w:fill="FFFFFF" w:val="clear"/>
        </w:rPr>
        <w:t>2．在项目执行过程中项目负责人和主要开发人员未经甲方许可，不得变更。</w:t>
      </w:r>
    </w:p>
    <w:p>
      <w:pPr>
        <w:pStyle w:val="null3"/>
        <w:jc w:val="left"/>
      </w:pPr>
      <w:r>
        <w:rPr>
          <w:sz w:val="21"/>
          <w:color w:val="000000"/>
          <w:shd w:fill="FFFFFF" w:val="clear"/>
        </w:rPr>
        <w:t>3．乙方应按期按质的进行开发工作，如因乙方原因导致开发工作延迟或停顿的，由乙方承担责任。</w:t>
      </w:r>
    </w:p>
    <w:p>
      <w:pPr>
        <w:pStyle w:val="null3"/>
        <w:jc w:val="left"/>
      </w:pPr>
      <w:r>
        <w:rPr>
          <w:sz w:val="21"/>
          <w:color w:val="000000"/>
          <w:shd w:fill="FFFFFF" w:val="clear"/>
        </w:rPr>
        <w:t>4．乙方应按本合同的规定向甲方公开本系统有关技术细节，提供必要的技术资料，并向甲方开发人员提供培训和技术支持，而且应保证使受训人员理解并掌握操作、管理和维护乙方按本合同提供的开发系统的技术。</w:t>
      </w:r>
    </w:p>
    <w:p>
      <w:pPr>
        <w:pStyle w:val="null3"/>
        <w:jc w:val="left"/>
      </w:pPr>
      <w:r>
        <w:rPr>
          <w:sz w:val="21"/>
          <w:color w:val="000000"/>
          <w:shd w:fill="FFFFFF" w:val="clear"/>
        </w:rPr>
        <w:t>5．乙方所提供的一切资料应通过合法途径获得，任何第三方不得对该资料主张权利，否则，乙方应承担相应的责任，并承担由此给甲方造成的一切损失。</w:t>
      </w:r>
    </w:p>
    <w:p>
      <w:pPr>
        <w:pStyle w:val="null3"/>
        <w:jc w:val="left"/>
      </w:pPr>
      <w:r>
        <w:rPr>
          <w:sz w:val="21"/>
          <w:color w:val="000000"/>
          <w:shd w:fill="FFFFFF" w:val="clear"/>
        </w:rPr>
        <w:t>6．乙方应定期参加由甲方组织召开的项目例会，向甲方通报开发进度。</w:t>
      </w:r>
    </w:p>
    <w:p>
      <w:pPr>
        <w:pStyle w:val="null3"/>
        <w:jc w:val="left"/>
      </w:pPr>
      <w:r>
        <w:rPr>
          <w:sz w:val="21"/>
          <w:b/>
          <w:color w:val="000000"/>
          <w:shd w:fill="FFFFFF" w:val="clear"/>
        </w:rPr>
        <w:t>第三章</w:t>
      </w:r>
      <w:r>
        <w:rPr>
          <w:sz w:val="21"/>
          <w:b/>
          <w:color w:val="000000"/>
          <w:shd w:fill="FFFFFF" w:val="clear"/>
        </w:rPr>
        <w:t xml:space="preserve"> </w:t>
      </w:r>
      <w:r>
        <w:rPr>
          <w:sz w:val="21"/>
          <w:b/>
          <w:color w:val="000000"/>
          <w:shd w:fill="FFFFFF" w:val="clear"/>
        </w:rPr>
        <w:t>研究开发经费</w:t>
      </w:r>
    </w:p>
    <w:p>
      <w:pPr>
        <w:pStyle w:val="null3"/>
        <w:jc w:val="left"/>
      </w:pPr>
      <w:r>
        <w:rPr>
          <w:sz w:val="21"/>
          <w:b/>
          <w:color w:val="000000"/>
          <w:shd w:fill="FFFFFF" w:val="clear"/>
        </w:rPr>
        <w:t>第七条</w:t>
      </w:r>
      <w:r>
        <w:rPr>
          <w:sz w:val="21"/>
          <w:b/>
          <w:color w:val="000000"/>
          <w:shd w:fill="FFFFFF" w:val="clear"/>
        </w:rPr>
        <w:t xml:space="preserve">  </w:t>
      </w:r>
      <w:r>
        <w:rPr>
          <w:sz w:val="21"/>
          <w:b/>
          <w:color w:val="000000"/>
          <w:shd w:fill="FFFFFF" w:val="clear"/>
        </w:rPr>
        <w:t>甲方应按以下方式支付研究开发经费和报酬：</w:t>
      </w:r>
    </w:p>
    <w:p>
      <w:pPr>
        <w:pStyle w:val="null3"/>
        <w:jc w:val="left"/>
      </w:pPr>
      <w:r>
        <w:rPr>
          <w:sz w:val="21"/>
          <w:color w:val="000000"/>
          <w:shd w:fill="FFFFFF" w:val="clear"/>
        </w:rPr>
        <w:t>1．研究开发经费是指完成本项研究开发工作所需的成本；报酬是指本项目开发成果的使用费和研究开发人员的科研补贴。</w:t>
      </w:r>
    </w:p>
    <w:p>
      <w:pPr>
        <w:pStyle w:val="null3"/>
        <w:jc w:val="left"/>
      </w:pPr>
      <w:r>
        <w:rPr>
          <w:sz w:val="21"/>
          <w:color w:val="000000"/>
          <w:shd w:fill="FFFFFF" w:val="clear"/>
        </w:rPr>
        <w:t>2．本项目的总投资（即合同总价）包括了研究开发经费、实施经费、培训经费、报酬、免费服务期内系统维护费、乙方人员差旅费等全部费用，共计￥      元人民币（         整）。</w:t>
      </w:r>
    </w:p>
    <w:p>
      <w:pPr>
        <w:pStyle w:val="null3"/>
        <w:jc w:val="left"/>
      </w:pPr>
      <w:r>
        <w:rPr>
          <w:sz w:val="21"/>
          <w:color w:val="000000"/>
          <w:shd w:fill="FFFFFF" w:val="clear"/>
        </w:rPr>
        <w:t>3．支付安排：</w:t>
      </w:r>
    </w:p>
    <w:p>
      <w:pPr>
        <w:pStyle w:val="null3"/>
        <w:jc w:val="left"/>
      </w:pPr>
      <w:r>
        <w:rPr>
          <w:sz w:val="21"/>
          <w:color w:val="000000"/>
          <w:shd w:fill="FFFFFF" w:val="clear"/>
        </w:rPr>
        <w:t>（</w:t>
      </w:r>
      <w:r>
        <w:rPr>
          <w:sz w:val="21"/>
          <w:color w:val="000000"/>
          <w:shd w:fill="FFFFFF" w:val="clear"/>
        </w:rPr>
        <w:t>1）第一笔款</w:t>
      </w:r>
    </w:p>
    <w:p>
      <w:pPr>
        <w:pStyle w:val="null3"/>
        <w:jc w:val="left"/>
      </w:pPr>
      <w:r>
        <w:rPr>
          <w:sz w:val="21"/>
          <w:color w:val="000000"/>
          <w:shd w:fill="FFFFFF" w:val="clear"/>
        </w:rPr>
        <w:t>合同签订后的</w:t>
      </w:r>
      <w:r>
        <w:rPr>
          <w:sz w:val="21"/>
          <w:color w:val="000000"/>
          <w:shd w:fill="FFFFFF" w:val="clear"/>
        </w:rPr>
        <w:t>1</w:t>
      </w:r>
      <w:r>
        <w:rPr>
          <w:sz w:val="21"/>
          <w:color w:val="000000"/>
          <w:shd w:fill="FFFFFF" w:val="clear"/>
        </w:rPr>
        <w:t>0</w:t>
      </w:r>
      <w:r>
        <w:rPr>
          <w:sz w:val="21"/>
          <w:color w:val="000000"/>
          <w:shd w:fill="FFFFFF" w:val="clear"/>
        </w:rPr>
        <w:t>个工作日内办理支付申请手续，申请支付合同总额的</w:t>
      </w:r>
      <w:r>
        <w:rPr>
          <w:sz w:val="21"/>
          <w:color w:val="000000"/>
          <w:shd w:fill="FFFFFF" w:val="clear"/>
        </w:rPr>
        <w:t>30%。</w:t>
      </w:r>
    </w:p>
    <w:p>
      <w:pPr>
        <w:pStyle w:val="null3"/>
        <w:jc w:val="left"/>
      </w:pPr>
      <w:r>
        <w:rPr>
          <w:sz w:val="21"/>
          <w:color w:val="000000"/>
          <w:shd w:fill="FFFFFF" w:val="clear"/>
        </w:rPr>
        <w:t>（</w:t>
      </w:r>
      <w:r>
        <w:rPr>
          <w:sz w:val="21"/>
          <w:color w:val="000000"/>
          <w:shd w:fill="FFFFFF" w:val="clear"/>
        </w:rPr>
        <w:t>2）第二笔款</w:t>
      </w:r>
    </w:p>
    <w:p>
      <w:pPr>
        <w:pStyle w:val="null3"/>
        <w:jc w:val="left"/>
      </w:pPr>
      <w:r>
        <w:rPr>
          <w:sz w:val="21"/>
          <w:color w:val="000000"/>
          <w:shd w:fill="FFFFFF" w:val="clear"/>
        </w:rPr>
        <w:t>初步验收通过后的</w:t>
      </w:r>
      <w:r>
        <w:rPr>
          <w:sz w:val="21"/>
          <w:color w:val="000000"/>
          <w:shd w:fill="FFFFFF" w:val="clear"/>
        </w:rPr>
        <w:t>1</w:t>
      </w:r>
      <w:r>
        <w:rPr>
          <w:sz w:val="21"/>
          <w:color w:val="000000"/>
          <w:shd w:fill="FFFFFF" w:val="clear"/>
        </w:rPr>
        <w:t>0</w:t>
      </w:r>
      <w:r>
        <w:rPr>
          <w:sz w:val="21"/>
          <w:color w:val="000000"/>
          <w:shd w:fill="FFFFFF" w:val="clear"/>
        </w:rPr>
        <w:t>个工作日内办理支付申请手续，申请支付合同总额的</w:t>
      </w:r>
      <w:r>
        <w:rPr>
          <w:sz w:val="21"/>
          <w:color w:val="000000"/>
          <w:shd w:fill="FFFFFF" w:val="clear"/>
        </w:rPr>
        <w:t>30%。</w:t>
      </w:r>
    </w:p>
    <w:p>
      <w:pPr>
        <w:pStyle w:val="null3"/>
        <w:jc w:val="left"/>
      </w:pPr>
      <w:r>
        <w:rPr>
          <w:sz w:val="21"/>
          <w:color w:val="000000"/>
          <w:shd w:fill="FFFFFF" w:val="clear"/>
        </w:rPr>
        <w:t>（</w:t>
      </w:r>
      <w:r>
        <w:rPr>
          <w:sz w:val="21"/>
          <w:color w:val="000000"/>
          <w:shd w:fill="FFFFFF" w:val="clear"/>
        </w:rPr>
        <w:t>3）第三笔款</w:t>
      </w:r>
    </w:p>
    <w:p>
      <w:pPr>
        <w:pStyle w:val="null3"/>
        <w:jc w:val="left"/>
      </w:pPr>
      <w:r>
        <w:rPr>
          <w:sz w:val="21"/>
          <w:color w:val="000000"/>
          <w:shd w:fill="FFFFFF" w:val="clear"/>
        </w:rPr>
        <w:t>第三笔款是最终验收后的支付款项，第三笔款的应付款为合同总额的</w:t>
      </w:r>
      <w:r>
        <w:rPr>
          <w:sz w:val="21"/>
          <w:color w:val="000000"/>
          <w:shd w:fill="FFFFFF" w:val="clear"/>
        </w:rPr>
        <w:t>40%，但第三笔款的实付款为应付款与服务考核评价挂钩计算的结果。最终验收通过后的</w:t>
      </w:r>
      <w:r>
        <w:rPr>
          <w:sz w:val="21"/>
          <w:color w:val="000000"/>
          <w:shd w:fill="FFFFFF" w:val="clear"/>
        </w:rPr>
        <w:t>1</w:t>
      </w:r>
      <w:r>
        <w:rPr>
          <w:sz w:val="21"/>
          <w:color w:val="000000"/>
          <w:shd w:fill="FFFFFF" w:val="clear"/>
        </w:rPr>
        <w:t>0</w:t>
      </w:r>
      <w:r>
        <w:rPr>
          <w:sz w:val="21"/>
          <w:color w:val="000000"/>
          <w:shd w:fill="FFFFFF" w:val="clear"/>
        </w:rPr>
        <w:t>个工作日内，按照</w:t>
      </w:r>
      <w:r>
        <w:rPr>
          <w:sz w:val="21"/>
          <w:color w:val="000000"/>
          <w:shd w:fill="FFFFFF" w:val="clear"/>
        </w:rPr>
        <w:t>“实付款=第三笔款的应付款×服务考核评价得分/100”计算第三笔款的实付款，办理支付申请手续，申请支付第三笔款的实付款。</w:t>
      </w:r>
    </w:p>
    <w:p>
      <w:pPr>
        <w:pStyle w:val="null3"/>
        <w:jc w:val="left"/>
      </w:pPr>
      <w:r>
        <w:rPr>
          <w:sz w:val="21"/>
          <w:color w:val="000000"/>
          <w:shd w:fill="FFFFFF" w:val="clear"/>
        </w:rPr>
        <w:t>乙方开户银行名称、地址和帐号为：</w:t>
      </w:r>
    </w:p>
    <w:p>
      <w:pPr>
        <w:pStyle w:val="null3"/>
        <w:jc w:val="left"/>
      </w:pPr>
      <w:r>
        <w:rPr>
          <w:sz w:val="21"/>
          <w:color w:val="000000"/>
          <w:shd w:fill="FFFFFF" w:val="clear"/>
        </w:rPr>
        <w:t>开户银行：</w:t>
      </w:r>
      <w:r>
        <w:rPr>
          <w:sz w:val="24"/>
          <w:shd w:fill="FFFFFF" w:val="clear"/>
        </w:rPr>
        <w:t xml:space="preserve">                                          </w:t>
      </w:r>
    </w:p>
    <w:p>
      <w:pPr>
        <w:pStyle w:val="null3"/>
        <w:jc w:val="left"/>
      </w:pPr>
      <w:r>
        <w:rPr>
          <w:sz w:val="21"/>
          <w:color w:val="000000"/>
          <w:shd w:fill="FFFFFF" w:val="clear"/>
        </w:rPr>
        <w:t>地址：</w:t>
      </w:r>
      <w:r>
        <w:rPr>
          <w:sz w:val="24"/>
          <w:shd w:fill="FFFFFF" w:val="clear"/>
        </w:rPr>
        <w:t xml:space="preserve">                                                  </w:t>
      </w:r>
    </w:p>
    <w:p>
      <w:pPr>
        <w:pStyle w:val="null3"/>
        <w:jc w:val="left"/>
      </w:pPr>
      <w:r>
        <w:rPr>
          <w:sz w:val="21"/>
          <w:color w:val="000000"/>
          <w:shd w:fill="FFFFFF" w:val="clear"/>
        </w:rPr>
        <w:t>帐号：</w:t>
      </w:r>
      <w:r>
        <w:rPr>
          <w:sz w:val="24"/>
          <w:shd w:fill="FFFFFF" w:val="clear"/>
        </w:rPr>
        <w:t xml:space="preserve">                                              </w:t>
      </w:r>
    </w:p>
    <w:p>
      <w:pPr>
        <w:pStyle w:val="null3"/>
        <w:jc w:val="left"/>
      </w:pPr>
      <w:r>
        <w:rPr>
          <w:sz w:val="21"/>
          <w:color w:val="000000"/>
          <w:shd w:fill="FFFFFF" w:val="clear"/>
        </w:rPr>
        <w:t>合同所指的付款时间为甲方向政府采购支付部门提出支付申请的时间（不含政府财政支付部门审查时间和支付时间），乙方不得以资金付款期限已过为由向甲方索赔或支付违约金。</w:t>
      </w:r>
    </w:p>
    <w:p>
      <w:pPr>
        <w:pStyle w:val="null3"/>
        <w:jc w:val="left"/>
      </w:pPr>
      <w:r>
        <w:rPr>
          <w:sz w:val="21"/>
          <w:b/>
          <w:color w:val="000000"/>
          <w:shd w:fill="FFFFFF" w:val="clear"/>
        </w:rPr>
        <w:t>第四章</w:t>
      </w:r>
      <w:r>
        <w:rPr>
          <w:sz w:val="21"/>
          <w:b/>
          <w:color w:val="000000"/>
          <w:shd w:fill="FFFFFF" w:val="clear"/>
        </w:rPr>
        <w:t xml:space="preserve"> </w:t>
      </w:r>
      <w:r>
        <w:rPr>
          <w:sz w:val="21"/>
          <w:b/>
          <w:color w:val="000000"/>
          <w:shd w:fill="FFFFFF" w:val="clear"/>
        </w:rPr>
        <w:t>合同的生效、变更和终止</w:t>
      </w:r>
    </w:p>
    <w:p>
      <w:pPr>
        <w:pStyle w:val="null3"/>
        <w:jc w:val="left"/>
      </w:pPr>
      <w:r>
        <w:rPr>
          <w:sz w:val="21"/>
          <w:b/>
          <w:color w:val="000000"/>
          <w:shd w:fill="FFFFFF" w:val="clear"/>
        </w:rPr>
        <w:t>第八条</w:t>
      </w:r>
      <w:r>
        <w:rPr>
          <w:sz w:val="24"/>
          <w:b/>
          <w:shd w:fill="FFFFFF" w:val="clear"/>
        </w:rPr>
        <w:t xml:space="preserve"> </w:t>
      </w:r>
      <w:r>
        <w:rPr>
          <w:sz w:val="21"/>
          <w:color w:val="000000"/>
          <w:shd w:fill="FFFFFF" w:val="clear"/>
        </w:rPr>
        <w:t xml:space="preserve"> </w:t>
      </w:r>
      <w:r>
        <w:rPr>
          <w:sz w:val="21"/>
          <w:color w:val="000000"/>
          <w:shd w:fill="FFFFFF" w:val="clear"/>
        </w:rPr>
        <w:t>本合同的变更必须由双方协商一致，并以书面形式确定。但有下列情形之一的，一方可以向另一方提出变更合同权利与义务的请求，另一方应当在</w:t>
      </w:r>
      <w:r>
        <w:rPr>
          <w:sz w:val="21"/>
          <w:color w:val="000000"/>
          <w:shd w:fill="FFFFFF" w:val="clear"/>
        </w:rPr>
        <w:t xml:space="preserve">  15    日内予以答复；逾期未予答复的，视为同意：</w:t>
      </w:r>
    </w:p>
    <w:p>
      <w:pPr>
        <w:pStyle w:val="null3"/>
        <w:jc w:val="left"/>
      </w:pPr>
      <w:r>
        <w:rPr>
          <w:sz w:val="21"/>
          <w:color w:val="000000"/>
          <w:shd w:fill="FFFFFF" w:val="clear"/>
        </w:rPr>
        <w:t xml:space="preserve">1．因国家相关政策、法规发生变更；                                    </w:t>
      </w:r>
    </w:p>
    <w:p>
      <w:pPr>
        <w:pStyle w:val="null3"/>
        <w:jc w:val="left"/>
      </w:pPr>
      <w:r>
        <w:rPr>
          <w:sz w:val="21"/>
          <w:color w:val="000000"/>
          <w:shd w:fill="FFFFFF" w:val="clear"/>
        </w:rPr>
        <w:t>2．其他不可抗力因素。</w:t>
      </w:r>
    </w:p>
    <w:p>
      <w:pPr>
        <w:pStyle w:val="null3"/>
        <w:jc w:val="left"/>
      </w:pPr>
      <w:r>
        <w:rPr>
          <w:sz w:val="21"/>
          <w:b/>
          <w:color w:val="000000"/>
          <w:shd w:fill="FFFFFF" w:val="clear"/>
        </w:rPr>
        <w:t>第九条</w:t>
      </w:r>
      <w:r>
        <w:rPr>
          <w:sz w:val="21"/>
          <w:color w:val="000000"/>
          <w:shd w:fill="FFFFFF" w:val="clear"/>
        </w:rPr>
        <w:t xml:space="preserve">  </w:t>
      </w:r>
      <w:r>
        <w:rPr>
          <w:sz w:val="21"/>
          <w:color w:val="000000"/>
          <w:shd w:fill="FFFFFF" w:val="clear"/>
        </w:rPr>
        <w:t>未经甲方同意，乙方不得将本合同项目部分或全部研究开发工作转让第三人承担。但有下列情况之一的，乙方可以经甲方同意，将本合同项目部分研究开发工作转让第三人承担：</w:t>
      </w:r>
    </w:p>
    <w:p>
      <w:pPr>
        <w:pStyle w:val="null3"/>
        <w:jc w:val="left"/>
      </w:pPr>
      <w:r>
        <w:rPr>
          <w:sz w:val="21"/>
          <w:color w:val="000000"/>
          <w:shd w:fill="FFFFFF" w:val="clear"/>
        </w:rPr>
        <w:t xml:space="preserve">1．不涉及和损害甲方技术权益、经济利益和秘密；                                  </w:t>
      </w:r>
    </w:p>
    <w:p>
      <w:pPr>
        <w:pStyle w:val="null3"/>
        <w:jc w:val="left"/>
      </w:pPr>
      <w:r>
        <w:rPr>
          <w:sz w:val="21"/>
          <w:color w:val="000000"/>
          <w:shd w:fill="FFFFFF" w:val="clear"/>
        </w:rPr>
        <w:t xml:space="preserve">2．出现主管技术的项目负责人变动、国家重大产业计划变动、 显失公平等情况；     </w:t>
      </w:r>
    </w:p>
    <w:p>
      <w:pPr>
        <w:pStyle w:val="null3"/>
        <w:jc w:val="left"/>
      </w:pPr>
      <w:r>
        <w:rPr>
          <w:sz w:val="21"/>
          <w:color w:val="000000"/>
          <w:shd w:fill="FFFFFF" w:val="clear"/>
        </w:rPr>
        <w:t xml:space="preserve">3．考虑技术进步的发展，独家难以承担一个完整的项目。                            </w:t>
      </w:r>
    </w:p>
    <w:p>
      <w:pPr>
        <w:pStyle w:val="null3"/>
        <w:jc w:val="left"/>
      </w:pPr>
      <w:r>
        <w:rPr>
          <w:sz w:val="21"/>
          <w:color w:val="000000"/>
          <w:shd w:fill="FFFFFF" w:val="clear"/>
        </w:rPr>
        <w:t>乙方可以转让研究开发工作的具体内容包括：</w:t>
      </w:r>
      <w:r>
        <w:rPr>
          <w:sz w:val="21"/>
          <w:color w:val="000000"/>
          <w:shd w:fill="FFFFFF" w:val="clear"/>
        </w:rPr>
        <w:t xml:space="preserve"> </w:t>
      </w:r>
      <w:r>
        <w:rPr>
          <w:sz w:val="21"/>
          <w:color w:val="000000"/>
          <w:shd w:fill="FFFFFF" w:val="clear"/>
        </w:rPr>
        <w:t>①不涉及本项目技术权益的；②不属于本项目核心技术的。</w:t>
      </w:r>
    </w:p>
    <w:p>
      <w:pPr>
        <w:pStyle w:val="null3"/>
        <w:jc w:val="left"/>
      </w:pPr>
      <w:r>
        <w:rPr>
          <w:sz w:val="21"/>
          <w:b/>
          <w:color w:val="000000"/>
          <w:shd w:fill="FFFFFF" w:val="clear"/>
        </w:rPr>
        <w:t>第十条</w:t>
      </w:r>
      <w:r>
        <w:rPr>
          <w:sz w:val="21"/>
          <w:color w:val="000000"/>
          <w:shd w:fill="FFFFFF" w:val="clear"/>
        </w:rPr>
        <w:t xml:space="preserve">  </w:t>
      </w:r>
      <w:r>
        <w:rPr>
          <w:sz w:val="21"/>
          <w:color w:val="000000"/>
          <w:shd w:fill="FFFFFF" w:val="clear"/>
        </w:rPr>
        <w:t>在本合同履行中，因出现在现有技术水平和条件下难以克服的技术困难，导致研究开发失败或部分失败，并造成一方或双方损失的，双方按如下约定承担风险损失：</w:t>
      </w:r>
      <w:r>
        <w:rPr>
          <w:sz w:val="21"/>
          <w:color w:val="000000"/>
          <w:shd w:fill="FFFFFF" w:val="clear"/>
        </w:rPr>
        <w:t xml:space="preserve">①双方约定承担，约定优先；②合同无约定，由当事人合理分担,合理分担不等与平均分担；③当事人可以约定一定数量的资金作为承担未来可能发生的风险损失。                        </w:t>
      </w:r>
    </w:p>
    <w:p>
      <w:pPr>
        <w:pStyle w:val="null3"/>
        <w:jc w:val="left"/>
      </w:pPr>
      <w:r>
        <w:rPr>
          <w:sz w:val="21"/>
          <w:color w:val="000000"/>
          <w:shd w:fill="FFFFFF" w:val="clear"/>
        </w:rPr>
        <w:t>双方确定，本合同项目的技术风险按</w:t>
      </w:r>
      <w:r>
        <w:rPr>
          <w:sz w:val="21"/>
          <w:color w:val="000000"/>
          <w:shd w:fill="FFFFFF" w:val="clear"/>
        </w:rPr>
        <w:t xml:space="preserve"> </w:t>
      </w:r>
      <w:r>
        <w:rPr>
          <w:sz w:val="21"/>
          <w:color w:val="000000"/>
          <w:shd w:fill="FFFFFF" w:val="clear"/>
        </w:rPr>
        <w:t>①当事人认可的专家权威机构确认；②国家或地方政府指定机构；③当事人约定专家确认</w:t>
      </w:r>
      <w:r>
        <w:rPr>
          <w:sz w:val="24"/>
          <w:u w:val="single"/>
          <w:shd w:fill="FFFFFF" w:val="clear"/>
        </w:rPr>
        <w:t xml:space="preserve">                        </w:t>
      </w:r>
      <w:r>
        <w:rPr>
          <w:sz w:val="21"/>
          <w:color w:val="000000"/>
          <w:shd w:fill="FFFFFF" w:val="clear"/>
        </w:rPr>
        <w:t>的方式认定。认定技术风险的基本内容应当包括技术风险的存在、范围、程度及损失大小等。认定技术风险的基本条件是：</w:t>
      </w:r>
    </w:p>
    <w:p>
      <w:pPr>
        <w:pStyle w:val="null3"/>
        <w:jc w:val="left"/>
      </w:pPr>
      <w:r>
        <w:rPr>
          <w:sz w:val="21"/>
          <w:color w:val="000000"/>
          <w:shd w:fill="FFFFFF" w:val="clear"/>
        </w:rPr>
        <w:t>1</w:t>
      </w:r>
      <w:r>
        <w:rPr>
          <w:sz w:val="21"/>
          <w:color w:val="000000"/>
          <w:shd w:fill="FFFFFF" w:val="clear"/>
        </w:rPr>
        <w:t>.</w:t>
      </w:r>
      <w:r>
        <w:rPr>
          <w:sz w:val="21"/>
          <w:color w:val="000000"/>
          <w:shd w:fill="FFFFFF" w:val="clear"/>
        </w:rPr>
        <w:t>本合同项目在现有技术水平条件下具有足够的难度；</w:t>
      </w:r>
    </w:p>
    <w:p>
      <w:pPr>
        <w:pStyle w:val="null3"/>
        <w:jc w:val="left"/>
      </w:pPr>
      <w:r>
        <w:rPr>
          <w:sz w:val="21"/>
          <w:color w:val="000000"/>
          <w:shd w:fill="FFFFFF" w:val="clear"/>
        </w:rPr>
        <w:t>2</w:t>
      </w:r>
      <w:r>
        <w:rPr>
          <w:sz w:val="21"/>
          <w:color w:val="000000"/>
          <w:shd w:fill="FFFFFF" w:val="clear"/>
        </w:rPr>
        <w:t>.</w:t>
      </w:r>
      <w:r>
        <w:rPr>
          <w:sz w:val="21"/>
          <w:color w:val="000000"/>
          <w:shd w:fill="FFFFFF" w:val="clear"/>
        </w:rPr>
        <w:t>乙方在主观上无过错且经认定研究开发失败为合理的失败。</w:t>
      </w:r>
    </w:p>
    <w:p>
      <w:pPr>
        <w:pStyle w:val="null3"/>
        <w:jc w:val="left"/>
      </w:pPr>
      <w:r>
        <w:rPr>
          <w:sz w:val="21"/>
          <w:color w:val="000000"/>
          <w:shd w:fill="FFFFFF" w:val="clear"/>
        </w:rPr>
        <w:t>一方发现技术风险存在并有可能致使研究开发失败或部分失败的情形时，应当在</w:t>
      </w:r>
      <w:r>
        <w:rPr>
          <w:sz w:val="21"/>
          <w:color w:val="000000"/>
          <w:shd w:fill="FFFFFF" w:val="clear"/>
        </w:rPr>
        <w:t xml:space="preserve">  5  日内通知另一方并采取适当措施减少损失。逾期未通知并未采取适当措施而致使损失扩大的，应当就扩大的损失承担赔偿责任。</w:t>
      </w:r>
    </w:p>
    <w:p>
      <w:pPr>
        <w:pStyle w:val="null3"/>
        <w:jc w:val="left"/>
      </w:pPr>
      <w:r>
        <w:rPr>
          <w:sz w:val="21"/>
          <w:b/>
          <w:color w:val="000000"/>
          <w:shd w:fill="FFFFFF" w:val="clear"/>
        </w:rPr>
        <w:t>第十一条</w:t>
      </w:r>
      <w:r>
        <w:rPr>
          <w:sz w:val="21"/>
          <w:color w:val="000000"/>
          <w:shd w:fill="FFFFFF" w:val="clear"/>
        </w:rPr>
        <w:t xml:space="preserve">  </w:t>
      </w:r>
      <w:r>
        <w:rPr>
          <w:sz w:val="21"/>
          <w:color w:val="000000"/>
          <w:shd w:fill="FFFFFF" w:val="clear"/>
        </w:rPr>
        <w:t>双方确定，出现下列情形，致使本合同的履行成为不必要或不可能的，一方可以通知另一方解除本合同；</w:t>
      </w:r>
    </w:p>
    <w:p>
      <w:pPr>
        <w:pStyle w:val="null3"/>
        <w:jc w:val="left"/>
      </w:pPr>
      <w:r>
        <w:rPr>
          <w:sz w:val="21"/>
          <w:color w:val="000000"/>
          <w:shd w:fill="FFFFFF" w:val="clear"/>
        </w:rPr>
        <w:t xml:space="preserve">1．因发生不可抗力、技术或政策风险。                     </w:t>
      </w:r>
    </w:p>
    <w:p>
      <w:pPr>
        <w:pStyle w:val="null3"/>
        <w:jc w:val="left"/>
      </w:pPr>
      <w:r>
        <w:rPr>
          <w:sz w:val="21"/>
          <w:color w:val="000000"/>
          <w:shd w:fill="FFFFFF" w:val="clear"/>
        </w:rPr>
        <w:t xml:space="preserve">2．技术风险出现，技术风险指当事人努力履行，现有水平无法达到，有足够技术难度，同行专家认定为合理失败。                                                           </w:t>
      </w:r>
    </w:p>
    <w:p>
      <w:pPr>
        <w:pStyle w:val="null3"/>
        <w:jc w:val="left"/>
      </w:pPr>
      <w:r>
        <w:rPr>
          <w:sz w:val="21"/>
          <w:color w:val="000000"/>
          <w:shd w:fill="FFFFFF" w:val="clear"/>
        </w:rPr>
        <w:t>3．在合同履行中，因政策或者技术发展，使得项目建设已不必要。</w:t>
      </w:r>
    </w:p>
    <w:p>
      <w:pPr>
        <w:pStyle w:val="null3"/>
        <w:jc w:val="left"/>
      </w:pPr>
      <w:r>
        <w:rPr>
          <w:sz w:val="21"/>
          <w:b/>
          <w:color w:val="000000"/>
          <w:shd w:fill="FFFFFF" w:val="clear"/>
        </w:rPr>
        <w:t>第十二条</w:t>
      </w:r>
      <w:r>
        <w:rPr>
          <w:sz w:val="21"/>
          <w:color w:val="000000"/>
          <w:shd w:fill="FFFFFF" w:val="clear"/>
        </w:rPr>
        <w:t>　当事人一方要求变更或解除合同时，应当在</w:t>
      </w:r>
      <w:r>
        <w:rPr>
          <w:sz w:val="21"/>
          <w:color w:val="000000"/>
          <w:shd w:fill="FFFFFF" w:val="clear"/>
        </w:rPr>
        <w:t>20日前通知对方，因解除合同使一方遭受损失的，除依法可以免除责任的外，应由责任方负责赔偿。</w:t>
      </w:r>
    </w:p>
    <w:p>
      <w:pPr>
        <w:pStyle w:val="null3"/>
        <w:jc w:val="left"/>
      </w:pPr>
      <w:r>
        <w:rPr>
          <w:sz w:val="21"/>
          <w:color w:val="000000"/>
          <w:shd w:fill="FFFFFF" w:val="clear"/>
        </w:rPr>
        <w:t>变更或解除合同的通知或协议必须采取书面形式，协议未达成之前，原合同仍然有效。</w:t>
      </w:r>
      <w:r>
        <w:rPr>
          <w:sz w:val="24"/>
          <w:shd w:fill="FFFFFF" w:val="clear"/>
        </w:rPr>
        <w:t xml:space="preserve"> </w:t>
      </w:r>
    </w:p>
    <w:p>
      <w:pPr>
        <w:pStyle w:val="null3"/>
        <w:jc w:val="left"/>
      </w:pPr>
      <w:r>
        <w:rPr>
          <w:sz w:val="21"/>
          <w:b/>
          <w:color w:val="000000"/>
          <w:shd w:fill="FFFFFF" w:val="clear"/>
        </w:rPr>
        <w:t>第十三条</w:t>
      </w:r>
      <w:r>
        <w:rPr>
          <w:sz w:val="21"/>
          <w:color w:val="000000"/>
          <w:shd w:fill="FFFFFF" w:val="clear"/>
        </w:rPr>
        <w:t>　合同协议的终止并不影响各方应有的权利和应当承担的责任。</w:t>
      </w:r>
      <w:r>
        <w:rPr>
          <w:sz w:val="24"/>
          <w:shd w:fill="FFFFFF" w:val="clear"/>
        </w:rPr>
        <w:t xml:space="preserve"> </w:t>
      </w:r>
    </w:p>
    <w:p>
      <w:pPr>
        <w:pStyle w:val="null3"/>
        <w:jc w:val="left"/>
      </w:pPr>
      <w:r>
        <w:rPr>
          <w:sz w:val="21"/>
          <w:b/>
          <w:color w:val="000000"/>
          <w:shd w:fill="FFFFFF" w:val="clear"/>
        </w:rPr>
        <w:t>第五章</w:t>
      </w:r>
      <w:r>
        <w:rPr>
          <w:sz w:val="21"/>
          <w:b/>
          <w:color w:val="000000"/>
          <w:shd w:fill="FFFFFF" w:val="clear"/>
        </w:rPr>
        <w:t xml:space="preserve"> </w:t>
      </w:r>
      <w:r>
        <w:rPr>
          <w:sz w:val="21"/>
          <w:b/>
          <w:color w:val="000000"/>
          <w:shd w:fill="FFFFFF" w:val="clear"/>
        </w:rPr>
        <w:t>保密协议</w:t>
      </w:r>
    </w:p>
    <w:p>
      <w:pPr>
        <w:pStyle w:val="null3"/>
        <w:jc w:val="left"/>
      </w:pPr>
      <w:r>
        <w:rPr>
          <w:sz w:val="21"/>
          <w:b/>
          <w:color w:val="000000"/>
          <w:shd w:fill="FFFFFF" w:val="clear"/>
        </w:rPr>
        <w:t>第十四条</w:t>
      </w:r>
      <w:r>
        <w:rPr>
          <w:sz w:val="21"/>
          <w:color w:val="000000"/>
          <w:shd w:fill="FFFFFF" w:val="clear"/>
        </w:rPr>
        <w:t xml:space="preserve">  </w:t>
      </w:r>
      <w:r>
        <w:rPr>
          <w:sz w:val="21"/>
          <w:color w:val="000000"/>
          <w:shd w:fill="FFFFFF" w:val="clear"/>
        </w:rPr>
        <w:t>甲、乙双方签订合同时，一并签署《保密协议书》，具体协议见附件</w:t>
      </w:r>
      <w:r>
        <w:rPr>
          <w:sz w:val="21"/>
          <w:color w:val="000000"/>
          <w:shd w:fill="FFFFFF" w:val="clear"/>
        </w:rPr>
        <w:t>4。</w:t>
      </w:r>
    </w:p>
    <w:p>
      <w:pPr>
        <w:pStyle w:val="null3"/>
        <w:jc w:val="left"/>
      </w:pPr>
      <w:r>
        <w:rPr>
          <w:sz w:val="21"/>
          <w:b/>
          <w:color w:val="000000"/>
          <w:shd w:fill="FFFFFF" w:val="clear"/>
        </w:rPr>
        <w:t>第六章</w:t>
      </w:r>
      <w:r>
        <w:rPr>
          <w:sz w:val="21"/>
          <w:b/>
          <w:color w:val="000000"/>
          <w:shd w:fill="FFFFFF" w:val="clear"/>
        </w:rPr>
        <w:t xml:space="preserve"> </w:t>
      </w:r>
      <w:r>
        <w:rPr>
          <w:sz w:val="21"/>
          <w:b/>
          <w:color w:val="000000"/>
          <w:shd w:fill="FFFFFF" w:val="clear"/>
        </w:rPr>
        <w:t>知识产权归属</w:t>
      </w:r>
    </w:p>
    <w:p>
      <w:pPr>
        <w:pStyle w:val="null3"/>
        <w:jc w:val="left"/>
      </w:pPr>
      <w:r>
        <w:rPr>
          <w:sz w:val="21"/>
          <w:b/>
          <w:color w:val="000000"/>
          <w:shd w:fill="FFFFFF" w:val="clear"/>
        </w:rPr>
        <w:t>第十五条</w:t>
      </w:r>
      <w:r>
        <w:rPr>
          <w:sz w:val="24"/>
          <w:b/>
          <w:shd w:fill="FFFFFF" w:val="clear"/>
        </w:rPr>
        <w:t xml:space="preserve"> </w:t>
      </w:r>
      <w:r>
        <w:rPr>
          <w:sz w:val="21"/>
          <w:color w:val="000000"/>
          <w:shd w:fill="FFFFFF" w:val="clear"/>
        </w:rPr>
        <w:t xml:space="preserve"> </w:t>
      </w:r>
      <w:r>
        <w:rPr>
          <w:sz w:val="21"/>
          <w:color w:val="000000"/>
          <w:shd w:fill="FFFFFF" w:val="clear"/>
        </w:rPr>
        <w:t>项目成果的归属和分享要求如下：</w:t>
      </w:r>
    </w:p>
    <w:p>
      <w:pPr>
        <w:pStyle w:val="null3"/>
        <w:jc w:val="left"/>
      </w:pPr>
      <w:r>
        <w:rPr>
          <w:sz w:val="21"/>
          <w:color w:val="000000"/>
          <w:shd w:fill="FFFFFF" w:val="clear"/>
        </w:rPr>
        <w:t xml:space="preserve"> 1.甲方享有包括知识产权在内的项目成果全部权益。未经甲方书面同意，乙方不得擅自将项目成果转让给第三人，也不得擅自允许第三人使用。</w:t>
      </w:r>
    </w:p>
    <w:p>
      <w:pPr>
        <w:pStyle w:val="null3"/>
        <w:jc w:val="left"/>
      </w:pPr>
      <w:r>
        <w:rPr>
          <w:sz w:val="21"/>
          <w:color w:val="000000"/>
          <w:shd w:fill="FFFFFF" w:val="clear"/>
        </w:rPr>
        <w:t>2.乙方在实施项目过程中制作的软件、源程序代码、项目技术文档以及相关资料的所有权与知识产权归甲方所有。</w:t>
      </w:r>
    </w:p>
    <w:p>
      <w:pPr>
        <w:pStyle w:val="null3"/>
        <w:jc w:val="left"/>
      </w:pPr>
      <w:r>
        <w:rPr>
          <w:sz w:val="21"/>
          <w:color w:val="000000"/>
          <w:shd w:fill="FFFFFF" w:val="clear"/>
        </w:rPr>
        <w:t>3.乙方应当保证其在研发过程中及交付给甲方使用的研究开发成果不侵犯任何第三人的合法权益。如发生第三人指控甲方实施的侵权的，乙方应当承担全部责任。</w:t>
      </w:r>
    </w:p>
    <w:p>
      <w:pPr>
        <w:pStyle w:val="null3"/>
        <w:jc w:val="left"/>
      </w:pPr>
      <w:r>
        <w:rPr>
          <w:sz w:val="21"/>
          <w:color w:val="000000"/>
          <w:shd w:fill="FFFFFF" w:val="clear"/>
        </w:rPr>
        <w:t>4.乙方完成本合同项目的研究开发人员，享有在项目成果文件上署名的权利。</w:t>
      </w:r>
    </w:p>
    <w:p>
      <w:pPr>
        <w:pStyle w:val="null3"/>
        <w:jc w:val="left"/>
      </w:pPr>
      <w:r>
        <w:rPr>
          <w:sz w:val="21"/>
          <w:color w:val="000000"/>
          <w:shd w:fill="FFFFFF" w:val="clear"/>
        </w:rPr>
        <w:t>5.甲方有权利用本项目开发成果进行后续开发或改进，由此产生的项目成果的所有权和知识产权归甲方所有。</w:t>
      </w:r>
    </w:p>
    <w:p>
      <w:pPr>
        <w:pStyle w:val="null3"/>
        <w:jc w:val="left"/>
      </w:pPr>
      <w:r>
        <w:rPr>
          <w:sz w:val="21"/>
          <w:color w:val="000000"/>
          <w:shd w:fill="FFFFFF" w:val="clear"/>
        </w:rPr>
        <w:t>6.未经甲方书面同意，乙方不得利用本项目开发成果进行后续开发。经甲方同意后，乙方利用本项目开发成果进行后续开发，由此产生的项目成果的所有权和知识产权归甲方所有，相关利益分配由甲、乙双方协商确定。</w:t>
      </w:r>
    </w:p>
    <w:p>
      <w:pPr>
        <w:pStyle w:val="null3"/>
        <w:jc w:val="left"/>
      </w:pPr>
      <w:r>
        <w:rPr>
          <w:sz w:val="21"/>
          <w:b/>
          <w:color w:val="000000"/>
          <w:shd w:fill="FFFFFF" w:val="clear"/>
        </w:rPr>
        <w:t>第七章</w:t>
      </w:r>
      <w:r>
        <w:rPr>
          <w:sz w:val="21"/>
          <w:b/>
          <w:color w:val="000000"/>
          <w:shd w:fill="FFFFFF" w:val="clear"/>
        </w:rPr>
        <w:t xml:space="preserve"> </w:t>
      </w:r>
      <w:r>
        <w:rPr>
          <w:sz w:val="21"/>
          <w:b/>
          <w:color w:val="000000"/>
          <w:shd w:fill="FFFFFF" w:val="clear"/>
        </w:rPr>
        <w:t>违约责任</w:t>
      </w:r>
    </w:p>
    <w:p>
      <w:pPr>
        <w:pStyle w:val="null3"/>
        <w:jc w:val="left"/>
      </w:pPr>
      <w:r>
        <w:rPr>
          <w:sz w:val="21"/>
          <w:b/>
          <w:color w:val="000000"/>
          <w:shd w:fill="FFFFFF" w:val="clear"/>
        </w:rPr>
        <w:t>第十六条</w:t>
      </w:r>
      <w:r>
        <w:rPr>
          <w:sz w:val="21"/>
          <w:color w:val="000000"/>
          <w:shd w:fill="FFFFFF" w:val="clear"/>
        </w:rPr>
        <w:t xml:space="preserve">  </w:t>
      </w:r>
      <w:r>
        <w:rPr>
          <w:sz w:val="21"/>
          <w:color w:val="000000"/>
          <w:shd w:fill="FFFFFF" w:val="clear"/>
        </w:rPr>
        <w:t>双方确定：任何一方违反本合同约定，造成研究开发工作停滞、延误或失败的，按以下约定承担违约责任：</w:t>
      </w:r>
    </w:p>
    <w:p>
      <w:pPr>
        <w:pStyle w:val="null3"/>
        <w:jc w:val="left"/>
      </w:pPr>
      <w:r>
        <w:rPr>
          <w:sz w:val="21"/>
          <w:color w:val="000000"/>
          <w:shd w:fill="FFFFFF" w:val="clear"/>
        </w:rPr>
        <w:t xml:space="preserve"> 1.甲方违约责任:</w:t>
      </w:r>
    </w:p>
    <w:p>
      <w:pPr>
        <w:pStyle w:val="null3"/>
        <w:jc w:val="left"/>
      </w:pPr>
      <w:r>
        <w:rPr>
          <w:sz w:val="21"/>
          <w:color w:val="000000"/>
          <w:shd w:fill="FFFFFF" w:val="clear"/>
        </w:rPr>
        <w:t>（</w:t>
      </w:r>
      <w:r>
        <w:rPr>
          <w:sz w:val="21"/>
          <w:color w:val="000000"/>
          <w:shd w:fill="FFFFFF" w:val="clear"/>
        </w:rPr>
        <w:t>1）在项目实施过程中，甲方依据合同约定的义务，配合乙方共同按照项目实施计划开展工作，如因甲方原因导致项目延期的，则项目交付日期相应顺延；导致项目终止，甲方应按照乙方实际完成的工作量，支付合同价款。</w:t>
      </w:r>
    </w:p>
    <w:p>
      <w:pPr>
        <w:pStyle w:val="null3"/>
        <w:jc w:val="left"/>
      </w:pPr>
      <w:r>
        <w:rPr>
          <w:sz w:val="21"/>
          <w:color w:val="000000"/>
          <w:shd w:fill="FFFFFF" w:val="clear"/>
        </w:rPr>
        <w:t>（</w:t>
      </w:r>
      <w:r>
        <w:rPr>
          <w:sz w:val="21"/>
          <w:color w:val="000000"/>
          <w:shd w:fill="FFFFFF" w:val="clear"/>
        </w:rPr>
        <w:t>2）甲方逾期启动支付流程的，则给予七日的宽限期，每逾期1日，应按</w:t>
      </w:r>
      <w:r>
        <w:rPr>
          <w:sz w:val="21"/>
          <w:color w:val="000000"/>
          <w:shd w:fill="FFFFFF" w:val="clear"/>
        </w:rPr>
        <w:t>逾期未付款</w:t>
      </w:r>
      <w:r>
        <w:rPr>
          <w:sz w:val="21"/>
          <w:color w:val="000000"/>
          <w:shd w:fill="FFFFFF" w:val="clear"/>
        </w:rPr>
        <w:t>的</w:t>
      </w:r>
      <w:r>
        <w:rPr>
          <w:sz w:val="21"/>
          <w:color w:val="000000"/>
          <w:shd w:fill="FFFFFF" w:val="clear"/>
        </w:rPr>
        <w:t xml:space="preserve"> 0.3%向乙方支付违约金。逾期启动支付流程累计超过30个工作日，乙方有权解除合同，解除合同的书面通知送达甲方后生效。乙方也可要求甲方承担违约责任后继续履行合同。</w:t>
      </w:r>
    </w:p>
    <w:p>
      <w:pPr>
        <w:pStyle w:val="null3"/>
        <w:jc w:val="left"/>
      </w:pPr>
      <w:r>
        <w:rPr>
          <w:sz w:val="21"/>
          <w:color w:val="000000"/>
          <w:shd w:fill="FFFFFF" w:val="clear"/>
        </w:rPr>
        <w:t>（</w:t>
      </w:r>
      <w:r>
        <w:rPr>
          <w:sz w:val="21"/>
          <w:color w:val="000000"/>
          <w:shd w:fill="FFFFFF" w:val="clear"/>
        </w:rPr>
        <w:t>3）系统运行稳定后，乙方向甲方</w:t>
      </w:r>
      <w:r>
        <w:rPr>
          <w:sz w:val="21"/>
          <w:color w:val="000000"/>
          <w:shd w:fill="FFFFFF" w:val="clear"/>
        </w:rPr>
        <w:t>提出</w:t>
      </w:r>
      <w:r>
        <w:rPr>
          <w:sz w:val="21"/>
          <w:color w:val="000000"/>
          <w:shd w:fill="FFFFFF" w:val="clear"/>
        </w:rPr>
        <w:t>验收申请，甲方应按时启动验收流程，每逾期</w:t>
      </w:r>
      <w:r>
        <w:rPr>
          <w:sz w:val="21"/>
          <w:color w:val="000000"/>
          <w:shd w:fill="FFFFFF" w:val="clear"/>
        </w:rPr>
        <w:t>1日，应按</w:t>
      </w:r>
      <w:r>
        <w:rPr>
          <w:sz w:val="21"/>
          <w:color w:val="000000"/>
          <w:shd w:fill="FFFFFF" w:val="clear"/>
        </w:rPr>
        <w:t>应付未付款</w:t>
      </w:r>
      <w:r>
        <w:rPr>
          <w:sz w:val="21"/>
          <w:color w:val="000000"/>
          <w:shd w:fill="FFFFFF" w:val="clear"/>
        </w:rPr>
        <w:t>的</w:t>
      </w:r>
      <w:r>
        <w:rPr>
          <w:sz w:val="21"/>
          <w:color w:val="000000"/>
          <w:shd w:fill="FFFFFF" w:val="clear"/>
        </w:rPr>
        <w:t xml:space="preserve"> 0.3%向乙方支付违约金。逾期启动</w:t>
      </w:r>
      <w:r>
        <w:rPr>
          <w:sz w:val="21"/>
          <w:color w:val="000000"/>
          <w:shd w:fill="FFFFFF" w:val="clear"/>
        </w:rPr>
        <w:t>验收</w:t>
      </w:r>
      <w:r>
        <w:rPr>
          <w:sz w:val="21"/>
          <w:color w:val="000000"/>
          <w:shd w:fill="FFFFFF" w:val="clear"/>
        </w:rPr>
        <w:t>流程累计超过</w:t>
      </w:r>
      <w:r>
        <w:rPr>
          <w:sz w:val="21"/>
          <w:color w:val="000000"/>
          <w:shd w:fill="FFFFFF" w:val="clear"/>
        </w:rPr>
        <w:t>30个工作日，乙方有权解除合同，解除合同的书面通知送达甲方后生效。乙方也可要求甲方承担违约责任后继续履行合同</w:t>
      </w:r>
    </w:p>
    <w:p>
      <w:pPr>
        <w:pStyle w:val="null3"/>
        <w:jc w:val="left"/>
      </w:pPr>
      <w:r>
        <w:rPr>
          <w:sz w:val="21"/>
          <w:color w:val="000000"/>
          <w:shd w:fill="FFFFFF" w:val="clear"/>
        </w:rPr>
        <w:t>（</w:t>
      </w:r>
      <w:r>
        <w:rPr>
          <w:sz w:val="21"/>
          <w:color w:val="000000"/>
          <w:shd w:fill="FFFFFF" w:val="clear"/>
        </w:rPr>
        <w:t>4）若因甲方的原因造成合同终止，则前期支付给乙方的款项乙方将不退还给甲方</w:t>
      </w:r>
    </w:p>
    <w:p>
      <w:pPr>
        <w:pStyle w:val="null3"/>
        <w:jc w:val="left"/>
      </w:pPr>
      <w:r>
        <w:rPr>
          <w:sz w:val="21"/>
          <w:color w:val="000000"/>
          <w:shd w:fill="FFFFFF" w:val="clear"/>
        </w:rPr>
        <w:t>2.乙方违约责任:</w:t>
      </w:r>
    </w:p>
    <w:p>
      <w:pPr>
        <w:pStyle w:val="null3"/>
        <w:jc w:val="left"/>
      </w:pPr>
      <w:r>
        <w:rPr>
          <w:sz w:val="21"/>
          <w:color w:val="000000"/>
          <w:shd w:fill="FFFFFF" w:val="clear"/>
        </w:rPr>
        <w:t>（</w:t>
      </w:r>
      <w:r>
        <w:rPr>
          <w:sz w:val="21"/>
          <w:color w:val="000000"/>
          <w:shd w:fill="FFFFFF" w:val="clear"/>
        </w:rPr>
        <w:t>1）如果乙方未能按规定的时间按时上线运行，则乙方须向甲方支付系统推迟开通索赔款（由于甲方的原因和不可抗力因素除外）。系统推迟开通索赔的计算方法如下：如系统推迟开通，给予一周的宽限期，从超过宽限期之日起，每天</w:t>
      </w:r>
      <w:r>
        <w:rPr>
          <w:sz w:val="21"/>
          <w:color w:val="000000"/>
          <w:shd w:fill="FFFFFF" w:val="clear"/>
        </w:rPr>
        <w:t>违约金</w:t>
      </w:r>
      <w:r>
        <w:rPr>
          <w:sz w:val="21"/>
          <w:color w:val="000000"/>
          <w:shd w:fill="FFFFFF" w:val="clear"/>
        </w:rPr>
        <w:t>为合同总额的</w:t>
      </w:r>
      <w:r>
        <w:rPr>
          <w:sz w:val="21"/>
          <w:color w:val="000000"/>
          <w:shd w:fill="FFFFFF" w:val="clear"/>
        </w:rPr>
        <w:t>0.1%</w:t>
      </w:r>
      <w:r>
        <w:rPr>
          <w:sz w:val="21"/>
          <w:color w:val="000000"/>
          <w:shd w:fill="FFFFFF" w:val="clear"/>
        </w:rPr>
        <w:t>。逾期交付时间累计超过</w:t>
      </w:r>
      <w:r>
        <w:rPr>
          <w:sz w:val="21"/>
          <w:color w:val="000000"/>
          <w:shd w:fill="FFFFFF" w:val="clear"/>
        </w:rPr>
        <w:t>20个工作日，甲方有权直接解除合同，解除合同的通知送达乙方后生效。</w:t>
      </w:r>
    </w:p>
    <w:p>
      <w:pPr>
        <w:pStyle w:val="null3"/>
        <w:jc w:val="left"/>
      </w:pPr>
      <w:r>
        <w:rPr>
          <w:sz w:val="21"/>
          <w:color w:val="000000"/>
          <w:shd w:fill="FFFFFF" w:val="clear"/>
        </w:rPr>
        <w:t>（</w:t>
      </w:r>
      <w:r>
        <w:rPr>
          <w:sz w:val="21"/>
          <w:color w:val="000000"/>
          <w:shd w:fill="FFFFFF" w:val="clear"/>
        </w:rPr>
        <w:t>2）</w:t>
      </w:r>
      <w:r>
        <w:rPr>
          <w:sz w:val="21"/>
          <w:color w:val="000000"/>
          <w:shd w:fill="FFFFFF" w:val="clear"/>
        </w:rPr>
        <w:t>如乙方开发的系统功能不能通过甲方组织的系统验收，则给予二周时间由乙方进行整改；二周后仍无法通过验收，则乙方应退还甲方所有已支付款，并对乙方处以合同总额之</w:t>
      </w:r>
      <w:r>
        <w:rPr>
          <w:sz w:val="21"/>
          <w:color w:val="000000"/>
          <w:shd w:fill="FFFFFF" w:val="clear"/>
        </w:rPr>
        <w:t>20%的违约金。</w:t>
      </w:r>
    </w:p>
    <w:p>
      <w:pPr>
        <w:pStyle w:val="null3"/>
        <w:jc w:val="left"/>
      </w:pPr>
      <w:r>
        <w:rPr>
          <w:sz w:val="21"/>
          <w:color w:val="000000"/>
          <w:shd w:fill="FFFFFF" w:val="clear"/>
        </w:rPr>
        <w:t>（</w:t>
      </w:r>
      <w:r>
        <w:rPr>
          <w:sz w:val="21"/>
          <w:color w:val="000000"/>
          <w:shd w:fill="FFFFFF" w:val="clear"/>
        </w:rPr>
        <w:t>3）若因乙方原因，该系统在运行期间，若因应用系统原因而致客户资料或设备毁损，甲方有权向乙方追索因此而导致的一切损失。</w:t>
      </w:r>
    </w:p>
    <w:p>
      <w:pPr>
        <w:pStyle w:val="null3"/>
        <w:jc w:val="left"/>
      </w:pPr>
      <w:r>
        <w:rPr>
          <w:sz w:val="21"/>
          <w:color w:val="000000"/>
          <w:shd w:fill="FFFFFF" w:val="clear"/>
        </w:rPr>
        <w:t>（</w:t>
      </w:r>
      <w:r>
        <w:rPr>
          <w:sz w:val="21"/>
          <w:color w:val="000000"/>
          <w:shd w:fill="FFFFFF" w:val="clear"/>
        </w:rPr>
        <w:t>4）软件系统正式投入使用以后，如果经常出现系统崩溃、进程死锁、客户端响应慢、数据丢失等严重影响用户正常使用的缺陷或故障，甲方书面向乙方提出后两个月内得不到解决的，甲方有权聘请具有相关资质的第三方软件评测公司对系统进行测试，如经测试确定该缺陷或故障属于乙方责任范围的，聘请第三方软件评测公司所产生的一切费用由乙方承担。</w:t>
      </w:r>
      <w:r>
        <w:rPr>
          <w:sz w:val="21"/>
          <w:color w:val="000000"/>
          <w:shd w:fill="FFFFFF" w:val="clear"/>
        </w:rPr>
        <w:t>出现该种情形时，乙方须承担相应的违约责任。</w:t>
      </w:r>
    </w:p>
    <w:p>
      <w:pPr>
        <w:pStyle w:val="null3"/>
        <w:jc w:val="left"/>
      </w:pPr>
      <w:r>
        <w:rPr>
          <w:sz w:val="21"/>
          <w:color w:val="000000"/>
          <w:shd w:fill="FFFFFF" w:val="clear"/>
        </w:rPr>
        <w:t>（</w:t>
      </w:r>
      <w:r>
        <w:rPr>
          <w:sz w:val="21"/>
          <w:color w:val="000000"/>
          <w:shd w:fill="FFFFFF" w:val="clear"/>
        </w:rPr>
        <w:t>5）若因乙方的原因造成合同终止，则乙方需将前期甲方支付给乙方的款项退还给方。</w:t>
      </w:r>
    </w:p>
    <w:p>
      <w:pPr>
        <w:pStyle w:val="null3"/>
        <w:jc w:val="left"/>
      </w:pPr>
      <w:r>
        <w:rPr>
          <w:sz w:val="21"/>
          <w:b/>
          <w:color w:val="000000"/>
          <w:shd w:fill="FFFFFF" w:val="clear"/>
        </w:rPr>
        <w:t>第八章</w:t>
      </w:r>
      <w:r>
        <w:rPr>
          <w:sz w:val="21"/>
          <w:b/>
          <w:color w:val="000000"/>
          <w:shd w:fill="FFFFFF" w:val="clear"/>
        </w:rPr>
        <w:t xml:space="preserve"> </w:t>
      </w:r>
      <w:r>
        <w:rPr>
          <w:sz w:val="21"/>
          <w:b/>
          <w:color w:val="000000"/>
          <w:shd w:fill="FFFFFF" w:val="clear"/>
        </w:rPr>
        <w:t>争议解决</w:t>
      </w:r>
    </w:p>
    <w:p>
      <w:pPr>
        <w:pStyle w:val="null3"/>
        <w:jc w:val="left"/>
      </w:pPr>
      <w:r>
        <w:rPr>
          <w:sz w:val="21"/>
          <w:b/>
          <w:color w:val="000000"/>
          <w:shd w:fill="FFFFFF" w:val="clear"/>
        </w:rPr>
        <w:t>第十七条</w:t>
      </w:r>
      <w:r>
        <w:rPr>
          <w:sz w:val="21"/>
          <w:color w:val="000000"/>
          <w:shd w:fill="FFFFFF" w:val="clear"/>
        </w:rPr>
        <w:t xml:space="preserve"> </w:t>
      </w:r>
      <w:r>
        <w:rPr>
          <w:sz w:val="21"/>
          <w:color w:val="000000"/>
          <w:shd w:fill="FFFFFF" w:val="clear"/>
        </w:rPr>
        <w:t>凡与本合同有关的一切争议，甲乙双方应首先通过友好协商方式解决，如经协商后仍不能达成协议时，任何一方可以向甲方所在地人民法院提出诉讼。</w:t>
      </w:r>
    </w:p>
    <w:p>
      <w:pPr>
        <w:pStyle w:val="null3"/>
        <w:jc w:val="left"/>
      </w:pPr>
      <w:r>
        <w:rPr>
          <w:sz w:val="21"/>
          <w:b/>
          <w:color w:val="000000"/>
          <w:shd w:fill="FFFFFF" w:val="clear"/>
        </w:rPr>
        <w:t>第十八条</w:t>
      </w:r>
      <w:r>
        <w:rPr>
          <w:sz w:val="21"/>
          <w:color w:val="000000"/>
          <w:shd w:fill="FFFFFF" w:val="clear"/>
        </w:rPr>
        <w:t xml:space="preserve"> </w:t>
      </w:r>
      <w:r>
        <w:rPr>
          <w:sz w:val="21"/>
          <w:color w:val="000000"/>
          <w:shd w:fill="FFFFFF" w:val="clear"/>
        </w:rPr>
        <w:t>在法院审理期间，除提交法院审理的事项外，合同其他部分仍继续履行。</w:t>
      </w:r>
    </w:p>
    <w:p>
      <w:pPr>
        <w:pStyle w:val="null3"/>
        <w:jc w:val="left"/>
      </w:pPr>
      <w:r>
        <w:rPr>
          <w:sz w:val="21"/>
          <w:b/>
          <w:color w:val="000000"/>
          <w:shd w:fill="FFFFFF" w:val="clear"/>
        </w:rPr>
        <w:t>第九章</w:t>
      </w:r>
      <w:r>
        <w:rPr>
          <w:sz w:val="21"/>
          <w:b/>
          <w:color w:val="000000"/>
          <w:shd w:fill="FFFFFF" w:val="clear"/>
        </w:rPr>
        <w:t xml:space="preserve"> </w:t>
      </w:r>
      <w:r>
        <w:rPr>
          <w:sz w:val="21"/>
          <w:b/>
          <w:color w:val="000000"/>
          <w:shd w:fill="FFFFFF" w:val="clear"/>
        </w:rPr>
        <w:t>专有条款</w:t>
      </w:r>
    </w:p>
    <w:p>
      <w:pPr>
        <w:pStyle w:val="null3"/>
        <w:jc w:val="left"/>
      </w:pPr>
      <w:r>
        <w:rPr>
          <w:sz w:val="21"/>
          <w:b/>
          <w:color w:val="000000"/>
          <w:shd w:fill="FFFFFF" w:val="clear"/>
        </w:rPr>
        <w:t>第十九条</w:t>
      </w:r>
      <w:r>
        <w:rPr>
          <w:sz w:val="21"/>
          <w:b/>
          <w:color w:val="000000"/>
          <w:shd w:fill="FFFFFF" w:val="clear"/>
        </w:rPr>
        <w:t xml:space="preserve">  </w:t>
      </w:r>
      <w:r>
        <w:rPr>
          <w:sz w:val="21"/>
          <w:b/>
          <w:color w:val="000000"/>
          <w:shd w:fill="FFFFFF" w:val="clear"/>
        </w:rPr>
        <w:t>项目管理要求：</w:t>
      </w:r>
    </w:p>
    <w:p>
      <w:pPr>
        <w:pStyle w:val="null3"/>
        <w:jc w:val="left"/>
      </w:pPr>
      <w:r>
        <w:rPr>
          <w:sz w:val="21"/>
          <w:color w:val="000000"/>
          <w:shd w:fill="FFFFFF" w:val="clear"/>
        </w:rPr>
        <w:t>1.《广东省公安厅科技信息化建设项目管理办法》（以下简称“厅信息化管理办法”）规定：投资预算50万元以上（含50万元）的信息化建设项目，以及投资预算在50万元以下但涉及全厅多警种及各级公安机关推广应用的升级改造项目，按照《广东省公安厅机关科技信息化建设项目管理办法》进行管理；不属于上述范围项目，可以参照管理，也可以自行管理。</w:t>
      </w:r>
    </w:p>
    <w:p>
      <w:pPr>
        <w:pStyle w:val="null3"/>
        <w:jc w:val="left"/>
      </w:pPr>
      <w:r>
        <w:rPr>
          <w:sz w:val="21"/>
          <w:color w:val="000000"/>
          <w:shd w:fill="FFFFFF" w:val="clear"/>
        </w:rPr>
        <w:t>2.本项目按照以下第 1 种方式进行管理。</w:t>
      </w:r>
    </w:p>
    <w:p>
      <w:pPr>
        <w:pStyle w:val="null3"/>
        <w:jc w:val="left"/>
      </w:pPr>
      <w:r>
        <w:rPr>
          <w:sz w:val="21"/>
          <w:color w:val="000000"/>
          <w:shd w:fill="FFFFFF" w:val="clear"/>
        </w:rPr>
        <w:t>(1) 按照“厅信息化管理办法”进行管理。</w:t>
      </w:r>
    </w:p>
    <w:p>
      <w:pPr>
        <w:pStyle w:val="null3"/>
        <w:jc w:val="left"/>
      </w:pPr>
      <w:r>
        <w:rPr>
          <w:sz w:val="21"/>
          <w:color w:val="000000"/>
          <w:shd w:fill="FFFFFF" w:val="clear"/>
        </w:rPr>
        <w:t>(2) 参照“厅信息化管理办法”进行管理。</w:t>
      </w:r>
    </w:p>
    <w:p>
      <w:pPr>
        <w:pStyle w:val="null3"/>
        <w:jc w:val="left"/>
      </w:pPr>
      <w:r>
        <w:rPr>
          <w:sz w:val="21"/>
          <w:color w:val="000000"/>
          <w:shd w:fill="FFFFFF" w:val="clear"/>
        </w:rPr>
        <w:t>(3) 自行管理。</w:t>
      </w:r>
    </w:p>
    <w:p>
      <w:pPr>
        <w:pStyle w:val="null3"/>
        <w:jc w:val="left"/>
      </w:pPr>
      <w:r>
        <w:rPr>
          <w:sz w:val="21"/>
          <w:b/>
          <w:color w:val="000000"/>
          <w:shd w:fill="FFFFFF" w:val="clear"/>
        </w:rPr>
        <w:t>第二十条</w:t>
      </w:r>
      <w:r>
        <w:rPr>
          <w:sz w:val="21"/>
          <w:b/>
          <w:color w:val="000000"/>
          <w:shd w:fill="FFFFFF" w:val="clear"/>
        </w:rPr>
        <w:t xml:space="preserve"> </w:t>
      </w:r>
      <w:r>
        <w:rPr>
          <w:sz w:val="21"/>
          <w:b/>
          <w:color w:val="000000"/>
          <w:shd w:fill="FFFFFF" w:val="clear"/>
        </w:rPr>
        <w:t>项目验收要求：</w:t>
      </w:r>
    </w:p>
    <w:p>
      <w:pPr>
        <w:pStyle w:val="null3"/>
        <w:jc w:val="left"/>
      </w:pPr>
      <w:r>
        <w:rPr>
          <w:sz w:val="21"/>
          <w:color w:val="000000"/>
          <w:shd w:fill="FFFFFF" w:val="clear"/>
        </w:rPr>
        <w:t>项目验收分为项目初步验收和项目竣工验收。</w:t>
      </w:r>
    </w:p>
    <w:p>
      <w:pPr>
        <w:pStyle w:val="null3"/>
        <w:jc w:val="left"/>
      </w:pPr>
      <w:r>
        <w:rPr>
          <w:sz w:val="21"/>
          <w:color w:val="000000"/>
          <w:shd w:fill="FFFFFF" w:val="clear"/>
        </w:rPr>
        <w:t>1.项目初步验收</w:t>
      </w:r>
    </w:p>
    <w:p>
      <w:pPr>
        <w:pStyle w:val="null3"/>
        <w:jc w:val="left"/>
      </w:pPr>
      <w:r>
        <w:rPr>
          <w:sz w:val="21"/>
          <w:color w:val="000000"/>
          <w:shd w:fill="FFFFFF" w:val="clear"/>
        </w:rPr>
        <w:t>项目开发系统的编码、测试等工作基本完成，合同约定的软件模块功能基本齐备，达到系统设计的性能要求，具备系统上线试运行条件，可以申请进行项目初步验收。项目初步验收主要检验系统的功能、性能等，验收依据是本合同及其附件的内容和要求。</w:t>
      </w:r>
    </w:p>
    <w:p>
      <w:pPr>
        <w:pStyle w:val="null3"/>
        <w:jc w:val="left"/>
      </w:pPr>
      <w:r>
        <w:rPr>
          <w:sz w:val="21"/>
          <w:color w:val="000000"/>
          <w:shd w:fill="FFFFFF" w:val="clear"/>
        </w:rPr>
        <w:t>2.项目试运行</w:t>
      </w:r>
    </w:p>
    <w:p>
      <w:pPr>
        <w:pStyle w:val="null3"/>
        <w:jc w:val="left"/>
      </w:pPr>
      <w:r>
        <w:rPr>
          <w:sz w:val="21"/>
          <w:color w:val="000000"/>
          <w:shd w:fill="FFFFFF" w:val="clear"/>
        </w:rPr>
        <w:t>项目通过初步验收，即进入为期</w:t>
      </w:r>
      <w:r>
        <w:rPr>
          <w:sz w:val="21"/>
          <w:color w:val="000000"/>
          <w:shd w:fill="FFFFFF" w:val="clear"/>
        </w:rPr>
        <w:t>6个月的系统试运行期。系统试运行期间，如由于系统自身原因，发生严重影响系统使用的重大故障，则试运行期自故障修复之日起，重新计算；如由于系统自身原因，发生局部（或轻微）影响系统使用的一般故障，则从系统发生故障之日起暂停计算系统试运行时间，故障修复之日起，继续计算系统试运行时间。</w:t>
      </w:r>
    </w:p>
    <w:p>
      <w:pPr>
        <w:pStyle w:val="null3"/>
        <w:jc w:val="left"/>
      </w:pPr>
      <w:r>
        <w:rPr>
          <w:sz w:val="21"/>
          <w:color w:val="000000"/>
          <w:shd w:fill="FFFFFF" w:val="clear"/>
        </w:rPr>
        <w:t>3.项目竣工验收（注：又称最终验收）</w:t>
      </w:r>
    </w:p>
    <w:p>
      <w:pPr>
        <w:pStyle w:val="null3"/>
        <w:jc w:val="left"/>
      </w:pPr>
      <w:r>
        <w:rPr>
          <w:sz w:val="21"/>
          <w:color w:val="000000"/>
          <w:shd w:fill="FFFFFF" w:val="clear"/>
        </w:rPr>
        <w:t>项目试运行期结束，乙方可以申请进行项目竣工验收。项目竣工验收主要是检查项目合同的执行情况，考察对项目所开发系统的稳定性、安全性、可靠性，审查项目的技术、财务等文档的齐备性。</w:t>
      </w:r>
    </w:p>
    <w:p>
      <w:pPr>
        <w:pStyle w:val="null3"/>
        <w:jc w:val="left"/>
      </w:pPr>
      <w:r>
        <w:rPr>
          <w:sz w:val="21"/>
          <w:color w:val="000000"/>
          <w:shd w:fill="FFFFFF" w:val="clear"/>
        </w:rPr>
        <w:t>4.项目验收按照甲方的科技信息化建设项目验收管理规定和要求执行。</w:t>
      </w:r>
    </w:p>
    <w:p>
      <w:pPr>
        <w:pStyle w:val="null3"/>
        <w:jc w:val="left"/>
      </w:pPr>
      <w:r>
        <w:rPr>
          <w:sz w:val="21"/>
          <w:b/>
          <w:color w:val="000000"/>
          <w:shd w:fill="FFFFFF" w:val="clear"/>
        </w:rPr>
        <w:t>第二十一条</w:t>
      </w:r>
      <w:r>
        <w:rPr>
          <w:sz w:val="21"/>
          <w:b/>
          <w:color w:val="000000"/>
          <w:shd w:fill="FFFFFF" w:val="clear"/>
        </w:rPr>
        <w:t xml:space="preserve">  </w:t>
      </w:r>
      <w:r>
        <w:rPr>
          <w:sz w:val="21"/>
          <w:b/>
          <w:color w:val="000000"/>
          <w:shd w:fill="FFFFFF" w:val="clear"/>
        </w:rPr>
        <w:t>双方约定本合同其他相关事项为：</w:t>
      </w:r>
      <w:r>
        <w:rPr>
          <w:sz w:val="24"/>
          <w:shd w:fill="FFFFFF" w:val="clear"/>
        </w:rPr>
        <w:t xml:space="preserve">                           </w:t>
      </w:r>
    </w:p>
    <w:p>
      <w:pPr>
        <w:pStyle w:val="null3"/>
        <w:jc w:val="left"/>
      </w:pPr>
      <w:r>
        <w:rPr>
          <w:sz w:val="21"/>
          <w:b/>
          <w:color w:val="000000"/>
          <w:shd w:fill="FFFFFF" w:val="clear"/>
        </w:rPr>
        <w:t>第十章</w:t>
      </w:r>
      <w:r>
        <w:rPr>
          <w:sz w:val="21"/>
          <w:b/>
          <w:color w:val="000000"/>
          <w:shd w:fill="FFFFFF" w:val="clear"/>
        </w:rPr>
        <w:t xml:space="preserve"> </w:t>
      </w:r>
      <w:r>
        <w:rPr>
          <w:sz w:val="21"/>
          <w:b/>
          <w:color w:val="000000"/>
          <w:shd w:fill="FFFFFF" w:val="clear"/>
        </w:rPr>
        <w:t>不可抗力事件</w:t>
      </w:r>
    </w:p>
    <w:p>
      <w:pPr>
        <w:pStyle w:val="null3"/>
        <w:jc w:val="left"/>
      </w:pPr>
      <w:r>
        <w:rPr>
          <w:sz w:val="21"/>
          <w:b/>
          <w:color w:val="000000"/>
          <w:shd w:fill="FFFFFF" w:val="clear"/>
        </w:rPr>
        <w:t>第二十二条</w:t>
      </w:r>
      <w:r>
        <w:rPr>
          <w:sz w:val="21"/>
          <w:color w:val="000000"/>
          <w:shd w:fill="FFFFFF" w:val="clear"/>
        </w:rPr>
        <w:t xml:space="preserve">  </w:t>
      </w:r>
      <w:r>
        <w:rPr>
          <w:sz w:val="21"/>
          <w:color w:val="000000"/>
          <w:shd w:fill="FFFFFF" w:val="clear"/>
        </w:rPr>
        <w:t>因不可抗力事件不能履行合同的，根据不可抗力的影响部分或者全部免除责任。</w:t>
      </w:r>
    </w:p>
    <w:p>
      <w:pPr>
        <w:pStyle w:val="null3"/>
        <w:jc w:val="left"/>
      </w:pPr>
      <w:r>
        <w:rPr>
          <w:sz w:val="21"/>
          <w:b/>
          <w:color w:val="000000"/>
          <w:shd w:fill="FFFFFF" w:val="clear"/>
        </w:rPr>
        <w:t>第二十三条</w:t>
      </w:r>
      <w:r>
        <w:rPr>
          <w:sz w:val="24"/>
          <w:b/>
          <w:shd w:fill="FFFFFF" w:val="clear"/>
        </w:rPr>
        <w:t xml:space="preserve"> </w:t>
      </w:r>
      <w:r>
        <w:rPr>
          <w:sz w:val="21"/>
          <w:color w:val="000000"/>
          <w:shd w:fill="FFFFFF" w:val="clear"/>
        </w:rPr>
        <w:t>项目受不可抗力事件影响而不能按照项目合同书执行时，合同履行的期限（包括项目进度计划、项目款支付时限等）应予以延长，延长的时间应相当于不可抗力事件的影响时间。</w:t>
      </w:r>
    </w:p>
    <w:p>
      <w:pPr>
        <w:pStyle w:val="null3"/>
        <w:jc w:val="left"/>
      </w:pPr>
      <w:r>
        <w:rPr>
          <w:sz w:val="21"/>
          <w:b/>
          <w:color w:val="000000"/>
          <w:shd w:fill="FFFFFF" w:val="clear"/>
        </w:rPr>
        <w:t>第二十四条</w:t>
      </w:r>
      <w:r>
        <w:rPr>
          <w:sz w:val="24"/>
          <w:b/>
          <w:shd w:fill="FFFFFF" w:val="clear"/>
        </w:rPr>
        <w:t xml:space="preserve"> </w:t>
      </w:r>
      <w:r>
        <w:rPr>
          <w:sz w:val="21"/>
          <w:color w:val="000000"/>
          <w:shd w:fill="FFFFFF" w:val="clear"/>
        </w:rPr>
        <w:t xml:space="preserve"> </w:t>
      </w:r>
      <w:r>
        <w:rPr>
          <w:sz w:val="21"/>
          <w:color w:val="000000"/>
          <w:shd w:fill="FFFFFF" w:val="clear"/>
        </w:rPr>
        <w:t>受阻一方应在不可抗力事件发生后尽快通知对方，于事件发生后</w:t>
      </w:r>
      <w:r>
        <w:rPr>
          <w:sz w:val="21"/>
          <w:color w:val="000000"/>
          <w:shd w:fill="FFFFFF" w:val="clear"/>
        </w:rPr>
        <w:t>XX天内将有关部门出具的证明文件交对方审阅确认。一旦不可抗力事件的影响持续XX天以上，双方应通过友好协商方式在合理的时间内达成进一步履行合同的协议或解除合同。</w:t>
      </w:r>
    </w:p>
    <w:p>
      <w:pPr>
        <w:pStyle w:val="null3"/>
        <w:jc w:val="left"/>
      </w:pPr>
      <w:r>
        <w:rPr>
          <w:sz w:val="21"/>
          <w:b/>
          <w:color w:val="000000"/>
          <w:shd w:fill="FFFFFF" w:val="clear"/>
        </w:rPr>
        <w:t>第十一章</w:t>
      </w:r>
      <w:r>
        <w:rPr>
          <w:sz w:val="21"/>
          <w:b/>
          <w:color w:val="000000"/>
          <w:shd w:fill="FFFFFF" w:val="clear"/>
        </w:rPr>
        <w:t xml:space="preserve"> </w:t>
      </w:r>
      <w:r>
        <w:rPr>
          <w:sz w:val="21"/>
          <w:b/>
          <w:color w:val="000000"/>
          <w:shd w:fill="FFFFFF" w:val="clear"/>
        </w:rPr>
        <w:t>税</w:t>
      </w:r>
      <w:r>
        <w:rPr>
          <w:sz w:val="21"/>
          <w:b/>
          <w:color w:val="000000"/>
          <w:shd w:fill="FFFFFF" w:val="clear"/>
        </w:rPr>
        <w:t>费</w:t>
      </w:r>
    </w:p>
    <w:p>
      <w:pPr>
        <w:pStyle w:val="null3"/>
        <w:jc w:val="left"/>
      </w:pPr>
      <w:r>
        <w:rPr>
          <w:sz w:val="21"/>
          <w:b/>
          <w:color w:val="000000"/>
          <w:shd w:fill="FFFFFF" w:val="clear"/>
        </w:rPr>
        <w:t>第二十五条</w:t>
      </w:r>
      <w:r>
        <w:rPr>
          <w:sz w:val="21"/>
          <w:color w:val="000000"/>
          <w:shd w:fill="FFFFFF" w:val="clear"/>
        </w:rPr>
        <w:t xml:space="preserve">  </w:t>
      </w:r>
      <w:r>
        <w:rPr>
          <w:sz w:val="21"/>
          <w:color w:val="000000"/>
          <w:shd w:fill="FFFFFF" w:val="clear"/>
        </w:rPr>
        <w:t>甲方支付给乙方的合同款已包含与本合同有关的一切税费。</w:t>
      </w:r>
    </w:p>
    <w:p>
      <w:pPr>
        <w:pStyle w:val="null3"/>
        <w:jc w:val="left"/>
      </w:pPr>
      <w:r>
        <w:rPr>
          <w:sz w:val="21"/>
          <w:b/>
          <w:color w:val="000000"/>
          <w:shd w:fill="FFFFFF" w:val="clear"/>
        </w:rPr>
        <w:t>第二十六条</w:t>
      </w:r>
      <w:r>
        <w:rPr>
          <w:sz w:val="24"/>
          <w:b/>
          <w:shd w:fill="FFFFFF" w:val="clear"/>
        </w:rPr>
        <w:t xml:space="preserve"> </w:t>
      </w:r>
      <w:r>
        <w:rPr>
          <w:sz w:val="21"/>
          <w:color w:val="000000"/>
          <w:shd w:fill="FFFFFF" w:val="clear"/>
        </w:rPr>
        <w:t xml:space="preserve"> </w:t>
      </w:r>
      <w:r>
        <w:rPr>
          <w:sz w:val="21"/>
          <w:color w:val="000000"/>
          <w:shd w:fill="FFFFFF" w:val="clear"/>
        </w:rPr>
        <w:t>对乙方及其雇员征收的与本合同履行有关的一切税、费均应由乙方承担。</w:t>
      </w:r>
    </w:p>
    <w:p>
      <w:pPr>
        <w:pStyle w:val="null3"/>
        <w:jc w:val="left"/>
      </w:pPr>
      <w:r>
        <w:rPr>
          <w:sz w:val="21"/>
          <w:b/>
          <w:color w:val="000000"/>
          <w:shd w:fill="FFFFFF" w:val="clear"/>
        </w:rPr>
        <w:t>第十二章</w:t>
      </w:r>
      <w:r>
        <w:rPr>
          <w:sz w:val="21"/>
          <w:b/>
          <w:color w:val="000000"/>
          <w:shd w:fill="FFFFFF" w:val="clear"/>
        </w:rPr>
        <w:t xml:space="preserve"> </w:t>
      </w:r>
      <w:r>
        <w:rPr>
          <w:sz w:val="21"/>
          <w:b/>
          <w:color w:val="000000"/>
          <w:shd w:fill="FFFFFF" w:val="clear"/>
        </w:rPr>
        <w:t>其</w:t>
      </w:r>
      <w:r>
        <w:rPr>
          <w:sz w:val="21"/>
          <w:b/>
          <w:color w:val="000000"/>
          <w:shd w:fill="FFFFFF" w:val="clear"/>
        </w:rPr>
        <w:t>他</w:t>
      </w:r>
    </w:p>
    <w:p>
      <w:pPr>
        <w:pStyle w:val="null3"/>
        <w:jc w:val="left"/>
      </w:pPr>
      <w:r>
        <w:rPr>
          <w:sz w:val="21"/>
          <w:b/>
          <w:color w:val="000000"/>
          <w:shd w:fill="FFFFFF" w:val="clear"/>
        </w:rPr>
        <w:t>第二十七条</w:t>
      </w:r>
      <w:r>
        <w:rPr>
          <w:sz w:val="21"/>
          <w:color w:val="000000"/>
          <w:shd w:fill="FFFFFF" w:val="clear"/>
        </w:rPr>
        <w:t xml:space="preserve">  </w:t>
      </w:r>
      <w:r>
        <w:rPr>
          <w:sz w:val="21"/>
          <w:color w:val="000000"/>
          <w:shd w:fill="FFFFFF" w:val="clear"/>
        </w:rPr>
        <w:t>下列文件均为本合同的组成部分：</w:t>
      </w:r>
    </w:p>
    <w:p>
      <w:pPr>
        <w:pStyle w:val="null3"/>
        <w:jc w:val="left"/>
      </w:pPr>
      <w:r>
        <w:rPr>
          <w:sz w:val="21"/>
          <w:color w:val="000000"/>
          <w:shd w:fill="FFFFFF" w:val="clear"/>
        </w:rPr>
        <w:t>1.合同协议书；</w:t>
      </w:r>
    </w:p>
    <w:p>
      <w:pPr>
        <w:pStyle w:val="null3"/>
        <w:jc w:val="left"/>
      </w:pPr>
      <w:r>
        <w:rPr>
          <w:sz w:val="21"/>
          <w:color w:val="000000"/>
          <w:shd w:fill="FFFFFF" w:val="clear"/>
        </w:rPr>
        <w:t>2.合同附件：</w:t>
      </w:r>
    </w:p>
    <w:p>
      <w:pPr>
        <w:pStyle w:val="null3"/>
        <w:jc w:val="left"/>
      </w:pPr>
      <w:r>
        <w:rPr>
          <w:sz w:val="21"/>
          <w:color w:val="000000"/>
          <w:shd w:fill="FFFFFF" w:val="clear"/>
        </w:rPr>
        <w:t>(1) 附件一：系统开发内容要求</w:t>
      </w:r>
    </w:p>
    <w:p>
      <w:pPr>
        <w:pStyle w:val="null3"/>
        <w:jc w:val="left"/>
      </w:pPr>
      <w:r>
        <w:rPr>
          <w:sz w:val="21"/>
          <w:color w:val="000000"/>
          <w:shd w:fill="FFFFFF" w:val="clear"/>
        </w:rPr>
        <w:t>（</w:t>
      </w:r>
      <w:r>
        <w:rPr>
          <w:sz w:val="21"/>
          <w:color w:val="000000"/>
          <w:shd w:fill="FFFFFF" w:val="clear"/>
        </w:rPr>
        <w:t>2）附件二：项目总体计划</w:t>
      </w:r>
    </w:p>
    <w:p>
      <w:pPr>
        <w:pStyle w:val="null3"/>
        <w:jc w:val="left"/>
      </w:pPr>
      <w:r>
        <w:rPr>
          <w:sz w:val="21"/>
          <w:color w:val="000000"/>
          <w:shd w:fill="FFFFFF" w:val="clear"/>
        </w:rPr>
        <w:t>（</w:t>
      </w:r>
      <w:r>
        <w:rPr>
          <w:sz w:val="21"/>
          <w:color w:val="000000"/>
          <w:shd w:fill="FFFFFF" w:val="clear"/>
        </w:rPr>
        <w:t>3）附件三：项目技术文档</w:t>
      </w:r>
    </w:p>
    <w:p>
      <w:pPr>
        <w:pStyle w:val="null3"/>
        <w:jc w:val="left"/>
      </w:pPr>
      <w:r>
        <w:rPr>
          <w:sz w:val="21"/>
          <w:color w:val="000000"/>
          <w:shd w:fill="FFFFFF" w:val="clear"/>
        </w:rPr>
        <w:t>（</w:t>
      </w:r>
      <w:r>
        <w:rPr>
          <w:sz w:val="21"/>
          <w:color w:val="000000"/>
          <w:shd w:fill="FFFFFF" w:val="clear"/>
        </w:rPr>
        <w:t>4）附件四：保密协议</w:t>
      </w:r>
    </w:p>
    <w:p>
      <w:pPr>
        <w:pStyle w:val="null3"/>
        <w:jc w:val="left"/>
      </w:pPr>
      <w:r>
        <w:rPr>
          <w:sz w:val="21"/>
          <w:color w:val="000000"/>
          <w:shd w:fill="FFFFFF" w:val="clear"/>
        </w:rPr>
        <w:t>3.双方认可的补充协议书或文件；</w:t>
      </w:r>
    </w:p>
    <w:p>
      <w:pPr>
        <w:pStyle w:val="null3"/>
        <w:jc w:val="left"/>
      </w:pPr>
      <w:r>
        <w:rPr>
          <w:sz w:val="21"/>
          <w:color w:val="000000"/>
          <w:shd w:fill="FFFFFF" w:val="clear"/>
        </w:rPr>
        <w:t>4.采购文件及附件；</w:t>
      </w:r>
    </w:p>
    <w:p>
      <w:pPr>
        <w:pStyle w:val="null3"/>
        <w:jc w:val="left"/>
      </w:pPr>
      <w:r>
        <w:rPr>
          <w:sz w:val="21"/>
          <w:color w:val="000000"/>
          <w:shd w:fill="FFFFFF" w:val="clear"/>
        </w:rPr>
        <w:t>5.中标通知书；</w:t>
      </w:r>
    </w:p>
    <w:p>
      <w:pPr>
        <w:pStyle w:val="null3"/>
        <w:jc w:val="left"/>
      </w:pPr>
      <w:r>
        <w:rPr>
          <w:sz w:val="21"/>
          <w:color w:val="000000"/>
          <w:shd w:fill="FFFFFF" w:val="clear"/>
        </w:rPr>
        <w:t>6.投标书及附件；</w:t>
      </w:r>
    </w:p>
    <w:p>
      <w:pPr>
        <w:pStyle w:val="null3"/>
        <w:jc w:val="left"/>
      </w:pPr>
      <w:r>
        <w:rPr>
          <w:sz w:val="21"/>
          <w:color w:val="000000"/>
          <w:shd w:fill="FFFFFF" w:val="clear"/>
        </w:rPr>
        <w:t>7.标准、规范及有关技术文件。</w:t>
      </w:r>
    </w:p>
    <w:p>
      <w:pPr>
        <w:pStyle w:val="null3"/>
        <w:jc w:val="left"/>
      </w:pPr>
      <w:r>
        <w:rPr>
          <w:sz w:val="21"/>
          <w:color w:val="000000"/>
          <w:shd w:fill="FFFFFF" w:val="clear"/>
        </w:rPr>
        <w:t>构成本合同的文件若存在歧义或不一致时，则按上述排列次序进行解释。</w:t>
      </w:r>
    </w:p>
    <w:p>
      <w:pPr>
        <w:pStyle w:val="null3"/>
        <w:jc w:val="left"/>
      </w:pPr>
      <w:r>
        <w:rPr>
          <w:sz w:val="21"/>
          <w:b/>
          <w:color w:val="000000"/>
          <w:shd w:fill="FFFFFF" w:val="clear"/>
        </w:rPr>
        <w:t>第二十八条</w:t>
      </w:r>
      <w:r>
        <w:rPr>
          <w:sz w:val="21"/>
          <w:b/>
          <w:color w:val="000000"/>
          <w:shd w:fill="FFFFFF" w:val="clear"/>
        </w:rPr>
        <w:t xml:space="preserve"> </w:t>
      </w:r>
      <w:r>
        <w:rPr>
          <w:sz w:val="21"/>
          <w:b/>
          <w:color w:val="000000"/>
          <w:shd w:fill="FFFFFF" w:val="clear"/>
        </w:rPr>
        <w:t>通知</w:t>
      </w:r>
    </w:p>
    <w:p>
      <w:pPr>
        <w:pStyle w:val="null3"/>
        <w:jc w:val="left"/>
      </w:pPr>
      <w:r>
        <w:rPr>
          <w:sz w:val="21"/>
          <w:color w:val="000000"/>
          <w:shd w:fill="FFFFFF" w:val="clear"/>
        </w:rPr>
        <w:t>1．本合同一方给对方的通知应用书面形式送达对方指定的地址。</w:t>
      </w:r>
    </w:p>
    <w:p>
      <w:pPr>
        <w:pStyle w:val="null3"/>
        <w:jc w:val="left"/>
      </w:pPr>
      <w:r>
        <w:rPr>
          <w:sz w:val="21"/>
          <w:color w:val="000000"/>
          <w:shd w:fill="FFFFFF" w:val="clear"/>
        </w:rPr>
        <w:t>2.送达日期或通知书注明的生效日期为生效日期，两者中以较迟的日期为准。</w:t>
      </w:r>
    </w:p>
    <w:p>
      <w:pPr>
        <w:pStyle w:val="null3"/>
        <w:jc w:val="left"/>
      </w:pPr>
      <w:r>
        <w:rPr>
          <w:sz w:val="21"/>
          <w:b/>
          <w:color w:val="000000"/>
          <w:shd w:fill="FFFFFF" w:val="clear"/>
        </w:rPr>
        <w:t>第二十九条</w:t>
      </w:r>
      <w:r>
        <w:rPr>
          <w:sz w:val="21"/>
          <w:color w:val="000000"/>
          <w:shd w:fill="FFFFFF" w:val="clear"/>
        </w:rPr>
        <w:t xml:space="preserve">  </w:t>
      </w:r>
      <w:r>
        <w:rPr>
          <w:sz w:val="21"/>
          <w:color w:val="000000"/>
          <w:shd w:fill="FFFFFF" w:val="clear"/>
        </w:rPr>
        <w:t>本合同连同附件</w:t>
      </w:r>
      <w:r>
        <w:rPr>
          <w:sz w:val="21"/>
          <w:color w:val="000000"/>
          <w:shd w:fill="FFFFFF" w:val="clear"/>
        </w:rPr>
        <w:t xml:space="preserve">  </w:t>
      </w:r>
      <w:r>
        <w:rPr>
          <w:sz w:val="21"/>
          <w:color w:val="000000"/>
          <w:shd w:fill="FFFFFF" w:val="clear"/>
        </w:rPr>
        <w:t>个，总</w:t>
      </w:r>
      <w:r>
        <w:rPr>
          <w:sz w:val="21"/>
          <w:color w:val="000000"/>
          <w:shd w:fill="FFFFFF" w:val="clear"/>
        </w:rPr>
        <w:t xml:space="preserve">  </w:t>
      </w:r>
      <w:r>
        <w:rPr>
          <w:sz w:val="21"/>
          <w:color w:val="000000"/>
          <w:shd w:fill="FFFFFF" w:val="clear"/>
        </w:rPr>
        <w:t>页；一式</w:t>
      </w:r>
      <w:r>
        <w:rPr>
          <w:sz w:val="21"/>
          <w:color w:val="000000"/>
          <w:shd w:fill="FFFFFF" w:val="clear"/>
        </w:rPr>
        <w:t>伍</w:t>
      </w:r>
      <w:r>
        <w:rPr>
          <w:sz w:val="21"/>
          <w:color w:val="000000"/>
          <w:shd w:fill="FFFFFF" w:val="clear"/>
        </w:rPr>
        <w:t>份，甲方持有</w:t>
      </w:r>
      <w:r>
        <w:rPr>
          <w:sz w:val="21"/>
          <w:color w:val="000000"/>
          <w:shd w:fill="FFFFFF" w:val="clear"/>
        </w:rPr>
        <w:t>Ⅹ 份，乙方持有 Ⅹ 份，具有同等法律效力。</w:t>
      </w:r>
    </w:p>
    <w:p>
      <w:pPr>
        <w:pStyle w:val="null3"/>
        <w:jc w:val="left"/>
      </w:pPr>
      <w:r>
        <w:rPr>
          <w:sz w:val="21"/>
          <w:b/>
          <w:color w:val="000000"/>
          <w:shd w:fill="FFFFFF" w:val="clear"/>
        </w:rPr>
        <w:t>第三十条</w:t>
      </w:r>
      <w:r>
        <w:rPr>
          <w:sz w:val="24"/>
          <w:b/>
          <w:shd w:fill="FFFFFF" w:val="clear"/>
        </w:rPr>
        <w:t xml:space="preserve"> </w:t>
      </w:r>
      <w:r>
        <w:rPr>
          <w:sz w:val="21"/>
          <w:color w:val="000000"/>
          <w:shd w:fill="FFFFFF" w:val="clear"/>
        </w:rPr>
        <w:t xml:space="preserve"> </w:t>
      </w:r>
      <w:r>
        <w:rPr>
          <w:sz w:val="21"/>
          <w:color w:val="000000"/>
          <w:shd w:fill="FFFFFF" w:val="clear"/>
        </w:rPr>
        <w:t>本合同经双方</w:t>
      </w:r>
      <w:r>
        <w:rPr>
          <w:sz w:val="21"/>
          <w:color w:val="000000"/>
          <w:shd w:fill="FFFFFF" w:val="clear"/>
        </w:rPr>
        <w:t>法定代表人或其授权代表</w:t>
      </w:r>
      <w:r>
        <w:rPr>
          <w:sz w:val="21"/>
          <w:color w:val="000000"/>
          <w:shd w:fill="FFFFFF" w:val="clear"/>
        </w:rPr>
        <w:t>签字</w:t>
      </w:r>
      <w:r>
        <w:rPr>
          <w:sz w:val="21"/>
          <w:color w:val="000000"/>
          <w:shd w:fill="FFFFFF" w:val="clear"/>
        </w:rPr>
        <w:t>且加</w:t>
      </w:r>
      <w:r>
        <w:rPr>
          <w:sz w:val="21"/>
          <w:color w:val="000000"/>
          <w:shd w:fill="FFFFFF" w:val="clear"/>
        </w:rPr>
        <w:t>盖</w:t>
      </w:r>
      <w:r>
        <w:rPr>
          <w:sz w:val="21"/>
          <w:color w:val="000000"/>
          <w:shd w:fill="FFFFFF" w:val="clear"/>
        </w:rPr>
        <w:t>公</w:t>
      </w:r>
      <w:r>
        <w:rPr>
          <w:sz w:val="21"/>
          <w:color w:val="000000"/>
          <w:shd w:fill="FFFFFF" w:val="clear"/>
        </w:rPr>
        <w:t>章后生效。</w:t>
      </w:r>
    </w:p>
    <w:p>
      <w:pPr>
        <w:pStyle w:val="null3"/>
        <w:jc w:val="left"/>
      </w:pPr>
      <w:r>
        <w:rPr>
          <w:sz w:val="21"/>
          <w:b/>
        </w:rPr>
        <w:t>以下无下文</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r>
        <w:rPr>
          <w:sz w:val="21"/>
        </w:rPr>
        <w:t>:</w:t>
      </w:r>
    </w:p>
    <w:p>
      <w:pPr>
        <w:pStyle w:val="null3"/>
        <w:jc w:val="both"/>
      </w:pPr>
      <w:r>
        <w:rPr>
          <w:sz w:val="21"/>
          <w:b/>
          <w:color w:val="000000"/>
        </w:rPr>
        <w:t>注</w:t>
      </w:r>
      <w:r>
        <w:rPr>
          <w:sz w:val="21"/>
          <w:b/>
          <w:color w:val="000000"/>
        </w:rPr>
        <w:t>：</w:t>
      </w:r>
      <w:r>
        <w:rPr>
          <w:sz w:val="21"/>
          <w:b/>
          <w:color w:val="000000"/>
        </w:rPr>
        <w:t>此为合同草案</w:t>
      </w:r>
      <w:r>
        <w:rPr>
          <w:sz w:val="21"/>
          <w:b/>
          <w:color w:val="000000"/>
        </w:rPr>
        <w:t>，</w:t>
      </w:r>
      <w:r>
        <w:rPr>
          <w:sz w:val="21"/>
          <w:b/>
          <w:color w:val="000000"/>
        </w:rPr>
        <w:t>可根据磋商情况进行变更</w:t>
      </w:r>
      <w:r>
        <w:rPr>
          <w:sz w:val="21"/>
          <w:b/>
          <w:color w:val="000000"/>
        </w:rPr>
        <w:t>。</w:t>
      </w:r>
    </w:p>
    <w:p>
      <w:pPr>
        <w:pStyle w:val="null3"/>
        <w:jc w:val="left"/>
        <w:outlineLvl w:val="2"/>
      </w:pPr>
      <w:r>
        <w:rPr>
          <w:sz w:val="32"/>
          <w:b/>
        </w:rPr>
        <w:t>附件</w:t>
      </w:r>
      <w:r>
        <w:rPr>
          <w:sz w:val="32"/>
          <w:b/>
        </w:rPr>
        <w:t>1</w:t>
      </w:r>
      <w:r>
        <w:rPr>
          <w:sz w:val="32"/>
          <w:b/>
        </w:rPr>
        <w:t>：技术开发内容要求</w:t>
      </w:r>
    </w:p>
    <w:tbl>
      <w:tblPr>
        <w:tblW w:w="0" w:type="auto"/>
        <w:tblBorders>
          <w:top w:val="none" w:color="000000" w:sz="4"/>
          <w:left w:val="none" w:color="000000" w:sz="4"/>
          <w:bottom w:val="none" w:color="000000" w:sz="4"/>
          <w:right w:val="none" w:color="000000" w:sz="4"/>
          <w:insideH w:val="none"/>
          <w:insideV w:val="none"/>
        </w:tblBorders>
      </w:tblPr>
      <w:tblGrid>
        <w:gridCol w:w="1799"/>
        <w:gridCol w:w="1665"/>
        <w:gridCol w:w="3434"/>
        <w:gridCol w:w="1409"/>
      </w:tblGrid>
      <w:tr>
        <w:tc>
          <w:tcPr>
            <w:tcW w:type="dxa" w:w="8307"/>
            <w:gridSpan w:val="4"/>
            <w:tcBorders>
              <w:top w:val="single" w:color="000000" w:sz="4"/>
              <w:left w:val="single" w:color="000000" w:sz="4"/>
              <w:bottom w:val="single" w:color="000000" w:sz="4"/>
              <w:right w:val="single" w:color="000000" w:sz="4"/>
            </w:tcBorders>
            <w:shd w:fill="F2F2F2"/>
            <w:tcMar>
              <w:top w:type="dxa" w:w="15"/>
              <w:left w:type="dxa" w:w="15"/>
              <w:bottom w:type="dxa" w:w="15"/>
              <w:right w:type="dxa" w:w="15"/>
            </w:tcMar>
            <w:vAlign w:val="top"/>
          </w:tcPr>
          <w:p>
            <w:pPr>
              <w:pStyle w:val="null3"/>
              <w:jc w:val="center"/>
            </w:pPr>
            <w:r>
              <w:rPr>
                <w:sz w:val="24"/>
                <w:b/>
                <w:color w:val="000000"/>
              </w:rPr>
              <w:t>一、技术目标</w:t>
            </w:r>
          </w:p>
        </w:tc>
      </w:tr>
      <w:tr>
        <w:tc>
          <w:tcPr>
            <w:tcW w:type="dxa" w:w="8307"/>
            <w:gridSpan w:val="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80"/>
              <w:jc w:val="left"/>
            </w:pPr>
          </w:p>
        </w:tc>
      </w:tr>
      <w:tr>
        <w:tc>
          <w:tcPr>
            <w:tcW w:type="dxa" w:w="8307"/>
            <w:gridSpan w:val="4"/>
            <w:tcBorders>
              <w:top w:val="none" w:color="000000" w:sz="4"/>
              <w:left w:val="single" w:color="000000" w:sz="4"/>
              <w:bottom w:val="single" w:color="000000" w:sz="4"/>
              <w:right w:val="single" w:color="000000" w:sz="4"/>
            </w:tcBorders>
            <w:shd w:fill="F2F2F2"/>
            <w:tcMar>
              <w:top w:type="dxa" w:w="15"/>
              <w:left w:type="dxa" w:w="15"/>
              <w:bottom w:type="dxa" w:w="15"/>
              <w:right w:type="dxa" w:w="15"/>
            </w:tcMar>
            <w:vAlign w:val="top"/>
          </w:tcPr>
          <w:p>
            <w:pPr>
              <w:pStyle w:val="null3"/>
              <w:jc w:val="center"/>
            </w:pPr>
            <w:r>
              <w:rPr>
                <w:sz w:val="24"/>
                <w:b/>
                <w:color w:val="000000"/>
              </w:rPr>
              <w:t>二、技术方法和路线</w:t>
            </w:r>
          </w:p>
        </w:tc>
      </w:tr>
      <w:tr>
        <w:tc>
          <w:tcPr>
            <w:tcW w:type="dxa" w:w="8307"/>
            <w:gridSpan w:val="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80"/>
              <w:jc w:val="left"/>
            </w:pPr>
          </w:p>
        </w:tc>
      </w:tr>
      <w:tr>
        <w:tc>
          <w:tcPr>
            <w:tcW w:type="dxa" w:w="8307"/>
            <w:gridSpan w:val="4"/>
            <w:tcBorders>
              <w:top w:val="none" w:color="000000" w:sz="4"/>
              <w:left w:val="single" w:color="000000" w:sz="4"/>
              <w:bottom w:val="single" w:color="000000" w:sz="4"/>
              <w:right w:val="single" w:color="000000" w:sz="4"/>
            </w:tcBorders>
            <w:shd w:fill="F2F2F2"/>
            <w:tcMar>
              <w:top w:type="dxa" w:w="15"/>
              <w:left w:type="dxa" w:w="15"/>
              <w:bottom w:type="dxa" w:w="15"/>
              <w:right w:type="dxa" w:w="15"/>
            </w:tcMar>
            <w:vAlign w:val="top"/>
          </w:tcPr>
          <w:p>
            <w:pPr>
              <w:pStyle w:val="null3"/>
              <w:jc w:val="center"/>
            </w:pPr>
            <w:r>
              <w:rPr>
                <w:sz w:val="24"/>
                <w:b/>
                <w:color w:val="000000"/>
              </w:rPr>
              <w:t>三、技术开发内容</w:t>
            </w:r>
          </w:p>
        </w:tc>
      </w:tr>
      <w:tr>
        <w:tc>
          <w:tcPr>
            <w:tcW w:type="dxa" w:w="8307"/>
            <w:gridSpan w:val="4"/>
            <w:tcBorders>
              <w:top w:val="none" w:color="000000" w:sz="4"/>
              <w:left w:val="single" w:color="000000" w:sz="4"/>
              <w:bottom w:val="single" w:color="000000" w:sz="4"/>
              <w:right w:val="single" w:color="000000" w:sz="4"/>
            </w:tcBorders>
            <w:shd w:fill="DDEBF7"/>
            <w:tcMar>
              <w:top w:type="dxa" w:w="15"/>
              <w:left w:type="dxa" w:w="15"/>
              <w:bottom w:type="dxa" w:w="15"/>
              <w:right w:type="dxa" w:w="15"/>
            </w:tcMar>
            <w:vAlign w:val="top"/>
          </w:tcPr>
          <w:p>
            <w:pPr>
              <w:pStyle w:val="null3"/>
              <w:jc w:val="center"/>
            </w:pPr>
            <w:r>
              <w:rPr>
                <w:sz w:val="24"/>
                <w:color w:val="000000"/>
              </w:rPr>
              <w:t>1</w:t>
            </w:r>
            <w:r>
              <w:rPr>
                <w:sz w:val="24"/>
                <w:color w:val="000000"/>
              </w:rPr>
              <w:t>、功能要求</w:t>
            </w:r>
          </w:p>
        </w:tc>
      </w:tr>
      <w:tr>
        <w:tc>
          <w:tcPr>
            <w:tcW w:type="dxa" w:w="1799"/>
            <w:tcBorders>
              <w:top w:val="non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名称</w:t>
            </w:r>
          </w:p>
        </w:tc>
        <w:tc>
          <w:tcPr>
            <w:tcW w:type="dxa" w:w="1665"/>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功能模块</w:t>
            </w:r>
          </w:p>
        </w:tc>
        <w:tc>
          <w:tcPr>
            <w:tcW w:type="dxa" w:w="3434"/>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功能要求</w:t>
            </w:r>
          </w:p>
        </w:tc>
        <w:tc>
          <w:tcPr>
            <w:tcW w:type="dxa" w:w="1409"/>
            <w:tcBorders>
              <w:top w:val="single" w:color="000000" w:sz="4"/>
              <w:left w:val="single" w:color="000000" w:sz="4"/>
              <w:bottom w:val="single" w:color="000000" w:sz="4"/>
              <w:right w:val="single" w:color="000000" w:sz="4"/>
            </w:tcBorders>
            <w:shd w:fill="D9D9D9"/>
            <w:tcMar>
              <w:top w:type="dxa" w:w="15"/>
              <w:left w:type="dxa" w:w="15"/>
              <w:bottom w:type="dxa" w:w="15"/>
              <w:right w:type="dxa" w:w="15"/>
            </w:tcMar>
            <w:vAlign w:val="top"/>
          </w:tcPr>
          <w:p>
            <w:pPr>
              <w:pStyle w:val="null3"/>
              <w:jc w:val="center"/>
            </w:pPr>
            <w:r>
              <w:rPr>
                <w:sz w:val="24"/>
                <w:b/>
                <w:color w:val="000000"/>
              </w:rPr>
              <w:t>金额</w:t>
            </w:r>
            <w:r>
              <w:rPr>
                <w:sz w:val="24"/>
                <w:b/>
                <w:color w:val="000000"/>
              </w:rPr>
              <w:t>(</w:t>
            </w:r>
            <w:r>
              <w:rPr>
                <w:sz w:val="24"/>
                <w:b/>
                <w:color w:val="000000"/>
              </w:rPr>
              <w:t>万元</w:t>
            </w:r>
            <w:r>
              <w:rPr>
                <w:sz w:val="24"/>
                <w:b/>
                <w:color w:val="000000"/>
              </w:rPr>
              <w:t>)</w:t>
            </w:r>
          </w:p>
        </w:tc>
      </w:tr>
      <w:tr>
        <w:tc>
          <w:tcPr>
            <w:tcW w:type="dxa" w:w="1799"/>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广东省公安厅</w:t>
            </w:r>
            <w:r>
              <w:rPr>
                <w:sz w:val="24"/>
                <w:color w:val="000000"/>
              </w:rPr>
              <w:t>2024-24</w:t>
            </w:r>
            <w:r>
              <w:rPr>
                <w:sz w:val="24"/>
                <w:color w:val="000000"/>
              </w:rPr>
              <w:t>交管业务收费对账管理平台开发（</w:t>
            </w:r>
            <w:r>
              <w:rPr>
                <w:sz w:val="24"/>
                <w:color w:val="000000"/>
              </w:rPr>
              <w:t>2024</w:t>
            </w:r>
            <w:r>
              <w:rPr>
                <w:sz w:val="24"/>
                <w:color w:val="000000"/>
              </w:rPr>
              <w:t>年）项目</w:t>
            </w: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799"/>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799"/>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799"/>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8307"/>
            <w:gridSpan w:val="4"/>
            <w:tcBorders>
              <w:top w:val="none" w:color="000000" w:sz="4"/>
              <w:left w:val="single" w:color="000000" w:sz="4"/>
              <w:bottom w:val="single" w:color="000000" w:sz="4"/>
              <w:right w:val="single" w:color="000000" w:sz="4"/>
            </w:tcBorders>
            <w:shd w:fill="DDEBF7"/>
            <w:tcMar>
              <w:top w:type="dxa" w:w="15"/>
              <w:left w:type="dxa" w:w="15"/>
              <w:bottom w:type="dxa" w:w="15"/>
              <w:right w:type="dxa" w:w="15"/>
            </w:tcMar>
            <w:vAlign w:val="top"/>
          </w:tcPr>
          <w:p>
            <w:pPr>
              <w:pStyle w:val="null3"/>
              <w:jc w:val="center"/>
            </w:pPr>
            <w:r>
              <w:rPr>
                <w:sz w:val="24"/>
                <w:color w:val="000000"/>
              </w:rPr>
              <w:t>2</w:t>
            </w:r>
            <w:r>
              <w:rPr>
                <w:sz w:val="24"/>
                <w:color w:val="000000"/>
              </w:rPr>
              <w:t>、性能要求</w:t>
            </w:r>
          </w:p>
        </w:tc>
      </w:tr>
      <w:tr>
        <w:tc>
          <w:tcPr>
            <w:tcW w:type="dxa" w:w="1799"/>
            <w:tcBorders>
              <w:top w:val="non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序号</w:t>
            </w:r>
          </w:p>
        </w:tc>
        <w:tc>
          <w:tcPr>
            <w:tcW w:type="dxa" w:w="1665"/>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技术指标</w:t>
            </w:r>
          </w:p>
        </w:tc>
        <w:tc>
          <w:tcPr>
            <w:tcW w:type="dxa" w:w="3434"/>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性能要求</w:t>
            </w:r>
          </w:p>
        </w:tc>
        <w:tc>
          <w:tcPr>
            <w:tcW w:type="dxa" w:w="1409"/>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金额</w:t>
            </w:r>
          </w:p>
        </w:tc>
      </w:tr>
      <w:tr>
        <w:tc>
          <w:tcPr>
            <w:tcW w:type="dxa" w:w="179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79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8307"/>
            <w:gridSpan w:val="4"/>
            <w:tcBorders>
              <w:top w:val="none" w:color="000000" w:sz="4"/>
              <w:left w:val="single" w:color="000000" w:sz="4"/>
              <w:bottom w:val="single" w:color="000000" w:sz="4"/>
              <w:right w:val="single" w:color="000000" w:sz="4"/>
            </w:tcBorders>
            <w:shd w:fill="DDEBF7"/>
            <w:tcMar>
              <w:top w:type="dxa" w:w="15"/>
              <w:left w:type="dxa" w:w="15"/>
              <w:bottom w:type="dxa" w:w="15"/>
              <w:right w:type="dxa" w:w="15"/>
            </w:tcMar>
            <w:vAlign w:val="top"/>
          </w:tcPr>
          <w:p>
            <w:pPr>
              <w:pStyle w:val="null3"/>
              <w:jc w:val="center"/>
            </w:pPr>
            <w:r>
              <w:rPr>
                <w:sz w:val="24"/>
                <w:color w:val="000000"/>
              </w:rPr>
              <w:t>3</w:t>
            </w:r>
            <w:r>
              <w:rPr>
                <w:sz w:val="24"/>
                <w:color w:val="000000"/>
              </w:rPr>
              <w:t>、</w:t>
            </w:r>
            <w:r>
              <w:rPr>
                <w:sz w:val="24"/>
                <w:color w:val="000000"/>
              </w:rPr>
              <w:t>接口其他</w:t>
            </w:r>
            <w:r>
              <w:rPr>
                <w:sz w:val="24"/>
                <w:color w:val="000000"/>
              </w:rPr>
              <w:t>要求</w:t>
            </w:r>
          </w:p>
        </w:tc>
      </w:tr>
      <w:tr>
        <w:tc>
          <w:tcPr>
            <w:tcW w:type="dxa" w:w="1799"/>
            <w:tcBorders>
              <w:top w:val="non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序号</w:t>
            </w:r>
          </w:p>
        </w:tc>
        <w:tc>
          <w:tcPr>
            <w:tcW w:type="dxa" w:w="1665"/>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名称和类别</w:t>
            </w:r>
          </w:p>
        </w:tc>
        <w:tc>
          <w:tcPr>
            <w:tcW w:type="dxa" w:w="3434"/>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描述</w:t>
            </w:r>
          </w:p>
        </w:tc>
        <w:tc>
          <w:tcPr>
            <w:tcW w:type="dxa" w:w="1409"/>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金额</w:t>
            </w:r>
          </w:p>
        </w:tc>
      </w:tr>
      <w:tr>
        <w:tc>
          <w:tcPr>
            <w:tcW w:type="dxa" w:w="179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79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bl>
    <w:p>
      <w:pPr>
        <w:pStyle w:val="null3"/>
        <w:jc w:val="both"/>
        <w:outlineLvl w:val="2"/>
      </w:pPr>
      <w:r>
        <w:rPr>
          <w:sz w:val="32"/>
          <w:b/>
        </w:rPr>
        <w:t>附件</w:t>
      </w:r>
      <w:r>
        <w:rPr>
          <w:sz w:val="32"/>
          <w:b/>
        </w:rPr>
        <w:t>2</w:t>
      </w:r>
      <w:r>
        <w:rPr>
          <w:sz w:val="32"/>
          <w:b/>
        </w:rPr>
        <w:t>：项目总体计划</w:t>
      </w:r>
    </w:p>
    <w:p>
      <w:pPr>
        <w:pStyle w:val="null3"/>
        <w:ind w:firstLine="562"/>
        <w:jc w:val="center"/>
      </w:pPr>
      <w:r>
        <w:rPr>
          <w:sz w:val="28"/>
          <w:b/>
        </w:rPr>
        <w:t>项目总体计划（里程碑节点）</w:t>
      </w:r>
    </w:p>
    <w:p>
      <w:pPr>
        <w:pStyle w:val="null3"/>
        <w:ind w:firstLine="560"/>
        <w:jc w:val="both"/>
      </w:pPr>
      <w:r>
        <w:rPr>
          <w:sz w:val="28"/>
        </w:rPr>
        <w:t>为了科学管理和控制项目进程，根据软件工程标准化的要求，结合项目特点和实际，制定</w:t>
      </w:r>
      <w:r>
        <w:rPr>
          <w:sz w:val="28"/>
          <w:color w:val="FF0000"/>
          <w:u w:val="single"/>
        </w:rPr>
        <w:t>广东省公安厅</w:t>
      </w:r>
      <w:r>
        <w:rPr>
          <w:sz w:val="28"/>
          <w:color w:val="FF0000"/>
          <w:u w:val="single"/>
        </w:rPr>
        <w:t>2024-24</w:t>
      </w:r>
      <w:r>
        <w:rPr>
          <w:sz w:val="28"/>
          <w:color w:val="FF0000"/>
          <w:u w:val="single"/>
        </w:rPr>
        <w:t>交管业务收费对账管理平台开发（</w:t>
      </w:r>
      <w:r>
        <w:rPr>
          <w:sz w:val="28"/>
          <w:color w:val="FF0000"/>
          <w:u w:val="single"/>
        </w:rPr>
        <w:t>2024</w:t>
      </w:r>
      <w:r>
        <w:rPr>
          <w:sz w:val="28"/>
          <w:color w:val="FF0000"/>
          <w:u w:val="single"/>
        </w:rPr>
        <w:t>年）项目</w:t>
      </w:r>
      <w:r>
        <w:rPr>
          <w:sz w:val="28"/>
        </w:rPr>
        <w:t>总体开发计划，详细计划在合同签订后正式提交。在保证总工期不变的情况下</w:t>
      </w:r>
      <w:r>
        <w:rPr>
          <w:sz w:val="28"/>
        </w:rPr>
        <w:t>,</w:t>
      </w:r>
      <w:r>
        <w:rPr>
          <w:sz w:val="28"/>
        </w:rPr>
        <w:t>实施中可进行局部调整，</w:t>
      </w:r>
      <w:r>
        <w:rPr>
          <w:sz w:val="28"/>
        </w:rPr>
        <w:t>详见下表，其中</w:t>
      </w:r>
      <w:r>
        <w:rPr>
          <w:sz w:val="28"/>
        </w:rPr>
        <w:t>T</w:t>
      </w:r>
      <w:r>
        <w:rPr>
          <w:sz w:val="28"/>
        </w:rPr>
        <w:t>表示项目合同签订日期：</w:t>
      </w:r>
    </w:p>
    <w:tbl>
      <w:tblPr>
        <w:tblW w:w="0" w:type="auto"/>
        <w:tblBorders>
          <w:top w:val="none" w:color="000000" w:sz="4"/>
          <w:left w:val="none" w:color="000000" w:sz="4"/>
          <w:bottom w:val="none" w:color="000000" w:sz="4"/>
          <w:right w:val="none" w:color="000000" w:sz="4"/>
          <w:insideH w:val="none"/>
          <w:insideV w:val="none"/>
        </w:tblBorders>
      </w:tblPr>
      <w:tblGrid>
        <w:gridCol w:w="425"/>
        <w:gridCol w:w="2223"/>
        <w:gridCol w:w="2223"/>
        <w:gridCol w:w="2308"/>
        <w:gridCol w:w="1127"/>
      </w:tblGrid>
      <w:tr>
        <w:tc>
          <w:tcPr>
            <w:tcW w:type="dxa" w:w="425"/>
            <w:tcBorders>
              <w:top w:val="singl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b/>
              </w:rPr>
              <w:t>序号</w:t>
            </w:r>
          </w:p>
        </w:tc>
        <w:tc>
          <w:tcPr>
            <w:tcW w:type="dxa" w:w="2223"/>
            <w:tcBorders>
              <w:top w:val="singl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b/>
              </w:rPr>
              <w:t>工作内容</w:t>
            </w:r>
          </w:p>
        </w:tc>
        <w:tc>
          <w:tcPr>
            <w:tcW w:type="dxa" w:w="2223"/>
            <w:tcBorders>
              <w:top w:val="singl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b/>
              </w:rPr>
              <w:t>里程碑</w:t>
            </w:r>
          </w:p>
        </w:tc>
        <w:tc>
          <w:tcPr>
            <w:tcW w:type="dxa" w:w="2308"/>
            <w:tcBorders>
              <w:top w:val="singl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b/>
              </w:rPr>
              <w:t>阶段成果物</w:t>
            </w:r>
          </w:p>
        </w:tc>
        <w:tc>
          <w:tcPr>
            <w:tcW w:type="dxa" w:w="1127"/>
            <w:tcBorders>
              <w:top w:val="singl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b/>
              </w:rPr>
              <w:t>工期（月）</w:t>
            </w: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1</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项目启动</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项目正式启动</w:t>
            </w: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启动会议纪要</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2</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需求调研</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完成需求评审</w:t>
            </w: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需求规格说明书</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3</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系统设计</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完成设计评审</w:t>
            </w: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概要设计说明书、详细设计说明书</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4</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系统研发及测试、系统部署上线</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完成系统研发、测试、部署上线</w:t>
            </w: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测试报告</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5</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数据运营服务</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完成数据的迁移工作</w:t>
            </w: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数据库迁移规划方案</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6</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初验</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完成项目初验</w:t>
            </w: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初验报告</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7</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试运行</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试运行记录</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8</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终验</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完成项目终验</w:t>
            </w: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终验报告</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9</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质保期</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tc>
      </w:tr>
    </w:tbl>
    <w:p>
      <w:pPr>
        <w:pStyle w:val="null3"/>
        <w:jc w:val="both"/>
        <w:outlineLvl w:val="2"/>
      </w:pPr>
      <w:r>
        <w:rPr>
          <w:sz w:val="32"/>
          <w:b/>
        </w:rPr>
        <w:t>附件</w:t>
      </w:r>
      <w:r>
        <w:rPr>
          <w:sz w:val="32"/>
          <w:b/>
        </w:rPr>
        <w:t>3</w:t>
      </w:r>
      <w:r>
        <w:rPr>
          <w:sz w:val="32"/>
          <w:b/>
        </w:rPr>
        <w:t>：项目技术文档</w:t>
      </w:r>
    </w:p>
    <w:p>
      <w:pPr>
        <w:pStyle w:val="null3"/>
        <w:ind w:firstLine="482"/>
        <w:jc w:val="center"/>
      </w:pPr>
      <w:r>
        <w:rPr>
          <w:sz w:val="24"/>
          <w:b/>
          <w:color w:val="000000"/>
        </w:rPr>
        <w:t>项目技术文档</w:t>
      </w:r>
    </w:p>
    <w:tbl>
      <w:tblPr>
        <w:tblW w:w="0" w:type="auto"/>
        <w:tblBorders>
          <w:top w:val="none" w:color="000000" w:sz="4"/>
          <w:left w:val="none" w:color="000000" w:sz="4"/>
          <w:bottom w:val="none" w:color="000000" w:sz="4"/>
          <w:right w:val="none" w:color="000000" w:sz="4"/>
          <w:insideH w:val="none"/>
          <w:insideV w:val="none"/>
        </w:tblBorders>
      </w:tblPr>
      <w:tblGrid>
        <w:gridCol w:w="1121"/>
        <w:gridCol w:w="716"/>
        <w:gridCol w:w="2276"/>
        <w:gridCol w:w="4193"/>
      </w:tblGrid>
      <w:tr>
        <w:tc>
          <w:tcPr>
            <w:tcW w:type="dxa" w:w="1121"/>
            <w:tcBorders>
              <w:top w:val="single" w:color="000000" w:sz="8"/>
              <w:left w:val="single" w:color="000000" w:sz="8"/>
              <w:bottom w:val="single" w:color="000000" w:sz="4"/>
              <w:right w:val="single" w:color="000000" w:sz="4"/>
            </w:tcBorders>
            <w:shd w:fill="D9D9D9"/>
            <w:tcMar>
              <w:top w:type="dxa" w:w="15"/>
              <w:left w:type="dxa" w:w="15"/>
              <w:bottom w:type="dxa" w:w="15"/>
              <w:right w:type="dxa" w:w="15"/>
            </w:tcMar>
            <w:vAlign w:val="top"/>
          </w:tcPr>
          <w:p>
            <w:pPr>
              <w:pStyle w:val="null3"/>
              <w:jc w:val="center"/>
            </w:pPr>
            <w:r>
              <w:rPr>
                <w:sz w:val="28"/>
                <w:b/>
                <w:color w:val="000000"/>
              </w:rPr>
              <w:t>类别</w:t>
            </w:r>
          </w:p>
        </w:tc>
        <w:tc>
          <w:tcPr>
            <w:tcW w:type="dxa" w:w="716"/>
            <w:tcBorders>
              <w:top w:val="single" w:color="000000" w:sz="8"/>
              <w:left w:val="none" w:color="000000" w:sz="4"/>
              <w:bottom w:val="single" w:color="000000" w:sz="4"/>
              <w:right w:val="single" w:color="000000" w:sz="4"/>
            </w:tcBorders>
            <w:shd w:fill="D9D9D9"/>
            <w:tcMar>
              <w:top w:type="dxa" w:w="15"/>
              <w:left w:type="dxa" w:w="15"/>
              <w:bottom w:type="dxa" w:w="15"/>
              <w:right w:type="dxa" w:w="15"/>
            </w:tcMar>
            <w:vAlign w:val="top"/>
          </w:tcPr>
          <w:p>
            <w:pPr>
              <w:pStyle w:val="null3"/>
              <w:jc w:val="center"/>
            </w:pPr>
            <w:r>
              <w:rPr>
                <w:sz w:val="28"/>
                <w:b/>
                <w:color w:val="000000"/>
              </w:rPr>
              <w:t>序号</w:t>
            </w:r>
          </w:p>
        </w:tc>
        <w:tc>
          <w:tcPr>
            <w:tcW w:type="dxa" w:w="2276"/>
            <w:tcBorders>
              <w:top w:val="single" w:color="000000" w:sz="8"/>
              <w:left w:val="none" w:color="000000" w:sz="4"/>
              <w:bottom w:val="single" w:color="000000" w:sz="4"/>
              <w:right w:val="single" w:color="000000" w:sz="4"/>
            </w:tcBorders>
            <w:shd w:fill="D9D9D9"/>
            <w:tcMar>
              <w:top w:type="dxa" w:w="15"/>
              <w:left w:type="dxa" w:w="15"/>
              <w:bottom w:type="dxa" w:w="15"/>
              <w:right w:type="dxa" w:w="15"/>
            </w:tcMar>
            <w:vAlign w:val="top"/>
          </w:tcPr>
          <w:p>
            <w:pPr>
              <w:pStyle w:val="null3"/>
              <w:jc w:val="center"/>
            </w:pPr>
            <w:r>
              <w:rPr>
                <w:sz w:val="28"/>
                <w:b/>
                <w:color w:val="000000"/>
              </w:rPr>
              <w:t>文档名称</w:t>
            </w:r>
          </w:p>
        </w:tc>
        <w:tc>
          <w:tcPr>
            <w:tcW w:type="dxa" w:w="4193"/>
            <w:tcBorders>
              <w:top w:val="single" w:color="000000" w:sz="8"/>
              <w:left w:val="none" w:color="000000" w:sz="4"/>
              <w:bottom w:val="single" w:color="000000" w:sz="4"/>
              <w:right w:val="single" w:color="000000" w:sz="8"/>
            </w:tcBorders>
            <w:shd w:fill="D9D9D9"/>
            <w:tcMar>
              <w:top w:type="dxa" w:w="15"/>
              <w:left w:type="dxa" w:w="15"/>
              <w:bottom w:type="dxa" w:w="15"/>
              <w:right w:type="dxa" w:w="15"/>
            </w:tcMar>
            <w:vAlign w:val="top"/>
          </w:tcPr>
          <w:p>
            <w:pPr>
              <w:pStyle w:val="null3"/>
              <w:jc w:val="center"/>
            </w:pPr>
            <w:r>
              <w:rPr>
                <w:sz w:val="28"/>
                <w:b/>
                <w:color w:val="000000"/>
              </w:rPr>
              <w:t>内容要求</w:t>
            </w:r>
          </w:p>
        </w:tc>
      </w:tr>
      <w:tr>
        <w:tc>
          <w:tcPr>
            <w:tcW w:type="dxa" w:w="1121"/>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8"/>
                <w:b/>
                <w:color w:val="000000"/>
              </w:rPr>
              <w:t>需求文档</w:t>
            </w: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1</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需求规格说明书</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按照行业标准规范</w:t>
            </w:r>
          </w:p>
        </w:tc>
      </w:tr>
      <w:tr>
        <w:tc>
          <w:tcPr>
            <w:tcW w:type="dxa" w:w="1121"/>
            <w:vMerge w:val="restart"/>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8"/>
                <w:b/>
                <w:color w:val="000000"/>
              </w:rPr>
              <w:t>项目设计文档</w:t>
            </w: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2</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概要设计说明书</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按照行业标准规范</w:t>
            </w:r>
          </w:p>
        </w:tc>
      </w:tr>
      <w:tr>
        <w:tc>
          <w:tcPr>
            <w:tcW w:type="dxa" w:w="1121"/>
            <w:vMerge/>
            <w:tcBorders>
              <w:top w:val="none" w:color="000000" w:sz="4"/>
              <w:left w:val="single" w:color="000000" w:sz="8"/>
              <w:bottom w:val="single" w:color="000000" w:sz="4"/>
              <w:right w:val="single" w:color="000000" w:sz="4"/>
            </w:tcBorders>
          </w:tcP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3</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详细设计说明书</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按照行业标准规范</w:t>
            </w:r>
          </w:p>
        </w:tc>
      </w:tr>
      <w:tr>
        <w:tc>
          <w:tcPr>
            <w:tcW w:type="dxa" w:w="1121"/>
            <w:vMerge/>
            <w:tcBorders>
              <w:top w:val="none" w:color="000000" w:sz="4"/>
              <w:left w:val="single" w:color="000000" w:sz="8"/>
              <w:bottom w:val="single" w:color="000000" w:sz="4"/>
              <w:right w:val="single" w:color="000000" w:sz="4"/>
            </w:tcBorders>
          </w:tcP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4</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数据库设计说明书</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按照行业标准规范</w:t>
            </w:r>
          </w:p>
        </w:tc>
      </w:tr>
      <w:tr>
        <w:tc>
          <w:tcPr>
            <w:tcW w:type="dxa" w:w="1121"/>
            <w:vMerge w:val="restart"/>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8"/>
                <w:b/>
                <w:color w:val="000000"/>
              </w:rPr>
              <w:t>项目测试文件</w:t>
            </w: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5</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测试方案</w:t>
            </w:r>
            <w:r>
              <w:rPr>
                <w:sz w:val="28"/>
                <w:color w:val="000000"/>
              </w:rPr>
              <w:t>\</w:t>
            </w:r>
            <w:r>
              <w:rPr>
                <w:sz w:val="28"/>
                <w:color w:val="000000"/>
              </w:rPr>
              <w:t>计划</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包括测试的时间、地点、参加人员，测试的方法、测试工具，测试内容等</w:t>
            </w:r>
          </w:p>
        </w:tc>
      </w:tr>
      <w:tr>
        <w:tc>
          <w:tcPr>
            <w:tcW w:type="dxa" w:w="1121"/>
            <w:vMerge/>
            <w:tcBorders>
              <w:top w:val="none" w:color="000000" w:sz="4"/>
              <w:left w:val="single" w:color="000000" w:sz="8"/>
              <w:bottom w:val="single" w:color="000000" w:sz="4"/>
              <w:right w:val="single" w:color="000000" w:sz="4"/>
            </w:tcBorders>
          </w:tcP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6</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测试记录</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按照行业标准规范</w:t>
            </w:r>
          </w:p>
        </w:tc>
      </w:tr>
      <w:tr>
        <w:tc>
          <w:tcPr>
            <w:tcW w:type="dxa" w:w="1121"/>
            <w:vMerge/>
            <w:tcBorders>
              <w:top w:val="none" w:color="000000" w:sz="4"/>
              <w:left w:val="single" w:color="000000" w:sz="8"/>
              <w:bottom w:val="single" w:color="000000" w:sz="4"/>
              <w:right w:val="single" w:color="000000" w:sz="4"/>
            </w:tcBorders>
          </w:tcP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7</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项目测试报告</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按照国家有关技术标准和本验收规范要求的相关内容，对信息化项目进行检测并编制的报告</w:t>
            </w:r>
          </w:p>
        </w:tc>
      </w:tr>
      <w:tr>
        <w:tc>
          <w:tcPr>
            <w:tcW w:type="dxa" w:w="1121"/>
            <w:vMerge w:val="restart"/>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8"/>
                <w:b/>
                <w:color w:val="000000"/>
              </w:rPr>
              <w:t>项目培训文件</w:t>
            </w: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8</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培训方案、计划</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包括培训的计划、目的、对象、地点、培训的方式等</w:t>
            </w:r>
          </w:p>
        </w:tc>
      </w:tr>
      <w:tr>
        <w:tc>
          <w:tcPr>
            <w:tcW w:type="dxa" w:w="1121"/>
            <w:vMerge/>
            <w:tcBorders>
              <w:top w:val="none" w:color="000000" w:sz="4"/>
              <w:left w:val="single" w:color="000000" w:sz="8"/>
              <w:bottom w:val="single" w:color="000000" w:sz="4"/>
              <w:right w:val="single" w:color="000000" w:sz="4"/>
            </w:tcBorders>
          </w:tcP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9</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培训教材</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无</w:t>
            </w:r>
          </w:p>
        </w:tc>
      </w:tr>
      <w:tr>
        <w:tc>
          <w:tcPr>
            <w:tcW w:type="dxa" w:w="1121"/>
            <w:vMerge/>
            <w:tcBorders>
              <w:top w:val="none" w:color="000000" w:sz="4"/>
              <w:left w:val="single" w:color="000000" w:sz="8"/>
              <w:bottom w:val="single" w:color="000000" w:sz="4"/>
              <w:right w:val="single" w:color="000000" w:sz="4"/>
            </w:tcBorders>
          </w:tcP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10</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用户手册</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对系统软件及应用软件的使用方法、步骤，系统设置等作出详细说明</w:t>
            </w:r>
          </w:p>
        </w:tc>
      </w:tr>
      <w:tr>
        <w:tc>
          <w:tcPr>
            <w:tcW w:type="dxa" w:w="1121"/>
            <w:vMerge w:val="restart"/>
            <w:tcBorders>
              <w:top w:val="none" w:color="000000" w:sz="4"/>
              <w:left w:val="single" w:color="000000" w:sz="8"/>
              <w:bottom w:val="single" w:color="000000" w:sz="8"/>
              <w:right w:val="single" w:color="000000" w:sz="4"/>
            </w:tcBorders>
            <w:tcMar>
              <w:top w:type="dxa" w:w="15"/>
              <w:left w:type="dxa" w:w="15"/>
              <w:bottom w:type="dxa" w:w="15"/>
              <w:right w:type="dxa" w:w="15"/>
            </w:tcMar>
            <w:vAlign w:val="top"/>
          </w:tcPr>
          <w:p>
            <w:pPr>
              <w:pStyle w:val="null3"/>
              <w:jc w:val="center"/>
            </w:pPr>
            <w:r>
              <w:rPr>
                <w:sz w:val="28"/>
                <w:b/>
                <w:color w:val="000000"/>
              </w:rPr>
              <w:t>项目维护文件</w:t>
            </w: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11</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售后服务保证文件</w:t>
            </w:r>
            <w:r>
              <w:rPr>
                <w:sz w:val="28"/>
                <w:color w:val="000000"/>
              </w:rPr>
              <w:t>(</w:t>
            </w:r>
            <w:r>
              <w:rPr>
                <w:sz w:val="28"/>
                <w:color w:val="000000"/>
              </w:rPr>
              <w:t>维护服务条款及承诺</w:t>
            </w:r>
            <w:r>
              <w:rPr>
                <w:sz w:val="28"/>
                <w:color w:val="000000"/>
              </w:rPr>
              <w:t>)</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根据招标文件及合同规定，并结合项目的实际情况制定</w:t>
            </w:r>
          </w:p>
        </w:tc>
      </w:tr>
      <w:tr>
        <w:tc>
          <w:tcPr>
            <w:tcW w:type="dxa" w:w="1121"/>
            <w:vMerge/>
            <w:tcBorders>
              <w:top w:val="none" w:color="000000" w:sz="4"/>
              <w:left w:val="single" w:color="000000" w:sz="8"/>
              <w:bottom w:val="single" w:color="000000" w:sz="8"/>
              <w:right w:val="single" w:color="000000" w:sz="4"/>
            </w:tcBorders>
          </w:tcPr>
          <w:p/>
        </w:tc>
        <w:tc>
          <w:tcPr>
            <w:tcW w:type="dxa" w:w="716"/>
            <w:tcBorders>
              <w:top w:val="none" w:color="000000" w:sz="4"/>
              <w:left w:val="none" w:color="000000" w:sz="4"/>
              <w:bottom w:val="single" w:color="000000" w:sz="8"/>
              <w:right w:val="single" w:color="000000" w:sz="4"/>
            </w:tcBorders>
            <w:tcMar>
              <w:top w:type="dxa" w:w="15"/>
              <w:left w:type="dxa" w:w="15"/>
              <w:bottom w:type="dxa" w:w="15"/>
              <w:right w:type="dxa" w:w="15"/>
            </w:tcMar>
            <w:vAlign w:val="top"/>
          </w:tcPr>
          <w:p>
            <w:pPr>
              <w:pStyle w:val="null3"/>
              <w:jc w:val="center"/>
            </w:pPr>
            <w:r>
              <w:rPr>
                <w:sz w:val="28"/>
                <w:color w:val="000000"/>
              </w:rPr>
              <w:t>12</w:t>
            </w:r>
          </w:p>
        </w:tc>
        <w:tc>
          <w:tcPr>
            <w:tcW w:type="dxa" w:w="2276"/>
            <w:tcBorders>
              <w:top w:val="none" w:color="000000" w:sz="4"/>
              <w:left w:val="none" w:color="000000" w:sz="4"/>
              <w:bottom w:val="single" w:color="000000" w:sz="8"/>
              <w:right w:val="single" w:color="000000" w:sz="4"/>
            </w:tcBorders>
            <w:tcMar>
              <w:top w:type="dxa" w:w="15"/>
              <w:left w:type="dxa" w:w="15"/>
              <w:bottom w:type="dxa" w:w="15"/>
              <w:right w:type="dxa" w:w="15"/>
            </w:tcMar>
            <w:vAlign w:val="top"/>
          </w:tcPr>
          <w:p>
            <w:pPr>
              <w:pStyle w:val="null3"/>
              <w:jc w:val="center"/>
            </w:pPr>
            <w:r>
              <w:rPr>
                <w:sz w:val="28"/>
                <w:color w:val="000000"/>
              </w:rPr>
              <w:t>维护手册</w:t>
            </w:r>
          </w:p>
        </w:tc>
        <w:tc>
          <w:tcPr>
            <w:tcW w:type="dxa" w:w="419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8"/>
                <w:color w:val="000000"/>
              </w:rPr>
              <w:t>不限于系统配置表、系统结构图、维护管理、故障解决等</w:t>
            </w:r>
          </w:p>
        </w:tc>
      </w:tr>
    </w:tbl>
    <w:p>
      <w:pPr>
        <w:pStyle w:val="null3"/>
        <w:outlineLvl w:val="2"/>
      </w:pPr>
      <w:r>
        <w:rPr>
          <w:sz w:val="32"/>
          <w:b/>
        </w:rPr>
        <w:t>附件</w:t>
      </w:r>
      <w:r>
        <w:rPr>
          <w:sz w:val="32"/>
          <w:b/>
        </w:rPr>
        <w:t>4</w:t>
      </w:r>
      <w:r>
        <w:rPr>
          <w:sz w:val="32"/>
          <w:b/>
        </w:rPr>
        <w:t>：保密协议</w:t>
      </w:r>
    </w:p>
    <w:p>
      <w:pPr>
        <w:pStyle w:val="null3"/>
        <w:ind w:firstLine="602"/>
        <w:jc w:val="center"/>
      </w:pPr>
      <w:r>
        <w:rPr>
          <w:sz w:val="21"/>
          <w:b/>
        </w:rPr>
        <w:t>保密协议</w:t>
      </w:r>
    </w:p>
    <w:p>
      <w:pPr>
        <w:pStyle w:val="null3"/>
        <w:ind w:firstLine="560"/>
        <w:jc w:val="both"/>
      </w:pPr>
      <w:r>
        <w:rPr>
          <w:sz w:val="28"/>
        </w:rPr>
        <w:t>甲方：</w:t>
      </w:r>
    </w:p>
    <w:p>
      <w:pPr>
        <w:pStyle w:val="null3"/>
        <w:ind w:firstLine="560"/>
        <w:jc w:val="both"/>
      </w:pPr>
      <w:r>
        <w:rPr>
          <w:sz w:val="28"/>
        </w:rPr>
        <w:t>乙方：</w:t>
      </w:r>
    </w:p>
    <w:p>
      <w:pPr>
        <w:pStyle w:val="null3"/>
        <w:ind w:firstLine="560"/>
        <w:jc w:val="both"/>
      </w:pPr>
      <w:r>
        <w:rPr>
          <w:sz w:val="28"/>
        </w:rPr>
        <w:t>乙方作为甲方</w:t>
      </w:r>
      <w:r>
        <w:rPr>
          <w:sz w:val="28"/>
          <w:color w:val="FF0000"/>
          <w:u w:val="single"/>
        </w:rPr>
        <w:t>广东省公安厅</w:t>
      </w:r>
      <w:r>
        <w:rPr>
          <w:sz w:val="28"/>
          <w:color w:val="FF0000"/>
          <w:u w:val="single"/>
        </w:rPr>
        <w:t>2024-24</w:t>
      </w:r>
      <w:r>
        <w:rPr>
          <w:sz w:val="28"/>
          <w:color w:val="FF0000"/>
          <w:u w:val="single"/>
        </w:rPr>
        <w:t>交管业务收费对账管理平台开发（</w:t>
      </w:r>
      <w:r>
        <w:rPr>
          <w:sz w:val="28"/>
          <w:color w:val="FF0000"/>
          <w:u w:val="single"/>
        </w:rPr>
        <w:t>2024</w:t>
      </w:r>
      <w:r>
        <w:rPr>
          <w:sz w:val="28"/>
          <w:color w:val="FF0000"/>
          <w:u w:val="single"/>
        </w:rPr>
        <w:t>年）项目</w:t>
      </w:r>
      <w:r>
        <w:rPr>
          <w:sz w:val="28"/>
        </w:rPr>
        <w:t>的工作人员，应严格遵守国家保密法律、法规和相关规定，保守国家秘密和警务工作秘密，遵守以下协议：</w:t>
      </w:r>
    </w:p>
    <w:p>
      <w:pPr>
        <w:pStyle w:val="null3"/>
        <w:ind w:left="240" w:firstLine="600"/>
        <w:jc w:val="both"/>
      </w:pPr>
      <w:r>
        <w:rPr>
          <w:sz w:val="28"/>
        </w:rPr>
        <w:t>一、</w:t>
      </w:r>
      <w:r>
        <w:rPr>
          <w:sz w:val="28"/>
        </w:rPr>
        <w:t>乙方在签订和履行本合同中知悉的甲方的全部信息均为甲方的秘密。</w:t>
      </w:r>
    </w:p>
    <w:p>
      <w:pPr>
        <w:pStyle w:val="null3"/>
        <w:ind w:left="240" w:firstLine="600"/>
        <w:jc w:val="both"/>
      </w:pPr>
      <w:r>
        <w:rPr>
          <w:sz w:val="28"/>
        </w:rPr>
        <w:t>二、</w:t>
      </w:r>
      <w:r>
        <w:rPr>
          <w:sz w:val="28"/>
        </w:rPr>
        <w:t>严格遵守公安机关保密管理工作相关法律、法规，保守在工作中所涉密的秘密，不该说的秘密不说，不该知悉的秘密不问，不该看的秘密不看。</w:t>
      </w:r>
    </w:p>
    <w:p>
      <w:pPr>
        <w:pStyle w:val="null3"/>
        <w:ind w:left="240" w:firstLine="600"/>
        <w:jc w:val="both"/>
      </w:pPr>
      <w:r>
        <w:rPr>
          <w:sz w:val="28"/>
        </w:rPr>
        <w:t>三、</w:t>
      </w:r>
      <w:r>
        <w:rPr>
          <w:sz w:val="28"/>
        </w:rPr>
        <w:t>乙方不得擅自向第三人公开、展示、泄露有关项目成果及相关的软件、源程序代码、文档资料、数据、内部信息、管理制度等内容。</w:t>
      </w:r>
    </w:p>
    <w:p>
      <w:pPr>
        <w:pStyle w:val="null3"/>
        <w:ind w:left="240" w:firstLine="600"/>
        <w:jc w:val="both"/>
      </w:pPr>
      <w:r>
        <w:rPr>
          <w:sz w:val="28"/>
        </w:rPr>
        <w:t>四、</w:t>
      </w:r>
      <w:r>
        <w:rPr>
          <w:sz w:val="28"/>
        </w:rPr>
        <w:t>乙方不得将项目的数据或文档资料用于履行本合同之外的其他用途，即便提供给与履行本合同有关的人员，也应该保密并限于履行合同所需范围内使用。</w:t>
      </w:r>
    </w:p>
    <w:p>
      <w:pPr>
        <w:pStyle w:val="null3"/>
        <w:ind w:left="240" w:firstLine="600"/>
        <w:jc w:val="both"/>
      </w:pPr>
      <w:r>
        <w:rPr>
          <w:sz w:val="28"/>
        </w:rPr>
        <w:t>五、</w:t>
      </w:r>
      <w:r>
        <w:rPr>
          <w:sz w:val="28"/>
        </w:rPr>
        <w:t>不得擅自记录、复制、拍摄、摘抄，收藏在工作中涉及的工作秘密和敏感信息；严禁将公安机关内部会议、谈话内容泄露给无关人员；严禁将工作中涉及的相关项目技术方案及实施规划透露给无关人员。</w:t>
      </w:r>
    </w:p>
    <w:p>
      <w:pPr>
        <w:pStyle w:val="null3"/>
        <w:ind w:left="240" w:firstLine="600"/>
        <w:jc w:val="both"/>
      </w:pPr>
      <w:r>
        <w:rPr>
          <w:sz w:val="28"/>
        </w:rPr>
        <w:t>六、</w:t>
      </w:r>
      <w:r>
        <w:rPr>
          <w:sz w:val="28"/>
        </w:rPr>
        <w:t>不得将机关文件（包括内部发文、各类通知及会议记录等）的内容泄露给无关人员；到上级公安机关工作时，不得随便翻阅与工作无关的文件和资料。</w:t>
      </w:r>
    </w:p>
    <w:p>
      <w:pPr>
        <w:pStyle w:val="null3"/>
        <w:ind w:left="240" w:firstLine="600"/>
        <w:jc w:val="both"/>
      </w:pPr>
      <w:r>
        <w:rPr>
          <w:sz w:val="28"/>
        </w:rPr>
        <w:t>七、</w:t>
      </w:r>
      <w:r>
        <w:rPr>
          <w:sz w:val="28"/>
        </w:rPr>
        <w:t>认真学习和遵守公安信息网使用相关规定，严禁</w:t>
      </w:r>
      <w:r>
        <w:rPr>
          <w:sz w:val="28"/>
        </w:rPr>
        <w:t>“</w:t>
      </w:r>
      <w:r>
        <w:rPr>
          <w:sz w:val="28"/>
        </w:rPr>
        <w:t>一机两用</w:t>
      </w:r>
      <w:r>
        <w:rPr>
          <w:sz w:val="28"/>
        </w:rPr>
        <w:t>”</w:t>
      </w:r>
      <w:r>
        <w:rPr>
          <w:sz w:val="28"/>
        </w:rPr>
        <w:t>，不得将从公安信息网上获得的警务工作相关信息透露给无关人员；严禁私自下载、拷贝计算机内的秘密和敏感内容、内部程序、口令、密钥等泄露给无关人员。</w:t>
      </w:r>
    </w:p>
    <w:p>
      <w:pPr>
        <w:pStyle w:val="null3"/>
        <w:ind w:left="240" w:firstLine="600"/>
        <w:jc w:val="both"/>
      </w:pPr>
      <w:r>
        <w:rPr>
          <w:sz w:val="28"/>
        </w:rPr>
        <w:t>八、</w:t>
      </w:r>
      <w:r>
        <w:rPr>
          <w:sz w:val="28"/>
        </w:rPr>
        <w:t>严禁泄露公安机关科技研究、发明、装备器材及其技术资料等国家科学技术秘密和警务工作秘密；在对外科技交流中，不得泄露和发表涉及公安工作中国家秘密和警务工作秘密的技术文档和论文。</w:t>
      </w:r>
    </w:p>
    <w:p>
      <w:pPr>
        <w:pStyle w:val="null3"/>
        <w:ind w:left="240" w:firstLine="600"/>
        <w:jc w:val="both"/>
      </w:pPr>
      <w:r>
        <w:rPr>
          <w:sz w:val="28"/>
        </w:rPr>
        <w:t>九、</w:t>
      </w:r>
      <w:r>
        <w:rPr>
          <w:sz w:val="28"/>
        </w:rPr>
        <w:t>不得带领无关人员进入涉密办公场所；如需会见亲友，就到单位门口会客室。</w:t>
      </w:r>
    </w:p>
    <w:p>
      <w:pPr>
        <w:pStyle w:val="null3"/>
        <w:ind w:left="240" w:firstLine="600"/>
        <w:jc w:val="both"/>
      </w:pPr>
      <w:r>
        <w:rPr>
          <w:sz w:val="28"/>
        </w:rPr>
        <w:t>十、</w:t>
      </w:r>
      <w:r>
        <w:rPr>
          <w:sz w:val="28"/>
        </w:rPr>
        <w:t>今后乙方如离开甲方工作岗位，不得泄露所知悉的国家秘密和警务工作秘密。</w:t>
      </w:r>
    </w:p>
    <w:p>
      <w:pPr>
        <w:pStyle w:val="null3"/>
        <w:ind w:left="240" w:firstLine="600"/>
        <w:jc w:val="both"/>
      </w:pPr>
      <w:r>
        <w:rPr>
          <w:sz w:val="28"/>
        </w:rPr>
        <w:t>十一、</w:t>
      </w:r>
      <w:r>
        <w:rPr>
          <w:sz w:val="28"/>
        </w:rPr>
        <w:t>无论本合同是否变更、解除、终止，本条款均持续、长期有效。</w:t>
      </w:r>
    </w:p>
    <w:p>
      <w:pPr>
        <w:pStyle w:val="null3"/>
        <w:ind w:firstLine="562"/>
        <w:jc w:val="both"/>
      </w:pPr>
      <w:r>
        <w:rPr>
          <w:sz w:val="28"/>
          <w:b/>
        </w:rPr>
        <w:t>乙方如未能遵守上述协议，有违反保密规定行为而造成泄密的，甲方可依据有关规定追究乙方的责任，并视情作出处理；构成犯罪的，将依法追究刑事责任。</w:t>
      </w:r>
    </w:p>
    <w:p>
      <w:pPr>
        <w:pStyle w:val="null3"/>
        <w:ind w:firstLine="560"/>
        <w:jc w:val="both"/>
      </w:pPr>
      <w:r>
        <w:rPr>
          <w:sz w:val="28"/>
        </w:rPr>
        <w:t>甲方：（盖章）</w:t>
      </w:r>
      <w:r>
        <w:rPr>
          <w:sz w:val="28"/>
        </w:rPr>
        <w:t xml:space="preserve">                 </w:t>
      </w:r>
      <w:r>
        <w:rPr>
          <w:sz w:val="28"/>
        </w:rPr>
        <w:t>乙方：（盖章）</w:t>
      </w:r>
    </w:p>
    <w:p>
      <w:pPr>
        <w:pStyle w:val="null3"/>
        <w:ind w:firstLine="1680"/>
        <w:jc w:val="both"/>
      </w:pPr>
      <w:r>
        <w:rPr>
          <w:sz w:val="28"/>
        </w:rPr>
        <w:t>代表签字：</w:t>
      </w:r>
      <w:r>
        <w:rPr>
          <w:sz w:val="28"/>
        </w:rPr>
        <w:t xml:space="preserve">                    </w:t>
      </w:r>
      <w:r>
        <w:rPr>
          <w:sz w:val="28"/>
        </w:rPr>
        <w:t>签字：</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440001-2024-36221</w:t>
      </w:r>
    </w:p>
    <w:p>
      <w:pPr>
        <w:pStyle w:val="null3"/>
        <w:jc w:val="center"/>
        <w:outlineLvl w:val="3"/>
      </w:pPr>
      <w:r>
        <w:rPr>
          <w:sz w:val="24"/>
          <w:b/>
        </w:rPr>
        <w:t>采购项目编号：</w:t>
      </w:r>
      <w:r>
        <w:rPr>
          <w:sz w:val="24"/>
          <w:b/>
        </w:rPr>
        <w:t>HXGZ202405C571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广东华信招标有限公司</w:t>
      </w:r>
    </w:p>
    <w:p>
      <w:pPr>
        <w:pStyle w:val="null3"/>
        <w:ind w:firstLine="480"/>
      </w:pPr>
      <w:r>
        <w:rPr/>
        <w:t xml:space="preserve"> 你方组织的</w:t>
      </w:r>
      <w:r>
        <w:rPr>
          <w:u w:val="single"/>
        </w:rPr>
        <w:t>“</w:t>
      </w:r>
      <w:r>
        <w:rPr>
          <w:u w:val="single"/>
        </w:rPr>
        <w:t>广东省公安厅2024-24交管业务收费对账管理平台开发（2024年）项目(三次)</w:t>
      </w:r>
      <w:r>
        <w:rPr>
          <w:u w:val="single"/>
        </w:rPr>
        <w:t>”</w:t>
      </w:r>
      <w:r>
        <w:rPr/>
        <w:t>项目的竞争性磋商[采购项目编号为：</w:t>
      </w:r>
      <w:r>
        <w:rPr>
          <w:u w:val="single"/>
        </w:rPr>
        <w:t>HXGZ202405C571</w:t>
      </w:r>
      <w:r>
        <w:rPr/>
        <w:t>]，我方愿参与响应。</w:t>
      </w:r>
    </w:p>
    <w:p>
      <w:pPr>
        <w:pStyle w:val="null3"/>
        <w:ind w:firstLine="480"/>
      </w:pPr>
      <w:r>
        <w:rPr/>
        <w:t>我方确认收到贵方提供的</w:t>
      </w:r>
      <w:r>
        <w:rPr>
          <w:u w:val="single"/>
        </w:rPr>
        <w:t>“</w:t>
      </w:r>
      <w:r>
        <w:rPr>
          <w:u w:val="single"/>
        </w:rPr>
        <w:t>广东省公安厅2024-24交管业务收费对账管理平台开发（2024年）项目(三次)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广东省公安厅2024-24交管业务收费对账管理平台开发（2024年）项目(三次)</w:t>
      </w:r>
      <w:r>
        <w:rPr/>
        <w:t>”项目采购[采购项目编号为</w:t>
      </w:r>
      <w:r>
        <w:rPr/>
        <w:t>HXGZ202405C571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广东省公安厅（本部）</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广东华信招标有限公司</w:t>
      </w:r>
    </w:p>
    <w:p>
      <w:pPr>
        <w:pStyle w:val="null3"/>
        <w:ind w:firstLine="480"/>
      </w:pPr>
      <w:r>
        <w:rPr/>
        <w:t>我单位参加贵公司组织的</w:t>
      </w:r>
      <w:r>
        <w:rPr/>
        <w:t>广东省公安厅2024-24交管业务收费对账管理平台开发（2024年）项目(三次)</w:t>
      </w:r>
      <w:r>
        <w:rPr/>
        <w:t>（采购项目编号：</w:t>
      </w:r>
      <w:r>
        <w:rPr/>
        <w:t>HXGZ202405C571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广东华信招标有限公司</w:t>
      </w:r>
    </w:p>
    <w:p>
      <w:pPr>
        <w:pStyle w:val="null3"/>
        <w:ind w:firstLine="480"/>
      </w:pPr>
      <w:r>
        <w:rPr/>
        <w:t>我单位已登记并准备参与“</w:t>
      </w:r>
      <w:r>
        <w:rPr/>
        <w:t>广东省公安厅2024-24交管业务收费对账管理平台开发（2024年）项目(三次)</w:t>
      </w:r>
      <w:r>
        <w:rPr/>
        <w:t>”项目（采购项目编号：</w:t>
      </w:r>
      <w:r>
        <w:rPr/>
        <w:t>HXGZ202405C571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