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版本号：241120002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盐边县中小学校教室健康光源建设项目</w:t>
      </w:r>
    </w:p>
    <w:p>
      <w:pPr>
        <w:pStyle w:val="null3"/>
        <w:jc w:val="center"/>
        <w:outlineLvl w:val="2"/>
      </w:pPr>
      <w:r>
        <w:rPr>
          <w:b/>
          <w:sz w:val="28"/>
        </w:rPr>
        <w:t>采购项目编号：</w:t>
      </w:r>
      <w:r>
        <w:rPr>
          <w:b/>
          <w:sz w:val="28"/>
        </w:rPr>
        <w:t>N5104222024000082</w:t>
      </w:r>
    </w:p>
    <w:p>
      <w:pPr>
        <w:pStyle w:val="null3"/>
        <w:jc w:val="left"/>
        <w:outlineLvl w:val="2"/>
      </w:pPr>
      <w:r>
        <w:rPr>
          <w:b/>
          <w:sz w:val="28"/>
        </w:rPr>
        <w:t>盐边县教育和体育局</w:t>
      </w:r>
    </w:p>
    <w:p>
      <w:pPr>
        <w:pStyle w:val="null3"/>
        <w:jc w:val="center"/>
        <w:outlineLvl w:val="2"/>
      </w:pPr>
      <w:r>
        <w:rPr>
          <w:b/>
          <w:sz w:val="28"/>
        </w:rPr>
        <w:t>四川犇源项目管理有限公司</w:t>
      </w:r>
      <w:r>
        <w:rPr>
          <w:b/>
          <w:sz w:val="28"/>
        </w:rPr>
        <w:t>共同编制</w:t>
      </w:r>
    </w:p>
    <w:p>
      <w:pPr>
        <w:pStyle w:val="null3"/>
        <w:jc w:val="center"/>
      </w:pPr>
      <w:r>
        <w:rPr/>
        <w:t>2024年10月31日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四川犇源项目管理有限公司</w:t>
      </w:r>
      <w:r>
        <w:rPr/>
        <w:t xml:space="preserve"> （以下简称“代理机构”）受 </w:t>
      </w:r>
      <w:r>
        <w:rPr/>
        <w:t>盐边县教育和体育局</w:t>
      </w:r>
      <w:r>
        <w:rPr/>
        <w:t xml:space="preserve"> 委托，拟对 </w:t>
      </w:r>
      <w:r>
        <w:rPr/>
        <w:t>盐边县中小学校教室健康光源建设项目</w:t>
      </w:r>
      <w:r>
        <w:rPr/>
        <w:t xml:space="preserve"> 采用公开招标方式进行采购，兹邀请符合本次招标要求的供应商参加投标。本项目为四川省</w:t>
      </w:r>
      <w:r>
        <w:rPr/>
        <w:t>攀枝花市盐边县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N5104222024000082</w:t>
      </w:r>
    </w:p>
    <w:p>
      <w:pPr>
        <w:pStyle w:val="null3"/>
        <w:jc w:val="left"/>
        <w:outlineLvl w:val="2"/>
      </w:pPr>
      <w:r>
        <w:rPr>
          <w:b/>
          <w:sz w:val="28"/>
        </w:rPr>
        <w:t>1.2.采购项目名称</w:t>
      </w:r>
      <w:r>
        <w:rPr>
          <w:b/>
          <w:sz w:val="28"/>
        </w:rPr>
        <w:t xml:space="preserve">： </w:t>
      </w:r>
      <w:r>
        <w:rPr>
          <w:b/>
          <w:sz w:val="28"/>
        </w:rPr>
        <w:t>盐边县中小学校教室健康光源建设项目</w:t>
      </w:r>
    </w:p>
    <w:p>
      <w:pPr>
        <w:pStyle w:val="null3"/>
        <w:jc w:val="left"/>
        <w:outlineLvl w:val="2"/>
      </w:pPr>
      <w:r>
        <w:rPr>
          <w:b/>
          <w:sz w:val="28"/>
        </w:rPr>
        <w:t>1.3.招标项目简介</w:t>
      </w:r>
    </w:p>
    <w:p>
      <w:pPr>
        <w:pStyle w:val="null3"/>
        <w:ind w:firstLine="480"/>
        <w:jc w:val="left"/>
      </w:pPr>
      <w:r>
        <w:rPr/>
        <w:t>采购盐边县中小学校教室健康光源。</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盐边县教育和体育局</w:t>
      </w:r>
    </w:p>
    <w:p>
      <w:pPr>
        <w:pStyle w:val="null3"/>
        <w:ind w:firstLine="480"/>
        <w:jc w:val="left"/>
      </w:pPr>
      <w:r>
        <w:rPr/>
        <w:t xml:space="preserve"> 地址： </w:t>
      </w:r>
      <w:r>
        <w:rPr/>
        <w:t>四川省攀枝花市盐边县桐子林镇西城街114号</w:t>
      </w:r>
    </w:p>
    <w:p>
      <w:pPr>
        <w:pStyle w:val="null3"/>
        <w:jc w:val="left"/>
      </w:pPr>
      <w:r>
        <w:rPr/>
        <w:t xml:space="preserve"> 邮编： </w:t>
      </w:r>
      <w:r>
        <w:rPr/>
        <w:t>617100</w:t>
      </w:r>
    </w:p>
    <w:p>
      <w:pPr>
        <w:pStyle w:val="null3"/>
        <w:jc w:val="left"/>
      </w:pPr>
      <w:r>
        <w:rPr/>
        <w:t xml:space="preserve"> 联系人： </w:t>
      </w:r>
      <w:r>
        <w:rPr/>
        <w:t>王老师</w:t>
      </w:r>
    </w:p>
    <w:p>
      <w:pPr>
        <w:pStyle w:val="null3"/>
        <w:jc w:val="left"/>
      </w:pPr>
      <w:r>
        <w:rPr/>
        <w:t xml:space="preserve"> 联系电话： </w:t>
      </w:r>
      <w:r>
        <w:rPr/>
        <w:t>0812-8653865</w:t>
      </w:r>
    </w:p>
    <w:p>
      <w:pPr>
        <w:pStyle w:val="null3"/>
        <w:ind w:firstLine="480"/>
        <w:jc w:val="left"/>
      </w:pPr>
      <w:r>
        <w:rPr>
          <w:b/>
        </w:rPr>
        <w:t>代理机构</w:t>
      </w:r>
      <w:r>
        <w:rPr>
          <w:b/>
        </w:rPr>
        <w:t xml:space="preserve">： </w:t>
      </w:r>
      <w:r>
        <w:rPr>
          <w:b/>
        </w:rPr>
        <w:t>四川犇源项目管理有限公司</w:t>
      </w:r>
    </w:p>
    <w:p>
      <w:pPr>
        <w:pStyle w:val="null3"/>
        <w:ind w:firstLine="480"/>
        <w:jc w:val="left"/>
      </w:pPr>
      <w:r>
        <w:rPr/>
        <w:t xml:space="preserve"> 地址： </w:t>
      </w:r>
      <w:r>
        <w:rPr/>
        <w:t>攀枝花市仁和区红桐树街8号</w:t>
      </w:r>
    </w:p>
    <w:p>
      <w:pPr>
        <w:pStyle w:val="null3"/>
        <w:jc w:val="left"/>
      </w:pPr>
      <w:r>
        <w:rPr/>
        <w:t xml:space="preserve"> 邮编： </w:t>
      </w:r>
      <w:r>
        <w:rPr/>
        <w:t>617000</w:t>
      </w:r>
    </w:p>
    <w:p>
      <w:pPr>
        <w:pStyle w:val="null3"/>
        <w:jc w:val="left"/>
      </w:pPr>
      <w:r>
        <w:rPr/>
        <w:t xml:space="preserve"> 联系人： </w:t>
      </w:r>
      <w:r>
        <w:rPr/>
        <w:t>胡女士、宋女士</w:t>
      </w:r>
    </w:p>
    <w:p>
      <w:pPr>
        <w:pStyle w:val="null3"/>
        <w:jc w:val="left"/>
      </w:pPr>
      <w:r>
        <w:rPr/>
        <w:t xml:space="preserve"> 联系电话： </w:t>
      </w:r>
      <w:r>
        <w:rPr/>
        <w:t>0812-5600119、0812-2518798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采购包1：3,710,000.00元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代理服务费收费标准：以中标（成交）金额作为计算基数,按照中标（成交）金额的 1.5%收取,由中标（成交）人承担并在领取中标通知书前向代理机构交纳采购代理服务费。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rFonts w:ascii="宋体" w:hAnsi="宋体" w:cs="宋体" w:eastAsia="宋体"/>
                <w:sz w:val="21"/>
              </w:rPr>
              <w:t>不组织。</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盐边县教育和体育局</w:t>
      </w:r>
      <w:r>
        <w:rPr/>
        <w:t xml:space="preserve"> 和 </w:t>
      </w:r>
      <w:r>
        <w:rPr/>
        <w:t>四川犇源项目管理有限公司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盐边县教育和体育局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四川犇源项目管理有限公司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是</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供货完成后</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按照本项目招标文件中“技术、服务要求”及中标人投标文件进行验收。</w:t>
      </w:r>
    </w:p>
    <w:p>
      <w:pPr>
        <w:pStyle w:val="null3"/>
        <w:ind w:firstLine="480"/>
        <w:jc w:val="left"/>
      </w:pPr>
      <w:r>
        <w:rPr/>
        <w:t>十、商务履约验收内容：</w:t>
      </w:r>
    </w:p>
    <w:p>
      <w:pPr>
        <w:pStyle w:val="null3"/>
        <w:ind w:firstLine="480"/>
        <w:jc w:val="left"/>
      </w:pPr>
      <w:r>
        <w:rPr/>
        <w:t>采购包1：</w:t>
      </w:r>
      <w:r>
        <w:rPr/>
        <w:t>按照本项目招标文件中“商务要求”及中标人投标文件进行验收。</w:t>
      </w:r>
    </w:p>
    <w:p>
      <w:pPr>
        <w:pStyle w:val="null3"/>
        <w:ind w:firstLine="480"/>
        <w:jc w:val="left"/>
      </w:pPr>
      <w:r>
        <w:rPr/>
        <w:t>十一、履约验收标准：</w:t>
      </w:r>
    </w:p>
    <w:p>
      <w:pPr>
        <w:pStyle w:val="null3"/>
        <w:ind w:firstLine="480"/>
        <w:jc w:val="left"/>
      </w:pPr>
      <w:r>
        <w:rPr/>
        <w:t>采购包1：</w:t>
      </w:r>
      <w:r>
        <w:rPr/>
        <w:t>如出现未在招标文件中明确规定的，以国家或行业相关标准为准。如采购双方如对质量要求和技术指标的约定标准有相互抵触或异议的事项，由招标人在招标文件与投标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招标人承担检测费用，如检测不合格由中标人承担。验收的主要依据如下:（1）国家相关的法律法规；（2）国家或行业相关标准规范；（3）本项目招标文件、中标人投标文件；（4）项目合同及其附件；（5）其他相关文件资料。</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盐边县教育和体育局</w:t>
      </w:r>
      <w:r>
        <w:rPr/>
        <w:t xml:space="preserve"> 负责答复；投标人对除采购需求外的招标文件的询问、质疑由 </w:t>
      </w:r>
      <w:r>
        <w:rPr/>
        <w:t>四川犇源项目管理有限公司</w:t>
      </w:r>
      <w:r>
        <w:rPr/>
        <w:t xml:space="preserve"> 负责答复；投标人对采购过程、采购结果的询问、质疑由 </w:t>
      </w:r>
      <w:r>
        <w:rPr/>
        <w:t>四川犇源项目管理有限公司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联系人：王老师</w:t>
      </w:r>
    </w:p>
    <w:p>
      <w:pPr>
        <w:pStyle w:val="null3"/>
        <w:jc w:val="left"/>
      </w:pPr>
      <w:r>
        <w:rPr/>
        <w:t>联系电话：0812-8653865</w:t>
      </w:r>
    </w:p>
    <w:p>
      <w:pPr>
        <w:pStyle w:val="null3"/>
        <w:jc w:val="left"/>
      </w:pPr>
      <w:r>
        <w:rPr/>
        <w:t>地址：四川省攀枝花市盐边县桐子林镇西城街114号</w:t>
      </w:r>
    </w:p>
    <w:p>
      <w:pPr>
        <w:pStyle w:val="null3"/>
        <w:jc w:val="left"/>
      </w:pPr>
      <w:r>
        <w:rPr/>
        <w:t>邮编：617100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3,710,000.00</w:t>
      </w:r>
    </w:p>
    <w:p>
      <w:pPr>
        <w:pStyle w:val="null3"/>
        <w:jc w:val="left"/>
      </w:pPr>
      <w:r>
        <w:rPr/>
        <w:t>采购包最高限价（元）: 3,489,255.00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室内照明灯具</w:t>
            </w:r>
          </w:p>
        </w:tc>
        <w:tc>
          <w:tcPr>
            <w:tcW w:type="dxa" w:w="821"/>
          </w:tcPr>
          <w:p>
            <w:pPr>
              <w:pStyle w:val="null3"/>
              <w:jc w:val="left"/>
            </w:pPr>
            <w:r>
              <w:rPr/>
              <w:t>智能LED教室灯</w:t>
            </w:r>
          </w:p>
        </w:tc>
        <w:tc>
          <w:tcPr>
            <w:tcW w:type="dxa" w:w="821"/>
          </w:tcPr>
          <w:p>
            <w:pPr>
              <w:pStyle w:val="null3"/>
              <w:jc w:val="right"/>
            </w:pPr>
            <w:r>
              <w:rPr/>
              <w:t>3,339.00（套）</w:t>
            </w:r>
          </w:p>
        </w:tc>
        <w:tc>
          <w:tcPr>
            <w:tcW w:type="dxa" w:w="821"/>
          </w:tcPr>
          <w:p>
            <w:pPr>
              <w:pStyle w:val="null3"/>
              <w:jc w:val="right"/>
            </w:pPr>
            <w:r>
              <w:rPr/>
              <w:t>2,654,505.00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r>
        <w:tc>
          <w:tcPr>
            <w:tcW w:type="dxa" w:w="456"/>
          </w:tcPr>
          <w:p>
            <w:pPr>
              <w:pStyle w:val="null3"/>
              <w:jc w:val="left"/>
            </w:pPr>
            <w:r>
              <w:rPr/>
              <w:t>2</w:t>
            </w:r>
          </w:p>
        </w:tc>
        <w:tc>
          <w:tcPr>
            <w:tcW w:type="dxa" w:w="821"/>
          </w:tcPr>
          <w:p>
            <w:pPr>
              <w:pStyle w:val="null3"/>
              <w:jc w:val="left"/>
            </w:pPr>
            <w:r>
              <w:rPr/>
              <w:t>室内照明灯具</w:t>
            </w:r>
          </w:p>
        </w:tc>
        <w:tc>
          <w:tcPr>
            <w:tcW w:type="dxa" w:w="821"/>
          </w:tcPr>
          <w:p>
            <w:pPr>
              <w:pStyle w:val="null3"/>
              <w:jc w:val="left"/>
            </w:pPr>
            <w:r>
              <w:rPr/>
              <w:t>智能LED黑板灯</w:t>
            </w:r>
          </w:p>
        </w:tc>
        <w:tc>
          <w:tcPr>
            <w:tcW w:type="dxa" w:w="821"/>
          </w:tcPr>
          <w:p>
            <w:pPr>
              <w:pStyle w:val="null3"/>
              <w:jc w:val="right"/>
            </w:pPr>
            <w:r>
              <w:rPr/>
              <w:t>1,113.00（套）</w:t>
            </w:r>
          </w:p>
        </w:tc>
        <w:tc>
          <w:tcPr>
            <w:tcW w:type="dxa" w:w="821"/>
          </w:tcPr>
          <w:p>
            <w:pPr>
              <w:pStyle w:val="null3"/>
              <w:jc w:val="right"/>
            </w:pPr>
            <w:r>
              <w:rPr/>
              <w:t>834,750.00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智能LED教室灯</w:t>
            </w:r>
          </w:p>
        </w:tc>
        <w:tc>
          <w:tcPr>
            <w:tcW w:type="dxa" w:w="977"/>
          </w:tcPr>
          <w:p>
            <w:pPr>
              <w:pStyle w:val="null3"/>
              <w:jc w:val="right"/>
            </w:pPr>
            <w:r>
              <w:rPr/>
              <w:t>3,339.00（套）</w:t>
            </w:r>
          </w:p>
        </w:tc>
        <w:tc>
          <w:tcPr>
            <w:tcW w:type="dxa" w:w="1173"/>
          </w:tcPr>
          <w:p>
            <w:pPr>
              <w:pStyle w:val="null3"/>
              <w:jc w:val="right"/>
            </w:pPr>
            <w:r>
              <w:rPr/>
              <w:t>795（元）</w:t>
            </w:r>
          </w:p>
        </w:tc>
        <w:tc>
          <w:tcPr>
            <w:tcW w:type="dxa" w:w="1173"/>
          </w:tcPr>
          <w:p>
            <w:pPr>
              <w:pStyle w:val="null3"/>
              <w:jc w:val="right"/>
            </w:pPr>
            <w:r>
              <w:rPr/>
              <w:t>2,654,505.00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智能LED黑板灯</w:t>
            </w:r>
          </w:p>
        </w:tc>
        <w:tc>
          <w:tcPr>
            <w:tcW w:type="dxa" w:w="977"/>
          </w:tcPr>
          <w:p>
            <w:pPr>
              <w:pStyle w:val="null3"/>
              <w:jc w:val="right"/>
            </w:pPr>
            <w:r>
              <w:rPr/>
              <w:t>1,113.00（套）</w:t>
            </w:r>
          </w:p>
        </w:tc>
        <w:tc>
          <w:tcPr>
            <w:tcW w:type="dxa" w:w="1173"/>
          </w:tcPr>
          <w:p>
            <w:pPr>
              <w:pStyle w:val="null3"/>
              <w:jc w:val="right"/>
            </w:pPr>
            <w:r>
              <w:rPr/>
              <w:t>750（元）</w:t>
            </w:r>
          </w:p>
        </w:tc>
        <w:tc>
          <w:tcPr>
            <w:tcW w:type="dxa" w:w="1173"/>
          </w:tcPr>
          <w:p>
            <w:pPr>
              <w:pStyle w:val="null3"/>
              <w:jc w:val="right"/>
            </w:pPr>
            <w:r>
              <w:rPr/>
              <w:t>834,750.00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室内照明灯具</w:t>
            </w:r>
          </w:p>
        </w:tc>
        <w:tc>
          <w:tcPr>
            <w:tcW w:type="dxa" w:w="2492"/>
          </w:tcPr>
          <w:p>
            <w:pPr>
              <w:pStyle w:val="null3"/>
              <w:jc w:val="left"/>
            </w:pPr>
            <w:r>
              <w:rPr/>
              <w:t>智能LED教室灯</w:t>
            </w:r>
          </w:p>
        </w:tc>
        <w:tc>
          <w:tcPr>
            <w:tcW w:type="dxa" w:w="2492"/>
          </w:tcPr>
          <w:p>
            <w:pPr>
              <w:pStyle w:val="null3"/>
              <w:jc w:val="left"/>
            </w:pPr>
            <w:r>
              <w:rPr/>
              <w:t>智能LED教室灯</w:t>
            </w:r>
          </w:p>
        </w:tc>
      </w:tr>
      <w:tr>
        <w:tc>
          <w:tcPr>
            <w:tcW w:type="dxa" w:w="831"/>
          </w:tcPr>
          <w:p>
            <w:pPr>
              <w:pStyle w:val="null3"/>
              <w:jc w:val="left"/>
            </w:pPr>
            <w:r>
              <w:rPr/>
              <w:t>2</w:t>
            </w:r>
          </w:p>
        </w:tc>
        <w:tc>
          <w:tcPr>
            <w:tcW w:type="dxa" w:w="2492"/>
          </w:tcPr>
          <w:p>
            <w:pPr>
              <w:pStyle w:val="null3"/>
              <w:jc w:val="left"/>
            </w:pPr>
            <w:r>
              <w:rPr/>
              <w:t>室内照明灯具</w:t>
            </w:r>
          </w:p>
        </w:tc>
        <w:tc>
          <w:tcPr>
            <w:tcW w:type="dxa" w:w="2492"/>
          </w:tcPr>
          <w:p>
            <w:pPr>
              <w:pStyle w:val="null3"/>
              <w:jc w:val="left"/>
            </w:pPr>
            <w:r>
              <w:rPr/>
              <w:t>智能LED黑板灯</w:t>
            </w:r>
          </w:p>
        </w:tc>
        <w:tc>
          <w:tcPr>
            <w:tcW w:type="dxa" w:w="2492"/>
          </w:tcPr>
          <w:p>
            <w:pPr>
              <w:pStyle w:val="null3"/>
              <w:jc w:val="left"/>
            </w:pPr>
            <w:r>
              <w:rPr/>
              <w:t>智能LED黑板灯</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室内照明灯具</w:t>
            </w:r>
          </w:p>
        </w:tc>
        <w:tc>
          <w:tcPr>
            <w:tcW w:type="dxa" w:w="2492"/>
          </w:tcPr>
          <w:p>
            <w:pPr>
              <w:pStyle w:val="null3"/>
              <w:jc w:val="left"/>
            </w:pPr>
            <w:r>
              <w:rPr/>
              <w:t>智能LED教室灯</w:t>
            </w:r>
          </w:p>
        </w:tc>
        <w:tc>
          <w:tcPr>
            <w:tcW w:type="dxa" w:w="2492"/>
          </w:tcPr>
          <w:p>
            <w:pPr>
              <w:pStyle w:val="null3"/>
              <w:jc w:val="left"/>
            </w:pPr>
            <w:r>
              <w:rPr/>
              <w:t>智能LED教室灯</w:t>
            </w:r>
          </w:p>
        </w:tc>
      </w:tr>
      <w:tr>
        <w:tc>
          <w:tcPr>
            <w:tcW w:type="dxa" w:w="831"/>
          </w:tcPr>
          <w:p>
            <w:pPr>
              <w:pStyle w:val="null3"/>
              <w:jc w:val="left"/>
            </w:pPr>
            <w:r>
              <w:rPr/>
              <w:t>2</w:t>
            </w:r>
          </w:p>
        </w:tc>
        <w:tc>
          <w:tcPr>
            <w:tcW w:type="dxa" w:w="2492"/>
          </w:tcPr>
          <w:p>
            <w:pPr>
              <w:pStyle w:val="null3"/>
              <w:jc w:val="left"/>
            </w:pPr>
            <w:r>
              <w:rPr/>
              <w:t>室内照明灯具</w:t>
            </w:r>
          </w:p>
        </w:tc>
        <w:tc>
          <w:tcPr>
            <w:tcW w:type="dxa" w:w="2492"/>
          </w:tcPr>
          <w:p>
            <w:pPr>
              <w:pStyle w:val="null3"/>
              <w:jc w:val="left"/>
            </w:pPr>
            <w:r>
              <w:rPr/>
              <w:t>智能LED黑板灯</w:t>
            </w:r>
          </w:p>
        </w:tc>
        <w:tc>
          <w:tcPr>
            <w:tcW w:type="dxa" w:w="2492"/>
          </w:tcPr>
          <w:p>
            <w:pPr>
              <w:pStyle w:val="null3"/>
              <w:jc w:val="left"/>
            </w:pPr>
            <w:r>
              <w:rPr/>
              <w:t>智能LED黑板灯</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室内照明灯具</w:t>
            </w:r>
          </w:p>
        </w:tc>
        <w:tc>
          <w:tcPr>
            <w:tcW w:type="dxa" w:w="2492"/>
          </w:tcPr>
          <w:p>
            <w:pPr>
              <w:pStyle w:val="null3"/>
              <w:jc w:val="left"/>
            </w:pPr>
            <w:r>
              <w:rPr/>
              <w:t>智能LED教室灯</w:t>
            </w:r>
          </w:p>
        </w:tc>
        <w:tc>
          <w:tcPr>
            <w:tcW w:type="dxa" w:w="2492"/>
          </w:tcPr>
          <w:p>
            <w:pPr>
              <w:pStyle w:val="null3"/>
              <w:jc w:val="left"/>
            </w:pPr>
            <w:r>
              <w:rPr/>
              <w:t>智能LED教室灯</w:t>
            </w:r>
          </w:p>
        </w:tc>
      </w:tr>
      <w:tr>
        <w:tc>
          <w:tcPr>
            <w:tcW w:type="dxa" w:w="831"/>
          </w:tcPr>
          <w:p>
            <w:pPr>
              <w:pStyle w:val="null3"/>
              <w:jc w:val="left"/>
            </w:pPr>
            <w:r>
              <w:rPr/>
              <w:t>2</w:t>
            </w:r>
          </w:p>
        </w:tc>
        <w:tc>
          <w:tcPr>
            <w:tcW w:type="dxa" w:w="2492"/>
          </w:tcPr>
          <w:p>
            <w:pPr>
              <w:pStyle w:val="null3"/>
              <w:jc w:val="left"/>
            </w:pPr>
            <w:r>
              <w:rPr/>
              <w:t>室内照明灯具</w:t>
            </w:r>
          </w:p>
        </w:tc>
        <w:tc>
          <w:tcPr>
            <w:tcW w:type="dxa" w:w="2492"/>
          </w:tcPr>
          <w:p>
            <w:pPr>
              <w:pStyle w:val="null3"/>
              <w:jc w:val="left"/>
            </w:pPr>
            <w:r>
              <w:rPr/>
              <w:t>智能LED黑板灯</w:t>
            </w:r>
          </w:p>
        </w:tc>
        <w:tc>
          <w:tcPr>
            <w:tcW w:type="dxa" w:w="2492"/>
          </w:tcPr>
          <w:p>
            <w:pPr>
              <w:pStyle w:val="null3"/>
              <w:jc w:val="left"/>
            </w:pPr>
            <w:r>
              <w:rPr/>
              <w:t>智能LED黑板灯</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标的名称：智能LED教室灯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ind w:right="105"/>
              <w:jc w:val="both"/>
            </w:pPr>
            <w:r>
              <w:rPr>
                <w:rFonts w:ascii="宋体" w:hAnsi="宋体" w:cs="宋体" w:eastAsia="宋体"/>
                <w:sz w:val="24"/>
              </w:rPr>
              <w:t>1、一体式微晶防眩面板LED灯具；灯具主框体采用：≥0.4mm铝型材等轻型、坚固金属材料，并经氧化处理，无毛刺，具备防锈功能；尺寸长度≥1200mm；吊杆式安装</w:t>
            </w:r>
            <w:r>
              <w:rPr>
                <w:rFonts w:ascii="宋体" w:hAnsi="宋体" w:cs="宋体" w:eastAsia="宋体"/>
                <w:sz w:val="24"/>
              </w:rPr>
              <w:t>。</w:t>
            </w:r>
          </w:p>
          <w:p>
            <w:pPr>
              <w:pStyle w:val="null3"/>
              <w:ind w:right="105"/>
              <w:jc w:val="both"/>
            </w:pPr>
            <w:r>
              <w:rPr>
                <w:rFonts w:ascii="宋体" w:hAnsi="宋体" w:cs="宋体" w:eastAsia="宋体"/>
                <w:sz w:val="24"/>
              </w:rPr>
              <w:t>▲2、色温满足3300-5300K；LED教室灯色彩保真度Rf≥95。</w:t>
            </w:r>
          </w:p>
          <w:p>
            <w:pPr>
              <w:pStyle w:val="null3"/>
              <w:ind w:right="105"/>
              <w:jc w:val="both"/>
            </w:pPr>
            <w:r>
              <w:rPr>
                <w:rFonts w:ascii="宋体" w:hAnsi="宋体" w:cs="宋体" w:eastAsia="宋体"/>
                <w:sz w:val="24"/>
              </w:rPr>
              <w:t>3、</w:t>
            </w:r>
            <w:r>
              <w:rPr>
                <w:rFonts w:ascii="宋体" w:hAnsi="宋体" w:cs="宋体" w:eastAsia="宋体"/>
                <w:sz w:val="24"/>
              </w:rPr>
              <w:t>寿命</w:t>
            </w:r>
            <w:r>
              <w:rPr>
                <w:rFonts w:ascii="宋体" w:hAnsi="宋体" w:cs="宋体" w:eastAsia="宋体"/>
                <w:sz w:val="24"/>
              </w:rPr>
              <w:t>≥50000小时</w:t>
            </w:r>
            <w:r>
              <w:rPr>
                <w:rFonts w:ascii="宋体" w:hAnsi="宋体" w:cs="宋体" w:eastAsia="宋体"/>
                <w:sz w:val="24"/>
              </w:rPr>
              <w:t>。</w:t>
            </w:r>
            <w:r>
              <w:rPr>
                <w:rFonts w:ascii="宋体" w:hAnsi="宋体" w:cs="宋体" w:eastAsia="宋体"/>
                <w:b/>
                <w:sz w:val="24"/>
              </w:rPr>
              <w:t>（提供具有法定资质的检测机构出具的检测报告并加盖投标人公章）</w:t>
            </w:r>
          </w:p>
          <w:p>
            <w:pPr>
              <w:pStyle w:val="null3"/>
              <w:ind w:right="105"/>
              <w:jc w:val="both"/>
            </w:pPr>
            <w:r>
              <w:rPr>
                <w:rFonts w:ascii="宋体" w:hAnsi="宋体" w:cs="宋体" w:eastAsia="宋体"/>
                <w:sz w:val="24"/>
              </w:rPr>
              <w:t>4、</w:t>
            </w:r>
            <w:r>
              <w:rPr>
                <w:rFonts w:ascii="宋体" w:hAnsi="宋体" w:cs="宋体" w:eastAsia="宋体"/>
                <w:sz w:val="24"/>
              </w:rPr>
              <w:t>照明功率密度</w:t>
            </w:r>
            <w:r>
              <w:rPr>
                <w:rFonts w:ascii="宋体" w:hAnsi="宋体" w:cs="宋体" w:eastAsia="宋体"/>
                <w:sz w:val="24"/>
              </w:rPr>
              <w:t>≤9W/㎡，维持平均照度≥300lx，均匀度≥0.7，统一眩光值≤16。</w:t>
            </w:r>
            <w:r>
              <w:rPr>
                <w:rFonts w:ascii="宋体" w:hAnsi="宋体" w:cs="宋体" w:eastAsia="宋体"/>
                <w:b/>
                <w:sz w:val="24"/>
              </w:rPr>
              <w:t>（提供具有法定资质的检测机构出具的检测报告并加盖投标人公章）</w:t>
            </w:r>
          </w:p>
          <w:p>
            <w:pPr>
              <w:pStyle w:val="null3"/>
              <w:ind w:right="105"/>
              <w:jc w:val="both"/>
            </w:pPr>
            <w:r>
              <w:rPr>
                <w:rFonts w:ascii="宋体" w:hAnsi="宋体" w:cs="宋体" w:eastAsia="宋体"/>
                <w:sz w:val="24"/>
              </w:rPr>
              <w:t>5</w:t>
            </w:r>
            <w:r>
              <w:rPr>
                <w:rFonts w:ascii="宋体" w:hAnsi="宋体" w:cs="宋体" w:eastAsia="宋体"/>
                <w:sz w:val="24"/>
              </w:rPr>
              <w:t>、显色指数满足</w:t>
            </w:r>
            <w:r>
              <w:rPr>
                <w:rFonts w:ascii="宋体" w:hAnsi="宋体" w:cs="宋体" w:eastAsia="宋体"/>
                <w:sz w:val="24"/>
              </w:rPr>
              <w:t>Ra≥9</w:t>
            </w:r>
            <w:r>
              <w:rPr>
                <w:rFonts w:ascii="宋体" w:hAnsi="宋体" w:cs="宋体" w:eastAsia="宋体"/>
                <w:sz w:val="24"/>
              </w:rPr>
              <w:t>5</w:t>
            </w:r>
            <w:r>
              <w:rPr>
                <w:rFonts w:ascii="宋体" w:hAnsi="宋体" w:cs="宋体" w:eastAsia="宋体"/>
                <w:sz w:val="24"/>
              </w:rPr>
              <w:t>、</w:t>
            </w:r>
            <w:r>
              <w:rPr>
                <w:rFonts w:ascii="宋体" w:hAnsi="宋体" w:cs="宋体" w:eastAsia="宋体"/>
                <w:sz w:val="24"/>
              </w:rPr>
              <w:t>R9≥</w:t>
            </w:r>
            <w:r>
              <w:rPr>
                <w:rFonts w:ascii="宋体" w:hAnsi="宋体" w:cs="宋体" w:eastAsia="宋体"/>
                <w:sz w:val="24"/>
              </w:rPr>
              <w:t>85</w:t>
            </w:r>
            <w:r>
              <w:rPr>
                <w:rFonts w:ascii="宋体" w:hAnsi="宋体" w:cs="宋体" w:eastAsia="宋体"/>
                <w:sz w:val="24"/>
              </w:rPr>
              <w:t>；色容差</w:t>
            </w:r>
            <w:r>
              <w:rPr>
                <w:rFonts w:ascii="宋体" w:hAnsi="宋体" w:cs="宋体" w:eastAsia="宋体"/>
                <w:sz w:val="24"/>
              </w:rPr>
              <w:t>≤5SDCM。</w:t>
            </w:r>
            <w:r>
              <w:rPr>
                <w:rFonts w:ascii="宋体" w:hAnsi="宋体" w:cs="宋体" w:eastAsia="宋体"/>
                <w:b/>
                <w:sz w:val="24"/>
              </w:rPr>
              <w:t>（提供具有法定资质的检测机构出具的检测报告并加盖投标人公章）</w:t>
            </w:r>
          </w:p>
          <w:p>
            <w:pPr>
              <w:pStyle w:val="null3"/>
              <w:ind w:right="105"/>
              <w:jc w:val="both"/>
            </w:pPr>
            <w:r>
              <w:rPr>
                <w:rFonts w:ascii="宋体" w:hAnsi="宋体" w:cs="宋体" w:eastAsia="宋体"/>
                <w:sz w:val="24"/>
              </w:rPr>
              <w:t>6</w:t>
            </w:r>
            <w:r>
              <w:rPr>
                <w:rFonts w:ascii="宋体" w:hAnsi="宋体" w:cs="宋体" w:eastAsia="宋体"/>
                <w:sz w:val="24"/>
              </w:rPr>
              <w:t>、智能</w:t>
            </w:r>
            <w:r>
              <w:rPr>
                <w:rFonts w:ascii="宋体" w:hAnsi="宋体" w:cs="宋体" w:eastAsia="宋体"/>
                <w:sz w:val="24"/>
              </w:rPr>
              <w:t>LED教室灯密封防尘满足IP40或以上等级要求。</w:t>
            </w:r>
          </w:p>
          <w:p>
            <w:pPr>
              <w:pStyle w:val="null3"/>
              <w:ind w:right="105"/>
              <w:jc w:val="both"/>
            </w:pPr>
            <w:r>
              <w:rPr>
                <w:rFonts w:ascii="宋体" w:hAnsi="宋体" w:cs="宋体" w:eastAsia="宋体"/>
                <w:sz w:val="24"/>
              </w:rPr>
              <w:t>7</w:t>
            </w:r>
            <w:r>
              <w:rPr>
                <w:rFonts w:ascii="宋体" w:hAnsi="宋体" w:cs="宋体" w:eastAsia="宋体"/>
                <w:sz w:val="24"/>
              </w:rPr>
              <w:t>、智能</w:t>
            </w:r>
            <w:r>
              <w:rPr>
                <w:rFonts w:ascii="宋体" w:hAnsi="宋体" w:cs="宋体" w:eastAsia="宋体"/>
                <w:sz w:val="24"/>
              </w:rPr>
              <w:t>LED教室灯人体电磁辐射测试满足20kHz-10MHz感应电流密度系数≤0.85。</w:t>
            </w:r>
          </w:p>
          <w:p>
            <w:pPr>
              <w:pStyle w:val="null3"/>
              <w:ind w:right="105"/>
              <w:jc w:val="both"/>
            </w:pPr>
            <w:r>
              <w:rPr>
                <w:rFonts w:ascii="宋体" w:hAnsi="宋体" w:cs="宋体" w:eastAsia="宋体"/>
                <w:sz w:val="24"/>
              </w:rPr>
              <w:t>8</w:t>
            </w:r>
            <w:r>
              <w:rPr>
                <w:rFonts w:ascii="宋体" w:hAnsi="宋体" w:cs="宋体" w:eastAsia="宋体"/>
                <w:sz w:val="24"/>
              </w:rPr>
              <w:t>、智能LED教室灯通过近视防控认证（提供具有法定资质的检测机构出具的检测报告并加盖投标人公章）。</w:t>
            </w:r>
          </w:p>
          <w:p>
            <w:pPr>
              <w:pStyle w:val="null3"/>
              <w:ind w:right="105"/>
              <w:jc w:val="both"/>
            </w:pPr>
            <w:r>
              <w:rPr>
                <w:rFonts w:ascii="宋体" w:hAnsi="宋体" w:cs="宋体" w:eastAsia="宋体"/>
                <w:sz w:val="24"/>
              </w:rPr>
              <w:t>9</w:t>
            </w:r>
            <w:r>
              <w:rPr>
                <w:rFonts w:ascii="宋体" w:hAnsi="宋体" w:cs="宋体" w:eastAsia="宋体"/>
                <w:sz w:val="24"/>
              </w:rPr>
              <w:t>、智能</w:t>
            </w:r>
            <w:r>
              <w:rPr>
                <w:rFonts w:ascii="宋体" w:hAnsi="宋体" w:cs="宋体" w:eastAsia="宋体"/>
                <w:sz w:val="24"/>
              </w:rPr>
              <w:t>LED教室灯蓝光危害等级为RG0（0类危险）。</w:t>
            </w:r>
          </w:p>
          <w:p>
            <w:pPr>
              <w:pStyle w:val="null3"/>
              <w:ind w:right="105"/>
              <w:jc w:val="both"/>
            </w:pPr>
            <w:r>
              <w:rPr>
                <w:rFonts w:ascii="宋体" w:hAnsi="宋体" w:cs="宋体" w:eastAsia="宋体"/>
                <w:sz w:val="24"/>
              </w:rPr>
              <w:t>10</w:t>
            </w:r>
            <w:r>
              <w:rPr>
                <w:rFonts w:ascii="宋体" w:hAnsi="宋体" w:cs="宋体" w:eastAsia="宋体"/>
                <w:sz w:val="24"/>
              </w:rPr>
              <w:t>、频闪质量特征认证结果为无显著影响或无频闪危害。</w:t>
            </w:r>
          </w:p>
          <w:p>
            <w:pPr>
              <w:pStyle w:val="null3"/>
              <w:ind w:right="105"/>
              <w:jc w:val="both"/>
            </w:pPr>
            <w:r>
              <w:rPr>
                <w:rFonts w:ascii="宋体" w:hAnsi="宋体" w:cs="宋体" w:eastAsia="宋体"/>
                <w:b/>
                <w:sz w:val="24"/>
              </w:rPr>
              <w:t>★</w:t>
            </w:r>
            <w:r>
              <w:rPr>
                <w:rFonts w:ascii="宋体" w:hAnsi="宋体" w:cs="宋体" w:eastAsia="宋体"/>
                <w:sz w:val="24"/>
              </w:rPr>
              <w:t>1</w:t>
            </w:r>
            <w:r>
              <w:rPr>
                <w:rFonts w:ascii="宋体" w:hAnsi="宋体" w:cs="宋体" w:eastAsia="宋体"/>
                <w:sz w:val="24"/>
              </w:rPr>
              <w:t>1</w:t>
            </w:r>
            <w:r>
              <w:rPr>
                <w:rFonts w:ascii="宋体" w:hAnsi="宋体" w:cs="宋体" w:eastAsia="宋体"/>
                <w:sz w:val="24"/>
              </w:rPr>
              <w:t>、智能</w:t>
            </w:r>
            <w:r>
              <w:rPr>
                <w:rFonts w:ascii="宋体" w:hAnsi="宋体" w:cs="宋体" w:eastAsia="宋体"/>
                <w:sz w:val="24"/>
              </w:rPr>
              <w:t>LED教室灯依据《GB7000.1-2015》、《GB7000.201-2008》标准通过结构安全认证。</w:t>
            </w:r>
          </w:p>
          <w:p>
            <w:pPr>
              <w:pStyle w:val="null3"/>
              <w:ind w:right="105"/>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、智能控制：灯光控制采用平滑渐变调节技术；根据教学场景配置</w:t>
            </w:r>
            <w:r>
              <w:rPr>
                <w:rFonts w:ascii="宋体" w:hAnsi="宋体" w:cs="宋体" w:eastAsia="宋体"/>
                <w:sz w:val="24"/>
              </w:rPr>
              <w:t>≥4种默认场景模式（板书、多媒体、考试、放学等）；无线组网和无线通讯；支持物联远程控制技术，如ZigBee无线组网等，支持室内情景面板调节，支持PC端等控制方式；控制面板:输入电压220VAC，50Hz;RAM不低于256MB，ROM不低于256MB；继电器开关数量≥1个，容性负载≥200W， 阻性负载≥2200W；MODE键≥1个，RESET键≥1个；屏幕不低于4英寸 480*480P，多点触控屏支持PLC（电力载波）通信。</w:t>
            </w:r>
          </w:p>
          <w:p>
            <w:pPr>
              <w:pStyle w:val="null3"/>
              <w:spacing w:after="120"/>
              <w:jc w:val="both"/>
            </w:pPr>
            <w:r>
              <w:rPr>
                <w:rFonts w:ascii="宋体" w:hAnsi="宋体" w:cs="宋体" w:eastAsia="宋体"/>
                <w:sz w:val="24"/>
              </w:rPr>
              <w:t>1</w:t>
            </w:r>
            <w:r>
              <w:rPr>
                <w:rFonts w:ascii="宋体" w:hAnsi="宋体" w:cs="宋体" w:eastAsia="宋体"/>
                <w:sz w:val="24"/>
              </w:rPr>
              <w:t>3</w:t>
            </w:r>
            <w:r>
              <w:rPr>
                <w:rFonts w:ascii="宋体" w:hAnsi="宋体" w:cs="宋体" w:eastAsia="宋体"/>
                <w:sz w:val="24"/>
              </w:rPr>
              <w:t>、智能</w:t>
            </w:r>
            <w:r>
              <w:rPr>
                <w:rFonts w:ascii="宋体" w:hAnsi="宋体" w:cs="宋体" w:eastAsia="宋体"/>
                <w:sz w:val="24"/>
              </w:rPr>
              <w:t>LED教室灯运行后，在环境温度20±10℃及大气压力96±10kPa条件下存放48小时，灯具长度尺寸变化率≤±0.05%。</w:t>
            </w:r>
            <w:r>
              <w:rPr>
                <w:rFonts w:ascii="宋体" w:hAnsi="宋体" w:cs="宋体" w:eastAsia="宋体"/>
                <w:b/>
                <w:sz w:val="24"/>
              </w:rPr>
              <w:t>（提供具有法定资质的检测机构出具的检测报告并加盖投标人公章）</w:t>
            </w:r>
          </w:p>
          <w:p>
            <w:pPr>
              <w:pStyle w:val="null3"/>
              <w:jc w:val="both"/>
            </w:pPr>
            <w:r>
              <w:rPr>
                <w:rFonts w:ascii="宋体" w:hAnsi="宋体" w:cs="宋体" w:eastAsia="宋体"/>
                <w:sz w:val="24"/>
              </w:rPr>
              <w:t>1</w:t>
            </w:r>
            <w:r>
              <w:rPr>
                <w:rFonts w:ascii="宋体" w:hAnsi="宋体" w:cs="宋体" w:eastAsia="宋体"/>
                <w:sz w:val="24"/>
              </w:rPr>
              <w:t>4</w:t>
            </w:r>
            <w:r>
              <w:rPr>
                <w:rFonts w:ascii="宋体" w:hAnsi="宋体" w:cs="宋体" w:eastAsia="宋体"/>
                <w:sz w:val="24"/>
              </w:rPr>
              <w:t>、智能</w:t>
            </w:r>
            <w:r>
              <w:rPr>
                <w:rFonts w:ascii="宋体" w:hAnsi="宋体" w:cs="宋体" w:eastAsia="宋体"/>
                <w:sz w:val="24"/>
              </w:rPr>
              <w:t>LED教室灯三年后能达到平均照度维持率</w:t>
            </w:r>
            <w:r>
              <w:rPr>
                <w:rFonts w:ascii="宋体" w:hAnsi="宋体" w:cs="宋体" w:eastAsia="宋体"/>
                <w:sz w:val="24"/>
              </w:rPr>
              <w:t>≥9</w:t>
            </w:r>
            <w:r>
              <w:rPr>
                <w:rFonts w:ascii="宋体" w:hAnsi="宋体" w:cs="宋体" w:eastAsia="宋体"/>
                <w:sz w:val="24"/>
              </w:rPr>
              <w:t>8</w:t>
            </w:r>
            <w:r>
              <w:rPr>
                <w:rFonts w:ascii="宋体" w:hAnsi="宋体" w:cs="宋体" w:eastAsia="宋体"/>
                <w:sz w:val="24"/>
              </w:rPr>
              <w:t>%</w:t>
            </w:r>
            <w:r>
              <w:rPr>
                <w:rFonts w:ascii="宋体" w:hAnsi="宋体" w:cs="宋体" w:eastAsia="宋体"/>
                <w:sz w:val="24"/>
              </w:rPr>
              <w:t>，</w:t>
            </w:r>
            <w:r>
              <w:rPr>
                <w:rFonts w:ascii="宋体" w:hAnsi="宋体" w:cs="宋体" w:eastAsia="宋体"/>
                <w:sz w:val="24"/>
              </w:rPr>
              <w:t>提供第三方认证机构至少依据《</w:t>
            </w:r>
            <w:r>
              <w:rPr>
                <w:rFonts w:ascii="宋体" w:hAnsi="宋体" w:cs="宋体" w:eastAsia="宋体"/>
                <w:sz w:val="24"/>
              </w:rPr>
              <w:t>GB/T33721》、《GB/T36876》、《GB/T17743》、《GB/T 26572》、《QB/T 5533》</w:t>
            </w:r>
            <w:r>
              <w:rPr>
                <w:rFonts w:ascii="宋体" w:hAnsi="宋体" w:cs="宋体" w:eastAsia="宋体"/>
                <w:sz w:val="24"/>
              </w:rPr>
              <w:t>及</w:t>
            </w:r>
            <w:r>
              <w:rPr>
                <w:rFonts w:ascii="宋体" w:hAnsi="宋体" w:cs="宋体" w:eastAsia="宋体"/>
                <w:sz w:val="24"/>
              </w:rPr>
              <w:t>《</w:t>
            </w:r>
            <w:r>
              <w:rPr>
                <w:rFonts w:ascii="宋体" w:hAnsi="宋体" w:cs="宋体" w:eastAsia="宋体"/>
                <w:sz w:val="24"/>
              </w:rPr>
              <w:t>T/JYBZ 005》标准出具的认证证书及全国认证认可信息公共服务平台证书状态为“有效”的查询证明（认证证书与查询证明文件均须同时体现产品型号及认证标准，使用年份从证书首次发证之日起计算）。</w:t>
            </w:r>
          </w:p>
          <w:p>
            <w:pPr>
              <w:pStyle w:val="null3"/>
              <w:jc w:val="both"/>
            </w:pPr>
            <w:r>
              <w:rPr>
                <w:rFonts w:ascii="宋体" w:hAnsi="宋体" w:cs="宋体" w:eastAsia="宋体"/>
                <w:sz w:val="24"/>
              </w:rPr>
              <w:t>▲</w:t>
            </w:r>
            <w:r>
              <w:rPr>
                <w:rFonts w:ascii="宋体" w:hAnsi="宋体" w:cs="宋体" w:eastAsia="宋体"/>
                <w:sz w:val="24"/>
              </w:rPr>
              <w:t>15、所投智能LED教室灯能达到三年后照明功率密度增加值≤0.1W/㎡，</w:t>
            </w:r>
            <w:r>
              <w:rPr>
                <w:rFonts w:ascii="宋体" w:hAnsi="宋体" w:cs="宋体" w:eastAsia="宋体"/>
                <w:sz w:val="24"/>
              </w:rPr>
              <w:t>提供第三方认证机构至少依据《</w:t>
            </w:r>
            <w:r>
              <w:rPr>
                <w:rFonts w:ascii="宋体" w:hAnsi="宋体" w:cs="宋体" w:eastAsia="宋体"/>
                <w:sz w:val="24"/>
              </w:rPr>
              <w:t>GB/T33721》、《GB/T36876》、《GB/T17743》、《GB/T 26572》、《QB/T 5533》</w:t>
            </w:r>
            <w:r>
              <w:rPr>
                <w:rFonts w:ascii="宋体" w:hAnsi="宋体" w:cs="宋体" w:eastAsia="宋体"/>
                <w:sz w:val="24"/>
              </w:rPr>
              <w:t>及</w:t>
            </w:r>
            <w:r>
              <w:rPr>
                <w:rFonts w:ascii="宋体" w:hAnsi="宋体" w:cs="宋体" w:eastAsia="宋体"/>
                <w:sz w:val="24"/>
              </w:rPr>
              <w:t>《</w:t>
            </w:r>
            <w:r>
              <w:rPr>
                <w:rFonts w:ascii="宋体" w:hAnsi="宋体" w:cs="宋体" w:eastAsia="宋体"/>
                <w:sz w:val="24"/>
              </w:rPr>
              <w:t>T/JYBZ 005》标准出具的认证证书及全国认证认可信息公共服务平台证书状态为“有效”的查询证明（认证证书与查询证明文件均须同时体现产品型号及认证标准，使用年份从证书首次发证之日起计算）。</w:t>
            </w:r>
          </w:p>
          <w:p>
            <w:pPr>
              <w:pStyle w:val="null3"/>
              <w:spacing w:after="120"/>
              <w:jc w:val="both"/>
            </w:pPr>
            <w:r>
              <w:rPr>
                <w:rFonts w:ascii="宋体" w:hAnsi="宋体" w:cs="宋体" w:eastAsia="宋体"/>
                <w:sz w:val="24"/>
              </w:rPr>
              <w:t>▲</w:t>
            </w:r>
            <w:r>
              <w:rPr>
                <w:rFonts w:ascii="宋体" w:hAnsi="宋体" w:cs="宋体" w:eastAsia="宋体"/>
                <w:sz w:val="24"/>
              </w:rPr>
              <w:t>16、所投智能LED教室灯在大气压力≥100kPa，平均湿度≥50%RH、极值空气温度≤-15℃及最高温度≤5℃的实地环境条件下至少持续运行400小时满足光通量的实测值与初始值的偏差不超过-10%，须提供第三方认证机构至少依据《GB/T36979》、《GB/T6882》、《GB/T31897.201》、《GB/T31831》、《GB/T18595》及《GB/T9468》标准出具的认证证书及全国认证认可信息公共服务平台证书状态为“有效”的查询证明（认证证书与查询证明文件均须同时体现产品型号及认证标准，证书上须体现实地验证）。</w:t>
            </w:r>
          </w:p>
          <w:p>
            <w:pPr>
              <w:pStyle w:val="null3"/>
              <w:spacing w:after="120"/>
              <w:jc w:val="both"/>
            </w:pPr>
            <w:r>
              <w:rPr>
                <w:rFonts w:ascii="宋体" w:hAnsi="宋体" w:cs="宋体" w:eastAsia="宋体"/>
                <w:sz w:val="24"/>
              </w:rPr>
              <w:t>▲17、所投智能LED教室灯在大气压力≥100kPa，平均湿度≥50%RH、极值空气温度≤-15℃及最高温度≤5℃的实地环境条件下至少持续运行400小时满足光效的实测值与初始值的偏差不超过-10%，须提供第三方认证机构至少依据《GB/T36979》、《GB/T6882》、《GB/T31897.201》、《GB/T31831》、《GB/T18595》及《GB/T9468》标准出具的认证证书及全国认证认可信息公共服务平台证书状态为“有效”的查询证明（认证证书与查询证明文件均须同时体现产品型号及认证标准，证书上须体现实地验证）。</w:t>
            </w:r>
          </w:p>
          <w:p>
            <w:pPr>
              <w:pStyle w:val="null3"/>
              <w:spacing w:after="120"/>
              <w:jc w:val="both"/>
            </w:pPr>
            <w:r>
              <w:rPr>
                <w:rFonts w:ascii="宋体" w:hAnsi="宋体" w:cs="宋体" w:eastAsia="宋体"/>
                <w:sz w:val="24"/>
              </w:rPr>
              <w:t>▲18、所投智能LED教室灯在大气压力≥100kPa，平均湿度≥50%RH、极值空气温度≤-15℃及最高温度≤5℃的实地环境条件下至少持续运行400小时满足光束角C0-C180及C90-C270的实测值与初始值偏差均不超过±10%的，须提供第三方认证机构至少依据《GB/T36979》、《GB/T6882》、《GB/T31897.201》、《GB/T31831》、《GB/T18595》及《GB/T9468》标准出具的认证证书及全国认证认可信息公共服务平台证书状态为“有效”的查询证明（认证证书与查询证明文件均须同时体现产品型号及认证标准，证书上须体现实地验证）。</w:t>
            </w:r>
          </w:p>
          <w:p>
            <w:pPr>
              <w:pStyle w:val="null3"/>
              <w:spacing w:after="120"/>
              <w:jc w:val="both"/>
            </w:pPr>
            <w:r>
              <w:rPr>
                <w:rFonts w:ascii="宋体" w:hAnsi="宋体" w:cs="宋体" w:eastAsia="宋体"/>
                <w:sz w:val="24"/>
              </w:rPr>
              <w:t>▲19、所投智能LED教室灯在大气压力≥100kPa，平均湿度≥50%RH、极值空气温度≤-15℃及最高温度≤5℃的实地环境条件下至少持续运行400小时满足噪声测试＜17dB（A），须提供第三方认证机构至少依据《GB/T36979》、《GB/T6882》、《GB/T31897.201》、《GB/T31831》、《GB/T18595》及《GB/T9468》标准出具的认证证书及全国认证认可信息公共服务平台证书状态为“有效”的查询证明（认证证书与查询证明文件均须同时体现产品型号及认证标准，证书上须体现实地验证）。</w:t>
            </w:r>
          </w:p>
          <w:p>
            <w:pPr>
              <w:pStyle w:val="null3"/>
              <w:jc w:val="both"/>
            </w:pPr>
            <w:r>
              <w:rPr>
                <w:rFonts w:ascii="宋体" w:hAnsi="宋体" w:cs="宋体" w:eastAsia="宋体"/>
                <w:b/>
                <w:sz w:val="24"/>
              </w:rPr>
              <w:t>★</w:t>
            </w:r>
            <w:r>
              <w:rPr>
                <w:rFonts w:ascii="宋体" w:hAnsi="宋体" w:cs="宋体" w:eastAsia="宋体"/>
                <w:sz w:val="24"/>
              </w:rPr>
              <w:t>20</w:t>
            </w:r>
            <w:r>
              <w:rPr>
                <w:rFonts w:ascii="宋体" w:hAnsi="宋体" w:cs="宋体" w:eastAsia="宋体"/>
                <w:sz w:val="24"/>
              </w:rPr>
              <w:t>、含随机配件、电源线、线管或扣板、吊杆、电源开关等相关设备和正常使用所必需的配件、辅材等安装的所有材料费及安装调试，</w:t>
            </w:r>
            <w:r>
              <w:rPr>
                <w:rFonts w:ascii="宋体" w:hAnsi="宋体" w:cs="宋体" w:eastAsia="宋体"/>
                <w:sz w:val="24"/>
              </w:rPr>
              <w:t>均须符合或高于国家标准</w:t>
            </w:r>
            <w:r>
              <w:rPr>
                <w:rFonts w:ascii="宋体" w:hAnsi="宋体" w:cs="宋体" w:eastAsia="宋体"/>
                <w:sz w:val="24"/>
              </w:rPr>
              <w:t>。</w:t>
            </w:r>
          </w:p>
          <w:p>
            <w:pPr>
              <w:pStyle w:val="null3"/>
              <w:jc w:val="both"/>
            </w:pPr>
            <w:r>
              <w:rPr>
                <w:rFonts w:ascii="宋体" w:hAnsi="宋体" w:cs="宋体" w:eastAsia="宋体"/>
                <w:b/>
                <w:sz w:val="24"/>
              </w:rPr>
              <w:t>★</w:t>
            </w:r>
            <w:r>
              <w:rPr>
                <w:rFonts w:ascii="宋体" w:hAnsi="宋体" w:cs="宋体" w:eastAsia="宋体"/>
                <w:sz w:val="24"/>
              </w:rPr>
              <w:t>21、提供强制性产品认证证书。</w:t>
            </w:r>
          </w:p>
        </w:tc>
      </w:tr>
    </w:tbl>
    <w:p>
      <w:pPr>
        <w:pStyle w:val="null3"/>
        <w:jc w:val="left"/>
      </w:pPr>
      <w:r>
        <w:rPr/>
        <w:t>标的名称：智能LED黑板灯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ind w:left="120" w:right="105"/>
              <w:jc w:val="both"/>
            </w:pPr>
            <w:r>
              <w:rPr>
                <w:rFonts w:ascii="宋体" w:hAnsi="宋体" w:cs="宋体" w:eastAsia="宋体"/>
                <w:sz w:val="24"/>
              </w:rPr>
              <w:t>1、 一体式LED黑板灯具；灯具主框体采用：≥0.4mm铝型材等轻型、坚固金属材料，并经氧化处理，无毛刺，具备防锈功能；尺寸长度≥1200mm；吊杆式安装。</w:t>
            </w:r>
          </w:p>
          <w:p>
            <w:pPr>
              <w:pStyle w:val="null3"/>
              <w:ind w:left="120" w:right="105"/>
              <w:jc w:val="both"/>
            </w:pPr>
            <w:r>
              <w:rPr>
                <w:rFonts w:ascii="宋体" w:hAnsi="宋体" w:cs="宋体" w:eastAsia="宋体"/>
                <w:sz w:val="24"/>
              </w:rPr>
              <w:t xml:space="preserve">▲2、色温满足3300-5300K；LED黑板灯色彩保真度Rf≥95。  </w:t>
            </w:r>
          </w:p>
          <w:p>
            <w:pPr>
              <w:pStyle w:val="null3"/>
              <w:ind w:left="120" w:right="105"/>
              <w:jc w:val="both"/>
            </w:pPr>
            <w:r>
              <w:rPr>
                <w:rFonts w:ascii="宋体" w:hAnsi="宋体" w:cs="宋体" w:eastAsia="宋体"/>
                <w:sz w:val="24"/>
              </w:rPr>
              <w:t>3、</w:t>
            </w:r>
            <w:r>
              <w:rPr>
                <w:rFonts w:ascii="宋体" w:hAnsi="宋体" w:cs="宋体" w:eastAsia="宋体"/>
                <w:sz w:val="24"/>
              </w:rPr>
              <w:t>寿命</w:t>
            </w:r>
            <w:r>
              <w:rPr>
                <w:rFonts w:ascii="宋体" w:hAnsi="宋体" w:cs="宋体" w:eastAsia="宋体"/>
                <w:sz w:val="24"/>
              </w:rPr>
              <w:t>≥50000小时</w:t>
            </w:r>
            <w:r>
              <w:rPr>
                <w:rFonts w:ascii="宋体" w:hAnsi="宋体" w:cs="宋体" w:eastAsia="宋体"/>
                <w:sz w:val="24"/>
              </w:rPr>
              <w:t>。</w:t>
            </w:r>
            <w:r>
              <w:rPr>
                <w:rFonts w:ascii="宋体" w:hAnsi="宋体" w:cs="宋体" w:eastAsia="宋体"/>
                <w:b/>
                <w:sz w:val="24"/>
              </w:rPr>
              <w:t>（提供具有法定资质的检测机构出具的检测报告并加盖投标人公章）</w:t>
            </w:r>
          </w:p>
          <w:p>
            <w:pPr>
              <w:pStyle w:val="null3"/>
              <w:ind w:left="120" w:right="105"/>
              <w:jc w:val="both"/>
            </w:pPr>
            <w:r>
              <w:rPr>
                <w:rFonts w:ascii="宋体" w:hAnsi="宋体" w:cs="宋体" w:eastAsia="宋体"/>
                <w:sz w:val="24"/>
              </w:rPr>
              <w:t>4、</w:t>
            </w:r>
            <w:r>
              <w:rPr>
                <w:rFonts w:ascii="宋体" w:hAnsi="宋体" w:cs="宋体" w:eastAsia="宋体"/>
                <w:sz w:val="24"/>
              </w:rPr>
              <w:t>维持平均照度</w:t>
            </w:r>
            <w:r>
              <w:rPr>
                <w:rFonts w:ascii="宋体" w:hAnsi="宋体" w:cs="宋体" w:eastAsia="宋体"/>
                <w:sz w:val="24"/>
              </w:rPr>
              <w:t>≥500lx，均匀度≥0.8。</w:t>
            </w:r>
            <w:r>
              <w:rPr>
                <w:rFonts w:ascii="宋体" w:hAnsi="宋体" w:cs="宋体" w:eastAsia="宋体"/>
                <w:b/>
                <w:sz w:val="24"/>
              </w:rPr>
              <w:t>（提供具有法定资质的检测机构出具的检测报告并加盖投标人公章）</w:t>
            </w:r>
          </w:p>
          <w:p>
            <w:pPr>
              <w:pStyle w:val="null3"/>
              <w:ind w:left="120" w:right="105"/>
              <w:jc w:val="both"/>
            </w:pPr>
            <w:r>
              <w:rPr>
                <w:rFonts w:ascii="宋体" w:hAnsi="宋体" w:cs="宋体" w:eastAsia="宋体"/>
                <w:sz w:val="24"/>
              </w:rPr>
              <w:t>5</w:t>
            </w:r>
            <w:r>
              <w:rPr>
                <w:rFonts w:ascii="宋体" w:hAnsi="宋体" w:cs="宋体" w:eastAsia="宋体"/>
                <w:sz w:val="24"/>
              </w:rPr>
              <w:t>、显色指数满足</w:t>
            </w:r>
            <w:r>
              <w:rPr>
                <w:rFonts w:ascii="宋体" w:hAnsi="宋体" w:cs="宋体" w:eastAsia="宋体"/>
                <w:sz w:val="24"/>
              </w:rPr>
              <w:t>Ra≥9</w:t>
            </w:r>
            <w:r>
              <w:rPr>
                <w:rFonts w:ascii="宋体" w:hAnsi="宋体" w:cs="宋体" w:eastAsia="宋体"/>
                <w:sz w:val="24"/>
              </w:rPr>
              <w:t>5</w:t>
            </w:r>
            <w:r>
              <w:rPr>
                <w:rFonts w:ascii="宋体" w:hAnsi="宋体" w:cs="宋体" w:eastAsia="宋体"/>
                <w:sz w:val="24"/>
              </w:rPr>
              <w:t>、</w:t>
            </w:r>
            <w:r>
              <w:rPr>
                <w:rFonts w:ascii="宋体" w:hAnsi="宋体" w:cs="宋体" w:eastAsia="宋体"/>
                <w:sz w:val="24"/>
              </w:rPr>
              <w:t>R9≥</w:t>
            </w:r>
            <w:r>
              <w:rPr>
                <w:rFonts w:ascii="宋体" w:hAnsi="宋体" w:cs="宋体" w:eastAsia="宋体"/>
                <w:sz w:val="24"/>
              </w:rPr>
              <w:t>85</w:t>
            </w:r>
            <w:r>
              <w:rPr>
                <w:rFonts w:ascii="宋体" w:hAnsi="宋体" w:cs="宋体" w:eastAsia="宋体"/>
                <w:sz w:val="24"/>
              </w:rPr>
              <w:t>；色容差</w:t>
            </w:r>
            <w:r>
              <w:rPr>
                <w:rFonts w:ascii="宋体" w:hAnsi="宋体" w:cs="宋体" w:eastAsia="宋体"/>
                <w:sz w:val="24"/>
              </w:rPr>
              <w:t>≤5SDCM。</w:t>
            </w:r>
          </w:p>
          <w:p>
            <w:pPr>
              <w:pStyle w:val="null3"/>
              <w:ind w:left="120" w:right="105"/>
              <w:jc w:val="both"/>
            </w:pPr>
            <w:r>
              <w:rPr>
                <w:rFonts w:ascii="宋体" w:hAnsi="宋体" w:cs="宋体" w:eastAsia="宋体"/>
                <w:sz w:val="24"/>
              </w:rPr>
              <w:t>6</w:t>
            </w:r>
            <w:r>
              <w:rPr>
                <w:rFonts w:ascii="宋体" w:hAnsi="宋体" w:cs="宋体" w:eastAsia="宋体"/>
                <w:sz w:val="24"/>
              </w:rPr>
              <w:t>、智能</w:t>
            </w:r>
            <w:r>
              <w:rPr>
                <w:rFonts w:ascii="宋体" w:hAnsi="宋体" w:cs="宋体" w:eastAsia="宋体"/>
                <w:sz w:val="24"/>
              </w:rPr>
              <w:t>LED黑板灯密封防尘满足IP40或以上等级要求。</w:t>
            </w:r>
          </w:p>
          <w:p>
            <w:pPr>
              <w:pStyle w:val="null3"/>
              <w:ind w:left="120" w:right="105"/>
              <w:jc w:val="both"/>
            </w:pPr>
            <w:r>
              <w:rPr>
                <w:rFonts w:ascii="宋体" w:hAnsi="宋体" w:cs="宋体" w:eastAsia="宋体"/>
                <w:sz w:val="24"/>
              </w:rPr>
              <w:t>7、</w:t>
            </w:r>
            <w:r>
              <w:rPr>
                <w:rFonts w:ascii="宋体" w:hAnsi="宋体" w:cs="宋体" w:eastAsia="宋体"/>
                <w:sz w:val="24"/>
              </w:rPr>
              <w:t>智能</w:t>
            </w:r>
            <w:r>
              <w:rPr>
                <w:rFonts w:ascii="宋体" w:hAnsi="宋体" w:cs="宋体" w:eastAsia="宋体"/>
                <w:sz w:val="24"/>
              </w:rPr>
              <w:t>LED黑板灯人体电磁辐射测试满足20kHz-10MHz感应电流密度系数≤0.85。</w:t>
            </w:r>
          </w:p>
          <w:p>
            <w:pPr>
              <w:pStyle w:val="null3"/>
              <w:ind w:left="120" w:right="105"/>
              <w:jc w:val="both"/>
            </w:pPr>
            <w:r>
              <w:rPr>
                <w:rFonts w:ascii="宋体" w:hAnsi="宋体" w:cs="宋体" w:eastAsia="宋体"/>
                <w:sz w:val="24"/>
              </w:rPr>
              <w:t>8</w:t>
            </w:r>
            <w:r>
              <w:rPr>
                <w:rFonts w:ascii="宋体" w:hAnsi="宋体" w:cs="宋体" w:eastAsia="宋体"/>
                <w:sz w:val="24"/>
              </w:rPr>
              <w:t>、智能LED黑板灯通过近视防控认证（提供具有法定资质的检测机构出具的检测报告并加盖投标人公章）。</w:t>
            </w:r>
          </w:p>
          <w:p>
            <w:pPr>
              <w:pStyle w:val="null3"/>
              <w:ind w:left="120" w:right="105"/>
              <w:jc w:val="both"/>
            </w:pPr>
            <w:r>
              <w:rPr>
                <w:rFonts w:ascii="宋体" w:hAnsi="宋体" w:cs="宋体" w:eastAsia="宋体"/>
                <w:sz w:val="24"/>
              </w:rPr>
              <w:t>9</w:t>
            </w:r>
            <w:r>
              <w:rPr>
                <w:rFonts w:ascii="宋体" w:hAnsi="宋体" w:cs="宋体" w:eastAsia="宋体"/>
                <w:sz w:val="24"/>
              </w:rPr>
              <w:t>、智能</w:t>
            </w:r>
            <w:r>
              <w:rPr>
                <w:rFonts w:ascii="宋体" w:hAnsi="宋体" w:cs="宋体" w:eastAsia="宋体"/>
                <w:sz w:val="24"/>
              </w:rPr>
              <w:t>LED黑板灯蓝光危害等级为RG0（0类危险）。</w:t>
            </w:r>
          </w:p>
          <w:p>
            <w:pPr>
              <w:pStyle w:val="null3"/>
              <w:ind w:left="120" w:right="105"/>
              <w:jc w:val="both"/>
            </w:pPr>
            <w:r>
              <w:rPr>
                <w:rFonts w:ascii="宋体" w:hAnsi="宋体" w:cs="宋体" w:eastAsia="宋体"/>
                <w:sz w:val="24"/>
              </w:rPr>
              <w:t>10</w:t>
            </w:r>
            <w:r>
              <w:rPr>
                <w:rFonts w:ascii="宋体" w:hAnsi="宋体" w:cs="宋体" w:eastAsia="宋体"/>
                <w:sz w:val="24"/>
              </w:rPr>
              <w:t>、智能</w:t>
            </w:r>
            <w:r>
              <w:rPr>
                <w:rFonts w:ascii="宋体" w:hAnsi="宋体" w:cs="宋体" w:eastAsia="宋体"/>
                <w:sz w:val="24"/>
              </w:rPr>
              <w:t>LED黑板灯频闪质量特征认证结果为无显著影响或无频闪危害。</w:t>
            </w:r>
          </w:p>
          <w:p>
            <w:pPr>
              <w:pStyle w:val="null3"/>
              <w:ind w:left="120" w:right="105"/>
              <w:jc w:val="both"/>
            </w:pPr>
            <w:r>
              <w:rPr>
                <w:rFonts w:ascii="宋体" w:hAnsi="宋体" w:cs="宋体" w:eastAsia="宋体"/>
                <w:b/>
                <w:sz w:val="24"/>
              </w:rPr>
              <w:t>★</w:t>
            </w:r>
            <w:r>
              <w:rPr>
                <w:rFonts w:ascii="宋体" w:hAnsi="宋体" w:cs="宋体" w:eastAsia="宋体"/>
                <w:sz w:val="24"/>
              </w:rPr>
              <w:t>1</w:t>
            </w:r>
            <w:r>
              <w:rPr>
                <w:rFonts w:ascii="宋体" w:hAnsi="宋体" w:cs="宋体" w:eastAsia="宋体"/>
                <w:sz w:val="24"/>
              </w:rPr>
              <w:t>1</w:t>
            </w:r>
            <w:r>
              <w:rPr>
                <w:rFonts w:ascii="宋体" w:hAnsi="宋体" w:cs="宋体" w:eastAsia="宋体"/>
                <w:sz w:val="24"/>
              </w:rPr>
              <w:t>、智能</w:t>
            </w:r>
            <w:r>
              <w:rPr>
                <w:rFonts w:ascii="宋体" w:hAnsi="宋体" w:cs="宋体" w:eastAsia="宋体"/>
                <w:sz w:val="24"/>
              </w:rPr>
              <w:t>LED黑板灯依据《GB7000.1-2015》、《GB7000.201-2008》标准通过结构安全认证。</w:t>
            </w:r>
          </w:p>
          <w:p>
            <w:pPr>
              <w:pStyle w:val="null3"/>
              <w:ind w:left="120" w:right="105"/>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、智能控制：灯光控制采用平滑渐变调节技术，根据教学场景配置</w:t>
            </w:r>
            <w:r>
              <w:rPr>
                <w:rFonts w:ascii="宋体" w:hAnsi="宋体" w:cs="宋体" w:eastAsia="宋体"/>
                <w:sz w:val="24"/>
              </w:rPr>
              <w:t>≥4种默认场景模式（板书、多媒体、考试、放学等）；无线组网和无线通讯；支持物联远程控制技术，如ZigBee无线组网等，支持室内情景面板调节，支持PC端等控制方式。</w:t>
            </w:r>
          </w:p>
          <w:p>
            <w:pPr>
              <w:pStyle w:val="null3"/>
              <w:spacing w:after="120"/>
              <w:jc w:val="both"/>
            </w:pPr>
            <w:r>
              <w:rPr>
                <w:rFonts w:ascii="宋体" w:hAnsi="宋体" w:cs="宋体" w:eastAsia="宋体"/>
                <w:sz w:val="24"/>
              </w:rPr>
              <w:t>1</w:t>
            </w:r>
            <w:r>
              <w:rPr>
                <w:rFonts w:ascii="宋体" w:hAnsi="宋体" w:cs="宋体" w:eastAsia="宋体"/>
                <w:sz w:val="24"/>
              </w:rPr>
              <w:t>3</w:t>
            </w:r>
            <w:r>
              <w:rPr>
                <w:rFonts w:ascii="宋体" w:hAnsi="宋体" w:cs="宋体" w:eastAsia="宋体"/>
                <w:sz w:val="24"/>
              </w:rPr>
              <w:t>、智能</w:t>
            </w:r>
            <w:r>
              <w:rPr>
                <w:rFonts w:ascii="宋体" w:hAnsi="宋体" w:cs="宋体" w:eastAsia="宋体"/>
                <w:sz w:val="24"/>
              </w:rPr>
              <w:t>LED黑板灯运行后，在环境温度20±10℃及大气压力96±10kPa条件下存放48小时，灯具长度尺寸变化率≤±0.05%。</w:t>
            </w:r>
            <w:r>
              <w:rPr>
                <w:rFonts w:ascii="宋体" w:hAnsi="宋体" w:cs="宋体" w:eastAsia="宋体"/>
                <w:b/>
                <w:sz w:val="24"/>
              </w:rPr>
              <w:t>（提供具有法定资质的检测机构出具的检测报告并加盖投标人公章）</w:t>
            </w:r>
          </w:p>
          <w:p>
            <w:pPr>
              <w:pStyle w:val="null3"/>
              <w:spacing w:after="120"/>
              <w:jc w:val="both"/>
            </w:pPr>
            <w:r>
              <w:rPr>
                <w:rFonts w:ascii="宋体" w:hAnsi="宋体" w:cs="宋体" w:eastAsia="宋体"/>
                <w:sz w:val="24"/>
              </w:rPr>
              <w:t>▲1</w:t>
            </w:r>
            <w:r>
              <w:rPr>
                <w:rFonts w:ascii="宋体" w:hAnsi="宋体" w:cs="宋体" w:eastAsia="宋体"/>
                <w:sz w:val="24"/>
              </w:rPr>
              <w:t>4</w:t>
            </w:r>
            <w:r>
              <w:rPr>
                <w:rFonts w:ascii="宋体" w:hAnsi="宋体" w:cs="宋体" w:eastAsia="宋体"/>
                <w:sz w:val="24"/>
              </w:rPr>
              <w:t>、智能</w:t>
            </w:r>
            <w:r>
              <w:rPr>
                <w:rFonts w:ascii="宋体" w:hAnsi="宋体" w:cs="宋体" w:eastAsia="宋体"/>
                <w:sz w:val="24"/>
              </w:rPr>
              <w:t>LED黑板灯三年后能达到平均照度维持率≥9</w:t>
            </w:r>
            <w:r>
              <w:rPr>
                <w:rFonts w:ascii="宋体" w:hAnsi="宋体" w:cs="宋体" w:eastAsia="宋体"/>
                <w:sz w:val="24"/>
              </w:rPr>
              <w:t>8</w:t>
            </w:r>
            <w:r>
              <w:rPr>
                <w:rFonts w:ascii="宋体" w:hAnsi="宋体" w:cs="宋体" w:eastAsia="宋体"/>
                <w:sz w:val="24"/>
              </w:rPr>
              <w:t>%。提供第三方认证机构至少依据《GB/T33721》、《GB/T36876》、《GB/T17743》、《GB/T 26572》、《QB/T 5533》</w:t>
            </w:r>
            <w:r>
              <w:rPr>
                <w:rFonts w:ascii="宋体" w:hAnsi="宋体" w:cs="宋体" w:eastAsia="宋体"/>
                <w:sz w:val="24"/>
              </w:rPr>
              <w:t>及</w:t>
            </w:r>
            <w:r>
              <w:rPr>
                <w:rFonts w:ascii="宋体" w:hAnsi="宋体" w:cs="宋体" w:eastAsia="宋体"/>
                <w:sz w:val="24"/>
              </w:rPr>
              <w:t>《</w:t>
            </w:r>
            <w:r>
              <w:rPr>
                <w:rFonts w:ascii="宋体" w:hAnsi="宋体" w:cs="宋体" w:eastAsia="宋体"/>
                <w:sz w:val="24"/>
              </w:rPr>
              <w:t>T/JYBZ 005》标准出具的认证证书及全国认证认可信息公共服务平台证书状态为“有效”的查询证明（认证证书与查询证明文件均须同时体现产品型号及认证标准，使用年份从证书首次发证之日起计算）。</w:t>
            </w:r>
          </w:p>
          <w:p>
            <w:pPr>
              <w:pStyle w:val="null3"/>
              <w:spacing w:after="120"/>
              <w:jc w:val="both"/>
            </w:pPr>
            <w:r>
              <w:rPr>
                <w:rFonts w:ascii="宋体" w:hAnsi="宋体" w:cs="宋体" w:eastAsia="宋体"/>
                <w:sz w:val="24"/>
              </w:rPr>
              <w:t>▲</w:t>
            </w:r>
            <w:r>
              <w:rPr>
                <w:rFonts w:ascii="宋体" w:hAnsi="宋体" w:cs="宋体" w:eastAsia="宋体"/>
                <w:sz w:val="24"/>
              </w:rPr>
              <w:t>15、所投智能LED教室灯在大气压力≥100kPa，平均湿度≥50%RH、极值空气温度≤-15℃及最高温度≤5℃的实地环境条件下至少持续运行400小时满足光通量的实测值与初始值的偏差不超过-10%，须提供第三方认证机构至少依据《GB/T36979》、《GB/T6882》、《GB/T31897.201》、《GB/T31831》、《GB/T18595》及《GB/T9468》标准出具的认证证书及全国认证认可信息公共服务平台证书状态为“有效”的查询证明（认证证书与查询证明文件均须同时体现产品型号及认证标准，证书上须体现实地验证）。</w:t>
            </w:r>
          </w:p>
          <w:p>
            <w:pPr>
              <w:pStyle w:val="null3"/>
              <w:spacing w:after="120"/>
              <w:jc w:val="both"/>
            </w:pPr>
            <w:r>
              <w:rPr>
                <w:rFonts w:ascii="宋体" w:hAnsi="宋体" w:cs="宋体" w:eastAsia="宋体"/>
                <w:sz w:val="24"/>
              </w:rPr>
              <w:t>▲16、所投智能LED黑板灯在大气压力≥100kPa，平均湿度≥50%RH、极值空气温度≤-15℃及最高温度≤5℃的实地环境条件下至少持续运行400小时满足光效的实测值与初始值的偏差不超过-10%，须提供第三方认证机构至少依据《GB/T36979》、《GB/T6882》、《GB/T31897.201》、《GB/T31831》、《GB/T18595》及《GB/T9468》标准出具的认证证书及全国认证认可信息公共服务平台证书状态为“有效”的查询证明（认证证书与查询证明文件均须同时体现产品型号及认证标准，证书上须体现实地验证）。</w:t>
            </w:r>
          </w:p>
          <w:p>
            <w:pPr>
              <w:pStyle w:val="null3"/>
              <w:spacing w:after="120"/>
              <w:jc w:val="both"/>
            </w:pPr>
            <w:r>
              <w:rPr>
                <w:rFonts w:ascii="宋体" w:hAnsi="宋体" w:cs="宋体" w:eastAsia="宋体"/>
                <w:sz w:val="24"/>
              </w:rPr>
              <w:t>▲17、所投智能LED黑板灯在大气压力≥100kPa，平均湿度≥50%RH、极值空气温度≤-15℃及最高温度≤5℃的实地环境条件下至少持续运行400小时满足光束角C0-C180及C90-C270的实测值与初始值偏差均不超过±10%的，须提供第三方认证机构至少依据《GB/T36979》、《GB/T6882》、《GB/T31897.201》、《GB/T31831》、《GB/T18595》及《GB/T9468》标准出具的认证证书及全国认证认可信息公共服务平台证书状态为“有效”的查询证明（认证证书与查询证明文件均须同时体现产品型号及认证标准，证书上须体现实地验证）。</w:t>
            </w:r>
          </w:p>
          <w:p>
            <w:pPr>
              <w:pStyle w:val="null3"/>
              <w:spacing w:after="120"/>
              <w:jc w:val="both"/>
            </w:pPr>
            <w:r>
              <w:rPr>
                <w:rFonts w:ascii="宋体" w:hAnsi="宋体" w:cs="宋体" w:eastAsia="宋体"/>
                <w:sz w:val="24"/>
              </w:rPr>
              <w:t>▲18、所投智能LED黑板灯在大气压力≥100kPa，平均湿度≥50%RH、极值空气温度≤-15℃及最高温度≤5℃的实地环境条件下至少持续运行400小时满足噪声测试＜17dB（A），须提供第三方认证机构至少依据《GB/T36979》、《GB/T6882》、《GB/T31897.201》、《GB/T31831》、《GB/T18595》及《GB/T9468》标准出具的认证证书及全国认证认可信息公共服务平台证书状态为“有效”的查询证明（认证证书与查询证明文件均须同时体现产品型号及认证标准，证书上须体现实地验证）。</w:t>
            </w:r>
          </w:p>
          <w:p>
            <w:pPr>
              <w:pStyle w:val="null3"/>
              <w:jc w:val="both"/>
            </w:pPr>
            <w:r>
              <w:rPr>
                <w:rFonts w:ascii="宋体" w:hAnsi="宋体" w:cs="宋体" w:eastAsia="宋体"/>
                <w:b/>
                <w:sz w:val="24"/>
              </w:rPr>
              <w:t>★</w:t>
            </w:r>
            <w:r>
              <w:rPr>
                <w:rFonts w:ascii="宋体" w:hAnsi="宋体" w:cs="宋体" w:eastAsia="宋体"/>
                <w:sz w:val="24"/>
              </w:rPr>
              <w:t>19</w:t>
            </w:r>
            <w:r>
              <w:rPr>
                <w:rFonts w:ascii="宋体" w:hAnsi="宋体" w:cs="宋体" w:eastAsia="宋体"/>
                <w:sz w:val="24"/>
              </w:rPr>
              <w:t>、含随机配件、电源线、线管或扣板、吊杆、电源开关等相关设备和正常使用所必需的配件、辅材等安装的所有材料费及安装调试，均须符合或高于国家标准。</w:t>
            </w:r>
          </w:p>
          <w:p>
            <w:pPr>
              <w:pStyle w:val="null3"/>
              <w:jc w:val="both"/>
            </w:pPr>
            <w:r>
              <w:rPr>
                <w:rFonts w:ascii="宋体" w:hAnsi="宋体" w:cs="宋体" w:eastAsia="宋体"/>
                <w:b/>
                <w:sz w:val="24"/>
              </w:rPr>
              <w:t>★</w:t>
            </w:r>
            <w:r>
              <w:rPr>
                <w:rFonts w:ascii="宋体" w:hAnsi="宋体" w:cs="宋体" w:eastAsia="宋体"/>
                <w:sz w:val="24"/>
              </w:rPr>
              <w:t>20、提供强制性产品认证证书。</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中标后15日内完成。（中标人需先完成一间教室，经检测通过后再进行其他教室安装调试。）</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攀枝花市盐边县，采购人指定地点。</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1、合同签订后，采购人在收到中标人出具的有效增值税发票，达到付款条件起10日内，支付合同总金额的30.00%</w:t>
            </w:r>
          </w:p>
          <w:p>
            <w:pPr>
              <w:pStyle w:val="null3"/>
              <w:jc w:val="left"/>
            </w:pPr>
            <w:r>
              <w:rPr/>
              <w:t>2、供货安装调试完毕，采购人在收到中标人出具的有效增值税发票，达到付款条件起10日内，支付合同总金额的65.00%</w:t>
            </w:r>
          </w:p>
          <w:p>
            <w:pPr>
              <w:pStyle w:val="null3"/>
              <w:jc w:val="left"/>
            </w:pPr>
            <w:r>
              <w:rPr/>
              <w:t>3、验收合格后，采购人在收到中标人出具的有效增值税发票，达到付款条件起10日内，支付合同总金额的5.00%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1）本项目验收由采购人组织，中标人配合进行。在中标人供货安装完成，提出申请10日内采购人组织验收。①按国家相关规定以及采购人招标文件的质量要求和技术指标、投标人的投标文件及承诺与本项目合同约定标准进行验收；②投标人提供的货物均须是原厂生产的全新正品，相关标签明晰，证票齐全，包装完好，货物构造和货物功能正常，外观无划花、裂痕、凹陷和破损、无异味，同时提供使用说明书、保修手册、有关资料及配件、随机工具等配备完整；安装所需工具设施辅材由投标人自备运到现场，完工后带走；投标人提供的货物必须经采购人查验后方可启封。投标人应在供货同时向采购人提供所有有关本项目执行的技术文件，技术文件可以是手册、图片或其他形式的文件资料。③严格按照招标文件要求及投标文件应答进行验收。 ④验收时如发现所交付的货物有短缺、次品、损坏或其它不符合标准及本合同规定之情形者，采购人应做出详尽的现场记录，由中标人和采购人双方签署备忘录，此现场记录或备忘录可用作补充、缺失和更换损坏部件的有效证据，由此产生的时间延误与有关费用由投标人承担，验收期限相应顺延。⑤质量验收合格，双方签署质量验收报告。⑥投标人应将所提供货物的装箱清单、配件、随机工具、用户使用手册、原厂保修卡等资料交付给采购人；投标人不能完整交付货物及本款规定的单证和工具的，必须负责补齐，否则视为未按合同约定交货。⑦如验收事项经投标人3次整改仍不能达到合同约定的质量标准，采购人有权退货，并视作投标人不能交付产品且须支付违约赔偿金给采购人，采购人还可依法追究供应商的违约责任。⑧采购人将委托国家认可的具有检测资质的第三方检测机构出具的质量检测合格报告。（2）采购人将严格按照财政部印发《财政部关于进一步加强政府采购需求和履约验收管理的指导意见》的通知（财库[2016]205号、《政府采购需求管理办法》（财库（2021）22 号）的要求进行验收。</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整体质保三年，质保期满后以成本价提供该设备所需的维修零配件，质保期从验收合格之日起算。</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1.违约责任：（1）中标人未在约定的交付期限内完成交付的，每逾期一日，应按照合同金额的0.3‰向采购人支付违约金。（2）中标人提供产品未验收合格的，从未验收合格之日起至产品验收合格之日止，中标人应按照合同金额的每日0.3‰向采购人支付违约金。（3）中标人应严格履行合同约定，不得擅自解除和变更合同。若因中标人擅自解除或变更合同造成采购人经济损失的，中标人应支付合同金额20%的违约金。 2.解决争议的方法: （1）因合同引起的或与本合同有关的任何争议，由双方当事人协商解决:也可以向有关部门申请调解。协商或调解不成，当事人可依照有关法律规定将争议向项目所在地人民法院起诉。（2）上述过程发生的费用(诉讼费、保全费、胜诉方律师代理费等)由败诉方承担。（3）在进行法院审理期间，除提交法院审理的事项外，合同仍应继续履行。</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本章带▲号的条款为本次招标项目的重要性条款，应尽量满足，不满足作扣分处理。本章带“★”号的为本次招标项目的实质性要求，不允许有负偏离。2.报价要求：报价应是最终用户验收合格后的总价，包括设备主体、旧灯拆除、线槽拆除、墙面恢复、新灯安装、配套吊杆及安装、包括异形定制、线槽及敷设、电源线及敷设、设备运输及所有货物的安装调试、保险、售后服务及培训、税费等全部费用。 3.本项目采购人不组织统一踏勘，如有需求，投标人应自行踏勘，联系采购人；请投标人充分了解现场的位置、教室的具体布局和尺寸、教室的使用情况和功能需求、现有的照明系统和电气设备情况及其它影响报价的情况，任何因忽视或误解项目实施地点情况而导致的索赔或项目实施期限延长申请将不获批准。踏勘过程中的相关责任和费用由投标人自行承担。投标人未进行现场踏勘的，视为知悉项目现场及本项目要求，相关后果和责任由投标人自行承担。 4.项目方案：投标人提供的项目实施方案包括但不限于：①项目进度计划；②人员配备；③安装设备配置；④质量管理措施；⑤安全文明及夜间实施方案。投标人提供的售后服务方案包括但不限于：①整体售后服务及质量保障措施；②售后服务人员配备及培训方案；③备品备件储备情况；④故障排除能力及售后响应时间；⑤应急预案。（本项为评审依据不属于实质性要求，未完全满足仅按要求进行扣分，不影响其投标文件有效性）</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投标人需提供：</w:t>
              <w:br/>
              <w:t>①供应商若为企业法人：提供“统一社会信用代码营业执照”；未换证的提供“营业执照、税务登记证、组织机构代码证或三证合一的营业执照”；</w:t>
              <w:br/>
              <w:t>②若为事业法人：提供“统一社会信用代码法人登记证书”；未换证的提交“事业法人登记证书、组织机构代码证”；</w:t>
              <w:br/>
              <w:t>③若为其他组织：提供“对应主管部门颁发的准许执业证明文件或营业执照”；</w:t>
              <w:br/>
              <w:t>④若为自然人：提供“身份证明材料”。</w:t>
              <w:br/>
              <w:t>投标人需在使用投标(响应)客户端编制投标文件时，按要求上传相应证明材料并进行电子签章。</w:t>
            </w:r>
          </w:p>
        </w:tc>
        <w:tc>
          <w:tcPr>
            <w:tcW w:type="dxa" w:w="1910"/>
          </w:tcPr>
          <w:p>
            <w:pPr>
              <w:pStyle w:val="null3"/>
              <w:jc w:val="left"/>
            </w:pPr>
            <w:r>
              <w:rPr/>
              <w:t>具有独立承担民事责任的能力 投标文件封面</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投标人可根据自身实际情况任选其一提供以下证明材料：</w:t>
              <w:br/>
              <w:t>①可提供2022或2023年度经审计的财务报告（包含审计报告和审计报告中所涉及的财务报表和报表附注）；</w:t>
              <w:br/>
              <w:t>②可提供2022年或2023年度投标人内部的财务报表（至少包含现金流量、资产负债表和利润表）；</w:t>
              <w:br/>
              <w:t>③可提供截至投标文件递交截止日一年内银行出具的资信证明；</w:t>
              <w:br/>
              <w:t>④投标人注册时间截至投标文件递交截止日不足一年的，也可提供在工商备案的公司章程。</w:t>
              <w:br/>
              <w:t>投标人需在使用投标(响应)客户端编制投标文件时，按要求上传相应证明材料并进行电子签章。</w:t>
            </w:r>
          </w:p>
        </w:tc>
        <w:tc>
          <w:tcPr>
            <w:tcW w:type="dxa" w:w="1910"/>
          </w:tcPr>
          <w:p>
            <w:pPr>
              <w:pStyle w:val="null3"/>
              <w:jc w:val="left"/>
            </w:pPr>
            <w:r>
              <w:rPr/>
              <w:t>具有健全的财务会计制度</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投标人需提供：</w:t>
              <w:br/>
              <w:t>（1）缴纳税收证明材料（投标人可提供以下证明材料）：投标人提供2024年1月1日起任意一月的缴纳税收的银行电子回单或者税务部门出具的纳税证明或完税证明或承诺函（注：承诺若不属实，将视为虚假响应，并按政府采购相关规定予以惩罚）。</w:t>
              <w:br/>
              <w:t>（2）缴纳社会保障资金（投标人可提供以下证明材料）：投标人提供2024年1月1日起任意一月社保缴纳的证明材料（注：缴纳的银行电子回单或以社保部门出具的为准）或承诺函（注：承诺若不属实，将视为虚假响应，并按政府采购相关规定予以惩罚）。</w:t>
              <w:br/>
              <w:t>投标人需在使用投标(响应)客户端编制投标文件时，按要求填写《投标（响应）函》完成承诺或上传相应证明文件并进行电子签章。</w:t>
            </w:r>
          </w:p>
        </w:tc>
        <w:tc>
          <w:tcPr>
            <w:tcW w:type="dxa" w:w="1910"/>
          </w:tcPr>
          <w:p>
            <w:pPr>
              <w:pStyle w:val="null3"/>
              <w:jc w:val="left"/>
            </w:pPr>
            <w:r>
              <w:rPr/>
              <w:t>有依法缴纳税收和社会保障资金的良好记录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招标文件第二章规定的实质性要求</w:t>
            </w:r>
          </w:p>
        </w:tc>
        <w:tc>
          <w:tcPr>
            <w:tcW w:type="dxa" w:w="3322"/>
          </w:tcPr>
          <w:p>
            <w:pPr>
              <w:pStyle w:val="null3"/>
              <w:jc w:val="left"/>
            </w:pPr>
            <w:r>
              <w:rPr/>
              <w:t>投标人应符合本项目招标文件第二章规定的实质性要求。（按照关联格式要求提供承诺函。）</w:t>
            </w:r>
          </w:p>
        </w:tc>
        <w:tc>
          <w:tcPr>
            <w:tcW w:type="dxa" w:w="1910"/>
          </w:tcPr>
          <w:p>
            <w:pPr>
              <w:pStyle w:val="null3"/>
              <w:jc w:val="left"/>
            </w:pPr>
            <w:r>
              <w:rPr/>
              <w:t>实质性要求承诺函</w:t>
            </w:r>
          </w:p>
        </w:tc>
      </w:tr>
      <w:tr>
        <w:tc>
          <w:tcPr>
            <w:tcW w:type="dxa" w:w="581"/>
          </w:tcPr>
          <w:p>
            <w:pPr>
              <w:pStyle w:val="null3"/>
              <w:jc w:val="center"/>
            </w:pPr>
            <w:r>
              <w:rPr/>
              <w:t>4</w:t>
            </w:r>
          </w:p>
        </w:tc>
        <w:tc>
          <w:tcPr>
            <w:tcW w:type="dxa" w:w="2492"/>
          </w:tcPr>
          <w:p>
            <w:pPr>
              <w:pStyle w:val="null3"/>
              <w:jc w:val="left"/>
            </w:pPr>
            <w:r>
              <w:rPr/>
              <w:t>技术要求</w:t>
            </w:r>
          </w:p>
        </w:tc>
        <w:tc>
          <w:tcPr>
            <w:tcW w:type="dxa" w:w="3322"/>
          </w:tcPr>
          <w:p>
            <w:pPr>
              <w:pStyle w:val="null3"/>
              <w:jc w:val="left"/>
            </w:pPr>
            <w:r>
              <w:rPr/>
              <w:t>招标文件第三章3.2.技术要求中带★号的为本项目实质性要求，不允许有负偏离。（按照关联格式要求提供产品技术参数响应表。）</w:t>
            </w:r>
          </w:p>
        </w:tc>
        <w:tc>
          <w:tcPr>
            <w:tcW w:type="dxa" w:w="1910"/>
          </w:tcPr>
          <w:p>
            <w:pPr>
              <w:pStyle w:val="null3"/>
              <w:jc w:val="left"/>
            </w:pPr>
            <w:r>
              <w:rPr/>
              <w:t>投标人认为需要提供的资料 产品技术参数响应表</w:t>
            </w:r>
          </w:p>
        </w:tc>
      </w:tr>
      <w:tr>
        <w:tc>
          <w:tcPr>
            <w:tcW w:type="dxa" w:w="581"/>
          </w:tcPr>
          <w:p>
            <w:pPr>
              <w:pStyle w:val="null3"/>
              <w:jc w:val="center"/>
            </w:pPr>
            <w:r>
              <w:rPr/>
              <w:t>5</w:t>
            </w:r>
          </w:p>
        </w:tc>
        <w:tc>
          <w:tcPr>
            <w:tcW w:type="dxa" w:w="2492"/>
          </w:tcPr>
          <w:p>
            <w:pPr>
              <w:pStyle w:val="null3"/>
              <w:jc w:val="left"/>
            </w:pPr>
            <w:r>
              <w:rPr/>
              <w:t>商务要求</w:t>
            </w:r>
          </w:p>
        </w:tc>
        <w:tc>
          <w:tcPr>
            <w:tcW w:type="dxa" w:w="3322"/>
          </w:tcPr>
          <w:p>
            <w:pPr>
              <w:pStyle w:val="null3"/>
              <w:jc w:val="left"/>
            </w:pPr>
            <w:r>
              <w:rPr/>
              <w:t>招标文件第三章3.3.2.商务要求为本项目实质性要求，不允许有负偏离。（按照关联格式要求提供商务要求应答表。）</w:t>
            </w:r>
          </w:p>
        </w:tc>
        <w:tc>
          <w:tcPr>
            <w:tcW w:type="dxa" w:w="1910"/>
          </w:tcPr>
          <w:p>
            <w:pPr>
              <w:pStyle w:val="null3"/>
              <w:jc w:val="left"/>
            </w:pPr>
            <w:r>
              <w:rPr/>
              <w:t>投标人认为需要提供的资料 商务要求应答表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详细评审60.00分</w:t>
            </w:r>
          </w:p>
          <w:p>
            <w:pPr>
              <w:pStyle w:val="null3"/>
              <w:jc w:val="left"/>
            </w:pPr>
            <w:r>
              <w:rPr/>
              <w:t>报价得分40.00分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w:t>
            </w:r>
          </w:p>
        </w:tc>
        <w:tc>
          <w:tcPr>
            <w:tcW w:type="dxa" w:w="2575"/>
          </w:tcPr>
          <w:p>
            <w:pPr>
              <w:pStyle w:val="null3"/>
              <w:jc w:val="left"/>
            </w:pPr>
            <w:r>
              <w:rPr/>
              <w:t>除了带★的实质性要求以外，完全符合招标文件第三章“3.2技术要求”没有负偏离的得36分；带▲的重要技术参数，每有一项（共计12条）负偏离减1.85分；非▲项技术参数每有一项（共23项）负偏离减0.6分，扣完为止。 注：（1）要求提供证明材料的需提供相应证明材料，否则不得分。 （2）以技术参数与性能指标的序号（例如1、2、3……）分别视为单条参数。 （3）带★项作为实质性要求，不参与评分。 （4）得分按四舍五入法，保留小数点后两位。</w:t>
            </w:r>
          </w:p>
        </w:tc>
        <w:tc>
          <w:tcPr>
            <w:tcW w:type="dxa" w:w="831"/>
          </w:tcPr>
          <w:p>
            <w:pPr>
              <w:pStyle w:val="null3"/>
              <w:jc w:val="center"/>
            </w:pPr>
            <w:r>
              <w:rPr/>
              <w:t>36.00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投标人认为需要提供的资料</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根据投标人提供的项目实施方案包括但不限于：①项目进度计划；②人员配备；③安装设备配置；④质量管理措施；⑤安全文明及夜间实施方案。方案需包含上述5项内容且完全符合采购需求的得15分，方案中每缺少一项内容减3分，每一项中有一处内容不完整或无法满足本项目需求的减0.5分，减完为止。 注:根据项目实施方案进行评审。内容不完整或无法满足本项目需求是指：内容所阐述的项目信息与本项目信息不一致、内容缺少关键节点、内容引用的规定及规范错误、内容描述不符合国家相关法律法规及规范要求、套用其他项目方案、地点区域错误、不可能实现的情形等任意一种情形。</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投标人提供的售后服务方案包括但不限于：①整体售后服务及质量保障措施；②售后服务人员配备及培训方案；③备品备件储备情况；④故障排除能力及售后响应时间；⑤应急预案。方案需包含上述5项内容且完全符合采购需求的得8分，方案中每缺少一项内容减1.6分，每一项中有一处内容不完整或无法满足本项目需求的减0.4分，减完为止。未提供方案不得分。 注:根据售后服务方案进行评审。内容不完整或无法满足本项目需求是指：内容所阐述的项目信息与本项目信息不一致、内容缺少关键节点、内容引用的规定及规范错误、内容描述不符合国家相关法律法规及规范要求、套用其他项目方案、地点区域错误、不可能实现的情形等任意一种情形。</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售后服务方案</w:t>
            </w:r>
          </w:p>
        </w:tc>
      </w:tr>
      <w:tr>
        <w:tc>
          <w:tcPr>
            <w:tcW w:type="dxa" w:w="831"/>
            <w:vMerge/>
          </w:tcPr>
          <w:p/>
        </w:tc>
        <w:tc>
          <w:tcPr>
            <w:tcW w:type="dxa" w:w="1661"/>
          </w:tcPr>
          <w:p>
            <w:pPr>
              <w:pStyle w:val="null3"/>
              <w:jc w:val="left"/>
            </w:pPr>
            <w:r>
              <w:rPr/>
              <w:t>节能、环境标志产品</w:t>
            </w:r>
          </w:p>
        </w:tc>
        <w:tc>
          <w:tcPr>
            <w:tcW w:type="dxa" w:w="2575"/>
          </w:tcPr>
          <w:p>
            <w:pPr>
              <w:pStyle w:val="null3"/>
              <w:jc w:val="left"/>
            </w:pPr>
            <w:r>
              <w:rPr/>
              <w:t>投标产品中属于政府采购优先采购范围的，每有一项为节能产品或者环境标志产品的得0.5分，非节能、环境标志产品的不得分。本项最多得1分。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2.投标产品属于优先采购范围内的节能产品或者环境标志产品的，提供国家确定的认证机构出具的、处于有效期之内的节能产品、环境标志产品认证证书复印件加盖投标人电子签章。</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节能、环境标志产品</w:t>
            </w:r>
          </w:p>
        </w:tc>
      </w:tr>
      <w:tr>
        <w:tc>
          <w:tcPr>
            <w:tcW w:type="dxa" w:w="831"/>
          </w:tcPr>
          <w:p>
            <w:pPr>
              <w:pStyle w:val="null3"/>
              <w:jc w:val="left"/>
            </w:pPr>
            <w:r>
              <w:rPr/>
              <w:t>价格分</w:t>
            </w:r>
          </w:p>
        </w:tc>
        <w:tc>
          <w:tcPr>
            <w:tcW w:type="dxa" w:w="1661"/>
          </w:tcPr>
          <w:p>
            <w:pPr>
              <w:pStyle w:val="null3"/>
              <w:jc w:val="left"/>
            </w:pPr>
            <w:r>
              <w:rPr/>
              <w:t>价格分</w:t>
            </w:r>
          </w:p>
        </w:tc>
        <w:tc>
          <w:tcPr>
            <w:tcW w:type="dxa" w:w="2575"/>
          </w:tcPr>
          <w:p>
            <w:pPr>
              <w:pStyle w:val="null3"/>
              <w:jc w:val="left"/>
            </w:pPr>
            <w:r>
              <w:rPr/>
              <w:t>以本次有效的最低投标报价为基准价，投标报价得分=(基准价／投标报价)* 40%*100</w:t>
            </w:r>
          </w:p>
        </w:tc>
        <w:tc>
          <w:tcPr>
            <w:tcW w:type="dxa" w:w="831"/>
          </w:tcPr>
          <w:p>
            <w:pPr>
              <w:pStyle w:val="null3"/>
              <w:jc w:val="center"/>
            </w:pPr>
            <w:r>
              <w:rPr/>
              <w:t>40.00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投标产品中属于政府采购优先采购范围的，每有一项为节能产品或者环境标志产品的得0.5分，非节能、环境标志产品的不得分。本项最多得1分。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2.投标产品属于优先采购范围内的节能产品或者环境标志产品的，提供国家确定的认证机构出具的、处于有效期之内的节能产品、环境标志产品认证证书复印件加盖投标人电子签章。</w:t>
            </w:r>
          </w:p>
        </w:tc>
        <w:tc>
          <w:tcPr>
            <w:tcW w:type="dxa" w:w="2955"/>
          </w:tcPr>
          <w:p>
            <w:pPr>
              <w:pStyle w:val="null3"/>
              <w:jc w:val="left"/>
            </w:pPr>
            <w:r>
              <w:rPr/>
              <w:t>节能、环境标志产品</w:t>
            </w:r>
          </w:p>
        </w:tc>
      </w:tr>
      <w:tr>
        <w:tc>
          <w:tcPr>
            <w:tcW w:type="dxa" w:w="559"/>
          </w:tcPr>
          <w:p>
            <w:pPr>
              <w:pStyle w:val="null3"/>
              <w:jc w:val="left"/>
            </w:pPr>
            <w:r>
              <w:rPr/>
              <w:t>2</w:t>
            </w:r>
          </w:p>
        </w:tc>
        <w:tc>
          <w:tcPr>
            <w:tcW w:type="dxa" w:w="2396"/>
          </w:tcPr>
          <w:p>
            <w:pPr>
              <w:pStyle w:val="null3"/>
              <w:jc w:val="left"/>
            </w:pPr>
            <w:r>
              <w:rPr/>
              <w:t>优先采购环境标志产品</w:t>
            </w:r>
          </w:p>
        </w:tc>
        <w:tc>
          <w:tcPr>
            <w:tcW w:type="dxa" w:w="2396"/>
          </w:tcPr>
          <w:p>
            <w:pPr>
              <w:pStyle w:val="null3"/>
              <w:jc w:val="left"/>
            </w:pPr>
            <w:r>
              <w:rPr/>
              <w:t>投标产品中属于政府采购优先采购范围的，每有一项为节能产品或者环境标志产品的得0.5分，非节能、环境标志产品的不得分。本项最多得1分。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2.投标产品属于优先采购范围内的节能产品或者环境标志产品的，提供国家确定的认证机构出具的、处于有效期之内的节能产品、环境标志产品认证证书复印件加盖投标人电子签章。</w:t>
            </w:r>
          </w:p>
        </w:tc>
        <w:tc>
          <w:tcPr>
            <w:tcW w:type="dxa" w:w="2955"/>
          </w:tcPr>
          <w:p>
            <w:pPr>
              <w:pStyle w:val="null3"/>
              <w:jc w:val="left"/>
            </w:pPr>
            <w:r>
              <w:rPr/>
              <w:t>节能、环境标志产品</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详见附件：报价表</w:t>
      </w:r>
    </w:p>
    <w:p>
      <w:pPr>
        <w:pStyle w:val="null3"/>
        <w:ind w:firstLine="960"/>
        <w:jc w:val="left"/>
      </w:pPr>
      <w:r>
        <w:rPr/>
        <w:t>详见附件：具有独立承担民事责任的能力</w:t>
      </w:r>
    </w:p>
    <w:p>
      <w:pPr>
        <w:pStyle w:val="null3"/>
        <w:ind w:firstLine="960"/>
        <w:jc w:val="left"/>
      </w:pPr>
      <w:r>
        <w:rPr/>
        <w:t>详见附件：具有健全的财务会计制度</w:t>
      </w:r>
    </w:p>
    <w:p>
      <w:pPr>
        <w:pStyle w:val="null3"/>
        <w:ind w:firstLine="960"/>
        <w:jc w:val="left"/>
      </w:pPr>
      <w:r>
        <w:rPr/>
        <w:t>详见附件：有依法缴纳税收和社会保障资金的良好记录</w:t>
      </w:r>
    </w:p>
    <w:p>
      <w:pPr>
        <w:pStyle w:val="null3"/>
        <w:ind w:firstLine="960"/>
        <w:jc w:val="left"/>
      </w:pPr>
      <w:r>
        <w:rPr/>
        <w:t>详见附件：实质性要求承诺函</w:t>
      </w:r>
    </w:p>
    <w:p>
      <w:pPr>
        <w:pStyle w:val="null3"/>
        <w:ind w:firstLine="960"/>
        <w:jc w:val="left"/>
      </w:pPr>
      <w:r>
        <w:rPr/>
        <w:t>详见附件：商务要求应答表</w:t>
      </w:r>
    </w:p>
    <w:p>
      <w:pPr>
        <w:pStyle w:val="null3"/>
        <w:ind w:firstLine="960"/>
        <w:jc w:val="left"/>
      </w:pPr>
      <w:r>
        <w:rPr/>
        <w:t>详见附件：项目实施方案</w:t>
      </w:r>
    </w:p>
    <w:p>
      <w:pPr>
        <w:pStyle w:val="null3"/>
        <w:ind w:firstLine="960"/>
        <w:jc w:val="left"/>
      </w:pPr>
      <w:r>
        <w:rPr/>
        <w:t>详见附件：售后服务方案</w:t>
      </w:r>
    </w:p>
    <w:p>
      <w:pPr>
        <w:pStyle w:val="null3"/>
        <w:ind w:firstLine="960"/>
        <w:jc w:val="left"/>
      </w:pPr>
      <w:r>
        <w:rPr/>
        <w:t>详见附件：节能、环境标志产品</w:t>
      </w:r>
    </w:p>
    <w:p>
      <w:pPr>
        <w:pStyle w:val="null3"/>
        <w:ind w:firstLine="960"/>
        <w:jc w:val="left"/>
      </w:pPr>
      <w:r>
        <w:rPr/>
        <w:t>详见附件：投标人认为需要提供的资料</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