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CE04DC">
      <w:pPr>
        <w:pStyle w:val="4"/>
        <w:jc w:val="center"/>
        <w:outlineLvl w:val="1"/>
        <w:rPr>
          <w:color w:val="auto"/>
          <w:highlight w:val="none"/>
        </w:rPr>
      </w:pPr>
      <w:bookmarkStart w:id="0" w:name="TC_ISSUE_2081561862426411009_p0453"/>
      <w:r>
        <w:rPr>
          <w:b/>
          <w:color w:val="auto"/>
          <w:sz w:val="36"/>
          <w:highlight w:val="none"/>
        </w:rPr>
        <w:t>第五章 合同文本</w:t>
      </w:r>
      <w:bookmarkEnd w:id="0"/>
    </w:p>
    <w:p w14:paraId="061BB899">
      <w:pPr>
        <w:pStyle w:val="4"/>
        <w:jc w:val="center"/>
        <w:rPr>
          <w:rFonts w:hint="eastAsia" w:eastAsia="宋体"/>
          <w:color w:val="auto"/>
          <w:highlight w:val="none"/>
          <w:lang w:eastAsia="zh-CN"/>
        </w:rPr>
      </w:pPr>
      <w:r>
        <w:rPr>
          <w:rFonts w:hint="eastAsia" w:ascii="Times New Roman" w:hAnsi="Times New Roman" w:cs="Times New Roman" w:eastAsiaTheme="minorEastAsia"/>
          <w:color w:val="auto"/>
          <w:kern w:val="2"/>
          <w:sz w:val="24"/>
          <w:szCs w:val="24"/>
          <w:highlight w:val="none"/>
          <w:lang w:val="en-US" w:eastAsia="zh-CN" w:bidi="ar-SA"/>
        </w:rPr>
        <w:t>（本合同属于中小企业预留份额合同）</w:t>
      </w:r>
    </w:p>
    <w:p w14:paraId="2F4573FC">
      <w:pPr>
        <w:pStyle w:val="4"/>
        <w:shd w:val="clear" w:color="auto" w:fill="FFFFFF"/>
        <w:spacing w:before="0" w:after="0"/>
        <w:ind w:left="0" w:right="0"/>
        <w:jc w:val="center"/>
        <w:rPr>
          <w:color w:val="auto"/>
          <w:highlight w:val="none"/>
        </w:rPr>
      </w:pPr>
      <w:r>
        <w:rPr>
          <w:rFonts w:ascii="宋体" w:hAnsi="宋体" w:eastAsia="宋体" w:cs="宋体"/>
          <w:b/>
          <w:color w:val="auto"/>
          <w:sz w:val="48"/>
          <w:highlight w:val="none"/>
        </w:rPr>
        <w:t xml:space="preserve"> </w:t>
      </w:r>
    </w:p>
    <w:p w14:paraId="03EEBF69">
      <w:pPr>
        <w:jc w:val="center"/>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广州大学2026年网络安全保障服务项目合同</w:t>
      </w:r>
    </w:p>
    <w:p w14:paraId="2CEB6691">
      <w:pPr>
        <w:rPr>
          <w:rFonts w:ascii="Times New Roman" w:hAnsi="Times New Roman" w:cs="Times New Roman"/>
          <w:b/>
          <w:color w:val="auto"/>
          <w:szCs w:val="21"/>
          <w:highlight w:val="none"/>
        </w:rPr>
      </w:pPr>
    </w:p>
    <w:p w14:paraId="0D6E83B1">
      <w:pPr>
        <w:ind w:right="720"/>
        <w:jc w:val="right"/>
        <w:rPr>
          <w:rFonts w:ascii="Times New Roman" w:hAnsi="Times New Roman" w:cs="Times New Roman"/>
          <w:b/>
          <w:color w:val="auto"/>
          <w:sz w:val="24"/>
          <w:highlight w:val="none"/>
        </w:rPr>
      </w:pPr>
      <w:r>
        <w:rPr>
          <w:rFonts w:ascii="Times New Roman" w:hAnsi="Times New Roman" w:cs="Times New Roman"/>
          <w:b/>
          <w:color w:val="auto"/>
          <w:sz w:val="24"/>
          <w:highlight w:val="none"/>
        </w:rPr>
        <w:t>合同编号：</w:t>
      </w:r>
    </w:p>
    <w:p w14:paraId="6FBFF152">
      <w:pPr>
        <w:jc w:val="right"/>
        <w:rPr>
          <w:rFonts w:ascii="Times New Roman" w:hAnsi="Times New Roman" w:cs="Times New Roman"/>
          <w:b/>
          <w:color w:val="auto"/>
          <w:sz w:val="24"/>
          <w:highlight w:val="none"/>
        </w:rPr>
      </w:pPr>
      <w:r>
        <w:rPr>
          <w:rFonts w:ascii="Times New Roman" w:hAnsi="Times New Roman" w:cs="Times New Roman"/>
          <w:b/>
          <w:color w:val="auto"/>
          <w:sz w:val="24"/>
          <w:highlight w:val="none"/>
        </w:rPr>
        <w:t>签订地点：广州市</w:t>
      </w:r>
    </w:p>
    <w:p w14:paraId="48E648AD">
      <w:pPr>
        <w:ind w:firstLine="562" w:firstLineChars="200"/>
        <w:rPr>
          <w:rFonts w:ascii="Times New Roman" w:hAnsi="Times New Roman" w:cs="Times New Roman"/>
          <w:b/>
          <w:bCs/>
          <w:color w:val="auto"/>
          <w:sz w:val="28"/>
          <w:szCs w:val="28"/>
          <w:highlight w:val="none"/>
        </w:rPr>
      </w:pPr>
      <w:r>
        <w:rPr>
          <w:rFonts w:ascii="Times New Roman" w:hAnsi="Times New Roman" w:cs="Times New Roman"/>
          <w:b/>
          <w:bCs/>
          <w:color w:val="auto"/>
          <w:sz w:val="28"/>
          <w:szCs w:val="28"/>
          <w:highlight w:val="none"/>
        </w:rPr>
        <w:t xml:space="preserve">甲方：广州大学 </w:t>
      </w:r>
    </w:p>
    <w:p w14:paraId="5DA9C64E">
      <w:pPr>
        <w:ind w:firstLine="562" w:firstLineChars="200"/>
        <w:rPr>
          <w:rFonts w:ascii="Times New Roman" w:hAnsi="Times New Roman" w:cs="Times New Roman"/>
          <w:b/>
          <w:bCs/>
          <w:color w:val="auto"/>
          <w:sz w:val="28"/>
          <w:szCs w:val="28"/>
          <w:highlight w:val="none"/>
        </w:rPr>
      </w:pPr>
      <w:r>
        <w:rPr>
          <w:rFonts w:ascii="Times New Roman" w:hAnsi="Times New Roman" w:cs="Times New Roman"/>
          <w:b/>
          <w:bCs/>
          <w:color w:val="auto"/>
          <w:sz w:val="28"/>
          <w:szCs w:val="28"/>
          <w:highlight w:val="none"/>
        </w:rPr>
        <w:t xml:space="preserve">乙方： </w:t>
      </w:r>
    </w:p>
    <w:p w14:paraId="5DA7C84D">
      <w:pPr>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为了明确双方的权利义务,根据《中华人民共和国民法典》、《中华人民共和国政府采购法》和其他相关的法律法规，乙方还须完全遵守《中华人民共和国劳动合同法》有关规定和《中华人民共和国妇女权益保障法》中关于“劳动和社会保障权益”的有关要求，甲乙双方在平等自愿、协商一致的基础上，结合本采购项目之招标投标文件，签订本合同。</w:t>
      </w:r>
    </w:p>
    <w:p w14:paraId="7A5B2DA7">
      <w:pPr>
        <w:pStyle w:val="5"/>
        <w:numPr>
          <w:ilvl w:val="0"/>
          <w:numId w:val="1"/>
        </w:numPr>
        <w:tabs>
          <w:tab w:val="left" w:pos="426"/>
        </w:tabs>
        <w:autoSpaceDE w:val="0"/>
        <w:autoSpaceDN w:val="0"/>
        <w:adjustRightInd w:val="0"/>
        <w:spacing w:before="156" w:beforeLines="50" w:after="156" w:afterLines="50" w:line="0" w:lineRule="atLeast"/>
        <w:ind w:firstLineChars="0"/>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合同标的</w:t>
      </w:r>
    </w:p>
    <w:p w14:paraId="4FEF38B4">
      <w:pPr>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1、项目采购情况</w:t>
      </w:r>
    </w:p>
    <w:p w14:paraId="42282D9E">
      <w:pPr>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（1）项目名称：广州大学2026年网络安全保障服务项目</w:t>
      </w:r>
    </w:p>
    <w:p w14:paraId="2E707DA7">
      <w:pPr>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（2）项目及《招标文件》编号：</w:t>
      </w:r>
    </w:p>
    <w:p w14:paraId="40F71B24">
      <w:pPr>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（3）采购代理机构名称： </w:t>
      </w:r>
    </w:p>
    <w:p w14:paraId="54A08930">
      <w:pPr>
        <w:ind w:firstLine="480" w:firstLineChars="200"/>
        <w:rPr>
          <w:rFonts w:ascii="Times New Roman" w:hAnsi="Times New Roman" w:cs="Times New Roman"/>
          <w:color w:val="auto"/>
          <w:sz w:val="24"/>
          <w:highlight w:val="none"/>
        </w:rPr>
      </w:pPr>
      <w:r>
        <w:rPr>
          <w:rFonts w:ascii="Times New Roman" w:hAnsi="Times New Roman" w:cs="Times New Roman"/>
          <w:color w:val="auto"/>
          <w:sz w:val="24"/>
          <w:highlight w:val="none"/>
        </w:rPr>
        <w:t>2、合同标的与合同价格构成</w:t>
      </w:r>
    </w:p>
    <w:p w14:paraId="090CE70A">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具体包括：甲方委托乙方对所中标范围内的《广州大学2026年网络安全保障服务项目》进行技术支持与服务，完成相关项目的网络安全保障技术服务工作，内容如下包括：</w:t>
      </w:r>
    </w:p>
    <w:tbl>
      <w:tblPr>
        <w:tblStyle w:val="2"/>
        <w:tblW w:w="5195" w:type="pct"/>
        <w:tblInd w:w="0" w:type="dxa"/>
        <w:tblLayout w:type="fixed"/>
        <w:tblCellMar>
          <w:top w:w="0" w:type="dxa"/>
          <w:left w:w="108" w:type="dxa"/>
          <w:bottom w:w="0" w:type="dxa"/>
          <w:right w:w="108" w:type="dxa"/>
        </w:tblCellMar>
      </w:tblPr>
      <w:tblGrid>
        <w:gridCol w:w="421"/>
        <w:gridCol w:w="984"/>
        <w:gridCol w:w="1845"/>
        <w:gridCol w:w="1507"/>
        <w:gridCol w:w="1305"/>
        <w:gridCol w:w="614"/>
        <w:gridCol w:w="1305"/>
        <w:gridCol w:w="873"/>
      </w:tblGrid>
      <w:tr w14:paraId="5343A757">
        <w:tblPrEx>
          <w:tblCellMar>
            <w:top w:w="0" w:type="dxa"/>
            <w:left w:w="108" w:type="dxa"/>
            <w:bottom w:w="0" w:type="dxa"/>
            <w:right w:w="108" w:type="dxa"/>
          </w:tblCellMar>
        </w:tblPrEx>
        <w:trPr>
          <w:trHeight w:val="710" w:hRule="atLeast"/>
        </w:trPr>
        <w:tc>
          <w:tcPr>
            <w:tcW w:w="237" w:type="pct"/>
            <w:tcBorders>
              <w:top w:val="double" w:color="auto" w:sz="6" w:space="0"/>
              <w:left w:val="double" w:color="auto" w:sz="6" w:space="0"/>
              <w:bottom w:val="single" w:color="auto" w:sz="4" w:space="0"/>
              <w:right w:val="single" w:color="auto" w:sz="4" w:space="0"/>
            </w:tcBorders>
            <w:shd w:val="clear" w:color="auto" w:fill="auto"/>
            <w:vAlign w:val="center"/>
          </w:tcPr>
          <w:p w14:paraId="07ABD91D">
            <w:pPr>
              <w:widowControl/>
              <w:jc w:val="center"/>
              <w:rPr>
                <w:rFonts w:ascii="Times New Roman" w:hAnsi="Times New Roman" w:cs="Times New Roman"/>
                <w:b/>
                <w:bCs/>
                <w:color w:val="auto"/>
                <w:kern w:val="0"/>
                <w:sz w:val="24"/>
                <w:highlight w:val="none"/>
              </w:rPr>
            </w:pPr>
            <w:r>
              <w:rPr>
                <w:rFonts w:ascii="Times New Roman" w:hAnsi="Times New Roman" w:cs="Times New Roman"/>
                <w:b/>
                <w:bCs/>
                <w:color w:val="auto"/>
                <w:kern w:val="0"/>
                <w:sz w:val="24"/>
                <w:highlight w:val="none"/>
              </w:rPr>
              <w:t>序号</w:t>
            </w:r>
          </w:p>
        </w:tc>
        <w:tc>
          <w:tcPr>
            <w:tcW w:w="555" w:type="pct"/>
            <w:tcBorders>
              <w:top w:val="double" w:color="auto" w:sz="6" w:space="0"/>
              <w:left w:val="nil"/>
              <w:bottom w:val="single" w:color="auto" w:sz="4" w:space="0"/>
              <w:right w:val="single" w:color="auto" w:sz="4" w:space="0"/>
            </w:tcBorders>
            <w:shd w:val="clear" w:color="auto" w:fill="auto"/>
            <w:vAlign w:val="center"/>
          </w:tcPr>
          <w:p w14:paraId="5E9419C1">
            <w:pPr>
              <w:widowControl/>
              <w:jc w:val="center"/>
              <w:rPr>
                <w:rFonts w:ascii="Times New Roman" w:hAnsi="Times New Roman" w:cs="Times New Roman"/>
                <w:b/>
                <w:bCs/>
                <w:color w:val="auto"/>
                <w:kern w:val="0"/>
                <w:sz w:val="24"/>
                <w:highlight w:val="none"/>
              </w:rPr>
            </w:pPr>
            <w:r>
              <w:rPr>
                <w:rFonts w:ascii="Times New Roman" w:hAnsi="Times New Roman" w:cs="Times New Roman"/>
                <w:b/>
                <w:bCs/>
                <w:color w:val="auto"/>
                <w:kern w:val="0"/>
                <w:sz w:val="24"/>
                <w:highlight w:val="none"/>
              </w:rPr>
              <w:t>服务名称</w:t>
            </w:r>
          </w:p>
        </w:tc>
        <w:tc>
          <w:tcPr>
            <w:tcW w:w="1042" w:type="pct"/>
            <w:tcBorders>
              <w:top w:val="double" w:color="auto" w:sz="6" w:space="0"/>
              <w:left w:val="nil"/>
              <w:bottom w:val="single" w:color="auto" w:sz="4" w:space="0"/>
              <w:right w:val="single" w:color="auto" w:sz="4" w:space="0"/>
            </w:tcBorders>
            <w:shd w:val="clear" w:color="auto" w:fill="auto"/>
            <w:vAlign w:val="center"/>
          </w:tcPr>
          <w:p w14:paraId="249D77E0">
            <w:pPr>
              <w:widowControl/>
              <w:jc w:val="center"/>
              <w:rPr>
                <w:rFonts w:ascii="Times New Roman" w:hAnsi="Times New Roman" w:cs="Times New Roman"/>
                <w:b/>
                <w:bCs/>
                <w:color w:val="auto"/>
                <w:kern w:val="0"/>
                <w:sz w:val="24"/>
                <w:highlight w:val="none"/>
              </w:rPr>
            </w:pPr>
            <w:r>
              <w:rPr>
                <w:rFonts w:ascii="Times New Roman" w:hAnsi="Times New Roman" w:cs="Times New Roman"/>
                <w:b/>
                <w:bCs/>
                <w:color w:val="auto"/>
                <w:kern w:val="0"/>
                <w:sz w:val="24"/>
                <w:highlight w:val="none"/>
              </w:rPr>
              <w:t>服务范围</w:t>
            </w:r>
          </w:p>
        </w:tc>
        <w:tc>
          <w:tcPr>
            <w:tcW w:w="850" w:type="pct"/>
            <w:tcBorders>
              <w:top w:val="double" w:color="auto" w:sz="6" w:space="0"/>
              <w:left w:val="nil"/>
              <w:bottom w:val="single" w:color="auto" w:sz="4" w:space="0"/>
              <w:right w:val="single" w:color="auto" w:sz="4" w:space="0"/>
            </w:tcBorders>
            <w:shd w:val="clear" w:color="auto" w:fill="auto"/>
            <w:vAlign w:val="center"/>
          </w:tcPr>
          <w:p w14:paraId="5BCEBE91">
            <w:pPr>
              <w:widowControl/>
              <w:jc w:val="center"/>
              <w:rPr>
                <w:rFonts w:ascii="Times New Roman" w:hAnsi="Times New Roman" w:cs="Times New Roman"/>
                <w:b/>
                <w:bCs/>
                <w:color w:val="auto"/>
                <w:kern w:val="0"/>
                <w:sz w:val="24"/>
                <w:highlight w:val="none"/>
              </w:rPr>
            </w:pPr>
            <w:r>
              <w:rPr>
                <w:rFonts w:ascii="Times New Roman" w:hAnsi="Times New Roman" w:cs="Times New Roman"/>
                <w:b/>
                <w:bCs/>
                <w:color w:val="auto"/>
                <w:kern w:val="0"/>
                <w:sz w:val="24"/>
                <w:highlight w:val="none"/>
              </w:rPr>
              <w:t>服务时间</w:t>
            </w:r>
          </w:p>
        </w:tc>
        <w:tc>
          <w:tcPr>
            <w:tcW w:w="737" w:type="pct"/>
            <w:tcBorders>
              <w:top w:val="double" w:color="auto" w:sz="6" w:space="0"/>
              <w:left w:val="nil"/>
              <w:bottom w:val="single" w:color="auto" w:sz="4" w:space="0"/>
              <w:right w:val="single" w:color="auto" w:sz="4" w:space="0"/>
            </w:tcBorders>
            <w:shd w:val="clear" w:color="auto" w:fill="auto"/>
            <w:vAlign w:val="center"/>
          </w:tcPr>
          <w:p w14:paraId="626CB931">
            <w:pPr>
              <w:widowControl/>
              <w:jc w:val="right"/>
              <w:rPr>
                <w:rFonts w:ascii="Times New Roman" w:hAnsi="Times New Roman" w:cs="Times New Roman"/>
                <w:b/>
                <w:bCs/>
                <w:color w:val="auto"/>
                <w:kern w:val="0"/>
                <w:sz w:val="24"/>
                <w:highlight w:val="none"/>
              </w:rPr>
            </w:pPr>
            <w:r>
              <w:rPr>
                <w:rFonts w:ascii="Times New Roman" w:hAnsi="Times New Roman" w:cs="Times New Roman"/>
                <w:b/>
                <w:bCs/>
                <w:color w:val="auto"/>
                <w:kern w:val="0"/>
                <w:sz w:val="24"/>
                <w:highlight w:val="none"/>
              </w:rPr>
              <w:t>单价（元 ）</w:t>
            </w:r>
          </w:p>
        </w:tc>
        <w:tc>
          <w:tcPr>
            <w:tcW w:w="347" w:type="pct"/>
            <w:tcBorders>
              <w:top w:val="double" w:color="auto" w:sz="6" w:space="0"/>
              <w:left w:val="nil"/>
              <w:bottom w:val="single" w:color="auto" w:sz="4" w:space="0"/>
              <w:right w:val="single" w:color="auto" w:sz="4" w:space="0"/>
            </w:tcBorders>
            <w:shd w:val="clear" w:color="auto" w:fill="auto"/>
            <w:vAlign w:val="center"/>
          </w:tcPr>
          <w:p w14:paraId="6C78896B">
            <w:pPr>
              <w:widowControl/>
              <w:jc w:val="center"/>
              <w:rPr>
                <w:rFonts w:ascii="Times New Roman" w:hAnsi="Times New Roman" w:cs="Times New Roman"/>
                <w:b/>
                <w:bCs/>
                <w:color w:val="auto"/>
                <w:kern w:val="0"/>
                <w:sz w:val="24"/>
                <w:highlight w:val="none"/>
              </w:rPr>
            </w:pPr>
            <w:r>
              <w:rPr>
                <w:rFonts w:ascii="Times New Roman" w:hAnsi="Times New Roman" w:cs="Times New Roman"/>
                <w:b/>
                <w:bCs/>
                <w:color w:val="auto"/>
                <w:kern w:val="0"/>
                <w:sz w:val="24"/>
                <w:highlight w:val="none"/>
              </w:rPr>
              <w:t>数量</w:t>
            </w:r>
          </w:p>
        </w:tc>
        <w:tc>
          <w:tcPr>
            <w:tcW w:w="737" w:type="pct"/>
            <w:tcBorders>
              <w:top w:val="double" w:color="auto" w:sz="6" w:space="0"/>
              <w:left w:val="nil"/>
              <w:bottom w:val="single" w:color="auto" w:sz="4" w:space="0"/>
              <w:right w:val="single" w:color="auto" w:sz="4" w:space="0"/>
            </w:tcBorders>
            <w:shd w:val="clear" w:color="auto" w:fill="auto"/>
            <w:vAlign w:val="center"/>
          </w:tcPr>
          <w:p w14:paraId="593849FC">
            <w:pPr>
              <w:widowControl/>
              <w:jc w:val="center"/>
              <w:rPr>
                <w:rFonts w:ascii="Times New Roman" w:hAnsi="Times New Roman" w:cs="Times New Roman"/>
                <w:b/>
                <w:bCs/>
                <w:color w:val="auto"/>
                <w:kern w:val="0"/>
                <w:sz w:val="24"/>
                <w:highlight w:val="none"/>
              </w:rPr>
            </w:pPr>
            <w:r>
              <w:rPr>
                <w:rFonts w:ascii="Times New Roman" w:hAnsi="Times New Roman" w:cs="Times New Roman"/>
                <w:b/>
                <w:bCs/>
                <w:color w:val="auto"/>
                <w:kern w:val="0"/>
                <w:sz w:val="24"/>
                <w:highlight w:val="none"/>
              </w:rPr>
              <w:t>小计（元)</w:t>
            </w:r>
          </w:p>
        </w:tc>
        <w:tc>
          <w:tcPr>
            <w:tcW w:w="492" w:type="pct"/>
            <w:tcBorders>
              <w:top w:val="double" w:color="auto" w:sz="6" w:space="0"/>
              <w:left w:val="nil"/>
              <w:bottom w:val="single" w:color="auto" w:sz="4" w:space="0"/>
              <w:right w:val="double" w:color="auto" w:sz="6" w:space="0"/>
            </w:tcBorders>
            <w:shd w:val="clear" w:color="auto" w:fill="auto"/>
            <w:vAlign w:val="center"/>
          </w:tcPr>
          <w:p w14:paraId="24993424">
            <w:pPr>
              <w:widowControl/>
              <w:jc w:val="center"/>
              <w:rPr>
                <w:rFonts w:ascii="Times New Roman" w:hAnsi="Times New Roman" w:cs="Times New Roman"/>
                <w:b/>
                <w:bCs/>
                <w:color w:val="auto"/>
                <w:kern w:val="0"/>
                <w:sz w:val="24"/>
                <w:highlight w:val="none"/>
              </w:rPr>
            </w:pPr>
            <w:r>
              <w:rPr>
                <w:rFonts w:ascii="Times New Roman" w:hAnsi="Times New Roman" w:cs="Times New Roman"/>
                <w:b/>
                <w:bCs/>
                <w:color w:val="auto"/>
                <w:kern w:val="0"/>
                <w:sz w:val="24"/>
                <w:highlight w:val="none"/>
              </w:rPr>
              <w:t>备注</w:t>
            </w:r>
          </w:p>
        </w:tc>
      </w:tr>
      <w:tr w14:paraId="50DD82DC">
        <w:tblPrEx>
          <w:tblCellMar>
            <w:top w:w="0" w:type="dxa"/>
            <w:left w:w="108" w:type="dxa"/>
            <w:bottom w:w="0" w:type="dxa"/>
            <w:right w:w="108" w:type="dxa"/>
          </w:tblCellMar>
        </w:tblPrEx>
        <w:trPr>
          <w:trHeight w:val="520" w:hRule="atLeast"/>
        </w:trPr>
        <w:tc>
          <w:tcPr>
            <w:tcW w:w="237" w:type="pct"/>
            <w:tcBorders>
              <w:top w:val="nil"/>
              <w:left w:val="double" w:color="auto" w:sz="6" w:space="0"/>
              <w:bottom w:val="single" w:color="auto" w:sz="4" w:space="0"/>
              <w:right w:val="single" w:color="auto" w:sz="4" w:space="0"/>
            </w:tcBorders>
            <w:shd w:val="clear" w:color="auto" w:fill="auto"/>
          </w:tcPr>
          <w:p w14:paraId="7D457035">
            <w:pPr>
              <w:widowControl/>
              <w:jc w:val="center"/>
              <w:rPr>
                <w:rFonts w:ascii="Times New Roman" w:hAnsi="Times New Roman" w:cs="Times New Roman"/>
                <w:color w:val="auto"/>
                <w:kern w:val="0"/>
                <w:sz w:val="24"/>
                <w:highlight w:val="none"/>
              </w:rPr>
            </w:pPr>
            <w:r>
              <w:rPr>
                <w:rFonts w:ascii="Times New Roman" w:hAnsi="Times New Roman" w:cs="Times New Roman"/>
                <w:color w:val="auto"/>
                <w:kern w:val="0"/>
                <w:sz w:val="24"/>
                <w:highlight w:val="none"/>
              </w:rPr>
              <w:t>1</w:t>
            </w:r>
          </w:p>
        </w:tc>
        <w:tc>
          <w:tcPr>
            <w:tcW w:w="555" w:type="pct"/>
            <w:tcBorders>
              <w:top w:val="nil"/>
              <w:left w:val="nil"/>
              <w:bottom w:val="single" w:color="auto" w:sz="4" w:space="0"/>
              <w:right w:val="single" w:color="auto" w:sz="4" w:space="0"/>
            </w:tcBorders>
            <w:shd w:val="clear" w:color="auto" w:fill="auto"/>
          </w:tcPr>
          <w:p w14:paraId="44C9C91D">
            <w:pPr>
              <w:widowControl/>
              <w:jc w:val="left"/>
              <w:rPr>
                <w:rFonts w:ascii="Times New Roman" w:hAnsi="Times New Roman" w:cs="Times New Roman"/>
                <w:color w:val="auto"/>
                <w:kern w:val="0"/>
                <w:sz w:val="24"/>
                <w:highlight w:val="none"/>
              </w:rPr>
            </w:pPr>
          </w:p>
        </w:tc>
        <w:tc>
          <w:tcPr>
            <w:tcW w:w="1042" w:type="pct"/>
            <w:tcBorders>
              <w:top w:val="nil"/>
              <w:left w:val="nil"/>
              <w:bottom w:val="single" w:color="auto" w:sz="4" w:space="0"/>
              <w:right w:val="single" w:color="auto" w:sz="4" w:space="0"/>
            </w:tcBorders>
            <w:shd w:val="clear" w:color="auto" w:fill="auto"/>
          </w:tcPr>
          <w:p w14:paraId="72AEB354">
            <w:pPr>
              <w:widowControl/>
              <w:jc w:val="left"/>
              <w:rPr>
                <w:rFonts w:ascii="Times New Roman" w:hAnsi="Times New Roman" w:cs="Times New Roman"/>
                <w:color w:val="auto"/>
                <w:kern w:val="0"/>
                <w:sz w:val="24"/>
                <w:highlight w:val="none"/>
              </w:rPr>
            </w:pPr>
          </w:p>
        </w:tc>
        <w:tc>
          <w:tcPr>
            <w:tcW w:w="850" w:type="pct"/>
            <w:tcBorders>
              <w:top w:val="nil"/>
              <w:left w:val="nil"/>
              <w:bottom w:val="single" w:color="auto" w:sz="4" w:space="0"/>
              <w:right w:val="single" w:color="auto" w:sz="4" w:space="0"/>
            </w:tcBorders>
            <w:shd w:val="clear" w:color="auto" w:fill="auto"/>
          </w:tcPr>
          <w:p w14:paraId="751B225A">
            <w:pPr>
              <w:widowControl/>
              <w:jc w:val="left"/>
              <w:rPr>
                <w:rFonts w:ascii="Times New Roman" w:hAnsi="Times New Roman" w:cs="Times New Roman"/>
                <w:color w:val="auto"/>
                <w:kern w:val="0"/>
                <w:sz w:val="24"/>
                <w:highlight w:val="none"/>
              </w:rPr>
            </w:pPr>
          </w:p>
        </w:tc>
        <w:tc>
          <w:tcPr>
            <w:tcW w:w="737" w:type="pct"/>
            <w:tcBorders>
              <w:top w:val="nil"/>
              <w:left w:val="nil"/>
              <w:bottom w:val="single" w:color="auto" w:sz="4" w:space="0"/>
              <w:right w:val="single" w:color="auto" w:sz="4" w:space="0"/>
            </w:tcBorders>
            <w:shd w:val="clear" w:color="auto" w:fill="auto"/>
            <w:vAlign w:val="center"/>
          </w:tcPr>
          <w:p w14:paraId="5E3DB282">
            <w:pPr>
              <w:widowControl/>
              <w:jc w:val="right"/>
              <w:rPr>
                <w:rFonts w:ascii="Times New Roman" w:hAnsi="Times New Roman" w:cs="Times New Roman"/>
                <w:color w:val="auto"/>
                <w:kern w:val="0"/>
                <w:sz w:val="24"/>
                <w:highlight w:val="none"/>
              </w:rPr>
            </w:pPr>
          </w:p>
        </w:tc>
        <w:tc>
          <w:tcPr>
            <w:tcW w:w="347" w:type="pct"/>
            <w:tcBorders>
              <w:top w:val="nil"/>
              <w:left w:val="nil"/>
              <w:bottom w:val="single" w:color="auto" w:sz="4" w:space="0"/>
              <w:right w:val="single" w:color="auto" w:sz="4" w:space="0"/>
            </w:tcBorders>
            <w:shd w:val="clear" w:color="auto" w:fill="auto"/>
            <w:vAlign w:val="center"/>
          </w:tcPr>
          <w:p w14:paraId="219EB898">
            <w:pPr>
              <w:widowControl/>
              <w:jc w:val="center"/>
              <w:rPr>
                <w:rFonts w:ascii="Times New Roman" w:hAnsi="Times New Roman" w:cs="Times New Roman"/>
                <w:color w:val="auto"/>
                <w:kern w:val="0"/>
                <w:sz w:val="24"/>
                <w:highlight w:val="none"/>
              </w:rPr>
            </w:pPr>
          </w:p>
        </w:tc>
        <w:tc>
          <w:tcPr>
            <w:tcW w:w="737" w:type="pct"/>
            <w:tcBorders>
              <w:top w:val="nil"/>
              <w:left w:val="nil"/>
              <w:bottom w:val="single" w:color="auto" w:sz="4" w:space="0"/>
              <w:right w:val="single" w:color="auto" w:sz="4" w:space="0"/>
            </w:tcBorders>
            <w:shd w:val="clear" w:color="auto" w:fill="auto"/>
            <w:vAlign w:val="center"/>
          </w:tcPr>
          <w:p w14:paraId="57AC5E9D">
            <w:pPr>
              <w:widowControl/>
              <w:jc w:val="right"/>
              <w:rPr>
                <w:rFonts w:ascii="Times New Roman" w:hAnsi="Times New Roman" w:cs="Times New Roman"/>
                <w:color w:val="auto"/>
                <w:kern w:val="0"/>
                <w:sz w:val="24"/>
                <w:highlight w:val="none"/>
              </w:rPr>
            </w:pPr>
          </w:p>
        </w:tc>
        <w:tc>
          <w:tcPr>
            <w:tcW w:w="492" w:type="pct"/>
            <w:vMerge w:val="restart"/>
            <w:tcBorders>
              <w:top w:val="nil"/>
              <w:left w:val="single" w:color="auto" w:sz="4" w:space="0"/>
              <w:bottom w:val="single" w:color="auto" w:sz="4" w:space="0"/>
              <w:right w:val="double" w:color="auto" w:sz="6" w:space="0"/>
            </w:tcBorders>
            <w:shd w:val="clear" w:color="auto" w:fill="auto"/>
            <w:vAlign w:val="center"/>
          </w:tcPr>
          <w:p w14:paraId="1EFAF34B">
            <w:pPr>
              <w:widowControl/>
              <w:rPr>
                <w:rFonts w:ascii="Times New Roman" w:hAnsi="Times New Roman" w:cs="Times New Roman"/>
                <w:color w:val="auto"/>
                <w:kern w:val="0"/>
                <w:sz w:val="24"/>
                <w:highlight w:val="none"/>
              </w:rPr>
            </w:pPr>
            <w:r>
              <w:rPr>
                <w:rFonts w:ascii="Times New Roman" w:hAnsi="Times New Roman" w:cs="Times New Roman"/>
                <w:color w:val="auto"/>
                <w:kern w:val="0"/>
                <w:sz w:val="24"/>
                <w:highlight w:val="none"/>
              </w:rPr>
              <w:t xml:space="preserve">服务要求和服务标准与招标文件相同 </w:t>
            </w:r>
          </w:p>
        </w:tc>
      </w:tr>
      <w:tr w14:paraId="0FD236C6">
        <w:tblPrEx>
          <w:tblCellMar>
            <w:top w:w="0" w:type="dxa"/>
            <w:left w:w="108" w:type="dxa"/>
            <w:bottom w:w="0" w:type="dxa"/>
            <w:right w:w="108" w:type="dxa"/>
          </w:tblCellMar>
        </w:tblPrEx>
        <w:trPr>
          <w:trHeight w:val="520" w:hRule="atLeast"/>
        </w:trPr>
        <w:tc>
          <w:tcPr>
            <w:tcW w:w="237" w:type="pct"/>
            <w:tcBorders>
              <w:top w:val="nil"/>
              <w:left w:val="double" w:color="auto" w:sz="6" w:space="0"/>
              <w:bottom w:val="single" w:color="auto" w:sz="4" w:space="0"/>
              <w:right w:val="single" w:color="auto" w:sz="4" w:space="0"/>
            </w:tcBorders>
            <w:shd w:val="clear" w:color="auto" w:fill="auto"/>
          </w:tcPr>
          <w:p w14:paraId="0706EF3F">
            <w:pPr>
              <w:widowControl/>
              <w:jc w:val="center"/>
              <w:rPr>
                <w:rFonts w:ascii="Times New Roman" w:hAnsi="Times New Roman" w:cs="Times New Roman"/>
                <w:color w:val="auto"/>
                <w:kern w:val="0"/>
                <w:sz w:val="24"/>
                <w:highlight w:val="none"/>
              </w:rPr>
            </w:pPr>
            <w:r>
              <w:rPr>
                <w:rFonts w:ascii="Times New Roman" w:hAnsi="Times New Roman" w:cs="Times New Roman"/>
                <w:color w:val="auto"/>
                <w:kern w:val="0"/>
                <w:sz w:val="24"/>
                <w:highlight w:val="none"/>
              </w:rPr>
              <w:t>2</w:t>
            </w:r>
          </w:p>
        </w:tc>
        <w:tc>
          <w:tcPr>
            <w:tcW w:w="555" w:type="pct"/>
            <w:tcBorders>
              <w:top w:val="nil"/>
              <w:left w:val="nil"/>
              <w:bottom w:val="single" w:color="auto" w:sz="4" w:space="0"/>
              <w:right w:val="single" w:color="auto" w:sz="4" w:space="0"/>
            </w:tcBorders>
            <w:shd w:val="clear" w:color="auto" w:fill="auto"/>
          </w:tcPr>
          <w:p w14:paraId="688E9356">
            <w:pPr>
              <w:widowControl/>
              <w:jc w:val="left"/>
              <w:rPr>
                <w:rFonts w:ascii="Times New Roman" w:hAnsi="Times New Roman" w:cs="Times New Roman"/>
                <w:color w:val="auto"/>
                <w:kern w:val="0"/>
                <w:sz w:val="24"/>
                <w:highlight w:val="none"/>
              </w:rPr>
            </w:pPr>
          </w:p>
        </w:tc>
        <w:tc>
          <w:tcPr>
            <w:tcW w:w="1042" w:type="pct"/>
            <w:tcBorders>
              <w:top w:val="nil"/>
              <w:left w:val="nil"/>
              <w:bottom w:val="single" w:color="auto" w:sz="4" w:space="0"/>
              <w:right w:val="single" w:color="auto" w:sz="4" w:space="0"/>
            </w:tcBorders>
            <w:shd w:val="clear" w:color="auto" w:fill="auto"/>
          </w:tcPr>
          <w:p w14:paraId="4D14BF4C">
            <w:pPr>
              <w:widowControl/>
              <w:jc w:val="left"/>
              <w:rPr>
                <w:rFonts w:ascii="Times New Roman" w:hAnsi="Times New Roman" w:cs="Times New Roman"/>
                <w:color w:val="auto"/>
                <w:kern w:val="0"/>
                <w:sz w:val="24"/>
                <w:highlight w:val="none"/>
              </w:rPr>
            </w:pPr>
          </w:p>
        </w:tc>
        <w:tc>
          <w:tcPr>
            <w:tcW w:w="850" w:type="pct"/>
            <w:tcBorders>
              <w:top w:val="nil"/>
              <w:left w:val="nil"/>
              <w:bottom w:val="single" w:color="auto" w:sz="4" w:space="0"/>
              <w:right w:val="single" w:color="auto" w:sz="4" w:space="0"/>
            </w:tcBorders>
            <w:shd w:val="clear" w:color="auto" w:fill="auto"/>
          </w:tcPr>
          <w:p w14:paraId="5E9DAC81">
            <w:pPr>
              <w:widowControl/>
              <w:jc w:val="left"/>
              <w:rPr>
                <w:rFonts w:ascii="Times New Roman" w:hAnsi="Times New Roman" w:cs="Times New Roman"/>
                <w:color w:val="auto"/>
                <w:kern w:val="0"/>
                <w:sz w:val="24"/>
                <w:highlight w:val="none"/>
              </w:rPr>
            </w:pPr>
          </w:p>
        </w:tc>
        <w:tc>
          <w:tcPr>
            <w:tcW w:w="737" w:type="pct"/>
            <w:tcBorders>
              <w:top w:val="nil"/>
              <w:left w:val="nil"/>
              <w:bottom w:val="single" w:color="auto" w:sz="4" w:space="0"/>
              <w:right w:val="single" w:color="auto" w:sz="4" w:space="0"/>
            </w:tcBorders>
            <w:shd w:val="clear" w:color="auto" w:fill="auto"/>
            <w:vAlign w:val="center"/>
          </w:tcPr>
          <w:p w14:paraId="5A2A5E97">
            <w:pPr>
              <w:widowControl/>
              <w:jc w:val="right"/>
              <w:rPr>
                <w:rFonts w:ascii="Times New Roman" w:hAnsi="Times New Roman" w:cs="Times New Roman"/>
                <w:color w:val="auto"/>
                <w:kern w:val="0"/>
                <w:sz w:val="24"/>
                <w:highlight w:val="none"/>
              </w:rPr>
            </w:pPr>
          </w:p>
        </w:tc>
        <w:tc>
          <w:tcPr>
            <w:tcW w:w="347" w:type="pct"/>
            <w:tcBorders>
              <w:top w:val="nil"/>
              <w:left w:val="nil"/>
              <w:bottom w:val="single" w:color="auto" w:sz="4" w:space="0"/>
              <w:right w:val="single" w:color="auto" w:sz="4" w:space="0"/>
            </w:tcBorders>
            <w:shd w:val="clear" w:color="auto" w:fill="auto"/>
            <w:vAlign w:val="center"/>
          </w:tcPr>
          <w:p w14:paraId="0600C51F">
            <w:pPr>
              <w:widowControl/>
              <w:jc w:val="center"/>
              <w:rPr>
                <w:rFonts w:ascii="Times New Roman" w:hAnsi="Times New Roman" w:cs="Times New Roman"/>
                <w:color w:val="auto"/>
                <w:kern w:val="0"/>
                <w:sz w:val="24"/>
                <w:highlight w:val="none"/>
              </w:rPr>
            </w:pPr>
          </w:p>
        </w:tc>
        <w:tc>
          <w:tcPr>
            <w:tcW w:w="737" w:type="pct"/>
            <w:tcBorders>
              <w:top w:val="nil"/>
              <w:left w:val="nil"/>
              <w:bottom w:val="single" w:color="auto" w:sz="4" w:space="0"/>
              <w:right w:val="single" w:color="auto" w:sz="4" w:space="0"/>
            </w:tcBorders>
            <w:shd w:val="clear" w:color="auto" w:fill="auto"/>
            <w:vAlign w:val="center"/>
          </w:tcPr>
          <w:p w14:paraId="4E80D16F">
            <w:pPr>
              <w:widowControl/>
              <w:jc w:val="right"/>
              <w:rPr>
                <w:rFonts w:ascii="Times New Roman" w:hAnsi="Times New Roman" w:cs="Times New Roman"/>
                <w:color w:val="auto"/>
                <w:kern w:val="0"/>
                <w:sz w:val="24"/>
                <w:highlight w:val="none"/>
              </w:rPr>
            </w:pPr>
          </w:p>
        </w:tc>
        <w:tc>
          <w:tcPr>
            <w:tcW w:w="492" w:type="pct"/>
            <w:vMerge w:val="continue"/>
            <w:tcBorders>
              <w:top w:val="nil"/>
              <w:left w:val="single" w:color="auto" w:sz="4" w:space="0"/>
              <w:bottom w:val="single" w:color="auto" w:sz="4" w:space="0"/>
              <w:right w:val="double" w:color="auto" w:sz="6" w:space="0"/>
            </w:tcBorders>
            <w:vAlign w:val="center"/>
          </w:tcPr>
          <w:p w14:paraId="6C659B2D">
            <w:pPr>
              <w:widowControl/>
              <w:jc w:val="left"/>
              <w:rPr>
                <w:rFonts w:ascii="Times New Roman" w:hAnsi="Times New Roman" w:cs="Times New Roman"/>
                <w:color w:val="auto"/>
                <w:kern w:val="0"/>
                <w:sz w:val="24"/>
                <w:highlight w:val="none"/>
              </w:rPr>
            </w:pPr>
          </w:p>
        </w:tc>
      </w:tr>
      <w:tr w14:paraId="3826DB37">
        <w:tblPrEx>
          <w:tblCellMar>
            <w:top w:w="0" w:type="dxa"/>
            <w:left w:w="108" w:type="dxa"/>
            <w:bottom w:w="0" w:type="dxa"/>
            <w:right w:w="108" w:type="dxa"/>
          </w:tblCellMar>
        </w:tblPrEx>
        <w:trPr>
          <w:trHeight w:val="1340" w:hRule="atLeast"/>
        </w:trPr>
        <w:tc>
          <w:tcPr>
            <w:tcW w:w="237" w:type="pct"/>
            <w:tcBorders>
              <w:top w:val="nil"/>
              <w:left w:val="double" w:color="auto" w:sz="6" w:space="0"/>
              <w:bottom w:val="single" w:color="auto" w:sz="4" w:space="0"/>
              <w:right w:val="single" w:color="auto" w:sz="4" w:space="0"/>
            </w:tcBorders>
            <w:shd w:val="clear" w:color="auto" w:fill="auto"/>
          </w:tcPr>
          <w:p w14:paraId="1C70F3CB">
            <w:pPr>
              <w:widowControl/>
              <w:jc w:val="center"/>
              <w:rPr>
                <w:rFonts w:ascii="Times New Roman" w:hAnsi="Times New Roman" w:cs="Times New Roman"/>
                <w:color w:val="auto"/>
                <w:kern w:val="0"/>
                <w:sz w:val="24"/>
                <w:highlight w:val="none"/>
              </w:rPr>
            </w:pPr>
            <w:r>
              <w:rPr>
                <w:rFonts w:ascii="Times New Roman" w:hAnsi="Times New Roman" w:cs="Times New Roman"/>
                <w:color w:val="auto"/>
                <w:kern w:val="0"/>
                <w:sz w:val="24"/>
                <w:highlight w:val="none"/>
              </w:rPr>
              <w:t>3</w:t>
            </w:r>
          </w:p>
        </w:tc>
        <w:tc>
          <w:tcPr>
            <w:tcW w:w="555" w:type="pct"/>
            <w:tcBorders>
              <w:top w:val="nil"/>
              <w:left w:val="nil"/>
              <w:bottom w:val="single" w:color="auto" w:sz="4" w:space="0"/>
              <w:right w:val="single" w:color="auto" w:sz="4" w:space="0"/>
            </w:tcBorders>
            <w:shd w:val="clear" w:color="auto" w:fill="auto"/>
          </w:tcPr>
          <w:p w14:paraId="5DA7BDE5">
            <w:pPr>
              <w:widowControl/>
              <w:jc w:val="left"/>
              <w:rPr>
                <w:rFonts w:ascii="Times New Roman" w:hAnsi="Times New Roman" w:cs="Times New Roman"/>
                <w:color w:val="auto"/>
                <w:kern w:val="0"/>
                <w:sz w:val="24"/>
                <w:highlight w:val="none"/>
              </w:rPr>
            </w:pPr>
          </w:p>
        </w:tc>
        <w:tc>
          <w:tcPr>
            <w:tcW w:w="1042" w:type="pct"/>
            <w:tcBorders>
              <w:top w:val="nil"/>
              <w:left w:val="nil"/>
              <w:bottom w:val="single" w:color="auto" w:sz="4" w:space="0"/>
              <w:right w:val="single" w:color="auto" w:sz="4" w:space="0"/>
            </w:tcBorders>
            <w:shd w:val="clear" w:color="auto" w:fill="auto"/>
          </w:tcPr>
          <w:p w14:paraId="1BBA484D">
            <w:pPr>
              <w:widowControl/>
              <w:jc w:val="left"/>
              <w:rPr>
                <w:rFonts w:ascii="Times New Roman" w:hAnsi="Times New Roman" w:cs="Times New Roman"/>
                <w:color w:val="auto"/>
                <w:kern w:val="0"/>
                <w:sz w:val="24"/>
                <w:highlight w:val="none"/>
              </w:rPr>
            </w:pPr>
          </w:p>
        </w:tc>
        <w:tc>
          <w:tcPr>
            <w:tcW w:w="850" w:type="pct"/>
            <w:tcBorders>
              <w:top w:val="nil"/>
              <w:left w:val="nil"/>
              <w:bottom w:val="single" w:color="auto" w:sz="4" w:space="0"/>
              <w:right w:val="single" w:color="auto" w:sz="4" w:space="0"/>
            </w:tcBorders>
            <w:shd w:val="clear" w:color="auto" w:fill="auto"/>
          </w:tcPr>
          <w:p w14:paraId="49D8F48B">
            <w:pPr>
              <w:widowControl/>
              <w:jc w:val="left"/>
              <w:rPr>
                <w:rFonts w:ascii="Times New Roman" w:hAnsi="Times New Roman" w:cs="Times New Roman"/>
                <w:color w:val="auto"/>
                <w:kern w:val="0"/>
                <w:sz w:val="24"/>
                <w:highlight w:val="none"/>
              </w:rPr>
            </w:pPr>
          </w:p>
        </w:tc>
        <w:tc>
          <w:tcPr>
            <w:tcW w:w="737" w:type="pct"/>
            <w:tcBorders>
              <w:top w:val="nil"/>
              <w:left w:val="nil"/>
              <w:bottom w:val="single" w:color="auto" w:sz="4" w:space="0"/>
              <w:right w:val="single" w:color="auto" w:sz="4" w:space="0"/>
            </w:tcBorders>
            <w:shd w:val="clear" w:color="auto" w:fill="auto"/>
            <w:vAlign w:val="center"/>
          </w:tcPr>
          <w:p w14:paraId="1672991E">
            <w:pPr>
              <w:widowControl/>
              <w:jc w:val="right"/>
              <w:rPr>
                <w:rFonts w:ascii="Times New Roman" w:hAnsi="Times New Roman" w:cs="Times New Roman"/>
                <w:color w:val="auto"/>
                <w:kern w:val="0"/>
                <w:sz w:val="24"/>
                <w:highlight w:val="none"/>
              </w:rPr>
            </w:pPr>
          </w:p>
        </w:tc>
        <w:tc>
          <w:tcPr>
            <w:tcW w:w="347" w:type="pct"/>
            <w:tcBorders>
              <w:top w:val="nil"/>
              <w:left w:val="nil"/>
              <w:bottom w:val="single" w:color="auto" w:sz="4" w:space="0"/>
              <w:right w:val="single" w:color="auto" w:sz="4" w:space="0"/>
            </w:tcBorders>
            <w:shd w:val="clear" w:color="auto" w:fill="auto"/>
            <w:vAlign w:val="center"/>
          </w:tcPr>
          <w:p w14:paraId="2168A2C5">
            <w:pPr>
              <w:widowControl/>
              <w:jc w:val="center"/>
              <w:rPr>
                <w:rFonts w:ascii="Times New Roman" w:hAnsi="Times New Roman" w:cs="Times New Roman"/>
                <w:color w:val="auto"/>
                <w:kern w:val="0"/>
                <w:sz w:val="24"/>
                <w:highlight w:val="none"/>
              </w:rPr>
            </w:pPr>
          </w:p>
        </w:tc>
        <w:tc>
          <w:tcPr>
            <w:tcW w:w="737" w:type="pct"/>
            <w:tcBorders>
              <w:top w:val="nil"/>
              <w:left w:val="nil"/>
              <w:bottom w:val="single" w:color="auto" w:sz="4" w:space="0"/>
              <w:right w:val="single" w:color="auto" w:sz="4" w:space="0"/>
            </w:tcBorders>
            <w:shd w:val="clear" w:color="auto" w:fill="auto"/>
            <w:vAlign w:val="center"/>
          </w:tcPr>
          <w:p w14:paraId="34BA4E96">
            <w:pPr>
              <w:widowControl/>
              <w:jc w:val="right"/>
              <w:rPr>
                <w:rFonts w:ascii="Times New Roman" w:hAnsi="Times New Roman" w:cs="Times New Roman"/>
                <w:color w:val="auto"/>
                <w:kern w:val="0"/>
                <w:sz w:val="24"/>
                <w:highlight w:val="none"/>
              </w:rPr>
            </w:pPr>
          </w:p>
        </w:tc>
        <w:tc>
          <w:tcPr>
            <w:tcW w:w="492" w:type="pct"/>
            <w:vMerge w:val="continue"/>
            <w:tcBorders>
              <w:top w:val="nil"/>
              <w:left w:val="single" w:color="auto" w:sz="4" w:space="0"/>
              <w:bottom w:val="single" w:color="auto" w:sz="4" w:space="0"/>
              <w:right w:val="double" w:color="auto" w:sz="6" w:space="0"/>
            </w:tcBorders>
            <w:vAlign w:val="center"/>
          </w:tcPr>
          <w:p w14:paraId="10525226">
            <w:pPr>
              <w:widowControl/>
              <w:jc w:val="left"/>
              <w:rPr>
                <w:rFonts w:ascii="Times New Roman" w:hAnsi="Times New Roman" w:cs="Times New Roman"/>
                <w:color w:val="auto"/>
                <w:kern w:val="0"/>
                <w:sz w:val="24"/>
                <w:highlight w:val="none"/>
              </w:rPr>
            </w:pPr>
          </w:p>
        </w:tc>
      </w:tr>
      <w:tr w14:paraId="1D5BDC30">
        <w:tblPrEx>
          <w:tblCellMar>
            <w:top w:w="0" w:type="dxa"/>
            <w:left w:w="108" w:type="dxa"/>
            <w:bottom w:w="0" w:type="dxa"/>
            <w:right w:w="108" w:type="dxa"/>
          </w:tblCellMar>
        </w:tblPrEx>
        <w:trPr>
          <w:trHeight w:val="520" w:hRule="atLeast"/>
        </w:trPr>
        <w:tc>
          <w:tcPr>
            <w:tcW w:w="237" w:type="pct"/>
            <w:tcBorders>
              <w:top w:val="nil"/>
              <w:left w:val="double" w:color="auto" w:sz="6" w:space="0"/>
              <w:bottom w:val="single" w:color="auto" w:sz="4" w:space="0"/>
              <w:right w:val="single" w:color="auto" w:sz="4" w:space="0"/>
            </w:tcBorders>
            <w:shd w:val="clear" w:color="auto" w:fill="auto"/>
          </w:tcPr>
          <w:p w14:paraId="3CCEA02B">
            <w:pPr>
              <w:widowControl/>
              <w:jc w:val="center"/>
              <w:rPr>
                <w:rFonts w:ascii="Times New Roman" w:hAnsi="Times New Roman" w:cs="Times New Roman"/>
                <w:color w:val="auto"/>
                <w:kern w:val="0"/>
                <w:sz w:val="24"/>
                <w:highlight w:val="none"/>
              </w:rPr>
            </w:pPr>
            <w:r>
              <w:rPr>
                <w:rFonts w:ascii="Times New Roman" w:hAnsi="Times New Roman" w:cs="Times New Roman"/>
                <w:color w:val="auto"/>
                <w:kern w:val="0"/>
                <w:sz w:val="24"/>
                <w:highlight w:val="none"/>
              </w:rPr>
              <w:t>4</w:t>
            </w:r>
          </w:p>
        </w:tc>
        <w:tc>
          <w:tcPr>
            <w:tcW w:w="555" w:type="pct"/>
            <w:tcBorders>
              <w:top w:val="nil"/>
              <w:left w:val="nil"/>
              <w:bottom w:val="single" w:color="auto" w:sz="4" w:space="0"/>
              <w:right w:val="single" w:color="auto" w:sz="4" w:space="0"/>
            </w:tcBorders>
            <w:shd w:val="clear" w:color="auto" w:fill="auto"/>
          </w:tcPr>
          <w:p w14:paraId="60ACA4BB">
            <w:pPr>
              <w:widowControl/>
              <w:jc w:val="left"/>
              <w:rPr>
                <w:rFonts w:ascii="Times New Roman" w:hAnsi="Times New Roman" w:cs="Times New Roman"/>
                <w:color w:val="auto"/>
                <w:kern w:val="0"/>
                <w:sz w:val="24"/>
                <w:highlight w:val="none"/>
              </w:rPr>
            </w:pPr>
          </w:p>
        </w:tc>
        <w:tc>
          <w:tcPr>
            <w:tcW w:w="1042" w:type="pct"/>
            <w:tcBorders>
              <w:top w:val="nil"/>
              <w:left w:val="nil"/>
              <w:bottom w:val="single" w:color="auto" w:sz="4" w:space="0"/>
              <w:right w:val="single" w:color="auto" w:sz="4" w:space="0"/>
            </w:tcBorders>
            <w:shd w:val="clear" w:color="auto" w:fill="auto"/>
          </w:tcPr>
          <w:p w14:paraId="4097ADBB">
            <w:pPr>
              <w:widowControl/>
              <w:jc w:val="left"/>
              <w:rPr>
                <w:rFonts w:ascii="Times New Roman" w:hAnsi="Times New Roman" w:cs="Times New Roman"/>
                <w:color w:val="auto"/>
                <w:kern w:val="0"/>
                <w:sz w:val="24"/>
                <w:highlight w:val="none"/>
              </w:rPr>
            </w:pPr>
          </w:p>
        </w:tc>
        <w:tc>
          <w:tcPr>
            <w:tcW w:w="850" w:type="pct"/>
            <w:tcBorders>
              <w:top w:val="nil"/>
              <w:left w:val="nil"/>
              <w:bottom w:val="single" w:color="auto" w:sz="4" w:space="0"/>
              <w:right w:val="single" w:color="auto" w:sz="4" w:space="0"/>
            </w:tcBorders>
            <w:shd w:val="clear" w:color="auto" w:fill="auto"/>
          </w:tcPr>
          <w:p w14:paraId="0D68C009">
            <w:pPr>
              <w:widowControl/>
              <w:jc w:val="left"/>
              <w:rPr>
                <w:rFonts w:ascii="Times New Roman" w:hAnsi="Times New Roman" w:cs="Times New Roman"/>
                <w:color w:val="auto"/>
                <w:kern w:val="0"/>
                <w:sz w:val="24"/>
                <w:highlight w:val="none"/>
              </w:rPr>
            </w:pPr>
          </w:p>
        </w:tc>
        <w:tc>
          <w:tcPr>
            <w:tcW w:w="737" w:type="pct"/>
            <w:tcBorders>
              <w:top w:val="nil"/>
              <w:left w:val="nil"/>
              <w:bottom w:val="single" w:color="auto" w:sz="4" w:space="0"/>
              <w:right w:val="single" w:color="auto" w:sz="4" w:space="0"/>
            </w:tcBorders>
            <w:shd w:val="clear" w:color="auto" w:fill="auto"/>
            <w:vAlign w:val="center"/>
          </w:tcPr>
          <w:p w14:paraId="33F80E3E">
            <w:pPr>
              <w:widowControl/>
              <w:jc w:val="right"/>
              <w:rPr>
                <w:rFonts w:ascii="Times New Roman" w:hAnsi="Times New Roman" w:cs="Times New Roman"/>
                <w:color w:val="auto"/>
                <w:kern w:val="0"/>
                <w:sz w:val="24"/>
                <w:highlight w:val="none"/>
              </w:rPr>
            </w:pPr>
          </w:p>
        </w:tc>
        <w:tc>
          <w:tcPr>
            <w:tcW w:w="347" w:type="pct"/>
            <w:tcBorders>
              <w:top w:val="nil"/>
              <w:left w:val="nil"/>
              <w:bottom w:val="single" w:color="auto" w:sz="4" w:space="0"/>
              <w:right w:val="single" w:color="auto" w:sz="4" w:space="0"/>
            </w:tcBorders>
            <w:shd w:val="clear" w:color="auto" w:fill="auto"/>
            <w:vAlign w:val="center"/>
          </w:tcPr>
          <w:p w14:paraId="0944D1FA">
            <w:pPr>
              <w:widowControl/>
              <w:jc w:val="center"/>
              <w:rPr>
                <w:rFonts w:ascii="Times New Roman" w:hAnsi="Times New Roman" w:cs="Times New Roman"/>
                <w:color w:val="auto"/>
                <w:kern w:val="0"/>
                <w:sz w:val="24"/>
                <w:highlight w:val="none"/>
              </w:rPr>
            </w:pPr>
          </w:p>
        </w:tc>
        <w:tc>
          <w:tcPr>
            <w:tcW w:w="737" w:type="pct"/>
            <w:tcBorders>
              <w:top w:val="nil"/>
              <w:left w:val="nil"/>
              <w:bottom w:val="single" w:color="auto" w:sz="4" w:space="0"/>
              <w:right w:val="single" w:color="auto" w:sz="4" w:space="0"/>
            </w:tcBorders>
            <w:shd w:val="clear" w:color="auto" w:fill="auto"/>
            <w:vAlign w:val="center"/>
          </w:tcPr>
          <w:p w14:paraId="7C868792">
            <w:pPr>
              <w:widowControl/>
              <w:jc w:val="right"/>
              <w:rPr>
                <w:rFonts w:ascii="Times New Roman" w:hAnsi="Times New Roman" w:cs="Times New Roman"/>
                <w:color w:val="auto"/>
                <w:kern w:val="0"/>
                <w:sz w:val="24"/>
                <w:highlight w:val="none"/>
              </w:rPr>
            </w:pPr>
          </w:p>
        </w:tc>
        <w:tc>
          <w:tcPr>
            <w:tcW w:w="492" w:type="pct"/>
            <w:vMerge w:val="continue"/>
            <w:tcBorders>
              <w:top w:val="nil"/>
              <w:left w:val="single" w:color="auto" w:sz="4" w:space="0"/>
              <w:bottom w:val="single" w:color="auto" w:sz="4" w:space="0"/>
              <w:right w:val="double" w:color="auto" w:sz="6" w:space="0"/>
            </w:tcBorders>
            <w:vAlign w:val="center"/>
          </w:tcPr>
          <w:p w14:paraId="4792C255">
            <w:pPr>
              <w:widowControl/>
              <w:jc w:val="left"/>
              <w:rPr>
                <w:rFonts w:ascii="Times New Roman" w:hAnsi="Times New Roman" w:cs="Times New Roman"/>
                <w:color w:val="auto"/>
                <w:kern w:val="0"/>
                <w:sz w:val="24"/>
                <w:highlight w:val="none"/>
              </w:rPr>
            </w:pPr>
          </w:p>
        </w:tc>
      </w:tr>
      <w:tr w14:paraId="6915F520">
        <w:tblPrEx>
          <w:tblCellMar>
            <w:top w:w="0" w:type="dxa"/>
            <w:left w:w="108" w:type="dxa"/>
            <w:bottom w:w="0" w:type="dxa"/>
            <w:right w:w="108" w:type="dxa"/>
          </w:tblCellMar>
        </w:tblPrEx>
        <w:trPr>
          <w:trHeight w:val="520" w:hRule="atLeast"/>
        </w:trPr>
        <w:tc>
          <w:tcPr>
            <w:tcW w:w="237" w:type="pct"/>
            <w:tcBorders>
              <w:top w:val="nil"/>
              <w:left w:val="double" w:color="auto" w:sz="6" w:space="0"/>
              <w:bottom w:val="single" w:color="auto" w:sz="4" w:space="0"/>
              <w:right w:val="single" w:color="auto" w:sz="4" w:space="0"/>
            </w:tcBorders>
            <w:shd w:val="clear" w:color="auto" w:fill="auto"/>
          </w:tcPr>
          <w:p w14:paraId="0661C856">
            <w:pPr>
              <w:widowControl/>
              <w:jc w:val="center"/>
              <w:rPr>
                <w:rFonts w:ascii="Times New Roman" w:hAnsi="Times New Roman" w:cs="Times New Roman"/>
                <w:color w:val="auto"/>
                <w:kern w:val="0"/>
                <w:sz w:val="24"/>
                <w:highlight w:val="none"/>
              </w:rPr>
            </w:pPr>
            <w:r>
              <w:rPr>
                <w:rFonts w:ascii="Times New Roman" w:hAnsi="Times New Roman" w:cs="Times New Roman"/>
                <w:color w:val="auto"/>
                <w:kern w:val="0"/>
                <w:sz w:val="24"/>
                <w:highlight w:val="none"/>
              </w:rPr>
              <w:t>5</w:t>
            </w:r>
          </w:p>
        </w:tc>
        <w:tc>
          <w:tcPr>
            <w:tcW w:w="555" w:type="pct"/>
            <w:tcBorders>
              <w:top w:val="nil"/>
              <w:left w:val="nil"/>
              <w:bottom w:val="single" w:color="auto" w:sz="4" w:space="0"/>
              <w:right w:val="single" w:color="auto" w:sz="4" w:space="0"/>
            </w:tcBorders>
            <w:shd w:val="clear" w:color="auto" w:fill="auto"/>
          </w:tcPr>
          <w:p w14:paraId="7CA6BB82">
            <w:pPr>
              <w:widowControl/>
              <w:jc w:val="left"/>
              <w:rPr>
                <w:rFonts w:ascii="Times New Roman" w:hAnsi="Times New Roman" w:cs="Times New Roman"/>
                <w:color w:val="auto"/>
                <w:kern w:val="0"/>
                <w:sz w:val="24"/>
                <w:highlight w:val="none"/>
              </w:rPr>
            </w:pPr>
          </w:p>
        </w:tc>
        <w:tc>
          <w:tcPr>
            <w:tcW w:w="1042" w:type="pct"/>
            <w:tcBorders>
              <w:top w:val="nil"/>
              <w:left w:val="nil"/>
              <w:bottom w:val="single" w:color="auto" w:sz="4" w:space="0"/>
              <w:right w:val="single" w:color="auto" w:sz="4" w:space="0"/>
            </w:tcBorders>
            <w:shd w:val="clear" w:color="auto" w:fill="auto"/>
          </w:tcPr>
          <w:p w14:paraId="0A492B23">
            <w:pPr>
              <w:widowControl/>
              <w:jc w:val="left"/>
              <w:rPr>
                <w:rFonts w:ascii="Times New Roman" w:hAnsi="Times New Roman" w:cs="Times New Roman"/>
                <w:color w:val="auto"/>
                <w:kern w:val="0"/>
                <w:sz w:val="24"/>
                <w:highlight w:val="none"/>
              </w:rPr>
            </w:pPr>
          </w:p>
        </w:tc>
        <w:tc>
          <w:tcPr>
            <w:tcW w:w="850" w:type="pct"/>
            <w:tcBorders>
              <w:top w:val="nil"/>
              <w:left w:val="nil"/>
              <w:bottom w:val="single" w:color="auto" w:sz="4" w:space="0"/>
              <w:right w:val="single" w:color="auto" w:sz="4" w:space="0"/>
            </w:tcBorders>
            <w:shd w:val="clear" w:color="auto" w:fill="auto"/>
          </w:tcPr>
          <w:p w14:paraId="39E703D7">
            <w:pPr>
              <w:widowControl/>
              <w:jc w:val="left"/>
              <w:rPr>
                <w:rFonts w:ascii="Times New Roman" w:hAnsi="Times New Roman" w:cs="Times New Roman"/>
                <w:color w:val="auto"/>
                <w:kern w:val="0"/>
                <w:sz w:val="24"/>
                <w:highlight w:val="none"/>
              </w:rPr>
            </w:pPr>
          </w:p>
        </w:tc>
        <w:tc>
          <w:tcPr>
            <w:tcW w:w="737" w:type="pct"/>
            <w:tcBorders>
              <w:top w:val="nil"/>
              <w:left w:val="nil"/>
              <w:bottom w:val="single" w:color="auto" w:sz="4" w:space="0"/>
              <w:right w:val="single" w:color="auto" w:sz="4" w:space="0"/>
            </w:tcBorders>
            <w:shd w:val="clear" w:color="auto" w:fill="auto"/>
            <w:vAlign w:val="center"/>
          </w:tcPr>
          <w:p w14:paraId="6DA9901A">
            <w:pPr>
              <w:widowControl/>
              <w:jc w:val="right"/>
              <w:rPr>
                <w:rFonts w:ascii="Times New Roman" w:hAnsi="Times New Roman" w:cs="Times New Roman"/>
                <w:color w:val="auto"/>
                <w:kern w:val="0"/>
                <w:sz w:val="24"/>
                <w:highlight w:val="none"/>
              </w:rPr>
            </w:pPr>
          </w:p>
        </w:tc>
        <w:tc>
          <w:tcPr>
            <w:tcW w:w="347" w:type="pct"/>
            <w:tcBorders>
              <w:top w:val="nil"/>
              <w:left w:val="nil"/>
              <w:bottom w:val="single" w:color="auto" w:sz="4" w:space="0"/>
              <w:right w:val="single" w:color="auto" w:sz="4" w:space="0"/>
            </w:tcBorders>
            <w:shd w:val="clear" w:color="auto" w:fill="auto"/>
            <w:vAlign w:val="center"/>
          </w:tcPr>
          <w:p w14:paraId="27F6AD22">
            <w:pPr>
              <w:widowControl/>
              <w:jc w:val="center"/>
              <w:rPr>
                <w:rFonts w:ascii="Times New Roman" w:hAnsi="Times New Roman" w:cs="Times New Roman"/>
                <w:color w:val="auto"/>
                <w:kern w:val="0"/>
                <w:sz w:val="24"/>
                <w:highlight w:val="none"/>
              </w:rPr>
            </w:pPr>
          </w:p>
        </w:tc>
        <w:tc>
          <w:tcPr>
            <w:tcW w:w="737" w:type="pct"/>
            <w:tcBorders>
              <w:top w:val="nil"/>
              <w:left w:val="nil"/>
              <w:bottom w:val="single" w:color="auto" w:sz="4" w:space="0"/>
              <w:right w:val="single" w:color="auto" w:sz="4" w:space="0"/>
            </w:tcBorders>
            <w:shd w:val="clear" w:color="auto" w:fill="auto"/>
            <w:vAlign w:val="center"/>
          </w:tcPr>
          <w:p w14:paraId="54954E7C">
            <w:pPr>
              <w:widowControl/>
              <w:jc w:val="right"/>
              <w:rPr>
                <w:rFonts w:ascii="Times New Roman" w:hAnsi="Times New Roman" w:cs="Times New Roman"/>
                <w:color w:val="auto"/>
                <w:kern w:val="0"/>
                <w:sz w:val="24"/>
                <w:highlight w:val="none"/>
              </w:rPr>
            </w:pPr>
          </w:p>
        </w:tc>
        <w:tc>
          <w:tcPr>
            <w:tcW w:w="492" w:type="pct"/>
            <w:vMerge w:val="continue"/>
            <w:tcBorders>
              <w:top w:val="nil"/>
              <w:left w:val="single" w:color="auto" w:sz="4" w:space="0"/>
              <w:bottom w:val="single" w:color="auto" w:sz="4" w:space="0"/>
              <w:right w:val="double" w:color="auto" w:sz="6" w:space="0"/>
            </w:tcBorders>
            <w:vAlign w:val="center"/>
          </w:tcPr>
          <w:p w14:paraId="5C81F98C">
            <w:pPr>
              <w:widowControl/>
              <w:jc w:val="left"/>
              <w:rPr>
                <w:rFonts w:ascii="Times New Roman" w:hAnsi="Times New Roman" w:cs="Times New Roman"/>
                <w:color w:val="auto"/>
                <w:kern w:val="0"/>
                <w:sz w:val="24"/>
                <w:highlight w:val="none"/>
              </w:rPr>
            </w:pPr>
          </w:p>
        </w:tc>
      </w:tr>
      <w:tr w14:paraId="467A4BC9">
        <w:trPr>
          <w:trHeight w:val="760" w:hRule="atLeast"/>
        </w:trPr>
        <w:tc>
          <w:tcPr>
            <w:tcW w:w="2685" w:type="pct"/>
            <w:gridSpan w:val="4"/>
            <w:tcBorders>
              <w:top w:val="single" w:color="auto" w:sz="4" w:space="0"/>
              <w:left w:val="double" w:color="auto" w:sz="6" w:space="0"/>
              <w:bottom w:val="double" w:color="auto" w:sz="6" w:space="0"/>
              <w:right w:val="single" w:color="auto" w:sz="4" w:space="0"/>
            </w:tcBorders>
            <w:shd w:val="clear" w:color="auto" w:fill="auto"/>
            <w:noWrap/>
            <w:vAlign w:val="center"/>
          </w:tcPr>
          <w:p w14:paraId="78744D8C">
            <w:pPr>
              <w:widowControl/>
              <w:jc w:val="center"/>
              <w:rPr>
                <w:rFonts w:ascii="Times New Roman" w:hAnsi="Times New Roman" w:cs="Times New Roman"/>
                <w:b/>
                <w:bCs/>
                <w:color w:val="auto"/>
                <w:kern w:val="0"/>
                <w:sz w:val="24"/>
                <w:highlight w:val="none"/>
              </w:rPr>
            </w:pPr>
            <w:r>
              <w:rPr>
                <w:rFonts w:ascii="Times New Roman" w:hAnsi="Times New Roman" w:cs="Times New Roman"/>
                <w:b/>
                <w:bCs/>
                <w:color w:val="auto"/>
                <w:kern w:val="0"/>
                <w:sz w:val="24"/>
                <w:highlight w:val="none"/>
              </w:rPr>
              <w:t>合同总价（元）</w:t>
            </w:r>
            <w:r>
              <w:rPr>
                <w:rFonts w:hint="eastAsia" w:ascii="Times New Roman" w:hAnsi="Times New Roman" w:cs="Times New Roman"/>
                <w:b/>
                <w:bCs/>
                <w:color w:val="auto"/>
                <w:kern w:val="0"/>
                <w:sz w:val="24"/>
                <w:highlight w:val="none"/>
              </w:rPr>
              <w:t xml:space="preserve"> </w:t>
            </w:r>
            <w:r>
              <w:rPr>
                <w:rFonts w:ascii="Times New Roman" w:hAnsi="Times New Roman" w:cs="Times New Roman"/>
                <w:b/>
                <w:bCs/>
                <w:color w:val="auto"/>
                <w:kern w:val="0"/>
                <w:sz w:val="24"/>
                <w:highlight w:val="none"/>
              </w:rPr>
              <w:t>元整</w:t>
            </w:r>
          </w:p>
        </w:tc>
        <w:tc>
          <w:tcPr>
            <w:tcW w:w="2314" w:type="pct"/>
            <w:gridSpan w:val="4"/>
            <w:tcBorders>
              <w:top w:val="single" w:color="auto" w:sz="4" w:space="0"/>
              <w:left w:val="nil"/>
              <w:bottom w:val="double" w:color="auto" w:sz="6" w:space="0"/>
              <w:right w:val="double" w:color="auto" w:sz="6" w:space="0"/>
            </w:tcBorders>
            <w:shd w:val="clear" w:color="auto" w:fill="auto"/>
            <w:vAlign w:val="center"/>
          </w:tcPr>
          <w:p w14:paraId="12E69A61">
            <w:pPr>
              <w:widowControl/>
              <w:rPr>
                <w:rFonts w:ascii="Times New Roman" w:hAnsi="Times New Roman" w:cs="Times New Roman"/>
                <w:b/>
                <w:bCs/>
                <w:color w:val="auto"/>
                <w:kern w:val="0"/>
                <w:sz w:val="24"/>
                <w:highlight w:val="none"/>
              </w:rPr>
            </w:pPr>
            <w:r>
              <w:rPr>
                <w:rFonts w:ascii="Times New Roman" w:hAnsi="Times New Roman" w:cs="Times New Roman"/>
                <w:b/>
                <w:bCs/>
                <w:color w:val="auto"/>
                <w:kern w:val="0"/>
                <w:sz w:val="24"/>
                <w:highlight w:val="none"/>
              </w:rPr>
              <w:t xml:space="preserve">小写 </w:t>
            </w:r>
          </w:p>
        </w:tc>
      </w:tr>
    </w:tbl>
    <w:p w14:paraId="70A0C970">
      <w:pPr>
        <w:widowControl/>
        <w:ind w:firstLine="360" w:firstLineChars="150"/>
        <w:rPr>
          <w:rFonts w:ascii="Times New Roman" w:hAnsi="Times New Roman" w:cs="Times New Roman"/>
          <w:color w:val="auto"/>
          <w:sz w:val="24"/>
          <w:szCs w:val="20"/>
          <w:highlight w:val="none"/>
        </w:rPr>
      </w:pPr>
    </w:p>
    <w:p w14:paraId="1CBB3522">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第二条  合同性质</w:t>
      </w:r>
    </w:p>
    <w:p w14:paraId="42881ACF">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本合同为政府“服务采购”合同（项目），尽管性质为买卖合同，但具体以承包方式为之。</w:t>
      </w:r>
    </w:p>
    <w:p w14:paraId="0023E94B">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第三条  服务履行</w:t>
      </w:r>
    </w:p>
    <w:p w14:paraId="58721D1A">
      <w:pPr>
        <w:ind w:firstLine="360" w:firstLineChars="150"/>
        <w:rPr>
          <w:rFonts w:ascii="Times New Roman" w:hAnsi="Times New Roman" w:cs="Times New Roman"/>
          <w:color w:val="auto"/>
          <w:sz w:val="24"/>
          <w:highlight w:val="none"/>
        </w:rPr>
      </w:pPr>
      <w:bookmarkStart w:id="1" w:name="TC_ISSUE_2081561743241068546_p0471"/>
      <w:bookmarkStart w:id="2" w:name="TC_ISSUE_2077297967914336257_p0469"/>
      <w:r>
        <w:rPr>
          <w:rFonts w:ascii="Times New Roman" w:hAnsi="Times New Roman" w:cs="Times New Roman"/>
          <w:color w:val="auto"/>
          <w:sz w:val="24"/>
          <w:highlight w:val="none"/>
        </w:rPr>
        <w:t>乙方必须是非劳务派遣单位，不得以劳务派遣方式履行本合同。</w:t>
      </w:r>
      <w:bookmarkEnd w:id="1"/>
      <w:bookmarkEnd w:id="2"/>
    </w:p>
    <w:p w14:paraId="748732FD">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第四条  服务承办方式及要求</w:t>
      </w:r>
    </w:p>
    <w:p w14:paraId="4B37353F">
      <w:pPr>
        <w:ind w:firstLine="360" w:firstLineChars="150"/>
        <w:rPr>
          <w:rFonts w:ascii="Times New Roman" w:hAnsi="Times New Roman" w:cs="Times New Roman"/>
          <w:color w:val="auto"/>
          <w:sz w:val="24"/>
          <w:highlight w:val="none"/>
        </w:rPr>
      </w:pPr>
      <w:bookmarkStart w:id="3" w:name="TC_ISSUE_2077297961073426433_p0471"/>
      <w:r>
        <w:rPr>
          <w:rFonts w:ascii="Times New Roman" w:hAnsi="Times New Roman" w:cs="Times New Roman"/>
          <w:color w:val="auto"/>
          <w:sz w:val="24"/>
          <w:highlight w:val="none"/>
        </w:rPr>
        <w:t>1、包人员及对人员的管理：在本合同约定的服务期内派遣1名安全服务工程师驻场服务。其中，安全服务工作师需具有2年或以上相关信息安全服务工作经验，并有良好的沟通能力；甲方与乙方派遣工作人员之间不存在劳动关系或劳务派遣关系，乙方与乙方派遣人员之间产生的所有争议与甲方无关，甲方不承担任何责任。</w:t>
      </w:r>
      <w:bookmarkEnd w:id="3"/>
    </w:p>
    <w:p w14:paraId="3C1B82B5">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要求乙方针对本项目配置1个安全服务项目经理或者技术总监，负责监督考核安全服务人员的服务质量，对本安全保障服务项目进行管理和指导。</w:t>
      </w:r>
    </w:p>
    <w:p w14:paraId="6E6B7CA5">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2、包费用：包括服务工具、人力成本、清洁巡检、培训等各种经费、费用均包括在该合同金额之内，甲方不再向乙方支付其他任何费用。</w:t>
      </w:r>
    </w:p>
    <w:p w14:paraId="4C07BF98">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乙方在提供服务过程中，对甲方的服务要求必须及时响应和解决，不得影响甲方的正常教学和工作的进行。若需暂停教学和工作中的系统和设备使用，须提前以书面的形式告知甲方，并在甲方的书面同意下方能进行。</w:t>
      </w:r>
    </w:p>
    <w:p w14:paraId="4531DFDE">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第五条  提供服务的时间、地点和方式</w:t>
      </w:r>
    </w:p>
    <w:p w14:paraId="5EDE7BB2">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1、提供服务的时间：合同第七条所约定的期限；</w:t>
      </w:r>
    </w:p>
    <w:p w14:paraId="44C74BD5">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2、提供服务的地点：广州大学大学城校区</w:t>
      </w:r>
    </w:p>
    <w:p w14:paraId="784FB833">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3、提供服务的方式：现场安全保障服务。</w:t>
      </w:r>
    </w:p>
    <w:p w14:paraId="5D50648F">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第六条 　管理模式与制度</w:t>
      </w:r>
    </w:p>
    <w:p w14:paraId="3F641E17">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1、甲乙双方实行对口管理模式。甲方授权委托其属下的部门（即广州大学</w:t>
      </w:r>
      <w:r>
        <w:rPr>
          <w:rFonts w:hint="eastAsia" w:ascii="Times New Roman" w:hAnsi="Times New Roman" w:cs="Times New Roman"/>
          <w:color w:val="auto"/>
          <w:sz w:val="24"/>
          <w:highlight w:val="none"/>
        </w:rPr>
        <w:t>信息数据中心</w:t>
      </w:r>
      <w:r>
        <w:rPr>
          <w:rFonts w:ascii="Times New Roman" w:hAnsi="Times New Roman" w:cs="Times New Roman"/>
          <w:color w:val="auto"/>
          <w:sz w:val="24"/>
          <w:highlight w:val="none"/>
        </w:rPr>
        <w:t>）具体负责本合同的履行；乙方具体负责人为</w:t>
      </w:r>
      <w:r>
        <w:rPr>
          <w:rFonts w:hint="eastAsia" w:ascii="Times New Roman" w:hAnsi="Times New Roman" w:cs="Times New Roman"/>
          <w:b/>
          <w:color w:val="auto"/>
          <w:sz w:val="24"/>
          <w:highlight w:val="none"/>
          <w:u w:val="single"/>
        </w:rPr>
        <w:t xml:space="preserve"> </w:t>
      </w:r>
      <w:r>
        <w:rPr>
          <w:rFonts w:ascii="Times New Roman" w:hAnsi="Times New Roman" w:cs="Times New Roman"/>
          <w:b/>
          <w:color w:val="auto"/>
          <w:sz w:val="24"/>
          <w:highlight w:val="none"/>
          <w:u w:val="single"/>
        </w:rPr>
        <w:t xml:space="preserve">****** </w:t>
      </w:r>
      <w:r>
        <w:rPr>
          <w:rFonts w:ascii="Times New Roman" w:hAnsi="Times New Roman" w:cs="Times New Roman"/>
          <w:color w:val="auto"/>
          <w:sz w:val="24"/>
          <w:highlight w:val="none"/>
        </w:rPr>
        <w:t>，身份证号码：</w:t>
      </w:r>
      <w:r>
        <w:rPr>
          <w:rFonts w:ascii="Times New Roman" w:hAnsi="Times New Roman" w:cs="Times New Roman"/>
          <w:b/>
          <w:color w:val="auto"/>
          <w:sz w:val="24"/>
          <w:highlight w:val="none"/>
          <w:u w:val="single"/>
        </w:rPr>
        <w:t xml:space="preserve"> ********  </w:t>
      </w:r>
      <w:r>
        <w:rPr>
          <w:rFonts w:ascii="Times New Roman" w:hAnsi="Times New Roman" w:cs="Times New Roman"/>
          <w:color w:val="auto"/>
          <w:sz w:val="24"/>
          <w:highlight w:val="none"/>
        </w:rPr>
        <w:t>，其基本职责为代表乙方负责对其属下的工作人员、本合同项下的服务内容以及服务质量进行全面、直接管理，双方更换具体负责人时应以书面形式通知对方。</w:t>
      </w:r>
    </w:p>
    <w:p w14:paraId="6D1F421F">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2、甲方对乙方工作人员不直接管理，但乙方对其安全服务工作人员的考核和更换，必须听取甲方的意见或建议。</w:t>
      </w:r>
    </w:p>
    <w:p w14:paraId="219655E5">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3、甲方应当为乙方提供必要的工作场地及设施，以及双方约定提供的其它服务条件。其中，乙方所设立的服务办公室由甲方免费提供，办公室内的固定电话费、网络费用与水电费用由甲方承担；</w:t>
      </w:r>
    </w:p>
    <w:p w14:paraId="4ECBD1F1">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4、乙方应当按本合同及其组成部分的要求，制定完善的工作管理制度；乙方安全服务工作人员的人身安全、车辆的安全、工资福利与社会保险等事项一律由乙方负责，甲方不承担任何责任，除非甲方存在《中华人民共和国侵权行为法》所规定的侵权责任。</w:t>
      </w:r>
    </w:p>
    <w:p w14:paraId="22046FB1">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5、乙方须服从甲方工作安排，包括双方约定工作时间。</w:t>
      </w:r>
    </w:p>
    <w:p w14:paraId="56DC9359">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第七条 　服务期限</w:t>
      </w:r>
    </w:p>
    <w:p w14:paraId="446269A3">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在项目合同签订后，乙方需为项目设立准备时间和收尾时间，但项目准备时间和项目收尾时间不包括在合同服务期限内，项目准备阶段工作包括但不限于熟悉用户环境、接手上期维护文档、维护人员培训、工具准备等，项目收尾阶段工作包括但不限于汇编项目文档、编写服务完成报告、进行绩效总结和维护服务工作移交等。</w:t>
      </w:r>
    </w:p>
    <w:p w14:paraId="1D9BD2B1">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2、项目合同生效之日后，甲方对</w:t>
      </w:r>
      <w:r>
        <w:rPr>
          <w:rFonts w:hint="eastAsia" w:ascii="Times New Roman" w:hAnsi="Times New Roman" w:cs="Times New Roman"/>
          <w:color w:val="auto"/>
          <w:sz w:val="24"/>
          <w:highlight w:val="none"/>
          <w:lang w:eastAsia="zh-CN"/>
        </w:rPr>
        <w:t>乙方</w:t>
      </w:r>
      <w:r>
        <w:rPr>
          <w:rFonts w:ascii="Times New Roman" w:hAnsi="Times New Roman" w:cs="Times New Roman"/>
          <w:color w:val="auto"/>
          <w:sz w:val="24"/>
          <w:highlight w:val="none"/>
        </w:rPr>
        <w:t>在项目准备阶段工作进行确认、对乙方提供的服务工具进行测试且检验合格、对乙方安排的服务人员进行核验后，甲方应在服务进场通知书上签字确认。服务期从服务进场通知书通知之日起计算，服务期限为12个月。</w:t>
      </w:r>
    </w:p>
    <w:p w14:paraId="12DA0FD0">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第八条  甲方的权利和义务</w:t>
      </w:r>
    </w:p>
    <w:p w14:paraId="74516EEE">
      <w:pPr>
        <w:pStyle w:val="4"/>
        <w:spacing w:before="255" w:after="255"/>
        <w:rPr>
          <w:rFonts w:hint="default" w:ascii="Times New Roman" w:hAnsi="Times New Roman" w:cs="Times New Roman"/>
          <w:color w:val="auto"/>
          <w:highlight w:val="none"/>
        </w:rPr>
      </w:pPr>
      <w:r>
        <w:rPr>
          <w:rFonts w:hint="default" w:ascii="Times New Roman" w:hAnsi="Times New Roman" w:cs="Times New Roman"/>
          <w:b/>
          <w:color w:val="auto"/>
          <w:sz w:val="24"/>
          <w:highlight w:val="none"/>
        </w:rPr>
        <w:t>（一）甲方的权利</w:t>
      </w:r>
    </w:p>
    <w:p w14:paraId="116A7050">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1、对乙方承担的项目工作进行监督。</w:t>
      </w:r>
    </w:p>
    <w:p w14:paraId="21F28D6C">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2、按政府文件有关规定和本合同项目需要，甲方有权对本项目实行服务质量监理。监理单位代表甲方对乙方的进度计划、阶段成果、服务记录文档和服务质量等进行全面监督。乙方须自觉接受监理单位的监督。</w:t>
      </w:r>
    </w:p>
    <w:p w14:paraId="34446944">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3、对广州大学2026年网络安全保障服务项目及其服务记录文档、服务质量进行审核确认,评价和验收。</w:t>
      </w:r>
    </w:p>
    <w:p w14:paraId="1B5713C8">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4、甲方有权单方面考核乙方的维护服务质量。</w:t>
      </w:r>
    </w:p>
    <w:p w14:paraId="4C316278">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5、乙方安全保障服务人员存在工作态度、责任心、技术能力、协调能力等方面的问题时，甲方有权要求乙方更换维护人员，乙方须在收到用户方书面通知之日起7个工作日内更换，接替人员也必须经过面试、审核同意后才能开始试用。乙方在合同期要变动更换已服务人员需经甲方同意方可更换。</w:t>
      </w:r>
    </w:p>
    <w:p w14:paraId="1B074FA9">
      <w:pPr>
        <w:pStyle w:val="4"/>
        <w:spacing w:before="255" w:after="255"/>
        <w:rPr>
          <w:rFonts w:hint="default" w:ascii="Times New Roman" w:hAnsi="Times New Roman" w:cs="Times New Roman"/>
          <w:color w:val="auto"/>
          <w:highlight w:val="none"/>
        </w:rPr>
      </w:pPr>
      <w:r>
        <w:rPr>
          <w:rFonts w:hint="default" w:ascii="Times New Roman" w:hAnsi="Times New Roman" w:cs="Times New Roman"/>
          <w:b/>
          <w:color w:val="auto"/>
          <w:sz w:val="24"/>
          <w:highlight w:val="none"/>
        </w:rPr>
        <w:t>（二）甲方的义务</w:t>
      </w:r>
    </w:p>
    <w:p w14:paraId="11C611BE">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1、为乙方提供真实、合法、完整的本项目信息。</w:t>
      </w:r>
    </w:p>
    <w:p w14:paraId="4085C4FE">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2、为乙方提供必要的工作条件和工作合作。</w:t>
      </w:r>
    </w:p>
    <w:p w14:paraId="67FA0964">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3、负责监督和检查本项目工作的进度、质量及纪律的遵守情况。发现乙方在本项目工作中有违法违规行为的，应当及时予以制止，并向有关部门报告。</w:t>
      </w:r>
    </w:p>
    <w:p w14:paraId="6A7332D6">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4、解决项目开展中出现的问题。</w:t>
      </w:r>
    </w:p>
    <w:p w14:paraId="587B7368">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5、按本合同书的规定支付本项目费用。</w:t>
      </w:r>
    </w:p>
    <w:p w14:paraId="66B84BB3">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第九条  乙方的权利和义务</w:t>
      </w:r>
    </w:p>
    <w:p w14:paraId="1494F985">
      <w:pPr>
        <w:pStyle w:val="4"/>
        <w:spacing w:before="255" w:after="255"/>
        <w:rPr>
          <w:rFonts w:hint="default" w:ascii="Times New Roman" w:hAnsi="Times New Roman" w:cs="Times New Roman"/>
          <w:color w:val="auto"/>
          <w:highlight w:val="none"/>
        </w:rPr>
      </w:pPr>
      <w:r>
        <w:rPr>
          <w:rFonts w:hint="default" w:ascii="Times New Roman" w:hAnsi="Times New Roman" w:cs="Times New Roman"/>
          <w:b/>
          <w:color w:val="auto"/>
          <w:sz w:val="24"/>
          <w:highlight w:val="none"/>
        </w:rPr>
        <w:t>（一）乙方的权利</w:t>
      </w:r>
    </w:p>
    <w:p w14:paraId="6641D745">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1、要求甲方为本项目工作的开展提供必要的资料和便利。</w:t>
      </w:r>
    </w:p>
    <w:p w14:paraId="4D181BE2">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2、要求甲方按约定及时支付本项目费用。</w:t>
      </w:r>
    </w:p>
    <w:p w14:paraId="3184E68D">
      <w:pPr>
        <w:pStyle w:val="4"/>
        <w:spacing w:before="255" w:after="255"/>
        <w:rPr>
          <w:rFonts w:hint="default" w:ascii="Times New Roman" w:hAnsi="Times New Roman" w:cs="Times New Roman"/>
          <w:color w:val="auto"/>
          <w:highlight w:val="none"/>
        </w:rPr>
      </w:pPr>
      <w:r>
        <w:rPr>
          <w:rFonts w:hint="default" w:ascii="Times New Roman" w:hAnsi="Times New Roman" w:cs="Times New Roman"/>
          <w:b/>
          <w:color w:val="auto"/>
          <w:sz w:val="24"/>
          <w:highlight w:val="none"/>
        </w:rPr>
        <w:t>（二）乙方的义务</w:t>
      </w:r>
    </w:p>
    <w:p w14:paraId="5133BECE">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1、本项目招标文件中的《采购需求》是甲方项目需求的基本框架，乙方应当在本合同签订后的</w:t>
      </w:r>
      <w:r>
        <w:rPr>
          <w:rFonts w:hint="eastAsia" w:ascii="Times New Roman" w:hAnsi="Times New Roman" w:cs="Times New Roman"/>
          <w:color w:val="auto"/>
          <w:sz w:val="24"/>
          <w:highlight w:val="none"/>
        </w:rPr>
        <w:t>1</w:t>
      </w:r>
      <w:r>
        <w:rPr>
          <w:rFonts w:ascii="Times New Roman" w:hAnsi="Times New Roman" w:cs="Times New Roman"/>
          <w:color w:val="auto"/>
          <w:sz w:val="24"/>
          <w:highlight w:val="none"/>
        </w:rPr>
        <w:t>0个工作日内就该基本框架的服务对象（含软硬件设备）、服务交付物（服务记录文档）等与甲方进行对接工作。</w:t>
      </w:r>
    </w:p>
    <w:p w14:paraId="01113181">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乙方需根据项目实际情况、本项目招标文件、乙方投标文件及本合同建立服务的台账：服务对象状态台账（按招标文件罗列出所有需要服务的软硬件清单，按服务要求记录其运行状态），服务记录台账（服务记录文档、服务交付物），服务人员工作台账（罗列服务人员工作记录）；三个台账及其清单在本合同生效之日起的十个工作日内需提交甲方和监理方（若有）审核确认；三个台账内容将作为每月的服务考核评价的依据之一。</w:t>
      </w:r>
    </w:p>
    <w:p w14:paraId="5FE37043">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3、在履行本合同书规定的义务期间，按甲方的指示进行项目服务,对每次维修的设备或系统须得到甲方的事前书面审批及事后书面确认，接受甲方的指导与监督。</w:t>
      </w:r>
    </w:p>
    <w:p w14:paraId="07312C6A">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4、每季度定期对所有服务对象和服务事项进行至少一次的梳理,向甲方提供预警性报告或整改建议。</w:t>
      </w:r>
    </w:p>
    <w:p w14:paraId="16A1DAF3">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5、对于在本项目过程中一时不能明确的问题或与服务内容有关的安全事件应当及时向甲方报告。</w:t>
      </w:r>
    </w:p>
    <w:p w14:paraId="0B9A6A12">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6、对受委托执行业务过程中知悉的企业商业秘密严加保密，乙方不得将其知悉的商业秘密和企业提供的资料对外泄露。</w:t>
      </w:r>
    </w:p>
    <w:p w14:paraId="44FDC660">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7、不得将本合同书委托的事项转委托第三者。</w:t>
      </w:r>
    </w:p>
    <w:p w14:paraId="64B3C9C3">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8、必须严格按规定开展本项目工作，不得有违法违规行为。</w:t>
      </w:r>
    </w:p>
    <w:p w14:paraId="48AB8D7E">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9、乙方要自觉维护本合同约定的信息化系统及设备的正常运转，若在维修维护过程中导致有关系统（或系统数据）及设备损坏，一经查实，负责修复，并且赔偿实际损失（按设备或系统原值100%计算）。因乙方工作失职造成设备丢失或系统不能正常运转，乙方承担设备或系统之净值的赔偿责任。</w:t>
      </w:r>
    </w:p>
    <w:p w14:paraId="411A18D5">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9、合同期限届满后，乙方有义务配合甲方，做好与第三方维护服务公司的所有服务事务相关的移交工作（包括：维护服务档案资料、信息化系统及设备资产清查、设备设施及其他各项有关事项）。</w:t>
      </w:r>
    </w:p>
    <w:p w14:paraId="0CCA1C7F">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10、乙方为本项目所有服务事项的直接承揽方，承担本项目所有服务事项的义务，向甲方提供的服务事项及其服务记录文档（服务交付物）均由乙方直接负责，包括但不限于乙方以租赁或外购方式向甲方提供的服务事项。</w:t>
      </w:r>
    </w:p>
    <w:p w14:paraId="13A117D6">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第十条  服务评价与项目验收</w:t>
      </w:r>
    </w:p>
    <w:p w14:paraId="48B96AC1">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（1）乙方按月向甲方提交服务的三个台账记录材料，甲方对乙方每月服务质量进行考核评价，每月服务总体评价得分为80分或以上视为合格。</w:t>
      </w:r>
    </w:p>
    <w:p w14:paraId="17BC0047">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在合同服务期满前15天内，甲乙双方须对本合同服务对象清单的设备进行清点核准，清点验收后，由乙方和甲方双方在移交表上签字。乙方必须向甲方移交全部服务有关的完整齐全档案资料，并办理好交接手续，填写好交接清单。</w:t>
      </w:r>
    </w:p>
    <w:p w14:paraId="54F41E56">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（3）项目验收标准：按照《广州市政务信息化项目管理办法》及其验收规范标准等相关文件要求进行验收。项目验收包括服务考核评价、合同验收及项目终验环节。</w:t>
      </w:r>
    </w:p>
    <w:p w14:paraId="2C858820">
      <w:pPr>
        <w:ind w:firstLine="360" w:firstLineChars="150"/>
        <w:rPr>
          <w:rFonts w:ascii="Times New Roman" w:hAnsi="Times New Roman" w:cs="Times New Roman"/>
          <w:color w:val="auto"/>
          <w:sz w:val="24"/>
          <w:highlight w:val="none"/>
        </w:rPr>
      </w:pPr>
      <w:bookmarkStart w:id="4" w:name="TC_ISSUE_2081561715088900097_p0523"/>
      <w:r>
        <w:rPr>
          <w:rFonts w:ascii="Times New Roman" w:hAnsi="Times New Roman" w:cs="Times New Roman"/>
          <w:color w:val="auto"/>
          <w:sz w:val="24"/>
          <w:highlight w:val="none"/>
        </w:rPr>
        <w:t>（4）合同验收在服务期满后一个月内</w:t>
      </w:r>
      <w:r>
        <w:rPr>
          <w:rFonts w:hint="eastAsia" w:ascii="Times New Roman" w:hAnsi="Times New Roman" w:cs="Times New Roman"/>
          <w:color w:val="auto"/>
          <w:sz w:val="24"/>
          <w:highlight w:val="none"/>
          <w:lang w:eastAsia="zh-CN"/>
        </w:rPr>
        <w:t>，采购人应于收到供应商验收申请后7日内组织履约验收</w:t>
      </w:r>
      <w:r>
        <w:rPr>
          <w:rFonts w:ascii="Times New Roman" w:hAnsi="Times New Roman" w:cs="Times New Roman"/>
          <w:color w:val="auto"/>
          <w:sz w:val="24"/>
          <w:highlight w:val="none"/>
        </w:rPr>
        <w:t>。《合同验收报告》之出具必须以本合同项下的服务达到了本合同所列用户需求和技术要求、服务成果和技术文档全部交付、验收文档完整、甲方用户部门出具服务评价合格意见为条件。</w:t>
      </w:r>
      <w:bookmarkEnd w:id="4"/>
    </w:p>
    <w:p w14:paraId="3BE142D7">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5）按政府信息化主管部门对甲方信息化项目的审核文件，本项目作为甲方信息化项目的其中一个子项目，项目终验由政府信息化主管部门按“整体立项、整体终验”的原则进行，乙方有义务配合甲方做好项目终验的相关工作。</w:t>
      </w:r>
    </w:p>
    <w:p w14:paraId="025D81E4">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第十一条  违约责任</w:t>
      </w:r>
    </w:p>
    <w:p w14:paraId="201CC0D4">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1、甲方未能按照本合同支付方式的规定办理合同款支付的，甲方应当向乙方支付违约金。违约金的标准为每迟延支付一日，支付应付未付金额的万分之一。</w:t>
      </w:r>
    </w:p>
    <w:p w14:paraId="12B241D4">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2、在合同服务期内，乙方有义务在每月服务期满后十五天内向甲方提交前一个月的三个台账记录材料。乙方逾期交齐的，每逾期一天按合同总价的万分之五向甲方支付违约金。</w:t>
      </w:r>
    </w:p>
    <w:p w14:paraId="561A101A">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3、乙方提交的三个台账记录材料因与项目招标文件、合同及服务记录文档清单不符而需要整改造成迟延交付的，每逾期一天按合同总价的万分之五向甲方支付违约金。</w:t>
      </w:r>
    </w:p>
    <w:p w14:paraId="08C91991">
      <w:pPr>
        <w:ind w:firstLine="360" w:firstLineChars="150"/>
        <w:rPr>
          <w:rFonts w:ascii="Times New Roman" w:hAnsi="Times New Roman" w:cs="Times New Roman"/>
          <w:color w:val="auto"/>
          <w:sz w:val="24"/>
          <w:highlight w:val="none"/>
        </w:rPr>
      </w:pPr>
      <w:bookmarkStart w:id="5" w:name="TC_ISSUE_2081561748781744129_p0529"/>
      <w:r>
        <w:rPr>
          <w:rFonts w:ascii="Times New Roman" w:hAnsi="Times New Roman" w:cs="Times New Roman"/>
          <w:color w:val="auto"/>
          <w:sz w:val="24"/>
          <w:highlight w:val="none"/>
        </w:rPr>
        <w:t>4、乙方有下列情形之一的，乙方须向甲方支付违约金</w:t>
      </w:r>
      <w:r>
        <w:rPr>
          <w:rFonts w:hint="default" w:ascii="Times New Roman" w:hAnsi="Times New Roman" w:cs="Times New Roman"/>
          <w:color w:val="auto"/>
          <w:sz w:val="24"/>
          <w:highlight w:val="none"/>
        </w:rPr>
        <w:t>（每次违约金的计算方式为：违约金数额=合同总价/12月*5%）</w:t>
      </w:r>
      <w:r>
        <w:rPr>
          <w:rFonts w:ascii="Times New Roman" w:hAnsi="Times New Roman" w:cs="Times New Roman"/>
          <w:color w:val="auto"/>
          <w:sz w:val="24"/>
          <w:highlight w:val="none"/>
        </w:rPr>
        <w:t>：</w:t>
      </w:r>
      <w:bookmarkEnd w:id="5"/>
    </w:p>
    <w:p w14:paraId="69583591">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（1）乙方投入服务人员资历低于乙方响应承诺的；</w:t>
      </w:r>
    </w:p>
    <w:p w14:paraId="22805B2F">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（2）未经甲方书面同意，每更换一名服务人员的，因不可抗力导致更换的除外；</w:t>
      </w:r>
    </w:p>
    <w:p w14:paraId="74242D11">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（3）乙方未能根据合同规定履行服务义务的；</w:t>
      </w:r>
    </w:p>
    <w:p w14:paraId="6BA35A2F">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（4）由乙方原因引起的重大投诉（或事故）1次的；</w:t>
      </w:r>
    </w:p>
    <w:p w14:paraId="40B83D6F">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（5）在合同服务期内，甲方对乙方每月的服务质量进行考核评价，有1次不及格的。</w:t>
      </w:r>
    </w:p>
    <w:p w14:paraId="68046C27">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5、乙方超过三十天仍未提交三个台账记录材料或经过整改未能与项目招标文件、合同及服务记录文档清单相符导致甲方无法确认的，按合同总价的百分之二十的标准向甲方支付违约金。</w:t>
      </w:r>
    </w:p>
    <w:p w14:paraId="4D928747">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6、乙方有下列情形之一的，甲方有权解除合同，乙方须退还已收合同款并按合同总价的百分之三十的标准向甲方支付违约金：</w:t>
      </w:r>
    </w:p>
    <w:p w14:paraId="610F8B8D">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（1）在合同服务期内，乙方提出更换的服务人员累计6人次以上的试用不合格的；</w:t>
      </w:r>
    </w:p>
    <w:p w14:paraId="360AD2E8">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（2）乙方提供的某一具体维护服务行为不符合合同约定，经甲方通知整改后仍不合格的；</w:t>
      </w:r>
    </w:p>
    <w:p w14:paraId="3672D299">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 (3) 乙方超过六十天仍未提交服务记录文档或经过整改未能与项目招标文件、合同及服务记录文档清单相符导致甲方无法确认的；</w:t>
      </w:r>
    </w:p>
    <w:p w14:paraId="505F40A5">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（4）在合同服务期内，乙方承揽服务的软硬件（服务对象）逾期十五天仍无法修复的；</w:t>
      </w:r>
    </w:p>
    <w:p w14:paraId="7C867BA7">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（5）乙方提供的某一具体维护服务行为不符合合同约定的，甲方以书面通知乙方限期整改；整改后仍不合格的；</w:t>
      </w:r>
    </w:p>
    <w:p w14:paraId="7CFB7C38">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（6）在服务期内累计发生超过两次服务评价不合格的；</w:t>
      </w:r>
    </w:p>
    <w:p w14:paraId="55D9C952">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（7）由乙方原因引起的重大投诉（或事故）2次；</w:t>
      </w:r>
    </w:p>
    <w:p w14:paraId="1E8E7FC8">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（8）在合同服务期内，乙方所承揽的服务事项或服务对象被甲方所在政府主管部门（包括但不限于公安部门、网信部门、教育主管部门等）通报存在的安全隐患超过政府主管部门要求修复时间仍未修复的；</w:t>
      </w:r>
    </w:p>
    <w:p w14:paraId="5EC7581F">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7、在合同服务期内，乙方对甲方提出服务通知未能及时响应并解决的，乙方须按合同总价的百分之三十的标准向甲方支付违约金，并承担甲方委托第三方进行服务所产生的费用。</w:t>
      </w:r>
    </w:p>
    <w:p w14:paraId="0E4913C9">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8、甲方有义务配合乙方对服务记录文档清单、服务记录文档进行确认以及服务评价考核的义务。由于甲方超过十五天未对乙方提交的服务记录文档清单、服务记录文档提出整改意见或确认的，乙方不承担由此产生延迟交付的违约责任。</w:t>
      </w:r>
    </w:p>
    <w:p w14:paraId="11973BC2">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9、由于甲方超过十五天未对乙方提供软硬件（服务对象）的整改完成的工作提出异议或确认的，乙方不承担由此产生的违约责任。</w:t>
      </w:r>
    </w:p>
    <w:p w14:paraId="4F507B7B">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10、上述各项违约责任条款，属于《民法典》中的清算条款，故合同之变更、中止或解除不影响据此追究违约方的违约责任。</w:t>
      </w:r>
    </w:p>
    <w:p w14:paraId="3194A9BB">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第十二条  合同总价</w:t>
      </w:r>
    </w:p>
    <w:p w14:paraId="3C8CBFF1">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1、项目合同总价为</w:t>
      </w:r>
      <w:r>
        <w:rPr>
          <w:rFonts w:ascii="Times New Roman" w:hAnsi="Times New Roman" w:cs="Times New Roman"/>
          <w:b/>
          <w:color w:val="auto"/>
          <w:sz w:val="24"/>
          <w:highlight w:val="none"/>
          <w:u w:val="single"/>
        </w:rPr>
        <w:t xml:space="preserve"> ************ </w:t>
      </w:r>
      <w:r>
        <w:rPr>
          <w:rFonts w:ascii="Times New Roman" w:hAnsi="Times New Roman" w:cs="Times New Roman"/>
          <w:color w:val="auto"/>
          <w:sz w:val="24"/>
          <w:highlight w:val="none"/>
        </w:rPr>
        <w:t>元，人民币（大写）：</w:t>
      </w:r>
      <w:r>
        <w:rPr>
          <w:rFonts w:hint="eastAsia" w:ascii="Times New Roman" w:hAnsi="Times New Roman" w:cs="Times New Roman"/>
          <w:b/>
          <w:color w:val="auto"/>
          <w:sz w:val="24"/>
          <w:highlight w:val="none"/>
          <w:u w:val="single"/>
        </w:rPr>
        <w:t xml:space="preserve"> </w:t>
      </w:r>
      <w:r>
        <w:rPr>
          <w:rFonts w:ascii="Times New Roman" w:hAnsi="Times New Roman" w:cs="Times New Roman"/>
          <w:b/>
          <w:color w:val="auto"/>
          <w:sz w:val="24"/>
          <w:highlight w:val="none"/>
          <w:u w:val="single"/>
        </w:rPr>
        <w:t>********* 元</w:t>
      </w:r>
      <w:r>
        <w:rPr>
          <w:rFonts w:ascii="Times New Roman" w:hAnsi="Times New Roman" w:cs="Times New Roman"/>
          <w:color w:val="auto"/>
          <w:sz w:val="24"/>
          <w:highlight w:val="none"/>
        </w:rPr>
        <w:t>整。</w:t>
      </w:r>
    </w:p>
    <w:p w14:paraId="52A333E6">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2、前款所称的合同总金额已包括：</w:t>
      </w:r>
    </w:p>
    <w:p w14:paraId="1763B52A">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（1）本项目所服务对象的维保、备机备件、人力成本、清洁巡检、辅助工具、培训等全部费用；</w:t>
      </w:r>
    </w:p>
    <w:p w14:paraId="7542BB04">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（2）乙方工作人员因维护工作需要（包括但不限于甲方节假日、寒暑假、值班等）所产生的交通费、住宿费、伙食费等费用或补贴；</w:t>
      </w:r>
    </w:p>
    <w:p w14:paraId="6528E870">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（3）服务工作人员的工资、福利、养老保险、医疗保险、生育保险、失业和工伤保险等费用。甲方不再向乙方支付其他任何费用。</w:t>
      </w:r>
    </w:p>
    <w:p w14:paraId="326B1C08">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3、甲方和乙方签订的本项目服务合同为固定价格承包合同，在合同期内不因信息安全服务市场价格变动而作调整。</w:t>
      </w:r>
    </w:p>
    <w:p w14:paraId="4A941FB1">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第十三条  支付方式</w:t>
      </w:r>
    </w:p>
    <w:p w14:paraId="423D7A44">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本合同款总额分三次支付。合同签署之后10个工作日内，在甲方收齐乙方通知及付款发票和其他必要的付款凭证的情形下，甲方自该付款资料提交之日起5个工作日内向广州市财政国库支付执行机构提交支付凭证资料、办理财政国库集中支付手续，再由其向乙方核拨合同总价的40%款额。</w:t>
      </w:r>
    </w:p>
    <w:p w14:paraId="13B985D4">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合同款第二次支付，服务进场通知书签字日算起6个自然月后，在运维服务经甲方考核评价合格后，甲方收齐乙方通知及提供的服务结算付款发票和其他必要的付款凭证的情形下，甲方自该付款资料提交之日起10个工作日内向广州市财政国库支付执行机构提交支付凭证资料、办理财政国库集中支付手续，再由其向乙方核拨合同总价的50%款额。</w:t>
      </w:r>
    </w:p>
    <w:p w14:paraId="3ADFC1E9">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合同余款的支付，在服务期满后、乙方配合甲方完成与第三方维护服务公司的所有各项移交工作并经甲方组织对项目合同验收合格后，以及在甲方收齐乙方交付的合法有效并与本合同条款相一致的发票等支付凭证之日起的10个工作日内支付相应合同余款。</w:t>
      </w:r>
    </w:p>
    <w:p w14:paraId="381FEF23">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第十四条  保密条款</w:t>
      </w:r>
    </w:p>
    <w:p w14:paraId="4773D699">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在本合同期内或合同终止后，未征得有关方同意，不得泄露与本项目、本合同业务活动有关的保密资料（详见本合同附件：《保密协议》）。</w:t>
      </w:r>
    </w:p>
    <w:p w14:paraId="777895A8">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乙方及其工作人员承担的保密责任永久持续有效，不因本合同及项目合同的变更、中止、解除、终止而受影响。</w:t>
      </w:r>
    </w:p>
    <w:p w14:paraId="4190504A">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第十五条  不可抗力</w:t>
      </w:r>
    </w:p>
    <w:p w14:paraId="4771524A">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因不可抗力或者其他意外事件，或者使得本合同的履行不可能、不必要或者无意义的，任一方均可以解除本合同。遭受不可抗力、意外事件的一方全部或部分不能履行本合同、解除或迟延履行本合同的，应将事件情况以书面形式通知另一方并向另一方提交相应的证明。</w:t>
      </w:r>
    </w:p>
    <w:p w14:paraId="642EC152">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第十六条  合同构成</w:t>
      </w:r>
    </w:p>
    <w:p w14:paraId="1C1D4098">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下列文件均为本合同的组成部分：</w:t>
      </w:r>
    </w:p>
    <w:p w14:paraId="794BAE2E">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1、中标通知书；</w:t>
      </w:r>
    </w:p>
    <w:p w14:paraId="47BCAD85">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2、广州大学2026年网络安全保障服务项目（项目编号：     ）招标文件；</w:t>
      </w:r>
    </w:p>
    <w:p w14:paraId="41FC17B2">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3、中标人对本项目的投标文件；</w:t>
      </w:r>
    </w:p>
    <w:p w14:paraId="1A375682">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4、本合同附件；</w:t>
      </w:r>
    </w:p>
    <w:p w14:paraId="40CFE840">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5、其他补充协议。</w:t>
      </w:r>
    </w:p>
    <w:p w14:paraId="19875322">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以上文件与本合同具有同等法律效力，若以上文件与本合同存在冲突，则以本合同内容为准。</w:t>
      </w:r>
    </w:p>
    <w:p w14:paraId="38CD7643">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第十七条  乙方声明条款</w:t>
      </w:r>
    </w:p>
    <w:p w14:paraId="75E7BAC6">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对于甲方或其委托招标代理机构就本项目所发出之《招标文件》中的各项具体要求、内容以及本合同条款，乙方声明已作了认真阅读和分析，对包括本合同在内的有关条款、要求已不存在误解；如发生不利于乙方的后果，则自愿放弃因自己的工作失误或存在误解之抗辩。</w:t>
      </w:r>
    </w:p>
    <w:p w14:paraId="32A1E98B">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2、乙方的“投标报价”或其“中标（成交）报价”，应与本合同中的“合同总金额”的含义完全相同。乙方漏报、少报的价项、价款或费用，视为均已全部包含在本“合同总金额”之内。</w:t>
      </w:r>
    </w:p>
    <w:p w14:paraId="756CA124">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3、按合同款支付方式的约定，本合同属于带资（垫资）合同。由此可能给乙方带来资金先期投入，乙方对此已有充分认知与准备。</w:t>
      </w:r>
    </w:p>
    <w:p w14:paraId="50619766">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4、在本合同履行过程中或履行完毕之后，对于可能发生的与本合同有关联的劳资“欠薪”纠纷等事件，将采取充分预防措施并及时妥善处理，乙方承诺此类纠纷所产生的后果由乙方自己负责，甲方无需承担任何责任。如果因为乙方拖欠员工工资从而发生劳资纠纷事件且此类纠纷或事件对甲方的日常工作或教学秩序与安宁造成直接影响，乙方必须连带承担违约责任。该违约责任之承担与计算方式为：根据纠纷或事件对甲方日常工作或教学秩序与安宁造成直接影响的次数（按天数计），按每次（每天）￥50000元（大写：人民币伍万元）累计计算违约金数额。甲方对该违约金有权在结算时直接从应付合同款中扣除。</w:t>
      </w:r>
    </w:p>
    <w:p w14:paraId="53184951">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第十八条  争议解决</w:t>
      </w:r>
    </w:p>
    <w:p w14:paraId="13D4224C">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本合同适用法律为中华人民共和国法律、法规。在本合同履行过程中发生争议，应由双方协商解决；协商不成时，本合同的双方同意将争议(包括票据法上的争议)提交给广州仲裁委员会进行仲裁解决。仲裁程序，适用该会的仲裁规则。</w:t>
      </w:r>
    </w:p>
    <w:p w14:paraId="4DA9CDB7">
      <w:pPr>
        <w:tabs>
          <w:tab w:val="left" w:pos="426"/>
        </w:tabs>
        <w:autoSpaceDE w:val="0"/>
        <w:autoSpaceDN w:val="0"/>
        <w:adjustRightInd w:val="0"/>
        <w:spacing w:before="156" w:beforeLines="50" w:after="156" w:afterLines="50" w:line="0" w:lineRule="atLeast"/>
        <w:outlineLvl w:val="2"/>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第十九条  附则</w:t>
      </w:r>
    </w:p>
    <w:p w14:paraId="686039BA">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1、遇有合同争议或异议情形，均应以书面形式及时通知对方。无论双方的关系处于何种状态，均不得以任何理由拒绝签收来自对方的说明函、澄清函、通知书、异议书、催告函、法律意见书等文件。</w:t>
      </w:r>
    </w:p>
    <w:p w14:paraId="4AEBCB8E">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2、本合同经双方代表签字及加盖双方单位公章或合同专用章后即行生效。签字日期互异的，以后签日期为生效日。</w:t>
      </w:r>
    </w:p>
    <w:p w14:paraId="48E3B400">
      <w:pPr>
        <w:ind w:firstLine="360" w:firstLineChars="150"/>
        <w:rPr>
          <w:rFonts w:ascii="Times New Roman" w:hAnsi="Times New Roman" w:cs="Times New Roman"/>
          <w:color w:val="auto"/>
          <w:sz w:val="24"/>
          <w:highlight w:val="none"/>
        </w:rPr>
      </w:pPr>
      <w:r>
        <w:rPr>
          <w:rFonts w:ascii="Times New Roman" w:hAnsi="Times New Roman" w:cs="Times New Roman"/>
          <w:color w:val="auto"/>
          <w:sz w:val="24"/>
          <w:highlight w:val="none"/>
        </w:rPr>
        <w:t>3、合同一式8份，甲方执6份,乙方2份；各式份具有同等法律效力。</w:t>
      </w:r>
      <w:r>
        <w:rPr>
          <w:rFonts w:ascii="Times New Roman" w:hAnsi="Times New Roman" w:cs="Times New Roman"/>
          <w:color w:val="auto"/>
          <w:sz w:val="24"/>
          <w:highlight w:val="none"/>
        </w:rPr>
        <w:br w:type="page"/>
      </w:r>
    </w:p>
    <w:p w14:paraId="773D8855">
      <w:pPr>
        <w:ind w:firstLine="360" w:firstLineChars="150"/>
        <w:rPr>
          <w:rFonts w:ascii="Times New Roman" w:hAnsi="Times New Roman" w:cs="Times New Roman"/>
          <w:color w:val="auto"/>
          <w:sz w:val="24"/>
          <w:highlight w:val="none"/>
        </w:rPr>
      </w:pPr>
    </w:p>
    <w:p w14:paraId="619B179B">
      <w:pPr>
        <w:ind w:firstLine="360" w:firstLineChars="150"/>
        <w:rPr>
          <w:rFonts w:ascii="Times New Roman" w:hAnsi="Times New Roman" w:cs="Times New Roman"/>
          <w:color w:val="auto"/>
          <w:sz w:val="24"/>
          <w:highlight w:val="none"/>
        </w:rPr>
      </w:pPr>
    </w:p>
    <w:tbl>
      <w:tblPr>
        <w:tblStyle w:val="2"/>
        <w:tblW w:w="8260" w:type="dxa"/>
        <w:tblInd w:w="93" w:type="dxa"/>
        <w:tblLayout w:type="fixed"/>
        <w:tblCellMar>
          <w:top w:w="0" w:type="dxa"/>
          <w:left w:w="108" w:type="dxa"/>
          <w:bottom w:w="0" w:type="dxa"/>
          <w:right w:w="108" w:type="dxa"/>
        </w:tblCellMar>
      </w:tblPr>
      <w:tblGrid>
        <w:gridCol w:w="4130"/>
        <w:gridCol w:w="4130"/>
      </w:tblGrid>
      <w:tr w14:paraId="77D84C46">
        <w:tblPrEx>
          <w:tblCellMar>
            <w:top w:w="0" w:type="dxa"/>
            <w:left w:w="108" w:type="dxa"/>
            <w:bottom w:w="0" w:type="dxa"/>
            <w:right w:w="108" w:type="dxa"/>
          </w:tblCellMar>
        </w:tblPrEx>
        <w:trPr>
          <w:trHeight w:val="300" w:hRule="atLeast"/>
        </w:trPr>
        <w:tc>
          <w:tcPr>
            <w:tcW w:w="4130" w:type="dxa"/>
            <w:tcBorders>
              <w:top w:val="nil"/>
              <w:left w:val="nil"/>
              <w:bottom w:val="nil"/>
              <w:right w:val="nil"/>
            </w:tcBorders>
            <w:shd w:val="clear" w:color="auto" w:fill="auto"/>
          </w:tcPr>
          <w:p w14:paraId="2068DD62">
            <w:pPr>
              <w:spacing w:before="156" w:beforeLines="50" w:after="156" w:afterLines="50"/>
              <w:rPr>
                <w:rFonts w:ascii="Times New Roman" w:hAnsi="Times New Roman" w:cs="Times New Roman"/>
                <w:b/>
                <w:color w:val="auto"/>
                <w:sz w:val="24"/>
                <w:highlight w:val="none"/>
              </w:rPr>
            </w:pPr>
            <w:r>
              <w:rPr>
                <w:rFonts w:ascii="Times New Roman" w:hAnsi="Times New Roman" w:cs="Times New Roman"/>
                <w:b/>
                <w:color w:val="auto"/>
                <w:sz w:val="24"/>
                <w:highlight w:val="none"/>
              </w:rPr>
              <w:t>甲方：广州大学</w:t>
            </w:r>
          </w:p>
        </w:tc>
        <w:tc>
          <w:tcPr>
            <w:tcW w:w="4130" w:type="dxa"/>
            <w:tcBorders>
              <w:top w:val="nil"/>
              <w:left w:val="nil"/>
              <w:bottom w:val="nil"/>
              <w:right w:val="nil"/>
            </w:tcBorders>
            <w:shd w:val="clear" w:color="auto" w:fill="auto"/>
            <w:noWrap/>
          </w:tcPr>
          <w:p w14:paraId="5990FAFB">
            <w:pPr>
              <w:spacing w:before="156" w:beforeLines="50" w:after="156" w:afterLines="50"/>
              <w:rPr>
                <w:rFonts w:ascii="Times New Roman" w:hAnsi="Times New Roman" w:cs="Times New Roman"/>
                <w:b/>
                <w:color w:val="auto"/>
                <w:sz w:val="24"/>
                <w:highlight w:val="none"/>
              </w:rPr>
            </w:pPr>
            <w:r>
              <w:rPr>
                <w:rFonts w:ascii="Times New Roman" w:hAnsi="Times New Roman" w:cs="Times New Roman"/>
                <w:b/>
                <w:color w:val="auto"/>
                <w:sz w:val="24"/>
                <w:highlight w:val="none"/>
              </w:rPr>
              <w:t>乙方：</w:t>
            </w:r>
            <w:r>
              <w:rPr>
                <w:rFonts w:hint="eastAsia" w:ascii="Times New Roman" w:hAnsi="Times New Roman" w:cs="Times New Roman"/>
                <w:b/>
                <w:color w:val="auto"/>
                <w:sz w:val="24"/>
                <w:highlight w:val="none"/>
              </w:rPr>
              <w:t xml:space="preserve"> </w:t>
            </w:r>
          </w:p>
        </w:tc>
      </w:tr>
      <w:tr w14:paraId="2B7F951A">
        <w:tblPrEx>
          <w:tblCellMar>
            <w:top w:w="0" w:type="dxa"/>
            <w:left w:w="108" w:type="dxa"/>
            <w:bottom w:w="0" w:type="dxa"/>
            <w:right w:w="108" w:type="dxa"/>
          </w:tblCellMar>
        </w:tblPrEx>
        <w:trPr>
          <w:trHeight w:val="300" w:hRule="atLeast"/>
        </w:trPr>
        <w:tc>
          <w:tcPr>
            <w:tcW w:w="4130" w:type="dxa"/>
            <w:tcBorders>
              <w:top w:val="nil"/>
              <w:left w:val="nil"/>
              <w:bottom w:val="nil"/>
              <w:right w:val="nil"/>
            </w:tcBorders>
            <w:shd w:val="clear" w:color="auto" w:fill="auto"/>
          </w:tcPr>
          <w:p w14:paraId="6BAE8346">
            <w:pPr>
              <w:spacing w:before="156" w:beforeLines="50" w:after="156" w:afterLines="50"/>
              <w:rPr>
                <w:rFonts w:ascii="Times New Roman" w:hAnsi="Times New Roman" w:cs="Times New Roman"/>
                <w:color w:val="auto"/>
                <w:sz w:val="24"/>
                <w:highlight w:val="none"/>
              </w:rPr>
            </w:pPr>
            <w:r>
              <w:rPr>
                <w:rFonts w:ascii="Times New Roman" w:hAnsi="Times New Roman" w:cs="Times New Roman"/>
                <w:color w:val="auto"/>
                <w:sz w:val="24"/>
                <w:highlight w:val="none"/>
              </w:rPr>
              <w:t>法定代表人：</w:t>
            </w:r>
          </w:p>
        </w:tc>
        <w:tc>
          <w:tcPr>
            <w:tcW w:w="4130" w:type="dxa"/>
            <w:tcBorders>
              <w:top w:val="nil"/>
              <w:left w:val="nil"/>
              <w:bottom w:val="nil"/>
              <w:right w:val="nil"/>
            </w:tcBorders>
            <w:shd w:val="clear" w:color="auto" w:fill="auto"/>
            <w:noWrap/>
          </w:tcPr>
          <w:p w14:paraId="70C0F996">
            <w:pPr>
              <w:spacing w:before="156" w:beforeLines="50" w:after="156" w:afterLines="50"/>
              <w:rPr>
                <w:rFonts w:ascii="Times New Roman" w:hAnsi="Times New Roman" w:cs="Times New Roman"/>
                <w:color w:val="auto"/>
                <w:sz w:val="24"/>
                <w:highlight w:val="none"/>
              </w:rPr>
            </w:pPr>
            <w:r>
              <w:rPr>
                <w:rFonts w:ascii="Times New Roman" w:hAnsi="Times New Roman" w:cs="Times New Roman"/>
                <w:color w:val="auto"/>
                <w:sz w:val="24"/>
                <w:highlight w:val="none"/>
              </w:rPr>
              <w:t>法定代表人：</w:t>
            </w:r>
          </w:p>
        </w:tc>
      </w:tr>
      <w:tr w14:paraId="30359E71">
        <w:tblPrEx>
          <w:tblCellMar>
            <w:top w:w="0" w:type="dxa"/>
            <w:left w:w="108" w:type="dxa"/>
            <w:bottom w:w="0" w:type="dxa"/>
            <w:right w:w="108" w:type="dxa"/>
          </w:tblCellMar>
        </w:tblPrEx>
        <w:trPr>
          <w:trHeight w:val="300" w:hRule="atLeast"/>
        </w:trPr>
        <w:tc>
          <w:tcPr>
            <w:tcW w:w="4130" w:type="dxa"/>
            <w:tcBorders>
              <w:top w:val="nil"/>
              <w:left w:val="nil"/>
              <w:bottom w:val="nil"/>
              <w:right w:val="nil"/>
            </w:tcBorders>
            <w:shd w:val="clear" w:color="auto" w:fill="auto"/>
          </w:tcPr>
          <w:p w14:paraId="0AFB53D3">
            <w:pPr>
              <w:spacing w:before="156" w:beforeLines="50" w:after="156" w:afterLines="50"/>
              <w:rPr>
                <w:rFonts w:ascii="Times New Roman" w:hAnsi="Times New Roman" w:cs="Times New Roman"/>
                <w:color w:val="auto"/>
                <w:sz w:val="24"/>
                <w:highlight w:val="none"/>
              </w:rPr>
            </w:pPr>
            <w:r>
              <w:rPr>
                <w:rFonts w:ascii="Times New Roman" w:hAnsi="Times New Roman" w:cs="Times New Roman"/>
                <w:color w:val="auto"/>
                <w:sz w:val="24"/>
                <w:highlight w:val="none"/>
              </w:rPr>
              <w:t>经办人:</w:t>
            </w:r>
          </w:p>
        </w:tc>
        <w:tc>
          <w:tcPr>
            <w:tcW w:w="4130" w:type="dxa"/>
            <w:tcBorders>
              <w:top w:val="nil"/>
              <w:left w:val="nil"/>
              <w:bottom w:val="nil"/>
              <w:right w:val="nil"/>
            </w:tcBorders>
            <w:shd w:val="clear" w:color="auto" w:fill="auto"/>
            <w:noWrap/>
          </w:tcPr>
          <w:p w14:paraId="0428D08C">
            <w:pPr>
              <w:spacing w:before="156" w:beforeLines="50" w:after="156" w:afterLines="50"/>
              <w:rPr>
                <w:rFonts w:ascii="Times New Roman" w:hAnsi="Times New Roman" w:cs="Times New Roman"/>
                <w:color w:val="auto"/>
                <w:sz w:val="24"/>
                <w:highlight w:val="none"/>
              </w:rPr>
            </w:pPr>
            <w:r>
              <w:rPr>
                <w:rFonts w:ascii="Times New Roman" w:hAnsi="Times New Roman" w:cs="Times New Roman"/>
                <w:color w:val="auto"/>
                <w:sz w:val="24"/>
                <w:highlight w:val="none"/>
              </w:rPr>
              <w:t>经办人:</w:t>
            </w:r>
          </w:p>
        </w:tc>
      </w:tr>
      <w:tr w14:paraId="6D0F64EF">
        <w:tblPrEx>
          <w:tblCellMar>
            <w:top w:w="0" w:type="dxa"/>
            <w:left w:w="108" w:type="dxa"/>
            <w:bottom w:w="0" w:type="dxa"/>
            <w:right w:w="108" w:type="dxa"/>
          </w:tblCellMar>
        </w:tblPrEx>
        <w:trPr>
          <w:trHeight w:val="300" w:hRule="atLeast"/>
        </w:trPr>
        <w:tc>
          <w:tcPr>
            <w:tcW w:w="4130" w:type="dxa"/>
            <w:tcBorders>
              <w:top w:val="nil"/>
              <w:left w:val="nil"/>
              <w:bottom w:val="nil"/>
              <w:right w:val="nil"/>
            </w:tcBorders>
            <w:shd w:val="clear" w:color="auto" w:fill="auto"/>
          </w:tcPr>
          <w:p w14:paraId="6B60C821">
            <w:pPr>
              <w:spacing w:before="50" w:after="50" w:line="0" w:lineRule="atLeast"/>
              <w:rPr>
                <w:rFonts w:ascii="Times New Roman" w:hAnsi="Times New Roman" w:cs="Times New Roman"/>
                <w:color w:val="auto"/>
                <w:sz w:val="24"/>
                <w:highlight w:val="none"/>
              </w:rPr>
            </w:pPr>
            <w:r>
              <w:rPr>
                <w:rFonts w:ascii="Times New Roman" w:hAnsi="Times New Roman" w:cs="Times New Roman"/>
                <w:color w:val="auto"/>
                <w:sz w:val="24"/>
                <w:highlight w:val="none"/>
              </w:rPr>
              <w:t>开户银行：工行广州大学城中环支行</w:t>
            </w:r>
          </w:p>
        </w:tc>
        <w:tc>
          <w:tcPr>
            <w:tcW w:w="4130" w:type="dxa"/>
            <w:tcBorders>
              <w:top w:val="nil"/>
              <w:left w:val="nil"/>
              <w:bottom w:val="nil"/>
              <w:right w:val="nil"/>
            </w:tcBorders>
            <w:shd w:val="clear" w:color="auto" w:fill="auto"/>
            <w:noWrap/>
          </w:tcPr>
          <w:p w14:paraId="6E9D43D2">
            <w:pPr>
              <w:spacing w:before="50" w:after="50" w:line="0" w:lineRule="atLeast"/>
              <w:rPr>
                <w:rFonts w:ascii="Times New Roman" w:hAnsi="Times New Roman" w:cs="Times New Roman"/>
                <w:color w:val="auto"/>
                <w:sz w:val="24"/>
                <w:highlight w:val="none"/>
              </w:rPr>
            </w:pPr>
            <w:r>
              <w:rPr>
                <w:rFonts w:ascii="Times New Roman" w:hAnsi="Times New Roman" w:cs="Times New Roman"/>
                <w:color w:val="auto"/>
                <w:sz w:val="24"/>
                <w:highlight w:val="none"/>
              </w:rPr>
              <w:t>开户银行：</w:t>
            </w:r>
            <w:r>
              <w:rPr>
                <w:rFonts w:hint="eastAsia" w:ascii="Times New Roman" w:hAnsi="Times New Roman" w:cs="Times New Roman"/>
                <w:color w:val="auto"/>
                <w:sz w:val="24"/>
                <w:highlight w:val="none"/>
              </w:rPr>
              <w:t xml:space="preserve"> </w:t>
            </w:r>
          </w:p>
        </w:tc>
      </w:tr>
      <w:tr w14:paraId="025F4082">
        <w:tblPrEx>
          <w:tblCellMar>
            <w:top w:w="0" w:type="dxa"/>
            <w:left w:w="108" w:type="dxa"/>
            <w:bottom w:w="0" w:type="dxa"/>
            <w:right w:w="108" w:type="dxa"/>
          </w:tblCellMar>
        </w:tblPrEx>
        <w:trPr>
          <w:trHeight w:val="300" w:hRule="atLeast"/>
        </w:trPr>
        <w:tc>
          <w:tcPr>
            <w:tcW w:w="4130" w:type="dxa"/>
            <w:tcBorders>
              <w:top w:val="nil"/>
              <w:left w:val="nil"/>
              <w:bottom w:val="nil"/>
              <w:right w:val="nil"/>
            </w:tcBorders>
            <w:shd w:val="clear" w:color="auto" w:fill="auto"/>
          </w:tcPr>
          <w:p w14:paraId="140533FA">
            <w:pPr>
              <w:spacing w:before="50" w:after="50" w:line="0" w:lineRule="atLeast"/>
              <w:rPr>
                <w:rFonts w:ascii="Times New Roman" w:hAnsi="Times New Roman" w:cs="Times New Roman"/>
                <w:color w:val="auto"/>
                <w:sz w:val="24"/>
                <w:highlight w:val="none"/>
              </w:rPr>
            </w:pPr>
            <w:r>
              <w:rPr>
                <w:rFonts w:ascii="Times New Roman" w:hAnsi="Times New Roman" w:cs="Times New Roman"/>
                <w:color w:val="auto"/>
                <w:sz w:val="24"/>
                <w:highlight w:val="none"/>
              </w:rPr>
              <w:t>账号：3602114819100000192</w:t>
            </w:r>
          </w:p>
        </w:tc>
        <w:tc>
          <w:tcPr>
            <w:tcW w:w="4130" w:type="dxa"/>
            <w:tcBorders>
              <w:top w:val="nil"/>
              <w:left w:val="nil"/>
              <w:bottom w:val="nil"/>
              <w:right w:val="nil"/>
            </w:tcBorders>
            <w:shd w:val="clear" w:color="auto" w:fill="auto"/>
            <w:noWrap/>
          </w:tcPr>
          <w:p w14:paraId="0707C806">
            <w:pPr>
              <w:spacing w:before="50" w:after="50" w:line="0" w:lineRule="atLeas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账号： </w:t>
            </w:r>
          </w:p>
        </w:tc>
      </w:tr>
      <w:tr w14:paraId="17C08551">
        <w:tblPrEx>
          <w:tblCellMar>
            <w:top w:w="0" w:type="dxa"/>
            <w:left w:w="108" w:type="dxa"/>
            <w:bottom w:w="0" w:type="dxa"/>
            <w:right w:w="108" w:type="dxa"/>
          </w:tblCellMar>
        </w:tblPrEx>
        <w:trPr>
          <w:trHeight w:val="300" w:hRule="atLeast"/>
        </w:trPr>
        <w:tc>
          <w:tcPr>
            <w:tcW w:w="4130" w:type="dxa"/>
            <w:tcBorders>
              <w:top w:val="nil"/>
              <w:left w:val="nil"/>
              <w:bottom w:val="nil"/>
              <w:right w:val="nil"/>
            </w:tcBorders>
            <w:shd w:val="clear" w:color="auto" w:fill="auto"/>
          </w:tcPr>
          <w:p w14:paraId="7EEAFE31">
            <w:pPr>
              <w:spacing w:before="50" w:after="50" w:line="0" w:lineRule="atLeast"/>
              <w:rPr>
                <w:rFonts w:ascii="Times New Roman" w:hAnsi="Times New Roman" w:cs="Times New Roman"/>
                <w:color w:val="auto"/>
                <w:sz w:val="24"/>
                <w:highlight w:val="none"/>
              </w:rPr>
            </w:pPr>
            <w:r>
              <w:rPr>
                <w:rFonts w:ascii="Times New Roman" w:hAnsi="Times New Roman" w:cs="Times New Roman"/>
                <w:color w:val="auto"/>
                <w:sz w:val="24"/>
                <w:highlight w:val="none"/>
              </w:rPr>
              <w:t>纳税人识别号:124401007348911139</w:t>
            </w:r>
          </w:p>
        </w:tc>
        <w:tc>
          <w:tcPr>
            <w:tcW w:w="4130" w:type="dxa"/>
            <w:tcBorders>
              <w:top w:val="nil"/>
              <w:left w:val="nil"/>
              <w:bottom w:val="nil"/>
              <w:right w:val="nil"/>
            </w:tcBorders>
            <w:shd w:val="clear" w:color="auto" w:fill="auto"/>
            <w:noWrap/>
          </w:tcPr>
          <w:p w14:paraId="34ABB9C3">
            <w:pPr>
              <w:spacing w:before="50" w:after="50" w:line="0" w:lineRule="atLeas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纳税人识别号: </w:t>
            </w:r>
          </w:p>
        </w:tc>
      </w:tr>
      <w:tr w14:paraId="775D2238">
        <w:tblPrEx>
          <w:tblCellMar>
            <w:top w:w="0" w:type="dxa"/>
            <w:left w:w="108" w:type="dxa"/>
            <w:bottom w:w="0" w:type="dxa"/>
            <w:right w:w="108" w:type="dxa"/>
          </w:tblCellMar>
        </w:tblPrEx>
        <w:trPr>
          <w:trHeight w:val="600" w:hRule="atLeast"/>
        </w:trPr>
        <w:tc>
          <w:tcPr>
            <w:tcW w:w="4130" w:type="dxa"/>
            <w:tcBorders>
              <w:top w:val="nil"/>
              <w:left w:val="nil"/>
              <w:bottom w:val="nil"/>
              <w:right w:val="nil"/>
            </w:tcBorders>
            <w:shd w:val="clear" w:color="auto" w:fill="auto"/>
          </w:tcPr>
          <w:p w14:paraId="1B9F6251">
            <w:pPr>
              <w:spacing w:before="50" w:after="50" w:line="0" w:lineRule="atLeast"/>
              <w:rPr>
                <w:rFonts w:ascii="Times New Roman" w:hAnsi="Times New Roman" w:cs="Times New Roman"/>
                <w:color w:val="auto"/>
                <w:sz w:val="24"/>
                <w:highlight w:val="none"/>
              </w:rPr>
            </w:pPr>
            <w:r>
              <w:rPr>
                <w:rFonts w:ascii="Times New Roman" w:hAnsi="Times New Roman" w:cs="Times New Roman"/>
                <w:color w:val="auto"/>
                <w:sz w:val="24"/>
                <w:highlight w:val="none"/>
              </w:rPr>
              <w:t>地址与邮政编码：广州市大学城外环西路230号，510006</w:t>
            </w:r>
          </w:p>
          <w:p w14:paraId="344A67FB">
            <w:pPr>
              <w:spacing w:before="50" w:after="50" w:line="0" w:lineRule="atLeast"/>
              <w:rPr>
                <w:rFonts w:ascii="Times New Roman" w:hAnsi="Times New Roman" w:cs="Times New Roman"/>
                <w:color w:val="auto"/>
                <w:sz w:val="24"/>
                <w:highlight w:val="none"/>
              </w:rPr>
            </w:pPr>
          </w:p>
        </w:tc>
        <w:tc>
          <w:tcPr>
            <w:tcW w:w="4130" w:type="dxa"/>
            <w:tcBorders>
              <w:top w:val="nil"/>
              <w:left w:val="nil"/>
              <w:bottom w:val="nil"/>
              <w:right w:val="nil"/>
            </w:tcBorders>
            <w:shd w:val="clear" w:color="auto" w:fill="auto"/>
          </w:tcPr>
          <w:p w14:paraId="0ED0F4D9">
            <w:pPr>
              <w:spacing w:before="50" w:after="50" w:line="0" w:lineRule="atLeast"/>
              <w:rPr>
                <w:rFonts w:ascii="Times New Roman" w:hAnsi="Times New Roman" w:cs="Times New Roman"/>
                <w:color w:val="auto"/>
                <w:sz w:val="24"/>
                <w:highlight w:val="none"/>
              </w:rPr>
            </w:pPr>
            <w:r>
              <w:rPr>
                <w:rFonts w:ascii="Times New Roman" w:hAnsi="Times New Roman" w:cs="Times New Roman"/>
                <w:color w:val="auto"/>
                <w:sz w:val="24"/>
                <w:highlight w:val="none"/>
              </w:rPr>
              <w:t>地址与邮政编码：</w:t>
            </w:r>
            <w:r>
              <w:rPr>
                <w:rFonts w:hint="eastAsia" w:ascii="Times New Roman" w:hAnsi="Times New Roman" w:cs="Times New Roman"/>
                <w:color w:val="auto"/>
                <w:sz w:val="24"/>
                <w:highlight w:val="none"/>
              </w:rPr>
              <w:t xml:space="preserve"> </w:t>
            </w:r>
          </w:p>
        </w:tc>
      </w:tr>
      <w:tr w14:paraId="5581C049">
        <w:tblPrEx>
          <w:tblCellMar>
            <w:top w:w="0" w:type="dxa"/>
            <w:left w:w="108" w:type="dxa"/>
            <w:bottom w:w="0" w:type="dxa"/>
            <w:right w:w="108" w:type="dxa"/>
          </w:tblCellMar>
        </w:tblPrEx>
        <w:trPr>
          <w:trHeight w:val="600" w:hRule="atLeast"/>
        </w:trPr>
        <w:tc>
          <w:tcPr>
            <w:tcW w:w="4130" w:type="dxa"/>
            <w:tcBorders>
              <w:top w:val="nil"/>
              <w:left w:val="nil"/>
              <w:bottom w:val="nil"/>
              <w:right w:val="nil"/>
            </w:tcBorders>
            <w:shd w:val="clear" w:color="auto" w:fill="auto"/>
          </w:tcPr>
          <w:p w14:paraId="77F11088">
            <w:pPr>
              <w:spacing w:before="50" w:after="50" w:line="0" w:lineRule="atLeast"/>
              <w:rPr>
                <w:rFonts w:ascii="Times New Roman" w:hAnsi="Times New Roman" w:cs="Times New Roman"/>
                <w:color w:val="auto"/>
                <w:sz w:val="24"/>
                <w:highlight w:val="none"/>
              </w:rPr>
            </w:pPr>
            <w:r>
              <w:rPr>
                <w:rFonts w:ascii="Times New Roman" w:hAnsi="Times New Roman" w:cs="Times New Roman"/>
                <w:color w:val="auto"/>
                <w:sz w:val="24"/>
                <w:highlight w:val="none"/>
              </w:rPr>
              <w:t>签约时间：2026年    月    日</w:t>
            </w:r>
          </w:p>
        </w:tc>
        <w:tc>
          <w:tcPr>
            <w:tcW w:w="4130" w:type="dxa"/>
            <w:tcBorders>
              <w:top w:val="nil"/>
              <w:left w:val="nil"/>
              <w:bottom w:val="nil"/>
              <w:right w:val="nil"/>
            </w:tcBorders>
            <w:shd w:val="clear" w:color="auto" w:fill="auto"/>
          </w:tcPr>
          <w:p w14:paraId="5AB3FCC4">
            <w:pPr>
              <w:spacing w:before="50" w:after="50" w:line="0" w:lineRule="atLeast"/>
              <w:rPr>
                <w:rFonts w:ascii="Times New Roman" w:hAnsi="Times New Roman" w:cs="Times New Roman"/>
                <w:color w:val="auto"/>
                <w:sz w:val="24"/>
                <w:highlight w:val="none"/>
              </w:rPr>
            </w:pPr>
            <w:r>
              <w:rPr>
                <w:rFonts w:ascii="Times New Roman" w:hAnsi="Times New Roman" w:cs="Times New Roman"/>
                <w:color w:val="auto"/>
                <w:sz w:val="24"/>
                <w:highlight w:val="none"/>
              </w:rPr>
              <w:t>签约时间：2026年    月    日</w:t>
            </w:r>
          </w:p>
        </w:tc>
      </w:tr>
    </w:tbl>
    <w:p w14:paraId="1EA51683">
      <w:pPr>
        <w:ind w:firstLine="360" w:firstLineChars="150"/>
        <w:rPr>
          <w:rFonts w:ascii="Times New Roman" w:hAnsi="Times New Roman" w:cs="Times New Roman"/>
          <w:color w:val="auto"/>
          <w:sz w:val="24"/>
          <w:highlight w:val="none"/>
        </w:rPr>
      </w:pPr>
    </w:p>
    <w:p w14:paraId="0B1D554A">
      <w:pPr>
        <w:pStyle w:val="4"/>
        <w:jc w:val="both"/>
        <w:rPr>
          <w:rFonts w:hint="default" w:ascii="Times New Roman" w:hAnsi="Times New Roman" w:cs="Times New Roman"/>
          <w:b/>
          <w:color w:val="auto"/>
          <w:sz w:val="24"/>
          <w:highlight w:val="none"/>
        </w:rPr>
      </w:pPr>
    </w:p>
    <w:p w14:paraId="203E7E25">
      <w:pPr>
        <w:pStyle w:val="4"/>
        <w:jc w:val="both"/>
        <w:rPr>
          <w:rFonts w:hint="default" w:ascii="Times New Roman" w:hAnsi="Times New Roman" w:cs="Times New Roman"/>
          <w:color w:val="auto"/>
          <w:highlight w:val="none"/>
        </w:rPr>
      </w:pPr>
      <w:r>
        <w:rPr>
          <w:rFonts w:hint="default" w:ascii="Times New Roman" w:hAnsi="Times New Roman" w:cs="Times New Roman"/>
          <w:b/>
          <w:color w:val="auto"/>
          <w:sz w:val="24"/>
          <w:highlight w:val="none"/>
        </w:rPr>
        <w:br w:type="page"/>
      </w:r>
      <w:r>
        <w:rPr>
          <w:rFonts w:hint="default" w:ascii="Times New Roman" w:hAnsi="Times New Roman" w:cs="Times New Roman"/>
          <w:b/>
          <w:color w:val="auto"/>
          <w:sz w:val="24"/>
          <w:highlight w:val="none"/>
        </w:rPr>
        <w:t>本合同（编号：       ）附件：</w:t>
      </w:r>
    </w:p>
    <w:p w14:paraId="29BCDDA0">
      <w:pPr>
        <w:pStyle w:val="4"/>
        <w:ind w:firstLine="482"/>
        <w:jc w:val="center"/>
        <w:rPr>
          <w:rFonts w:hint="default" w:ascii="Times New Roman" w:hAnsi="Times New Roman" w:cs="Times New Roman"/>
          <w:color w:val="auto"/>
          <w:sz w:val="48"/>
          <w:szCs w:val="48"/>
          <w:highlight w:val="none"/>
        </w:rPr>
      </w:pPr>
      <w:r>
        <w:rPr>
          <w:rFonts w:hint="default" w:ascii="Times New Roman" w:hAnsi="Times New Roman" w:cs="Times New Roman"/>
          <w:b/>
          <w:color w:val="auto"/>
          <w:sz w:val="48"/>
          <w:szCs w:val="48"/>
          <w:highlight w:val="none"/>
        </w:rPr>
        <w:t>保密协议</w:t>
      </w:r>
    </w:p>
    <w:p w14:paraId="32C80616">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鉴于甲、乙方就《广州大学2026年网络安全保障服务项目》签订合同，因乙方为甲方提供服务和履行职务，已经(或将要)知悉甲方的工作秘密。为了明确乙方的保密义务，有效保护甲方的工作秘密，防止该工作秘密被公开披露或以任何形式泄漏，根据《中华人民共和国民法典》、《中华人民共和国反不正当竞争法》及国务院有关部委和广东省、广州市的规定，甲乙双方本着平等、自愿、公平和诚实信用的原则在广州市签订本保密协议。</w:t>
      </w:r>
    </w:p>
    <w:p w14:paraId="542D8E53">
      <w:pPr>
        <w:pStyle w:val="4"/>
        <w:spacing w:line="360" w:lineRule="auto"/>
        <w:ind w:firstLine="482"/>
        <w:jc w:val="both"/>
        <w:rPr>
          <w:rFonts w:hint="default" w:ascii="Times New Roman" w:hAnsi="Times New Roman" w:cs="Times New Roman"/>
          <w:color w:val="auto"/>
          <w:sz w:val="21"/>
          <w:szCs w:val="21"/>
          <w:highlight w:val="none"/>
        </w:rPr>
      </w:pPr>
      <w:r>
        <w:rPr>
          <w:rFonts w:hint="default" w:ascii="Times New Roman" w:hAnsi="Times New Roman" w:cs="Times New Roman"/>
          <w:b/>
          <w:color w:val="auto"/>
          <w:sz w:val="21"/>
          <w:szCs w:val="21"/>
          <w:highlight w:val="none"/>
        </w:rPr>
        <w:t>第一条</w:t>
      </w:r>
      <w:r>
        <w:rPr>
          <w:rFonts w:hint="default" w:ascii="Times New Roman" w:hAnsi="Times New Roman" w:cs="Times New Roman"/>
          <w:color w:val="auto"/>
          <w:sz w:val="21"/>
          <w:szCs w:val="21"/>
          <w:highlight w:val="none"/>
        </w:rPr>
        <w:t xml:space="preserve"> 工作秘密</w:t>
      </w:r>
    </w:p>
    <w:p w14:paraId="0827C6EE">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本协议所称工作秘密包括但不限于：甲方信息系统中的用户数据、业务数据、网络拓扑、软硬件配置、音视频资料、信息化项目、人力资源及其他技术信息的各类文档。乙方对此工作秘密承担保密义务；未经甲方同意不得对外转让或泄漏的内容。双方确认，甲方已对上述工作秘密采取了合理的保密措施。乙方有责任对本协议的内容进行保密。</w:t>
      </w:r>
    </w:p>
    <w:p w14:paraId="00F34A99">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2、甲方依照法律规定(如在缔约过程中知悉其他相对人的工作秘密)和在有关协议的约定(如技术合同)中对外承担保密义务的事项，也属本保密协议所称的工作秘密。</w:t>
      </w:r>
    </w:p>
    <w:p w14:paraId="78D8B40C">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甲方为完成项目提供的任何其他信息资料并且在提供时未说明是公开信息；乙方应当视为保密的口头和书面信息，而不论该等信息是否被指定为保密的；未经甲方书面许可乙方无权单方面对第三方公开的信息均属本保密协议所称的工作秘密。</w:t>
      </w:r>
    </w:p>
    <w:p w14:paraId="4AF603F8">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4、在乙方履行项目过程中，某一信息的泄露会造成下列后果之一的，也属于甲方秘密：</w:t>
      </w:r>
    </w:p>
    <w:p w14:paraId="5E826584">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（1）使甲方利益受到损害的事项；</w:t>
      </w:r>
    </w:p>
    <w:p w14:paraId="07C1F273">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（2）影响甲方对外交流顺利进行的事项；</w:t>
      </w:r>
    </w:p>
    <w:p w14:paraId="56691AF9">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（3）影响甲方对外承担保密义务的事项。</w:t>
      </w:r>
    </w:p>
    <w:p w14:paraId="47F63926">
      <w:pPr>
        <w:pStyle w:val="4"/>
        <w:spacing w:line="360" w:lineRule="auto"/>
        <w:ind w:firstLine="482"/>
        <w:jc w:val="both"/>
        <w:rPr>
          <w:rFonts w:hint="default" w:ascii="Times New Roman" w:hAnsi="Times New Roman" w:cs="Times New Roman"/>
          <w:color w:val="auto"/>
          <w:sz w:val="21"/>
          <w:szCs w:val="21"/>
          <w:highlight w:val="none"/>
        </w:rPr>
      </w:pPr>
      <w:r>
        <w:rPr>
          <w:rFonts w:hint="default" w:ascii="Times New Roman" w:hAnsi="Times New Roman" w:cs="Times New Roman"/>
          <w:b/>
          <w:color w:val="auto"/>
          <w:sz w:val="21"/>
          <w:szCs w:val="21"/>
          <w:highlight w:val="none"/>
        </w:rPr>
        <w:t>第二条</w:t>
      </w:r>
      <w:r>
        <w:rPr>
          <w:rFonts w:hint="default" w:ascii="Times New Roman" w:hAnsi="Times New Roman" w:cs="Times New Roman"/>
          <w:color w:val="auto"/>
          <w:sz w:val="21"/>
          <w:szCs w:val="21"/>
          <w:highlight w:val="none"/>
        </w:rPr>
        <w:t xml:space="preserve"> 保密义务人</w:t>
      </w:r>
    </w:p>
    <w:p w14:paraId="601D879B">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乙方为本协议所称的保密义务人，包括但不限于乙方雇员、代理人、顾问等。</w:t>
      </w:r>
    </w:p>
    <w:p w14:paraId="3CE7E484">
      <w:pPr>
        <w:pStyle w:val="4"/>
        <w:spacing w:line="360" w:lineRule="auto"/>
        <w:ind w:firstLine="482"/>
        <w:jc w:val="both"/>
        <w:rPr>
          <w:rFonts w:hint="default" w:ascii="Times New Roman" w:hAnsi="Times New Roman" w:cs="Times New Roman"/>
          <w:color w:val="auto"/>
          <w:sz w:val="21"/>
          <w:szCs w:val="21"/>
          <w:highlight w:val="none"/>
        </w:rPr>
      </w:pPr>
      <w:r>
        <w:rPr>
          <w:rFonts w:hint="default" w:ascii="Times New Roman" w:hAnsi="Times New Roman" w:cs="Times New Roman"/>
          <w:b/>
          <w:color w:val="auto"/>
          <w:sz w:val="21"/>
          <w:szCs w:val="21"/>
          <w:highlight w:val="none"/>
        </w:rPr>
        <w:t>第三条</w:t>
      </w:r>
      <w:r>
        <w:rPr>
          <w:rFonts w:hint="default" w:ascii="Times New Roman" w:hAnsi="Times New Roman" w:cs="Times New Roman"/>
          <w:color w:val="auto"/>
          <w:sz w:val="21"/>
          <w:szCs w:val="21"/>
          <w:highlight w:val="none"/>
        </w:rPr>
        <w:t xml:space="preserve"> 保密义务人的保密义务</w:t>
      </w:r>
    </w:p>
    <w:p w14:paraId="19BC2A2A">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1、乙方应保证保密义务人对甲方工作秘密严格保守，保证甲方工作秘密不被披露或使用，无论保密义务人有无过错，无论意外或过失。即使这些信息甚至可能是全部地由保密义务人本人因工作而构思或取得的。</w:t>
      </w:r>
    </w:p>
    <w:p w14:paraId="41776EC0">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在服务关系存续期间，乙方保证保密义务人未经授权，不得以竞争为目的、或出于私利、或为第三人谋利、或为故意加害于甲方，擅自披露、使用工作秘密、制造再现工作秘密的器材、取走与工作秘密有关的物件；不得刺探与本职工作或本身业务无关的工作秘密；不得直接或间接地向乙方内部、外部的无关人员泄露；不得向不承担保密义务的任何第三人披露甲方的工作秘密；不得允许(出借、赠</w:t>
      </w:r>
      <w:r>
        <w:rPr>
          <w:rFonts w:hint="default" w:ascii="Times New Roman" w:hAnsi="Times New Roman" w:cs="Times New Roman"/>
          <w:color w:val="auto"/>
          <w:sz w:val="21"/>
          <w:szCs w:val="21"/>
          <w:highlight w:val="none"/>
          <w:lang w:eastAsia="zh-CN"/>
        </w:rPr>
        <w:t>予</w:t>
      </w:r>
      <w:r>
        <w:rPr>
          <w:rFonts w:hint="default" w:ascii="Times New Roman" w:hAnsi="Times New Roman" w:cs="Times New Roman"/>
          <w:color w:val="auto"/>
          <w:sz w:val="21"/>
          <w:szCs w:val="21"/>
          <w:highlight w:val="none"/>
        </w:rPr>
        <w:t>、出租、转让等处分甲方工作秘密的行为皆属于“允许”)或协助不承担保密义务的任何第三人使用甲方的工作秘密；不得复制或公开包含甲方工作秘密的文件或文件副本；对因工作所保管、接触的有关甲方的文件应妥善对待，未经许可不得超出工作范围使用。</w:t>
      </w:r>
    </w:p>
    <w:p w14:paraId="2A472A4A">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3、如果发现工作秘密被泄露或者自己过失泄露工作秘密，乙方应当采取有效措施防止泄密进一步扩大，并及时向甲方报告。</w:t>
      </w:r>
    </w:p>
    <w:p w14:paraId="5CA7D088">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4、服务关系结束后，乙方应将与工作有关的技术资料、程序源代码等交还甲方。未经甲方书面授权，乙方永久不得擅自披露甲方的工作秘密。</w:t>
      </w:r>
    </w:p>
    <w:p w14:paraId="4D7DD56F">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5、乙方保证所有有机会接触到甲方保密信息的参与成员，受不低于本合同要求的保密协议要求，且协议的保密期限为长期，除非甲方书面明确信息为可公开的信息外。</w:t>
      </w:r>
    </w:p>
    <w:p w14:paraId="0686530A">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6、乙方人员是否在职、劳动合同是否履行完毕，均不影响其保密义务的承担。</w:t>
      </w:r>
    </w:p>
    <w:p w14:paraId="5D55B764">
      <w:pPr>
        <w:pStyle w:val="4"/>
        <w:spacing w:line="360" w:lineRule="auto"/>
        <w:ind w:firstLine="482"/>
        <w:jc w:val="both"/>
        <w:rPr>
          <w:rFonts w:hint="default" w:ascii="Times New Roman" w:hAnsi="Times New Roman" w:cs="Times New Roman"/>
          <w:color w:val="auto"/>
          <w:sz w:val="21"/>
          <w:szCs w:val="21"/>
          <w:highlight w:val="none"/>
        </w:rPr>
      </w:pPr>
      <w:r>
        <w:rPr>
          <w:rFonts w:hint="default" w:ascii="Times New Roman" w:hAnsi="Times New Roman" w:cs="Times New Roman"/>
          <w:b/>
          <w:color w:val="auto"/>
          <w:sz w:val="21"/>
          <w:szCs w:val="21"/>
          <w:highlight w:val="none"/>
        </w:rPr>
        <w:t>第四条</w:t>
      </w:r>
      <w:r>
        <w:rPr>
          <w:rFonts w:hint="default" w:ascii="Times New Roman" w:hAnsi="Times New Roman" w:cs="Times New Roman"/>
          <w:color w:val="auto"/>
          <w:sz w:val="21"/>
          <w:szCs w:val="21"/>
          <w:highlight w:val="none"/>
        </w:rPr>
        <w:t xml:space="preserve"> 保密义务的终止</w:t>
      </w:r>
    </w:p>
    <w:p w14:paraId="0B10F3ED">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1、甲方授权同意披露或使用工作秘密。</w:t>
      </w:r>
    </w:p>
    <w:p w14:paraId="79018CA3">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2、有关的信息、技术等已进入公共领域。</w:t>
      </w:r>
    </w:p>
    <w:p w14:paraId="770540CE">
      <w:pPr>
        <w:pStyle w:val="4"/>
        <w:spacing w:line="360" w:lineRule="auto"/>
        <w:ind w:firstLine="482"/>
        <w:jc w:val="both"/>
        <w:rPr>
          <w:rFonts w:hint="default" w:ascii="Times New Roman" w:hAnsi="Times New Roman" w:cs="Times New Roman"/>
          <w:color w:val="auto"/>
          <w:sz w:val="21"/>
          <w:szCs w:val="21"/>
          <w:highlight w:val="none"/>
        </w:rPr>
      </w:pPr>
      <w:r>
        <w:rPr>
          <w:rFonts w:hint="default" w:ascii="Times New Roman" w:hAnsi="Times New Roman" w:cs="Times New Roman"/>
          <w:b/>
          <w:color w:val="auto"/>
          <w:sz w:val="21"/>
          <w:szCs w:val="21"/>
          <w:highlight w:val="none"/>
        </w:rPr>
        <w:t>第五条</w:t>
      </w:r>
      <w:r>
        <w:rPr>
          <w:rFonts w:hint="default" w:ascii="Times New Roman" w:hAnsi="Times New Roman" w:cs="Times New Roman"/>
          <w:color w:val="auto"/>
          <w:sz w:val="21"/>
          <w:szCs w:val="21"/>
          <w:highlight w:val="none"/>
        </w:rPr>
        <w:t xml:space="preserve"> 违约责任</w:t>
      </w:r>
    </w:p>
    <w:p w14:paraId="1BC01327">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乙方违反本协议，应按主合同金额的</w:t>
      </w:r>
      <w:r>
        <w:rPr>
          <w:rFonts w:hint="default" w:ascii="Times New Roman" w:hAnsi="Times New Roman" w:cs="Times New Roman"/>
          <w:color w:val="auto"/>
          <w:sz w:val="21"/>
          <w:szCs w:val="21"/>
          <w:highlight w:val="none"/>
          <w:u w:val="single"/>
        </w:rPr>
        <w:t xml:space="preserve"> 30</w:t>
      </w:r>
      <w:r>
        <w:rPr>
          <w:rFonts w:hint="default" w:ascii="Times New Roman" w:hAnsi="Times New Roman" w:cs="Times New Roman"/>
          <w:color w:val="auto"/>
          <w:sz w:val="21"/>
          <w:szCs w:val="21"/>
          <w:highlight w:val="none"/>
        </w:rPr>
        <w:t>%向甲方支付违约金；违约金不足以弥补甲方损失的，由乙方另行进行赔偿，甲方损失范围包括但不限于：甲方实际经济损失、律师费、调查费、采取补救措施所引起的所有费用和损失、乙方及其泄密对象因违约行为的获益等。</w:t>
      </w:r>
    </w:p>
    <w:p w14:paraId="6E76C3C9">
      <w:pPr>
        <w:pStyle w:val="4"/>
        <w:spacing w:line="360" w:lineRule="auto"/>
        <w:ind w:firstLine="482"/>
        <w:jc w:val="both"/>
        <w:rPr>
          <w:rFonts w:hint="default" w:ascii="Times New Roman" w:hAnsi="Times New Roman" w:cs="Times New Roman"/>
          <w:color w:val="auto"/>
          <w:sz w:val="21"/>
          <w:szCs w:val="21"/>
          <w:highlight w:val="none"/>
        </w:rPr>
      </w:pPr>
      <w:r>
        <w:rPr>
          <w:rFonts w:hint="default" w:ascii="Times New Roman" w:hAnsi="Times New Roman" w:cs="Times New Roman"/>
          <w:b/>
          <w:color w:val="auto"/>
          <w:sz w:val="21"/>
          <w:szCs w:val="21"/>
          <w:highlight w:val="none"/>
        </w:rPr>
        <w:t>第六条</w:t>
      </w:r>
      <w:r>
        <w:rPr>
          <w:rFonts w:hint="default" w:ascii="Times New Roman" w:hAnsi="Times New Roman" w:cs="Times New Roman"/>
          <w:color w:val="auto"/>
          <w:sz w:val="21"/>
          <w:szCs w:val="21"/>
          <w:highlight w:val="none"/>
        </w:rPr>
        <w:t xml:space="preserve"> 争议的解决方法</w:t>
      </w:r>
    </w:p>
    <w:p w14:paraId="51669E2E">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因执行本协议而发生纠纷的，可以由双方协商解决或共同委托双方信任的第三方调解。协商、调解不成，或者一方不愿意协商、调解的，按照主合同约定的争议处理方式处理。</w:t>
      </w:r>
    </w:p>
    <w:p w14:paraId="234469C8">
      <w:pPr>
        <w:pStyle w:val="4"/>
        <w:spacing w:line="360" w:lineRule="auto"/>
        <w:ind w:firstLine="482"/>
        <w:jc w:val="both"/>
        <w:rPr>
          <w:rFonts w:hint="default" w:ascii="Times New Roman" w:hAnsi="Times New Roman" w:cs="Times New Roman"/>
          <w:color w:val="auto"/>
          <w:sz w:val="21"/>
          <w:szCs w:val="21"/>
          <w:highlight w:val="none"/>
        </w:rPr>
      </w:pPr>
      <w:r>
        <w:rPr>
          <w:rFonts w:hint="default" w:ascii="Times New Roman" w:hAnsi="Times New Roman" w:cs="Times New Roman"/>
          <w:b/>
          <w:color w:val="auto"/>
          <w:sz w:val="21"/>
          <w:szCs w:val="21"/>
          <w:highlight w:val="none"/>
        </w:rPr>
        <w:t>第七条</w:t>
      </w:r>
      <w:r>
        <w:rPr>
          <w:rFonts w:hint="default" w:ascii="Times New Roman" w:hAnsi="Times New Roman" w:cs="Times New Roman"/>
          <w:color w:val="auto"/>
          <w:sz w:val="21"/>
          <w:szCs w:val="21"/>
          <w:highlight w:val="none"/>
        </w:rPr>
        <w:t xml:space="preserve"> 双方确认</w:t>
      </w:r>
    </w:p>
    <w:p w14:paraId="783B6444">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在签署本协议前，双方已经详细审阅了协议的内容，并完全了解协议各条款的法律含义。</w:t>
      </w:r>
    </w:p>
    <w:p w14:paraId="703CA1E4">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双方在本协议履行过程中相互发出或者提供的所有通知、文件、文书、资料等，均以本协议所列明的地址送达。一方如果迁址或者变更电话，应当及时通知对方，否则自行承担相应后果。</w:t>
      </w:r>
    </w:p>
    <w:p w14:paraId="46236617">
      <w:pPr>
        <w:pStyle w:val="4"/>
        <w:spacing w:line="360" w:lineRule="auto"/>
        <w:ind w:firstLine="482"/>
        <w:jc w:val="both"/>
        <w:rPr>
          <w:rFonts w:hint="default" w:ascii="Times New Roman" w:hAnsi="Times New Roman" w:cs="Times New Roman"/>
          <w:color w:val="auto"/>
          <w:sz w:val="21"/>
          <w:szCs w:val="21"/>
          <w:highlight w:val="none"/>
        </w:rPr>
      </w:pPr>
      <w:r>
        <w:rPr>
          <w:rFonts w:hint="default" w:ascii="Times New Roman" w:hAnsi="Times New Roman" w:cs="Times New Roman"/>
          <w:b/>
          <w:color w:val="auto"/>
          <w:sz w:val="21"/>
          <w:szCs w:val="21"/>
          <w:highlight w:val="none"/>
        </w:rPr>
        <w:t>第八条</w:t>
      </w:r>
      <w:r>
        <w:rPr>
          <w:rFonts w:hint="default" w:ascii="Times New Roman" w:hAnsi="Times New Roman" w:cs="Times New Roman"/>
          <w:color w:val="auto"/>
          <w:sz w:val="21"/>
          <w:szCs w:val="21"/>
          <w:highlight w:val="none"/>
        </w:rPr>
        <w:t xml:space="preserve"> 协议的效力和变更</w:t>
      </w:r>
    </w:p>
    <w:p w14:paraId="08B29741">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1、本协议自双方签字盖章后生效。</w:t>
      </w:r>
    </w:p>
    <w:p w14:paraId="4760FF35">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2、本协议的任何修改必须经过双方的书面同意。</w:t>
      </w:r>
    </w:p>
    <w:p w14:paraId="4DA6AFE8">
      <w:pPr>
        <w:pStyle w:val="4"/>
        <w:spacing w:line="360" w:lineRule="auto"/>
        <w:ind w:firstLine="480"/>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3、本协议为项目合同不可缺少之部分，与项目合同具有同等法律效力。</w:t>
      </w:r>
    </w:p>
    <w:p w14:paraId="5456DCC3">
      <w:pPr>
        <w:pStyle w:val="4"/>
        <w:ind w:right="-60" w:firstLine="480"/>
        <w:rPr>
          <w:rFonts w:hint="default" w:ascii="Times New Roman" w:hAnsi="Times New Roman" w:cs="Times New Roman"/>
          <w:color w:val="auto"/>
          <w:sz w:val="24"/>
          <w:highlight w:val="none"/>
        </w:rPr>
      </w:pPr>
    </w:p>
    <w:p w14:paraId="21AE35E3">
      <w:pPr>
        <w:pStyle w:val="4"/>
        <w:rPr>
          <w:color w:val="auto"/>
          <w:highlight w:val="none"/>
        </w:rPr>
      </w:pPr>
      <w:r>
        <w:rPr>
          <w:color w:val="auto"/>
          <w:highlight w:val="none"/>
        </w:rPr>
        <w:t xml:space="preserve">  </w:t>
      </w:r>
    </w:p>
    <w:p w14:paraId="2C93D889">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4A39F4"/>
    <w:multiLevelType w:val="multilevel"/>
    <w:tmpl w:val="0F4A39F4"/>
    <w:lvl w:ilvl="0" w:tentative="0">
      <w:start w:val="1"/>
      <w:numFmt w:val="japaneseCounting"/>
      <w:lvlText w:val="第%1条"/>
      <w:lvlJc w:val="left"/>
      <w:pPr>
        <w:ind w:left="1130" w:hanging="113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387E0A"/>
    <w:rsid w:val="4E387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autoRedefine/>
    <w:hidden/>
    <w:qFormat/>
    <w:uiPriority w:val="0"/>
    <w:rPr>
      <w:rFonts w:hint="eastAsia" w:asciiTheme="minorHAnsi" w:hAnsiTheme="minorHAnsi" w:eastAsiaTheme="minorEastAsia" w:cstheme="minorBidi"/>
      <w:lang w:val="en-US" w:eastAsia="zh-Hans" w:bidi="ar-SA"/>
    </w:rPr>
  </w:style>
  <w:style w:type="paragraph" w:styleId="5">
    <w:name w:val="List Paragraph"/>
    <w:basedOn w:val="1"/>
    <w:autoRedefine/>
    <w:unhideWhenUsed/>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2026-08-17T08:42:00Z</dcterms:created>
  <dc:creator>徐刚</dc:creator>
  <cp:lastModifiedBy>徐刚</cp:lastModifiedBy>
  <dcterms:modified xsi:type="dcterms:W3CDTF">2026-08-17T08:42:44Z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96CA566DBAC244BC9AE78F97DD7E5FDE_11</vt:lpwstr>
  </property>
  <property fmtid="{D5CDD505-2E9C-101B-9397-08002B2CF9AE}" pid="4" name="KSOTemplateDocerSaveRecord">
    <vt:lpwstr>eyJoZGlkIjoiYTliNmY2YjQ0YjU1Mjg0YmJmZDkzOTQ2MWFjMDJlZTYiLCJ1c2VySWQiOiIzMjQ1MTU5MDQifQ==</vt:lpwstr>
  </property>
</Properties>
</file>