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F032A">
      <w:pPr>
        <w:pStyle w:val="18"/>
        <w:numPr>
          <w:ilvl w:val="0"/>
          <w:numId w:val="0"/>
        </w:numPr>
        <w:spacing w:before="156" w:after="156"/>
        <w:jc w:val="center"/>
        <w:rPr>
          <w:rFonts w:hint="eastAsia"/>
          <w:color w:val="auto"/>
          <w:sz w:val="28"/>
          <w:szCs w:val="28"/>
          <w:highlight w:val="none"/>
        </w:rPr>
      </w:pPr>
      <w:r>
        <w:rPr>
          <w:rFonts w:hint="eastAsia"/>
          <w:color w:val="auto"/>
          <w:sz w:val="28"/>
          <w:szCs w:val="28"/>
          <w:highlight w:val="none"/>
        </w:rPr>
        <w:t>泸州市政府采购项目采购合同范本（</w:t>
      </w:r>
      <w:r>
        <w:rPr>
          <w:rFonts w:hint="eastAsia"/>
          <w:color w:val="auto"/>
          <w:sz w:val="28"/>
          <w:szCs w:val="28"/>
          <w:highlight w:val="none"/>
          <w:lang w:eastAsia="zh-CN"/>
        </w:rPr>
        <w:t>货物</w:t>
      </w:r>
      <w:r>
        <w:rPr>
          <w:rFonts w:hint="eastAsia"/>
          <w:color w:val="auto"/>
          <w:sz w:val="28"/>
          <w:szCs w:val="28"/>
          <w:highlight w:val="none"/>
        </w:rPr>
        <w:t>类）</w:t>
      </w:r>
    </w:p>
    <w:p w14:paraId="0DBE3732">
      <w:pPr>
        <w:spacing w:line="400" w:lineRule="exact"/>
        <w:ind w:left="-349" w:leftChars="-166" w:right="-300" w:rightChars="-143"/>
        <w:jc w:val="center"/>
        <w:outlineLvl w:val="0"/>
        <w:rPr>
          <w:rFonts w:hAnsi="宋体"/>
          <w:b/>
          <w:bCs/>
          <w:color w:val="auto"/>
          <w:sz w:val="28"/>
          <w:szCs w:val="28"/>
          <w:highlight w:val="none"/>
        </w:rPr>
      </w:pPr>
      <w:bookmarkStart w:id="0" w:name="_Toc6156"/>
      <w:bookmarkStart w:id="1" w:name="_Toc23693"/>
      <w:r>
        <w:rPr>
          <w:rFonts w:hint="eastAsia" w:hAnsi="宋体"/>
          <w:b/>
          <w:bCs/>
          <w:color w:val="auto"/>
          <w:sz w:val="28"/>
          <w:szCs w:val="28"/>
          <w:highlight w:val="none"/>
        </w:rPr>
        <w:t>（参考模板，根据项目实际情况进行调整）</w:t>
      </w:r>
      <w:bookmarkEnd w:id="0"/>
      <w:bookmarkEnd w:id="1"/>
    </w:p>
    <w:p w14:paraId="19F250FF">
      <w:pPr>
        <w:spacing w:line="360" w:lineRule="auto"/>
        <w:ind w:left="3988" w:leftChars="0" w:right="38" w:rightChars="18" w:hanging="3988" w:hangingChars="1662"/>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合同编号：（与项目编号一致，若有分包，则在后面加-1，-2……）</w:t>
      </w:r>
    </w:p>
    <w:p w14:paraId="068E8B79">
      <w:pPr>
        <w:spacing w:line="360" w:lineRule="auto"/>
        <w:ind w:left="4004" w:leftChars="0" w:right="38" w:rightChars="18" w:hanging="4004" w:hangingChars="1662"/>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甲  方：</w:t>
      </w:r>
      <w:r>
        <w:rPr>
          <w:rFonts w:hint="eastAsia" w:ascii="宋体" w:hAnsi="宋体" w:eastAsia="宋体" w:cs="宋体"/>
          <w:color w:val="auto"/>
          <w:sz w:val="24"/>
          <w:szCs w:val="24"/>
          <w:highlight w:val="none"/>
        </w:rPr>
        <w:t>（采购人）</w:t>
      </w:r>
    </w:p>
    <w:p w14:paraId="6FE446B6">
      <w:pPr>
        <w:spacing w:line="360" w:lineRule="auto"/>
        <w:ind w:left="4004" w:leftChars="0" w:right="38" w:rightChars="18" w:hanging="4004" w:hangingChars="1662"/>
        <w:outlineLvl w:val="0"/>
        <w:rPr>
          <w:rFonts w:hint="eastAsia" w:ascii="宋体" w:hAnsi="宋体" w:eastAsia="宋体" w:cs="宋体"/>
          <w:color w:val="auto"/>
          <w:sz w:val="24"/>
          <w:szCs w:val="24"/>
          <w:highlight w:val="none"/>
        </w:rPr>
      </w:pPr>
      <w:bookmarkStart w:id="2" w:name="_Toc11938"/>
      <w:bookmarkStart w:id="3" w:name="_Toc24223"/>
      <w:r>
        <w:rPr>
          <w:rFonts w:hint="eastAsia" w:ascii="宋体" w:hAnsi="宋体" w:eastAsia="宋体" w:cs="宋体"/>
          <w:b/>
          <w:color w:val="auto"/>
          <w:sz w:val="24"/>
          <w:szCs w:val="24"/>
          <w:highlight w:val="none"/>
        </w:rPr>
        <w:t>乙  方：</w:t>
      </w:r>
      <w:r>
        <w:rPr>
          <w:rFonts w:hint="eastAsia" w:ascii="宋体" w:hAnsi="宋体" w:eastAsia="宋体" w:cs="宋体"/>
          <w:color w:val="auto"/>
          <w:sz w:val="24"/>
          <w:szCs w:val="24"/>
          <w:highlight w:val="none"/>
        </w:rPr>
        <w:t>（中标/成交人）</w:t>
      </w:r>
      <w:bookmarkEnd w:id="2"/>
      <w:bookmarkEnd w:id="3"/>
    </w:p>
    <w:p w14:paraId="661AF647">
      <w:pPr>
        <w:spacing w:line="360" w:lineRule="auto"/>
        <w:ind w:left="4004" w:leftChars="0" w:right="38" w:rightChars="18" w:hanging="4004" w:hangingChars="166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见证方：</w:t>
      </w:r>
      <w:r>
        <w:rPr>
          <w:rFonts w:hint="eastAsia" w:ascii="宋体" w:hAnsi="宋体" w:eastAsia="宋体" w:cs="宋体"/>
          <w:b/>
          <w:bCs/>
          <w:color w:val="auto"/>
          <w:sz w:val="24"/>
          <w:szCs w:val="24"/>
          <w:highlight w:val="none"/>
          <w:u w:val="single"/>
          <w:lang w:val="en-US" w:eastAsia="zh-CN"/>
        </w:rPr>
        <w:t>XXXXXX</w:t>
      </w:r>
      <w:r>
        <w:rPr>
          <w:rFonts w:hint="eastAsia" w:ascii="宋体" w:hAnsi="宋体" w:eastAsia="宋体" w:cs="宋体"/>
          <w:color w:val="auto"/>
          <w:sz w:val="24"/>
          <w:szCs w:val="24"/>
          <w:highlight w:val="none"/>
        </w:rPr>
        <w:t>（代理机构名称）</w:t>
      </w:r>
    </w:p>
    <w:p w14:paraId="517606E7">
      <w:pPr>
        <w:pStyle w:val="6"/>
        <w:spacing w:line="360" w:lineRule="auto"/>
        <w:ind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甲方委托</w:t>
      </w:r>
      <w:r>
        <w:rPr>
          <w:rFonts w:hint="eastAsia" w:ascii="宋体" w:hAnsi="宋体" w:eastAsia="宋体" w:cs="宋体"/>
          <w:b/>
          <w:bCs/>
          <w:color w:val="auto"/>
          <w:sz w:val="24"/>
          <w:szCs w:val="24"/>
          <w:highlight w:val="none"/>
          <w:u w:val="single"/>
          <w:lang w:val="en-US" w:eastAsia="zh-CN"/>
        </w:rPr>
        <w:t>XXXXX</w:t>
      </w:r>
      <w:r>
        <w:rPr>
          <w:rFonts w:hint="eastAsia" w:ascii="宋体" w:hAnsi="宋体" w:eastAsia="宋体" w:cs="宋体"/>
          <w:color w:val="auto"/>
          <w:sz w:val="24"/>
          <w:szCs w:val="24"/>
          <w:highlight w:val="none"/>
          <w:u w:val="single"/>
        </w:rPr>
        <w:t>（代理机构名称）</w:t>
      </w:r>
      <w:r>
        <w:rPr>
          <w:rFonts w:hint="eastAsia" w:ascii="宋体" w:hAnsi="宋体" w:eastAsia="宋体" w:cs="宋体"/>
          <w:color w:val="auto"/>
          <w:sz w:val="24"/>
          <w:szCs w:val="24"/>
          <w:highlight w:val="none"/>
        </w:rPr>
        <w:t>，对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XX</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进行采购，于</w:t>
      </w:r>
      <w:r>
        <w:rPr>
          <w:rFonts w:hint="eastAsia" w:ascii="宋体" w:hAnsi="宋体" w:eastAsia="宋体" w:cs="宋体"/>
          <w:color w:val="auto"/>
          <w:sz w:val="24"/>
          <w:szCs w:val="24"/>
          <w:highlight w:val="none"/>
          <w:lang w:val="en-US" w:eastAsia="zh-CN"/>
        </w:rPr>
        <w:t>XX</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XX</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XX</w:t>
      </w:r>
      <w:r>
        <w:rPr>
          <w:rFonts w:hint="eastAsia" w:ascii="宋体" w:hAnsi="宋体" w:eastAsia="宋体" w:cs="宋体"/>
          <w:color w:val="auto"/>
          <w:sz w:val="24"/>
          <w:szCs w:val="24"/>
          <w:highlight w:val="none"/>
        </w:rPr>
        <w:t>日通过</w:t>
      </w:r>
      <w:r>
        <w:rPr>
          <w:rFonts w:hint="eastAsia" w:ascii="宋体" w:hAnsi="宋体" w:eastAsia="宋体" w:cs="宋体"/>
          <w:color w:val="auto"/>
          <w:sz w:val="24"/>
          <w:szCs w:val="24"/>
          <w:highlight w:val="none"/>
          <w:u w:val="single"/>
        </w:rPr>
        <w:t>（采购方式）</w:t>
      </w:r>
      <w:r>
        <w:rPr>
          <w:rFonts w:hint="eastAsia" w:ascii="宋体" w:hAnsi="宋体" w:eastAsia="宋体" w:cs="宋体"/>
          <w:color w:val="auto"/>
          <w:sz w:val="24"/>
          <w:szCs w:val="24"/>
          <w:highlight w:val="none"/>
        </w:rPr>
        <w:t>，确定乙方为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XX</w:t>
      </w:r>
      <w:r>
        <w:rPr>
          <w:rFonts w:hint="eastAsia" w:ascii="宋体" w:hAnsi="宋体" w:eastAsia="宋体" w:cs="宋体"/>
          <w:color w:val="auto"/>
          <w:sz w:val="24"/>
          <w:szCs w:val="24"/>
          <w:highlight w:val="none"/>
          <w:u w:val="single"/>
        </w:rPr>
        <w:t xml:space="preserve">（项目名称、包号） </w:t>
      </w:r>
      <w:r>
        <w:rPr>
          <w:rFonts w:hint="eastAsia" w:ascii="宋体" w:hAnsi="宋体" w:eastAsia="宋体" w:cs="宋体"/>
          <w:color w:val="auto"/>
          <w:sz w:val="24"/>
          <w:szCs w:val="24"/>
          <w:highlight w:val="none"/>
        </w:rPr>
        <w:t>中标/成交人。为了保护甲乙双方的合法权益,根据《中华人民共和国政府采购法》、《中华人民共和国</w:t>
      </w:r>
      <w:r>
        <w:rPr>
          <w:rFonts w:hint="eastAsia" w:ascii="宋体" w:hAnsi="宋体" w:eastAsia="宋体" w:cs="宋体"/>
          <w:color w:val="auto"/>
          <w:sz w:val="24"/>
          <w:szCs w:val="24"/>
          <w:highlight w:val="none"/>
          <w:lang w:val="en-US" w:eastAsia="zh-CN"/>
        </w:rPr>
        <w:t>民法典</w:t>
      </w:r>
      <w:r>
        <w:rPr>
          <w:rFonts w:hint="eastAsia" w:ascii="宋体" w:hAnsi="宋体" w:eastAsia="宋体" w:cs="宋体"/>
          <w:color w:val="auto"/>
          <w:sz w:val="24"/>
          <w:szCs w:val="24"/>
          <w:highlight w:val="none"/>
        </w:rPr>
        <w:t>》等相关法律、法规的规定，并严格遵循政府采购项目采购文件的相关规定,经甲乙双方协商一致，订立本合同。</w:t>
      </w:r>
    </w:p>
    <w:p w14:paraId="45701845">
      <w:pPr>
        <w:pStyle w:val="6"/>
        <w:spacing w:line="360" w:lineRule="auto"/>
        <w:ind w:left="-349" w:leftChars="-166" w:right="-300" w:rightChars="-143"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一、项目清单及合同金额</w:t>
      </w:r>
      <w:r>
        <w:rPr>
          <w:rFonts w:hint="eastAsia" w:ascii="宋体" w:hAnsi="宋体" w:eastAsia="宋体" w:cs="宋体"/>
          <w:color w:val="auto"/>
          <w:sz w:val="24"/>
          <w:szCs w:val="24"/>
          <w:highlight w:val="none"/>
        </w:rPr>
        <w:t>（详见报价表，附后）</w:t>
      </w:r>
    </w:p>
    <w:p w14:paraId="5CEABB22">
      <w:pPr>
        <w:spacing w:line="360" w:lineRule="auto"/>
        <w:ind w:left="-349" w:leftChars="-166" w:right="-300" w:rightChars="-143" w:firstLine="720" w:firstLineChars="300"/>
        <w:rPr>
          <w:rStyle w:val="19"/>
          <w:rFonts w:hint="eastAsia" w:ascii="宋体" w:hAnsi="宋体" w:eastAsia="宋体" w:cs="宋体"/>
          <w:color w:val="auto"/>
          <w:sz w:val="24"/>
          <w:szCs w:val="24"/>
          <w:highlight w:val="none"/>
        </w:rPr>
      </w:pPr>
      <w:r>
        <w:rPr>
          <w:rStyle w:val="19"/>
          <w:rFonts w:hint="eastAsia" w:ascii="宋体" w:hAnsi="宋体" w:eastAsia="宋体" w:cs="宋体"/>
          <w:color w:val="auto"/>
          <w:sz w:val="24"/>
          <w:szCs w:val="24"/>
          <w:highlight w:val="none"/>
        </w:rPr>
        <w:t>1. 项目编号：</w:t>
      </w:r>
      <w:bookmarkStart w:id="4" w:name="SOA_tenderid5"/>
      <w:r>
        <w:rPr>
          <w:rFonts w:hint="eastAsia" w:ascii="宋体" w:hAnsi="宋体" w:eastAsia="宋体" w:cs="宋体"/>
          <w:color w:val="auto"/>
          <w:sz w:val="24"/>
          <w:szCs w:val="24"/>
          <w:highlight w:val="none"/>
          <w:u w:val="single"/>
        </w:rPr>
        <w:t>项目编号</w:t>
      </w:r>
      <w:bookmarkEnd w:id="4"/>
      <w:r>
        <w:rPr>
          <w:rStyle w:val="19"/>
          <w:rFonts w:hint="eastAsia" w:ascii="宋体" w:hAnsi="宋体" w:eastAsia="宋体" w:cs="宋体"/>
          <w:color w:val="auto"/>
          <w:sz w:val="24"/>
          <w:szCs w:val="24"/>
          <w:highlight w:val="none"/>
        </w:rPr>
        <w:t xml:space="preserve">。      </w:t>
      </w:r>
    </w:p>
    <w:p w14:paraId="47167093">
      <w:pPr>
        <w:spacing w:line="360" w:lineRule="auto"/>
        <w:ind w:left="-349" w:leftChars="-166" w:right="-300" w:rightChars="-143" w:firstLine="720" w:firstLineChars="300"/>
        <w:rPr>
          <w:rStyle w:val="19"/>
          <w:rFonts w:hint="eastAsia" w:ascii="宋体" w:hAnsi="宋体" w:eastAsia="宋体" w:cs="宋体"/>
          <w:color w:val="auto"/>
          <w:sz w:val="24"/>
          <w:szCs w:val="24"/>
          <w:highlight w:val="none"/>
        </w:rPr>
      </w:pPr>
      <w:r>
        <w:rPr>
          <w:rStyle w:val="19"/>
          <w:rFonts w:hint="eastAsia" w:ascii="宋体" w:hAnsi="宋体" w:eastAsia="宋体" w:cs="宋体"/>
          <w:color w:val="auto"/>
          <w:sz w:val="24"/>
          <w:szCs w:val="24"/>
          <w:highlight w:val="none"/>
        </w:rPr>
        <w:t>2. 项目名称：</w:t>
      </w:r>
      <w:bookmarkStart w:id="5" w:name="SOA_tendername3"/>
      <w:r>
        <w:rPr>
          <w:rFonts w:hint="eastAsia" w:ascii="宋体" w:hAnsi="宋体" w:eastAsia="宋体" w:cs="宋体"/>
          <w:color w:val="auto"/>
          <w:sz w:val="24"/>
          <w:szCs w:val="24"/>
          <w:highlight w:val="none"/>
          <w:u w:val="single"/>
        </w:rPr>
        <w:t>项目名称</w:t>
      </w:r>
      <w:bookmarkEnd w:id="5"/>
      <w:r>
        <w:rPr>
          <w:rStyle w:val="19"/>
          <w:rFonts w:hint="eastAsia" w:ascii="宋体" w:hAnsi="宋体" w:eastAsia="宋体" w:cs="宋体"/>
          <w:color w:val="auto"/>
          <w:sz w:val="24"/>
          <w:szCs w:val="24"/>
          <w:highlight w:val="none"/>
        </w:rPr>
        <w:t>。</w:t>
      </w:r>
    </w:p>
    <w:p w14:paraId="009A2C4B">
      <w:pPr>
        <w:pStyle w:val="6"/>
        <w:spacing w:line="360" w:lineRule="auto"/>
        <w:ind w:left="-349" w:leftChars="-166" w:right="-300" w:rightChars="-143"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具体内容：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。(详见乙方报价表)</w:t>
      </w:r>
    </w:p>
    <w:p w14:paraId="491B16DA">
      <w:pPr>
        <w:pStyle w:val="6"/>
        <w:spacing w:line="360" w:lineRule="auto"/>
        <w:ind w:left="-349" w:leftChars="-166" w:right="-300" w:rightChars="-143"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合同金额：人民币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01E6149">
      <w:pPr>
        <w:pStyle w:val="6"/>
        <w:spacing w:line="360" w:lineRule="auto"/>
        <w:ind w:left="-349" w:leftChars="-166" w:right="-300" w:rightChars="-143"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二、付款方式及期限</w:t>
      </w:r>
    </w:p>
    <w:p w14:paraId="4615F97F">
      <w:pPr>
        <w:spacing w:line="360" w:lineRule="auto"/>
        <w:ind w:right="-300" w:rightChars="-143" w:firstLine="480" w:firstLineChars="200"/>
        <w:rPr>
          <w:rFonts w:hint="eastAsia" w:ascii="宋体" w:hAnsi="宋体" w:eastAsia="宋体" w:cs="宋体"/>
          <w:color w:val="auto"/>
          <w:sz w:val="24"/>
          <w:szCs w:val="24"/>
          <w:highlight w:val="none"/>
        </w:rPr>
      </w:pPr>
      <w:r>
        <w:rPr>
          <w:rStyle w:val="19"/>
          <w:rFonts w:hint="eastAsia" w:ascii="宋体" w:hAnsi="宋体" w:eastAsia="宋体" w:cs="宋体"/>
          <w:color w:val="auto"/>
          <w:sz w:val="24"/>
          <w:szCs w:val="24"/>
          <w:highlight w:val="none"/>
        </w:rPr>
        <w:t>1</w:t>
      </w:r>
      <w:r>
        <w:rPr>
          <w:rStyle w:val="19"/>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593F311">
      <w:pPr>
        <w:spacing w:line="360" w:lineRule="auto"/>
        <w:ind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乙方缴纳的履约保证金，在项目全部验收合格后，乙方凭《泸州市政府采购项目验收结算报告》到</w:t>
      </w:r>
      <w:r>
        <w:rPr>
          <w:rFonts w:hint="eastAsia" w:ascii="宋体" w:hAnsi="宋体" w:eastAsia="宋体" w:cs="宋体"/>
          <w:color w:val="auto"/>
          <w:sz w:val="24"/>
          <w:szCs w:val="24"/>
          <w:highlight w:val="none"/>
          <w:u w:val="single"/>
          <w:lang w:val="en-US" w:eastAsia="zh-CN"/>
        </w:rPr>
        <w:t>XXX</w:t>
      </w:r>
      <w:bookmarkStart w:id="6" w:name="_GoBack"/>
      <w:bookmarkEnd w:id="6"/>
      <w:r>
        <w:rPr>
          <w:rFonts w:hint="eastAsia" w:ascii="宋体" w:hAnsi="宋体" w:eastAsia="宋体" w:cs="宋体"/>
          <w:color w:val="auto"/>
          <w:sz w:val="24"/>
          <w:szCs w:val="24"/>
          <w:highlight w:val="none"/>
        </w:rPr>
        <w:t xml:space="preserve">退取履约保证金（银行转账）。  </w:t>
      </w:r>
    </w:p>
    <w:p w14:paraId="5E6EA727">
      <w:pPr>
        <w:pStyle w:val="6"/>
        <w:spacing w:line="360" w:lineRule="auto"/>
        <w:ind w:left="-349" w:leftChars="-166" w:right="38" w:rightChars="18"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三、交货时间、安装地点及交付方式</w:t>
      </w:r>
    </w:p>
    <w:p w14:paraId="1EBC0FF8">
      <w:pPr>
        <w:spacing w:line="360" w:lineRule="auto"/>
        <w:ind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交货时间：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30D9B42">
      <w:pPr>
        <w:spacing w:line="360" w:lineRule="auto"/>
        <w:ind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安装地点：</w:t>
      </w:r>
      <w:r>
        <w:rPr>
          <w:rFonts w:hint="eastAsia" w:ascii="宋体" w:hAnsi="宋体" w:eastAsia="宋体" w:cs="宋体"/>
          <w:color w:val="auto"/>
          <w:sz w:val="24"/>
          <w:szCs w:val="24"/>
          <w:highlight w:val="none"/>
          <w:u w:val="single"/>
        </w:rPr>
        <w:t>（采购文件约定地点）</w:t>
      </w:r>
      <w:r>
        <w:rPr>
          <w:rFonts w:hint="eastAsia" w:ascii="宋体" w:hAnsi="宋体" w:eastAsia="宋体" w:cs="宋体"/>
          <w:color w:val="auto"/>
          <w:sz w:val="24"/>
          <w:szCs w:val="24"/>
          <w:highlight w:val="none"/>
        </w:rPr>
        <w:t>。</w:t>
      </w:r>
    </w:p>
    <w:p w14:paraId="2CAFFF98">
      <w:pPr>
        <w:pStyle w:val="6"/>
        <w:spacing w:line="360" w:lineRule="auto"/>
        <w:ind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交付方式：免费送货上门，并安装、调试到能正常使用。（此条为一般条款，具体以政府采购计划规定为准）</w:t>
      </w:r>
    </w:p>
    <w:p w14:paraId="2C29E9AD">
      <w:pPr>
        <w:pStyle w:val="6"/>
        <w:spacing w:line="360" w:lineRule="auto"/>
        <w:ind w:left="-349" w:leftChars="-166" w:right="38" w:rightChars="18"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四、履约验收</w:t>
      </w:r>
    </w:p>
    <w:p w14:paraId="14CA2DD0">
      <w:pPr>
        <w:pStyle w:val="20"/>
        <w:spacing w:line="360" w:lineRule="auto"/>
        <w:ind w:right="38" w:rightChars="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甲方有权到乙方生产场地检查货物质量和生产进度，费用</w:t>
      </w:r>
      <w:r>
        <w:rPr>
          <w:rFonts w:hint="eastAsia" w:ascii="宋体" w:hAnsi="宋体" w:eastAsia="宋体" w:cs="宋体"/>
          <w:color w:val="auto"/>
          <w:sz w:val="24"/>
          <w:szCs w:val="24"/>
          <w:highlight w:val="none"/>
          <w:lang w:val="en-US" w:eastAsia="zh-CN"/>
        </w:rPr>
        <w:t>由</w:t>
      </w:r>
      <w:r>
        <w:rPr>
          <w:rFonts w:hint="eastAsia" w:ascii="宋体" w:hAnsi="宋体" w:eastAsia="宋体" w:cs="宋体"/>
          <w:color w:val="auto"/>
          <w:sz w:val="24"/>
          <w:szCs w:val="24"/>
          <w:highlight w:val="none"/>
        </w:rPr>
        <w:t>甲方自行负担。</w:t>
      </w:r>
    </w:p>
    <w:p w14:paraId="59A02DA7">
      <w:pPr>
        <w:pStyle w:val="20"/>
        <w:spacing w:line="360" w:lineRule="auto"/>
        <w:ind w:right="38" w:rightChars="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乙方提供的产品为最新生产的全新，权属清楚，不得侵害他人的知识产权。各项指标符合出产国检测标准和出厂标准，各项技术参数符合招标文件要求和乙方投标文件承诺。</w:t>
      </w:r>
    </w:p>
    <w:p w14:paraId="6E33EA6D">
      <w:pPr>
        <w:pStyle w:val="20"/>
        <w:spacing w:line="360" w:lineRule="auto"/>
        <w:ind w:right="38" w:rightChars="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乙方所交产品不符合规定或质量不合格的，由乙方负责在合同约定的交货时间内包换，并承担换货而支付的一切费用。乙方不能调换的，按不能交货处理。</w:t>
      </w:r>
    </w:p>
    <w:p w14:paraId="0D4D35AD">
      <w:pPr>
        <w:pStyle w:val="20"/>
        <w:spacing w:line="360" w:lineRule="auto"/>
        <w:ind w:right="38" w:rightChars="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应将所提供货物的装箱清单、配件、随机工具、用户使用手册、原厂保修卡等资料交付给甲方，提供的产品若为原装进口产品，应在验收时提供该产品属原装进口的相关凭据。乙方不能完整交付货物及本款规定的单证和工具的，必须负责在合同约定的交货时间内补齐，否则视为未按合同约定交货。</w:t>
      </w:r>
    </w:p>
    <w:p w14:paraId="382B120D">
      <w:pPr>
        <w:pStyle w:val="20"/>
        <w:spacing w:line="360" w:lineRule="auto"/>
        <w:ind w:right="38" w:rightChars="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甲方按国家相关标准和本招标文件的相关要求自行组织有关专业人员验收。</w:t>
      </w:r>
    </w:p>
    <w:p w14:paraId="38A24D76">
      <w:pPr>
        <w:pStyle w:val="20"/>
        <w:spacing w:line="360" w:lineRule="auto"/>
        <w:ind w:right="38" w:rightChars="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 验收标准：按国家有关规定以及甲方采购文件的质量要求和技术指标、乙方的投标文件及承诺与本合同约定标准进行验收；甲乙双方如对质量要求和技术指标的约定标准有相互抵触或异议的事项，由甲方在采购与投标文件中按质量要求和技术指标比较优胜的原则确定该项的约定标准进行验收；</w:t>
      </w:r>
    </w:p>
    <w:p w14:paraId="5794B991">
      <w:pPr>
        <w:pStyle w:val="20"/>
        <w:spacing w:line="360" w:lineRule="auto"/>
        <w:ind w:left="0" w:leftChars="0"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2FA241F3">
      <w:pPr>
        <w:pStyle w:val="20"/>
        <w:spacing w:line="360" w:lineRule="auto"/>
        <w:ind w:right="38" w:rightChars="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如质量验收合格，双方签署质量验收报告。</w:t>
      </w:r>
    </w:p>
    <w:p w14:paraId="3508EAA4">
      <w:pPr>
        <w:pStyle w:val="20"/>
        <w:spacing w:line="360" w:lineRule="auto"/>
        <w:ind w:right="38" w:rightChars="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甲方应自乙方履行完合同义务之日起10个工作日内组织验收，甲方无故逾期不进行验收工作的，视同验收合格。</w:t>
      </w:r>
    </w:p>
    <w:p w14:paraId="7111E6A8">
      <w:pPr>
        <w:pStyle w:val="6"/>
        <w:spacing w:line="360" w:lineRule="auto"/>
        <w:ind w:right="-300" w:rightChars="-143"/>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五、保修条款、售后服务</w:t>
      </w:r>
    </w:p>
    <w:p w14:paraId="65A7F4DE">
      <w:pPr>
        <w:pStyle w:val="6"/>
        <w:spacing w:line="360" w:lineRule="auto"/>
        <w:ind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乙方应严格遵守售后服务承诺，产品在使用中出现任何问题，甲方与乙方联系，乙方在接到故障电话后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时间）内到达现场提供现场服务。有关内容如下：</w:t>
      </w:r>
    </w:p>
    <w:p w14:paraId="4577A913">
      <w:pPr>
        <w:pStyle w:val="6"/>
        <w:spacing w:line="360" w:lineRule="auto"/>
        <w:ind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产品质保期为验收合格后年。乙方承诺在保修期内，若发生质量问题，将免费负责更换或维修（同一产品、同一质量问题连续两次维修仍无法正常使用的，乙方必须更换相同型号产品）。在保修期外，以最优惠的价格提供更换、维修。</w:t>
      </w:r>
    </w:p>
    <w:p w14:paraId="14A90FD7">
      <w:pPr>
        <w:pStyle w:val="6"/>
        <w:spacing w:line="360" w:lineRule="auto"/>
        <w:ind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提供完整的培训计划，为甲方培训1至2名系统维护、操作人员，直至能独立操作。</w:t>
      </w:r>
    </w:p>
    <w:p w14:paraId="78D4750F">
      <w:pPr>
        <w:pStyle w:val="6"/>
        <w:spacing w:line="360" w:lineRule="auto"/>
        <w:ind w:right="-300" w:rightChars="-143"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乙方在投标文件中的其它服务承诺：</w:t>
      </w:r>
    </w:p>
    <w:p w14:paraId="4EA43DFA">
      <w:pPr>
        <w:pStyle w:val="6"/>
        <w:spacing w:line="360" w:lineRule="auto"/>
        <w:ind w:left="-349" w:leftChars="-166" w:right="-300" w:rightChars="-143"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p w14:paraId="1F0D8124">
      <w:pPr>
        <w:pStyle w:val="6"/>
        <w:spacing w:line="360" w:lineRule="auto"/>
        <w:ind w:left="-349" w:leftChars="-166" w:right="-300" w:rightChars="-143"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（2）……（逐条填入）。</w:t>
      </w:r>
    </w:p>
    <w:p w14:paraId="634E8714">
      <w:pPr>
        <w:pStyle w:val="6"/>
        <w:spacing w:line="360" w:lineRule="auto"/>
        <w:ind w:left="-349" w:leftChars="-166" w:right="-300" w:rightChars="-143"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本条不适用于本项目，详见第十条</w:t>
      </w:r>
    </w:p>
    <w:p w14:paraId="7E7F8CEE">
      <w:pPr>
        <w:pStyle w:val="6"/>
        <w:spacing w:line="360" w:lineRule="auto"/>
        <w:ind w:right="-300" w:rightChars="-143"/>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六、相关权利及义务</w:t>
      </w:r>
    </w:p>
    <w:p w14:paraId="668CA604">
      <w:pPr>
        <w:pStyle w:val="6"/>
        <w:spacing w:line="360" w:lineRule="auto"/>
        <w:ind w:right="-300" w:rightChars="-143" w:firstLine="45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1. 甲方在验收时对不符合招标文件要求的产品有权拒绝接收和追究违约责任</w:t>
      </w:r>
      <w:r>
        <w:rPr>
          <w:rFonts w:hint="eastAsia" w:ascii="宋体" w:hAnsi="宋体" w:eastAsia="宋体" w:cs="宋体"/>
          <w:color w:val="auto"/>
          <w:sz w:val="24"/>
          <w:szCs w:val="24"/>
          <w:highlight w:val="none"/>
        </w:rPr>
        <w:t xml:space="preserve">。 </w:t>
      </w:r>
    </w:p>
    <w:p w14:paraId="48509C5A">
      <w:pPr>
        <w:pStyle w:val="6"/>
        <w:spacing w:line="360" w:lineRule="auto"/>
        <w:ind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见证方有权监督乙方的售后服务，并对乙方的售后服务不符合投标文件承诺内容时加以指出并督促甲方追究乙方责任。</w:t>
      </w:r>
    </w:p>
    <w:p w14:paraId="3EA3EFC0">
      <w:pPr>
        <w:pStyle w:val="6"/>
        <w:spacing w:line="360" w:lineRule="auto"/>
        <w:ind w:right="-300" w:rightChars="-143"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甲方在合同规定期限内履行付款责任。</w:t>
      </w:r>
    </w:p>
    <w:p w14:paraId="324B61A7">
      <w:pPr>
        <w:pStyle w:val="6"/>
        <w:spacing w:line="360" w:lineRule="auto"/>
        <w:ind w:right="-300" w:rightChars="-143"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甲方、见证方对乙方的技术及商业机密予以保密。</w:t>
      </w:r>
    </w:p>
    <w:p w14:paraId="066DBE9B">
      <w:pPr>
        <w:pStyle w:val="6"/>
        <w:spacing w:line="360" w:lineRule="auto"/>
        <w:ind w:right="-300" w:rightChars="-143"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甲方有义务并指派专人积极配合乙方进行交货及安装调试工作。</w:t>
      </w:r>
    </w:p>
    <w:p w14:paraId="6460A8B2">
      <w:pPr>
        <w:pStyle w:val="6"/>
        <w:spacing w:line="360" w:lineRule="auto"/>
        <w:ind w:left="-349" w:leftChars="-166" w:right="-300" w:rightChars="-143"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指派人员：                   电话：</w:t>
      </w:r>
    </w:p>
    <w:p w14:paraId="32354824">
      <w:pPr>
        <w:pStyle w:val="6"/>
        <w:spacing w:line="360" w:lineRule="auto"/>
        <w:ind w:right="-300" w:rightChars="-143"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乙方有权按照合同约定要求甲方及时支付相应合同款项。</w:t>
      </w:r>
    </w:p>
    <w:p w14:paraId="7B159AF1">
      <w:pPr>
        <w:pStyle w:val="6"/>
        <w:spacing w:line="360" w:lineRule="auto"/>
        <w:ind w:right="-300" w:rightChars="-143"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乙方有义务按投标文件中的售后服务承诺提供良好的服务。 </w:t>
      </w:r>
    </w:p>
    <w:p w14:paraId="6B363F56">
      <w:pPr>
        <w:pStyle w:val="6"/>
        <w:spacing w:line="360" w:lineRule="auto"/>
        <w:ind w:right="-300" w:rightChars="-143"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乙方须指派专人负责与甲方联系售后服务事宜。</w:t>
      </w:r>
    </w:p>
    <w:p w14:paraId="25319B01">
      <w:pPr>
        <w:pStyle w:val="6"/>
        <w:spacing w:line="360" w:lineRule="auto"/>
        <w:ind w:left="-349" w:leftChars="-166" w:right="-300" w:rightChars="-143"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指派人员：                   电话：</w:t>
      </w:r>
    </w:p>
    <w:p w14:paraId="5C4E8122">
      <w:pPr>
        <w:pStyle w:val="6"/>
        <w:spacing w:line="360" w:lineRule="auto"/>
        <w:ind w:right="-300" w:rightChars="-143"/>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七、违约责任</w:t>
      </w:r>
    </w:p>
    <w:p w14:paraId="67D0CC99">
      <w:pPr>
        <w:pStyle w:val="6"/>
        <w:spacing w:line="360" w:lineRule="auto"/>
        <w:ind w:right="38" w:rightChars="18"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均应遵守本合同，非因不可抗力而单方面终止执行合同的，将赔偿因违约给对方造成的经济损失，并向对方支付本合同总额10%的违约金，如因乙方原因造成的，不予退还履约保证金外，并由甲方提请项目同级财政部门将其列入不良行为记录。</w:t>
      </w:r>
    </w:p>
    <w:p w14:paraId="3F12F1F9">
      <w:pPr>
        <w:pStyle w:val="6"/>
        <w:spacing w:line="360" w:lineRule="auto"/>
        <w:ind w:right="38" w:rightChars="18"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若因乙方原因在合同规定期限内无法交货，甲方有权终止合同，并请示项目同级财政部门（采购科/股）取消其中标资格，不予退还履约保证金并由乙方向甲方支付10%的违约金，并按照泸州市供应商诚信管理规定进行记分；或经甲、乙双方协商同意继续履行合同，不予退还履约保证金，甲方视情况在延迟交货期内每天按合同总额3‰的标准收取违约金，并按照泸州市供应商诚信管理规定进行记分。因不可抗拒力所导致的交货及付款延迟等按照《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》有关条文及本合同第八条处理。</w:t>
      </w:r>
    </w:p>
    <w:p w14:paraId="3FE2C31C">
      <w:pPr>
        <w:pStyle w:val="6"/>
        <w:spacing w:line="360" w:lineRule="auto"/>
        <w:ind w:right="38" w:rightChars="18"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交付的货物质量不符合合同规定的，乙方应向甲方支付合同总价的5%的违约金，并须在合同规定的交货时间内更换合格的货物给甲方，否则，视作乙方不能交付货物而违约，按第七条第2款进行处理。甲方可将乙方货物交具有法定资格条件的质量技术监督机构检测，检测费用负担原则参照第九条第1款。</w:t>
      </w:r>
    </w:p>
    <w:p w14:paraId="79D8DA20">
      <w:pPr>
        <w:pStyle w:val="6"/>
        <w:spacing w:line="360" w:lineRule="auto"/>
        <w:ind w:right="38" w:rightChars="18"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10%向甲方支付违约金并赔偿因此给甲方造成的一切损失。</w:t>
      </w:r>
    </w:p>
    <w:p w14:paraId="215A0D72">
      <w:pPr>
        <w:pStyle w:val="6"/>
        <w:spacing w:line="360" w:lineRule="auto"/>
        <w:ind w:right="38" w:rightChars="18"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乙方应严格遵守服务承诺，如有违约，将赔偿因服务违约给甲方造成的经济损失。若因乙方未按承诺的响应及到场维修时间进行排除故障，甲方有权部分或全部扣除质量保证金；若甲方电话通知乙方，未按承诺时限到场维修，超过1天未解决问题的，甲方有权动用质量保证金进行故障处理，并凭票扣除质量保证金，追究服务违约的相关责任，并按照泸州市供应商诚信管理规定进行记分。</w:t>
      </w:r>
    </w:p>
    <w:p w14:paraId="1F049B09">
      <w:pPr>
        <w:pStyle w:val="6"/>
        <w:spacing w:line="360" w:lineRule="auto"/>
        <w:ind w:right="38" w:rightChars="18"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7．验收合格后，甲方应在合同约定的付款期限内及时支付合同款项，如因甲方原因造成付款延误的，乙方视情况在延迟付款期内每天按合同总额3‰的标准收取违约金。</w:t>
      </w:r>
    </w:p>
    <w:p w14:paraId="19157B5F">
      <w:pPr>
        <w:pStyle w:val="6"/>
        <w:spacing w:line="360" w:lineRule="auto"/>
        <w:ind w:left="-349" w:leftChars="-166" w:right="-300" w:rightChars="-143"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八、不可抗力</w:t>
      </w:r>
    </w:p>
    <w:p w14:paraId="588BC1C5">
      <w:pPr>
        <w:pStyle w:val="6"/>
        <w:spacing w:line="360" w:lineRule="auto"/>
        <w:ind w:right="38" w:rightChars="18"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由于不可抗力的原因不能履行合同时，应及时向乙方和见证方、项目同级财政部门通报不能履行或不能完全履行的理由；乙方由于不可抗力的原因不能履行合同时，应在交货时间到期以前及时向甲方和见证方、项目同级财政部门通报不能履行或不能完全履行的理由；在取得有关主管机关证明以后，可以签订延期履行、部分履行补充合同或者不履行合同，并根据情况可部分或全部免予承担违约责任。</w:t>
      </w:r>
    </w:p>
    <w:p w14:paraId="58D6EF7C">
      <w:pPr>
        <w:pStyle w:val="6"/>
        <w:spacing w:line="360" w:lineRule="auto"/>
        <w:ind w:left="0" w:leftChars="0" w:right="38" w:rightChars="18"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九、争议</w:t>
      </w:r>
    </w:p>
    <w:p w14:paraId="3439D69E">
      <w:pPr>
        <w:pStyle w:val="20"/>
        <w:spacing w:line="360" w:lineRule="auto"/>
        <w:ind w:left="-10" w:leftChars="-5" w:right="38" w:rightChars="18" w:firstLine="158" w:firstLineChars="6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因货物的质量问题发生争议，由具有法定资格条件的质量技术监督机构进行质量鉴定。货物符合标准的，鉴定费由甲方承担；货物不符合质量标准的，鉴定费由乙方承担。</w:t>
      </w:r>
    </w:p>
    <w:p w14:paraId="2FA21E6B">
      <w:pPr>
        <w:pStyle w:val="6"/>
        <w:spacing w:line="360" w:lineRule="auto"/>
        <w:ind w:left="-10" w:leftChars="-5" w:right="38" w:rightChars="18" w:firstLine="158" w:firstLineChars="6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合同履行期间,若双方发生争议，双方本着友好合作的态度，对合同履行过程中发生的违约行为进行及时的协商解决或由有关部门调解解决，如不能协商解决可向合同签约地法院通过法律诉讼解决。</w:t>
      </w:r>
    </w:p>
    <w:p w14:paraId="3602AFB3">
      <w:pPr>
        <w:pStyle w:val="6"/>
        <w:spacing w:line="360" w:lineRule="auto"/>
        <w:ind w:left="-10" w:leftChars="-5" w:right="38" w:rightChars="18" w:firstLine="159" w:firstLineChars="6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十、合同标的减少与追加处理</w:t>
      </w:r>
    </w:p>
    <w:p w14:paraId="0BB717FE">
      <w:pPr>
        <w:spacing w:line="360" w:lineRule="auto"/>
        <w:ind w:left="-10" w:leftChars="-5" w:right="38" w:rightChars="18" w:firstLine="158" w:firstLineChars="6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1.如因在合同履行过程中有变更，存在减少有关产品数量情况，经甲乙双方书面确认，报项目同级财政部门（采购科/股）审核同意后，按乙方中标时的固定单价对总价进行调减，并按有关规定签订补充合同。</w:t>
      </w:r>
    </w:p>
    <w:p w14:paraId="3CFB310F">
      <w:pPr>
        <w:spacing w:line="360" w:lineRule="auto"/>
        <w:ind w:left="-10" w:leftChars="-5" w:right="38" w:rightChars="18" w:firstLine="158" w:firstLineChars="6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因在合同履行过程中，需追加与本合同标的相同的货物或者服务的总价不得超过本合同金额的10%，在不改变合同条款的前提下，经甲乙双方书面确认，报项目同级财政部门（采购科/股）审核同意后，按乙方中标时的固定单价对总价进行调增，并按有关规定签订补充合同。</w:t>
      </w:r>
    </w:p>
    <w:p w14:paraId="568BAF52">
      <w:pPr>
        <w:spacing w:line="360" w:lineRule="auto"/>
        <w:ind w:left="-10" w:leftChars="-5" w:right="38" w:rightChars="18" w:firstLine="158" w:firstLineChars="6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3．如因在合同履行过程中有变更，甲、乙双方其中一方不同意进行变更的，经双方协商无法达成一致，导致合同无法继续履行的，视为提出变更方违约。</w:t>
      </w:r>
    </w:p>
    <w:p w14:paraId="712610FA">
      <w:pPr>
        <w:pStyle w:val="6"/>
        <w:spacing w:line="360" w:lineRule="auto"/>
        <w:ind w:left="-10" w:leftChars="-5" w:right="38" w:rightChars="18" w:firstLine="1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十一、其它事项</w:t>
      </w:r>
    </w:p>
    <w:p w14:paraId="19A97CA4">
      <w:pPr>
        <w:spacing w:line="360" w:lineRule="auto"/>
        <w:ind w:left="-10" w:leftChars="-5" w:right="38" w:rightChars="18" w:firstLine="1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甲、乙双方约定其他事项：</w:t>
      </w:r>
    </w:p>
    <w:p w14:paraId="2063FE11">
      <w:pPr>
        <w:spacing w:line="360" w:lineRule="auto"/>
        <w:ind w:left="-10" w:leftChars="-5" w:right="38" w:rightChars="18" w:firstLine="1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p w14:paraId="6D92DD0B">
      <w:pPr>
        <w:spacing w:line="360" w:lineRule="auto"/>
        <w:ind w:left="-10" w:leftChars="-5" w:right="38" w:rightChars="18" w:firstLine="1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p w14:paraId="3C40F837">
      <w:pPr>
        <w:spacing w:line="360" w:lineRule="auto"/>
        <w:ind w:left="-10" w:leftChars="-5" w:right="38" w:rightChars="18" w:firstLine="1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本合同一式四份，甲方、乙方、见证方各执一份，项目同级财政部门（采购科/股）执一份。</w:t>
      </w:r>
    </w:p>
    <w:p w14:paraId="7D33FBED">
      <w:pPr>
        <w:pStyle w:val="6"/>
        <w:spacing w:line="360" w:lineRule="auto"/>
        <w:ind w:left="-10" w:leftChars="-5" w:right="38" w:rightChars="18" w:firstLine="1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本合同自签订之日起生效。</w:t>
      </w:r>
    </w:p>
    <w:p w14:paraId="75A38A0A">
      <w:pPr>
        <w:pStyle w:val="6"/>
        <w:spacing w:line="360" w:lineRule="auto"/>
        <w:ind w:left="-10" w:leftChars="-5" w:right="38" w:rightChars="18" w:firstLine="1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本项目的采购文件、投标文件等是本合同的附件，与合同具有同等的法律效力。</w:t>
      </w:r>
    </w:p>
    <w:p w14:paraId="194A8252">
      <w:pPr>
        <w:pStyle w:val="6"/>
        <w:spacing w:line="360" w:lineRule="auto"/>
        <w:ind w:left="-10" w:leftChars="-5" w:right="38" w:rightChars="18" w:firstLine="1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其它未尽事宜，由双方友好协商解决，并参照《中华人民共和国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》有关条款执行</w:t>
      </w:r>
    </w:p>
    <w:p w14:paraId="6D27C7A9">
      <w:pPr>
        <w:spacing w:line="360" w:lineRule="auto"/>
        <w:ind w:left="-10" w:leftChars="-5" w:right="38" w:rightChars="18" w:firstLine="10" w:firstLineChars="0"/>
        <w:rPr>
          <w:rFonts w:hint="eastAsia" w:ascii="宋体" w:hAnsi="宋体" w:eastAsia="宋体" w:cs="宋体"/>
          <w:b/>
          <w:color w:val="auto"/>
          <w:sz w:val="24"/>
          <w:szCs w:val="24"/>
          <w:highlight w:val="none"/>
        </w:rPr>
      </w:pPr>
    </w:p>
    <w:p w14:paraId="1D0C7825">
      <w:pPr>
        <w:spacing w:line="360" w:lineRule="auto"/>
        <w:ind w:left="-10" w:leftChars="-5" w:right="38" w:rightChars="18" w:firstLine="10" w:firstLineChars="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附</w:t>
      </w:r>
      <w:r>
        <w:rPr>
          <w:rFonts w:hint="eastAsia" w:ascii="宋体" w:hAnsi="宋体" w:eastAsia="宋体" w:cs="宋体"/>
          <w:color w:val="auto"/>
          <w:sz w:val="24"/>
          <w:szCs w:val="24"/>
          <w:highlight w:val="none"/>
        </w:rPr>
        <w:t>：乙方报价表。</w:t>
      </w:r>
    </w:p>
    <w:p w14:paraId="6A5D3BD2">
      <w:pPr>
        <w:pStyle w:val="6"/>
        <w:spacing w:line="276" w:lineRule="auto"/>
        <w:ind w:left="-10" w:leftChars="-5" w:right="38" w:rightChars="18" w:firstLine="10" w:firstLineChars="0"/>
        <w:rPr>
          <w:rFonts w:hAnsi="宋体" w:cs="宋体"/>
          <w:b w:val="0"/>
          <w:bCs/>
          <w:color w:val="auto"/>
          <w:sz w:val="24"/>
          <w:szCs w:val="24"/>
          <w:highlight w:val="none"/>
        </w:rPr>
      </w:pPr>
    </w:p>
    <w:p w14:paraId="48E33F92">
      <w:pPr>
        <w:pStyle w:val="6"/>
        <w:spacing w:line="360" w:lineRule="auto"/>
        <w:ind w:left="-10" w:leftChars="-5" w:right="38" w:rightChars="18" w:firstLine="10" w:firstLineChars="0"/>
        <w:rPr>
          <w:rFonts w:hAnsi="宋体" w:cs="宋体"/>
          <w:color w:val="auto"/>
          <w:sz w:val="24"/>
          <w:szCs w:val="24"/>
          <w:highlight w:val="none"/>
        </w:rPr>
      </w:pPr>
      <w:r>
        <w:rPr>
          <w:rFonts w:hAnsi="宋体" w:cs="宋体"/>
          <w:b w:val="0"/>
          <w:bCs/>
          <w:color w:val="auto"/>
          <w:sz w:val="24"/>
          <w:szCs w:val="24"/>
          <w:highlight w:val="none"/>
        </w:rPr>
        <w:t>甲</w:t>
      </w:r>
      <w:r>
        <w:rPr>
          <w:rFonts w:hAnsi="宋体" w:cs="宋体"/>
          <w:color w:val="auto"/>
          <w:sz w:val="24"/>
          <w:szCs w:val="24"/>
          <w:highlight w:val="none"/>
        </w:rPr>
        <w:t xml:space="preserve">方（印章）：                      乙方（印章）：    </w:t>
      </w:r>
    </w:p>
    <w:p w14:paraId="1E1EE3DA">
      <w:pPr>
        <w:pStyle w:val="6"/>
        <w:spacing w:line="360" w:lineRule="auto"/>
        <w:ind w:left="-10" w:leftChars="-5" w:right="38" w:rightChars="18" w:firstLine="10" w:firstLineChars="0"/>
        <w:rPr>
          <w:rFonts w:hAnsi="宋体" w:cs="宋体"/>
          <w:color w:val="auto"/>
          <w:sz w:val="24"/>
          <w:szCs w:val="24"/>
          <w:highlight w:val="none"/>
        </w:rPr>
      </w:pPr>
      <w:r>
        <w:rPr>
          <w:rFonts w:hAnsi="宋体" w:cs="宋体"/>
          <w:color w:val="auto"/>
          <w:sz w:val="24"/>
          <w:szCs w:val="24"/>
          <w:highlight w:val="none"/>
        </w:rPr>
        <w:t>甲方代表签字:                       乙方代表签字：</w:t>
      </w:r>
    </w:p>
    <w:p w14:paraId="68196800">
      <w:pPr>
        <w:pStyle w:val="6"/>
        <w:spacing w:line="360" w:lineRule="auto"/>
        <w:ind w:left="-10" w:leftChars="-5" w:right="38" w:rightChars="18" w:firstLine="10" w:firstLineChars="0"/>
        <w:rPr>
          <w:rFonts w:hAnsi="宋体" w:cs="宋体"/>
          <w:color w:val="auto"/>
          <w:sz w:val="24"/>
          <w:szCs w:val="24"/>
          <w:highlight w:val="none"/>
        </w:rPr>
      </w:pPr>
      <w:r>
        <w:rPr>
          <w:rFonts w:hAnsi="宋体" w:cs="宋体"/>
          <w:color w:val="auto"/>
          <w:sz w:val="24"/>
          <w:szCs w:val="24"/>
          <w:highlight w:val="none"/>
        </w:rPr>
        <w:t>地址：                              地址：</w:t>
      </w:r>
    </w:p>
    <w:p w14:paraId="0758EF69">
      <w:pPr>
        <w:pStyle w:val="6"/>
        <w:spacing w:line="360" w:lineRule="auto"/>
        <w:ind w:left="-10" w:leftChars="-5" w:right="38" w:rightChars="18" w:firstLine="10" w:firstLineChars="0"/>
        <w:rPr>
          <w:rFonts w:hAnsi="宋体" w:cs="宋体"/>
          <w:color w:val="auto"/>
          <w:sz w:val="24"/>
          <w:szCs w:val="24"/>
          <w:highlight w:val="none"/>
        </w:rPr>
      </w:pPr>
      <w:r>
        <w:rPr>
          <w:rFonts w:hAnsi="宋体" w:cs="宋体"/>
          <w:color w:val="auto"/>
          <w:sz w:val="24"/>
          <w:szCs w:val="24"/>
          <w:highlight w:val="none"/>
        </w:rPr>
        <w:t xml:space="preserve">电话：                              电话：     </w:t>
      </w:r>
    </w:p>
    <w:p w14:paraId="74E2EE87">
      <w:pPr>
        <w:pStyle w:val="6"/>
        <w:spacing w:line="360" w:lineRule="auto"/>
        <w:ind w:left="-10" w:leftChars="-5" w:right="38" w:rightChars="18" w:firstLine="4322" w:firstLineChars="1801"/>
        <w:rPr>
          <w:rFonts w:hAnsi="宋体" w:cs="宋体"/>
          <w:color w:val="auto"/>
          <w:sz w:val="24"/>
          <w:szCs w:val="24"/>
          <w:highlight w:val="none"/>
        </w:rPr>
      </w:pPr>
      <w:r>
        <w:rPr>
          <w:rFonts w:hAnsi="宋体" w:cs="宋体"/>
          <w:color w:val="auto"/>
          <w:sz w:val="24"/>
          <w:szCs w:val="24"/>
          <w:highlight w:val="none"/>
        </w:rPr>
        <w:t>开户银行：</w:t>
      </w:r>
    </w:p>
    <w:p w14:paraId="120BD4B8">
      <w:pPr>
        <w:pStyle w:val="6"/>
        <w:spacing w:line="360" w:lineRule="auto"/>
        <w:ind w:right="38" w:rightChars="18" w:firstLine="4320" w:firstLineChars="1800"/>
        <w:rPr>
          <w:rFonts w:hAnsi="宋体" w:cs="宋体"/>
          <w:color w:val="auto"/>
          <w:sz w:val="24"/>
          <w:szCs w:val="24"/>
          <w:highlight w:val="none"/>
        </w:rPr>
      </w:pPr>
      <w:r>
        <w:rPr>
          <w:rFonts w:hAnsi="宋体" w:cs="宋体"/>
          <w:color w:val="auto"/>
          <w:sz w:val="24"/>
          <w:szCs w:val="24"/>
          <w:highlight w:val="none"/>
        </w:rPr>
        <w:t>开户账号：</w:t>
      </w:r>
    </w:p>
    <w:p w14:paraId="2B2F2E8D">
      <w:pPr>
        <w:pStyle w:val="6"/>
        <w:spacing w:line="360" w:lineRule="auto"/>
        <w:ind w:left="-10" w:leftChars="-5" w:right="38" w:rightChars="18" w:firstLine="10" w:firstLineChars="0"/>
        <w:rPr>
          <w:rFonts w:hAnsi="宋体" w:cs="宋体"/>
          <w:color w:val="auto"/>
          <w:sz w:val="24"/>
          <w:szCs w:val="24"/>
          <w:highlight w:val="none"/>
        </w:rPr>
      </w:pPr>
    </w:p>
    <w:p w14:paraId="6CF86D20">
      <w:pPr>
        <w:pStyle w:val="6"/>
        <w:spacing w:line="360" w:lineRule="auto"/>
        <w:ind w:left="-10" w:leftChars="-5" w:right="38" w:rightChars="18" w:firstLine="10" w:firstLineChars="0"/>
        <w:rPr>
          <w:rFonts w:hAnsi="宋体" w:cs="宋体"/>
          <w:color w:val="auto"/>
          <w:sz w:val="24"/>
          <w:szCs w:val="24"/>
          <w:highlight w:val="none"/>
        </w:rPr>
      </w:pPr>
    </w:p>
    <w:p w14:paraId="15F02F39">
      <w:pPr>
        <w:pStyle w:val="6"/>
        <w:spacing w:line="360" w:lineRule="auto"/>
        <w:ind w:left="-10" w:leftChars="-5" w:right="38" w:rightChars="18" w:firstLine="10" w:firstLineChars="0"/>
        <w:rPr>
          <w:rFonts w:hAnsi="宋体" w:cs="宋体"/>
          <w:color w:val="auto"/>
          <w:sz w:val="24"/>
          <w:szCs w:val="24"/>
          <w:highlight w:val="none"/>
        </w:rPr>
      </w:pPr>
      <w:r>
        <w:rPr>
          <w:rFonts w:hAnsi="宋体" w:cs="宋体"/>
          <w:color w:val="auto"/>
          <w:sz w:val="24"/>
          <w:szCs w:val="24"/>
          <w:highlight w:val="none"/>
        </w:rPr>
        <w:t>见证方  （印章）：</w:t>
      </w:r>
    </w:p>
    <w:p w14:paraId="0868C2FA">
      <w:pPr>
        <w:pStyle w:val="6"/>
        <w:spacing w:line="360" w:lineRule="auto"/>
        <w:ind w:left="-10" w:leftChars="-5" w:right="38" w:rightChars="18" w:firstLine="10" w:firstLineChars="0"/>
        <w:rPr>
          <w:rFonts w:hAnsi="宋体" w:cs="宋体"/>
          <w:color w:val="auto"/>
          <w:sz w:val="24"/>
          <w:szCs w:val="24"/>
          <w:highlight w:val="none"/>
        </w:rPr>
      </w:pPr>
      <w:r>
        <w:rPr>
          <w:rFonts w:hAnsi="宋体" w:cs="宋体"/>
          <w:color w:val="auto"/>
          <w:sz w:val="24"/>
          <w:szCs w:val="24"/>
          <w:highlight w:val="none"/>
        </w:rPr>
        <w:t>见证方代表签字:</w:t>
      </w:r>
    </w:p>
    <w:p w14:paraId="02D10DDA">
      <w:pPr>
        <w:pStyle w:val="6"/>
        <w:spacing w:line="360" w:lineRule="auto"/>
        <w:ind w:left="-10" w:leftChars="-5" w:right="38" w:rightChars="18" w:firstLine="10" w:firstLineChars="0"/>
        <w:rPr>
          <w:rFonts w:hAnsi="宋体" w:cs="宋体"/>
          <w:color w:val="auto"/>
          <w:sz w:val="24"/>
          <w:szCs w:val="24"/>
          <w:highlight w:val="none"/>
        </w:rPr>
      </w:pPr>
      <w:r>
        <w:rPr>
          <w:rFonts w:hAnsi="宋体" w:cs="宋体"/>
          <w:color w:val="auto"/>
          <w:sz w:val="24"/>
          <w:szCs w:val="24"/>
          <w:highlight w:val="none"/>
        </w:rPr>
        <w:t xml:space="preserve">地址： </w:t>
      </w:r>
    </w:p>
    <w:p w14:paraId="31284000">
      <w:pPr>
        <w:pStyle w:val="6"/>
        <w:spacing w:line="360" w:lineRule="auto"/>
        <w:ind w:left="-10" w:leftChars="-5" w:right="38" w:rightChars="18" w:firstLine="10" w:firstLineChars="0"/>
        <w:rPr>
          <w:rFonts w:hint="eastAsia" w:hAnsi="宋体" w:cs="宋体"/>
          <w:color w:val="auto"/>
          <w:sz w:val="24"/>
          <w:szCs w:val="24"/>
          <w:highlight w:val="none"/>
          <w:lang w:val="en-US" w:eastAsia="zh-CN"/>
        </w:rPr>
      </w:pPr>
      <w:r>
        <w:rPr>
          <w:rFonts w:hAnsi="宋体" w:cs="宋体"/>
          <w:color w:val="auto"/>
          <w:sz w:val="24"/>
          <w:szCs w:val="24"/>
          <w:highlight w:val="none"/>
        </w:rPr>
        <w:t xml:space="preserve">电话：   </w:t>
      </w:r>
      <w:r>
        <w:rPr>
          <w:rFonts w:hint="eastAsia" w:hAnsi="宋体" w:cs="宋体"/>
          <w:color w:val="auto"/>
          <w:sz w:val="24"/>
          <w:szCs w:val="24"/>
          <w:highlight w:val="none"/>
          <w:lang w:val="en-US" w:eastAsia="zh-CN"/>
        </w:rPr>
        <w:t xml:space="preserve">                                  </w:t>
      </w:r>
    </w:p>
    <w:p w14:paraId="7C24D9AB">
      <w:pPr>
        <w:spacing w:line="360" w:lineRule="auto"/>
      </w:pPr>
      <w:r>
        <w:rPr>
          <w:rFonts w:hAnsi="宋体" w:cs="宋体"/>
          <w:color w:val="auto"/>
          <w:sz w:val="24"/>
          <w:szCs w:val="24"/>
          <w:highlight w:val="none"/>
        </w:rPr>
        <w:t>日    期：    年   月   日</w:t>
      </w: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DF67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08C66">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E08C66">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779F9">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mZWM0MzVlY2VhOWQ0NWQ0MWNjNmZmNjhkZTY1MzE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E7155FD"/>
    <w:rsid w:val="2F3A4279"/>
    <w:rsid w:val="2FBD1B59"/>
    <w:rsid w:val="2FBF6131"/>
    <w:rsid w:val="2FBFBAB7"/>
    <w:rsid w:val="303A1F86"/>
    <w:rsid w:val="320C5700"/>
    <w:rsid w:val="324E11EB"/>
    <w:rsid w:val="3328F98F"/>
    <w:rsid w:val="347830EB"/>
    <w:rsid w:val="35DE0FA2"/>
    <w:rsid w:val="36EB00DD"/>
    <w:rsid w:val="37BBBCEC"/>
    <w:rsid w:val="3B7EB787"/>
    <w:rsid w:val="3BF5C9FB"/>
    <w:rsid w:val="3BFF37C5"/>
    <w:rsid w:val="3C263F3D"/>
    <w:rsid w:val="3CA13ED4"/>
    <w:rsid w:val="3CDE6365"/>
    <w:rsid w:val="3D7E8BC9"/>
    <w:rsid w:val="3D7FEA00"/>
    <w:rsid w:val="3DE870BB"/>
    <w:rsid w:val="3F7FA420"/>
    <w:rsid w:val="3FFE9F1D"/>
    <w:rsid w:val="45723FFF"/>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5FFD6DAB"/>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ascii="Calibri" w:hAnsi="Calibri"/>
      <w:szCs w:val="22"/>
    </w:rPr>
  </w:style>
  <w:style w:type="paragraph" w:styleId="4">
    <w:name w:val="annotation text"/>
    <w:basedOn w:val="1"/>
    <w:qFormat/>
    <w:uiPriority w:val="0"/>
    <w:pPr>
      <w:jc w:val="left"/>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6">
    <w:name w:val="列出段落1"/>
    <w:basedOn w:val="1"/>
    <w:qFormat/>
    <w:uiPriority w:val="0"/>
    <w:pPr>
      <w:ind w:firstLine="420" w:firstLineChars="200"/>
    </w:pPr>
    <w:rPr>
      <w:szCs w:val="21"/>
    </w:rPr>
  </w:style>
  <w:style w:type="paragraph" w:customStyle="1" w:styleId="17">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8">
    <w:name w:val="（符号）二标题总则"/>
    <w:basedOn w:val="1"/>
    <w:qFormat/>
    <w:uiPriority w:val="0"/>
    <w:pPr>
      <w:spacing w:before="156" w:beforeLines="50" w:after="156" w:afterLines="50" w:line="420" w:lineRule="exact"/>
      <w:jc w:val="center"/>
      <w:outlineLvl w:val="1"/>
    </w:pPr>
    <w:rPr>
      <w:rFonts w:ascii="黑体" w:hAnsi="Times New Roman" w:eastAsia="黑体" w:cs="宋体"/>
      <w:b/>
      <w:bCs/>
      <w:sz w:val="32"/>
      <w:szCs w:val="32"/>
    </w:rPr>
  </w:style>
  <w:style w:type="character" w:customStyle="1" w:styleId="19">
    <w:name w:val="样式 宋体 小四"/>
    <w:basedOn w:val="12"/>
    <w:qFormat/>
    <w:uiPriority w:val="0"/>
    <w:rPr>
      <w:sz w:val="24"/>
    </w:rPr>
  </w:style>
  <w:style w:type="paragraph" w:customStyle="1" w:styleId="20">
    <w:name w:val="样式 首行缩进:  2 字符"/>
    <w:basedOn w:val="1"/>
    <w:qFormat/>
    <w:uiPriority w:val="0"/>
    <w:pPr>
      <w:spacing w:line="400" w:lineRule="exact"/>
      <w:ind w:firstLine="200" w:firstLineChars="200"/>
    </w:pPr>
    <w:rPr>
      <w:rFonts w:ascii="宋体" w:hAnsi="Times New Roman" w:cs="宋体"/>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3469</Words>
  <Characters>3543</Characters>
  <Lines>64</Lines>
  <Paragraphs>18</Paragraphs>
  <TotalTime>0</TotalTime>
  <ScaleCrop>false</ScaleCrop>
  <LinksUpToDate>false</LinksUpToDate>
  <CharactersWithSpaces>3842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从小可火了</cp:lastModifiedBy>
  <cp:lastPrinted>2024-04-27T10:20:00Z</cp:lastPrinted>
  <dcterms:modified xsi:type="dcterms:W3CDTF">2025-10-28T06:14:55Z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94F9244021D84674BC4953CB389364A8_13</vt:lpwstr>
  </property>
  <property fmtid="{D5CDD505-2E9C-101B-9397-08002B2CF9AE}" pid="4" name="KSOTemplateDocerSaveRecord">
    <vt:lpwstr>eyJoZGlkIjoiMWVmZWM0MzVlY2VhOWQ0NWQ0MWNjNmZmNjhkZTY1MzEiLCJ1c2VySWQiOiI1MTc4NzIyNjYifQ==</vt:lpwstr>
  </property>
</Properties>
</file>