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版本号：N511402202600003520260312001</w:t>
      </w:r>
    </w:p>
    <w:p>
      <w:pPr>
        <w:pStyle w:val="null3"/>
        <w:jc w:val="left"/>
        <w:outlineLvl w:val="0"/>
      </w:pPr>
      <w:r>
        <w:rPr>
          <w:rFonts w:ascii="仿宋_GB2312" w:hAnsi="仿宋_GB2312" w:cs="仿宋_GB2312" w:eastAsia="仿宋_GB2312"/>
          <w:sz w:val="48"/>
          <w:b/>
        </w:rPr>
        <w:t>单一来源采购文件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增设轨道物流站点货物采购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N5114022026000035</w:t>
      </w:r>
    </w:p>
    <w:p>
      <w:pPr>
        <w:pStyle w:val="null3"/>
        <w:jc w:val="left"/>
        <w:outlineLvl w:val="2"/>
      </w:pPr>
      <w:r>
        <w:rPr>
          <w:rFonts w:ascii="仿宋_GB2312" w:hAnsi="仿宋_GB2312" w:cs="仿宋_GB2312" w:eastAsia="仿宋_GB2312"/>
          <w:sz w:val="28"/>
          <w:b/>
        </w:rPr>
        <w:t>眉山市中医医院</w:t>
      </w:r>
    </w:p>
    <w:p>
      <w:pPr>
        <w:pStyle w:val="null3"/>
        <w:jc w:val="center"/>
        <w:outlineLvl w:val="2"/>
      </w:pPr>
      <w:r>
        <w:rPr>
          <w:rFonts w:ascii="仿宋_GB2312" w:hAnsi="仿宋_GB2312" w:cs="仿宋_GB2312" w:eastAsia="仿宋_GB2312"/>
          <w:sz w:val="28"/>
          <w:b/>
        </w:rPr>
        <w:t>四川金瑞程工程管理咨询有限公司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ind w:firstLine="480"/>
        <w:jc w:val="left"/>
      </w:pPr>
      <w:r>
        <w:rPr>
          <w:rFonts w:ascii="仿宋_GB2312" w:hAnsi="仿宋_GB2312" w:cs="仿宋_GB2312" w:eastAsia="仿宋_GB2312"/>
        </w:rPr>
        <w:t>四川金瑞程工程管理咨询有限公司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眉山市中医医院</w:t>
      </w:r>
      <w:r>
        <w:rPr>
          <w:rFonts w:ascii="仿宋_GB2312" w:hAnsi="仿宋_GB2312" w:cs="仿宋_GB2312" w:eastAsia="仿宋_GB2312"/>
        </w:rPr>
        <w:t xml:space="preserve"> 委托，拟对 </w:t>
      </w:r>
      <w:r>
        <w:rPr>
          <w:rFonts w:ascii="仿宋_GB2312" w:hAnsi="仿宋_GB2312" w:cs="仿宋_GB2312" w:eastAsia="仿宋_GB2312"/>
        </w:rPr>
        <w:t>增设轨道物流站点货物采购</w:t>
      </w:r>
      <w:r>
        <w:rPr>
          <w:rFonts w:ascii="仿宋_GB2312" w:hAnsi="仿宋_GB2312" w:cs="仿宋_GB2312" w:eastAsia="仿宋_GB2312"/>
        </w:rPr>
        <w:t xml:space="preserve"> 采用单一来源采购方式进行采购，兹邀请你单位参加该项目的单一来源协商。本项目为四川省</w:t>
      </w:r>
      <w:r>
        <w:rPr>
          <w:rFonts w:ascii="仿宋_GB2312" w:hAnsi="仿宋_GB2312" w:cs="仿宋_GB2312" w:eastAsia="仿宋_GB2312"/>
        </w:rPr>
        <w:t>眉山市东坡区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N5114022026000035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增设轨道物流站点货物采购</w:t>
      </w:r>
    </w:p>
    <w:p>
      <w:pPr>
        <w:pStyle w:val="null3"/>
        <w:jc w:val="left"/>
        <w:outlineLvl w:val="2"/>
      </w:pPr>
      <w:r>
        <w:rPr>
          <w:rFonts w:ascii="仿宋_GB2312" w:hAnsi="仿宋_GB2312" w:cs="仿宋_GB2312" w:eastAsia="仿宋_GB2312"/>
          <w:sz w:val="28"/>
          <w:b/>
        </w:rPr>
        <w:t>1.3.协商项目简介</w:t>
      </w:r>
    </w:p>
    <w:p>
      <w:pPr>
        <w:pStyle w:val="null3"/>
        <w:ind w:firstLine="480"/>
        <w:jc w:val="left"/>
      </w:pPr>
      <w:r>
        <w:rPr>
          <w:rFonts w:ascii="仿宋_GB2312" w:hAnsi="仿宋_GB2312" w:cs="仿宋_GB2312" w:eastAsia="仿宋_GB2312"/>
        </w:rPr>
        <w:t>为方便我院岷东院区西药房药品配送到病区，需增设运输站点1个。</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以书面形式邀请唯一供应商参与单一来源协商。</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采购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1.7.单一来源采购文件获取时间、方式及地址：</w:t>
      </w:r>
    </w:p>
    <w:p>
      <w:pPr>
        <w:pStyle w:val="null3"/>
        <w:ind w:firstLine="480"/>
        <w:jc w:val="left"/>
      </w:pPr>
      <w:r>
        <w:rPr>
          <w:rFonts w:ascii="仿宋_GB2312" w:hAnsi="仿宋_GB2312" w:cs="仿宋_GB2312" w:eastAsia="仿宋_GB2312"/>
        </w:rPr>
        <w:t>一、单一来源采购文件获取时间：详见邀请书。</w:t>
      </w:r>
    </w:p>
    <w:p>
      <w:pPr>
        <w:pStyle w:val="null3"/>
        <w:ind w:firstLine="480"/>
        <w:jc w:val="left"/>
      </w:pPr>
      <w:r>
        <w:rPr>
          <w:rFonts w:ascii="仿宋_GB2312" w:hAnsi="仿宋_GB2312" w:cs="仿宋_GB2312" w:eastAsia="仿宋_GB2312"/>
        </w:rPr>
        <w:t>二、采购人或者代理机构应当在单一来源采购文件获取时间开始前，将本项目电子单一来源采购文件上传至交易系统，向供应商免费提供，供应商通过交易系统获取单一来源采购文件。供应商成功获取单一来源采购文件后，将收到已获取单一来源采购文件的回执单。未按规定获取单一来源采购文件的供应商，不得参与本次采购活动，不得对单一来源采购文件提起质疑。</w:t>
      </w:r>
    </w:p>
    <w:p>
      <w:pPr>
        <w:pStyle w:val="null3"/>
        <w:ind w:firstLine="480"/>
        <w:jc w:val="left"/>
      </w:pPr>
      <w:r>
        <w:rPr>
          <w:rFonts w:ascii="仿宋_GB2312" w:hAnsi="仿宋_GB2312" w:cs="仿宋_GB2312" w:eastAsia="仿宋_GB2312"/>
        </w:rPr>
        <w:t>注：获取的采购文件由正文和附件组成，正文部分包括pdf、word两种格式版本，如内容有不一致的，以pdf格式内容为准。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一、提交响应文件截止时间及开启时间：详见邀请书。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眉山市中医医院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眉山市东坡区岷东大道北段9号住院北楼11楼A区1106采购管理办公室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028-38280036</w:t>
      </w:r>
    </w:p>
    <w:p>
      <w:pPr>
        <w:pStyle w:val="null3"/>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四川金瑞程工程管理咨询有限公司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眉山市东坡区裴城路69号1幢1单元15层3号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18180020245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0"/>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0"/>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0"/>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采购包1：550,000.00元</w:t>
            </w:r>
          </w:p>
          <w:p>
            <w:pPr>
              <w:pStyle w:val="null3"/>
              <w:jc w:val="left"/>
            </w:pPr>
            <w:r>
              <w:rPr>
                <w:rFonts w:ascii="仿宋_GB2312" w:hAnsi="仿宋_GB2312" w:cs="仿宋_GB2312" w:eastAsia="仿宋_GB2312"/>
              </w:rPr>
              <w:t xml:space="preserve"> 供应商报价不得超过采购文件中规定的预算金额，采购人可以在采购预算内合理设定最高限价，供应商报价不得超过最高限价，最高限价详见第三章。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是否接受联合体★</w:t>
            </w:r>
          </w:p>
        </w:tc>
        <w:tc>
          <w:tcPr>
            <w:tcW w:type="dxa" w:w="0"/>
          </w:tcPr>
          <w:p>
            <w:pPr>
              <w:pStyle w:val="null3"/>
              <w:jc w:val="left"/>
            </w:pPr>
            <w:r>
              <w:rPr>
                <w:rFonts w:ascii="仿宋_GB2312" w:hAnsi="仿宋_GB2312" w:cs="仿宋_GB2312" w:eastAsia="仿宋_GB2312"/>
              </w:rPr>
              <w:t>本项目不接受联合体</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投标（响应）保证金★</w:t>
            </w:r>
          </w:p>
        </w:tc>
        <w:tc>
          <w:tcPr>
            <w:tcW w:type="dxa" w:w="0"/>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履约保证金★</w:t>
            </w:r>
          </w:p>
        </w:tc>
        <w:tc>
          <w:tcPr>
            <w:tcW w:type="dxa" w:w="0"/>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响应有效期★</w:t>
            </w:r>
          </w:p>
        </w:tc>
        <w:tc>
          <w:tcPr>
            <w:tcW w:type="dxa" w:w="0"/>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代理服务费★</w:t>
            </w:r>
          </w:p>
        </w:tc>
        <w:tc>
          <w:tcPr>
            <w:tcW w:type="dxa" w:w="0"/>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以最高限价为基数参照《招标代理服务收费管理暂行办法》（计价格[2002]1980号）附件《招标代理服务收费标准》有关规定标准收费下浮20%，若代理服务费用不足5000元的，按5000元收取。账户：四川金瑞程工程管理咨询有限公司 银行：中国银行股份有限公司眉山分行 账号: 128025410300</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采购结果公告</w:t>
            </w:r>
          </w:p>
        </w:tc>
        <w:tc>
          <w:tcPr>
            <w:tcW w:type="dxa" w:w="0"/>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是否组织潜在供应商现场考察</w:t>
            </w:r>
          </w:p>
        </w:tc>
        <w:tc>
          <w:tcPr>
            <w:tcW w:type="dxa" w:w="0"/>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是否召开采购前答疑会</w:t>
            </w:r>
          </w:p>
        </w:tc>
        <w:tc>
          <w:tcPr>
            <w:tcW w:type="dxa" w:w="0"/>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特殊情况</w:t>
            </w:r>
          </w:p>
        </w:tc>
        <w:tc>
          <w:tcPr>
            <w:tcW w:type="dxa" w:w="0"/>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协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报价/分值精确度</w:t>
            </w:r>
          </w:p>
        </w:tc>
        <w:tc>
          <w:tcPr>
            <w:tcW w:type="dxa" w:w="0"/>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实质性要求</w:t>
            </w:r>
          </w:p>
        </w:tc>
        <w:tc>
          <w:tcPr>
            <w:tcW w:type="dxa" w:w="0"/>
          </w:tcPr>
          <w:p>
            <w:pPr>
              <w:pStyle w:val="null3"/>
              <w:jc w:val="left"/>
            </w:pPr>
            <w:r>
              <w:rPr>
                <w:rFonts w:ascii="仿宋_GB2312" w:hAnsi="仿宋_GB2312" w:cs="仿宋_GB2312" w:eastAsia="仿宋_GB2312"/>
              </w:rPr>
              <w:t>本采购文件中“★”要求为实质性要求。供应商应当按照第五章评审程序中的符合性审查规定，在响应文件中进行实质性响应，否则作无效响应处理。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其他说明</w:t>
            </w:r>
          </w:p>
        </w:tc>
        <w:tc>
          <w:tcPr>
            <w:tcW w:type="dxa" w:w="0"/>
          </w:tcPr>
          <w:p>
            <w:pPr>
              <w:pStyle w:val="null3"/>
              <w:jc w:val="left"/>
            </w:pPr>
            <w:r>
              <w:rPr>
                <w:rFonts w:ascii="仿宋_GB2312" w:hAnsi="仿宋_GB2312" w:cs="仿宋_GB2312" w:eastAsia="仿宋_GB2312"/>
              </w:rPr>
              <w:t>本采购文件所称的“以上”、“以下”、“内”、“以内”、“不少于”包括本数；所称的“不足”、“低于”、“超过”不包括本数。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一、本采购文件仅适用于本次单一来源采购项目。</w:t>
      </w:r>
    </w:p>
    <w:p>
      <w:pPr>
        <w:pStyle w:val="null3"/>
        <w:ind w:firstLine="480"/>
        <w:jc w:val="left"/>
      </w:pPr>
      <w:r>
        <w:rPr>
          <w:rFonts w:ascii="仿宋_GB2312" w:hAnsi="仿宋_GB2312" w:cs="仿宋_GB2312" w:eastAsia="仿宋_GB2312"/>
        </w:rPr>
        <w:t xml:space="preserve">二、本采购文件由 </w:t>
      </w:r>
      <w:r>
        <w:rPr>
          <w:rFonts w:ascii="仿宋_GB2312" w:hAnsi="仿宋_GB2312" w:cs="仿宋_GB2312" w:eastAsia="仿宋_GB2312"/>
        </w:rPr>
        <w:t>眉山市中医医院</w:t>
      </w:r>
      <w:r>
        <w:rPr>
          <w:rFonts w:ascii="仿宋_GB2312" w:hAnsi="仿宋_GB2312" w:cs="仿宋_GB2312" w:eastAsia="仿宋_GB2312"/>
        </w:rPr>
        <w:t xml:space="preserve"> 和 </w:t>
      </w:r>
      <w:r>
        <w:rPr>
          <w:rFonts w:ascii="仿宋_GB2312" w:hAnsi="仿宋_GB2312" w:cs="仿宋_GB2312" w:eastAsia="仿宋_GB2312"/>
        </w:rPr>
        <w:t>四川金瑞程工程管理咨询有限公司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一、“采购人”是指依法进行政府采购的国家机关、事业单位、团体组织。本次协商的采购人是 </w:t>
      </w:r>
      <w:r>
        <w:rPr>
          <w:rFonts w:ascii="仿宋_GB2312" w:hAnsi="仿宋_GB2312" w:cs="仿宋_GB2312" w:eastAsia="仿宋_GB2312"/>
        </w:rPr>
        <w:t>眉山市中医医院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二、“供应商”是指按照采购邀请书规定获取采购文件，参加采购活动的法人、其他组织或者自然人。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四川金瑞程工程管理咨询有限公司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五、“电子评审”是指协商小组开展资格审查、符合性审查、协商、确定供应商成交、出具协商情况记录等活动。</w:t>
      </w:r>
    </w:p>
    <w:p>
      <w:pPr>
        <w:pStyle w:val="null3"/>
        <w:jc w:val="left"/>
        <w:outlineLvl w:val="2"/>
      </w:pPr>
      <w:r>
        <w:rPr>
          <w:rFonts w:ascii="仿宋_GB2312" w:hAnsi="仿宋_GB2312" w:cs="仿宋_GB2312" w:eastAsia="仿宋_GB2312"/>
          <w:sz w:val="28"/>
          <w:b/>
        </w:rPr>
        <w:t>2.3.采购文件</w:t>
      </w:r>
    </w:p>
    <w:p>
      <w:pPr>
        <w:pStyle w:val="null3"/>
        <w:jc w:val="left"/>
        <w:outlineLvl w:val="3"/>
      </w:pPr>
      <w:r>
        <w:rPr>
          <w:rFonts w:ascii="仿宋_GB2312" w:hAnsi="仿宋_GB2312" w:cs="仿宋_GB2312" w:eastAsia="仿宋_GB2312"/>
          <w:sz w:val="24"/>
          <w:b/>
        </w:rPr>
        <w:t>2.3.1.采购文件的构成</w:t>
      </w:r>
    </w:p>
    <w:p>
      <w:pPr>
        <w:pStyle w:val="null3"/>
        <w:ind w:firstLine="480"/>
        <w:jc w:val="left"/>
      </w:pPr>
      <w:r>
        <w:rPr>
          <w:rFonts w:ascii="仿宋_GB2312" w:hAnsi="仿宋_GB2312" w:cs="仿宋_GB2312" w:eastAsia="仿宋_GB2312"/>
        </w:rPr>
        <w:t>采购文件由采购人、代理机构通过交易系统编制、确认，是项目采购活动开展的基本依据，主要包括以下内容：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一、协商邀请；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四、协商过程中可实质性变动的内容；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2.3.2.采购文件的澄清或者修改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一、提交首次响应文件截止之日前，采购人或者代理机构可以对已发出的采购文件进行必要的澄清或者修改。</w:t>
      </w:r>
    </w:p>
    <w:p>
      <w:pPr>
        <w:pStyle w:val="null3"/>
        <w:ind w:firstLine="480"/>
        <w:jc w:val="left"/>
      </w:pPr>
      <w:r>
        <w:rPr>
          <w:rFonts w:ascii="仿宋_GB2312" w:hAnsi="仿宋_GB2312" w:cs="仿宋_GB2312" w:eastAsia="仿宋_GB2312"/>
        </w:rPr>
        <w:t>二、澄清或者修改的内容为采购文件的组成部分，采购人或者代理机构将更正后的采购文件上传至交易系统，通过交易系统向已获取采购文件的供应商发送更正通知。更正内容可能影响响应文件编制的，采购人或者代理机构应当在提交首次响应文件截止之日3个工作日前，通过交易系统向已获取采购文件的供应商发送更正信息，不足3个工作日的，应当顺延提交首次响应文件截止之日。</w:t>
      </w:r>
    </w:p>
    <w:p>
      <w:pPr>
        <w:pStyle w:val="null3"/>
        <w:ind w:firstLine="480"/>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三、采购人或者代理机构通过交易系统发出更正通知的同时，即为送达供应商。供应商应当及时查看更正信息，并根据更正信息要求，获取更正后的采购文件，进行响应文件编制。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协商小组在协商过程中的所有来往书面文件原则上使用中文。响应文件中如附有外文资料，要对应翻译成中文并附在相关外文资料后面，未翻译的外文资料，协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除采购文件中另有规定外，本项目均采用国家法定的计量单位。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按照采购文件第五章评审办法规定进行价格修正的，修正后的报价经供应商加盖电子印章确认后产生约束力。未在规定时间内确认的，视同供应商不确认，作无效响应处理。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一、供应商应当按照采购文件规定编制响应文件，采购文件第六章对响应文件格式有要求的，按照格式要求编制响应文件，没有格式要求的，由供应商自行编写。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未按采购文件和采购平台操作规范编制、确认、加密、盖章和提交的响应文件，将被拒绝接收。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 ★</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2.5.开启、评审和确定供应商成交</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提交响应文件截止时间后，成功提交响应文件的供应商符合采购文件规定数量的，代理机构将启动响应文件解密程序，解密时间为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详见采购文件第五章。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一、协商小组确认供应商成交后，代理机构在四川政府采购网发布成交结果公告、通过交易系统发出成交通知书，成交供应商通过交易系统获取成交通知书。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二、采购人和成交供应商签订的书面合同不得对采购文件确定的事项以及成交供应商的响应文件作实质性修改，采购人不得向成交供应商提出任何不合理的要求作为签订合同的条件。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ind w:firstLine="480"/>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所有货物安装调试完成后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按照《财政部关于进一步加强政府采购需求和履约验收管理的指导意见》（财库〔2016〕205号）和采购文件履约验收标准执行。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按照《财政部关于进一步加强政府采购需求和履约验收管理的指导意见》（财库〔2016〕205号）和采购文件履约验收标准执行。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按照《财政部关于进一步加强政府采购需求和履约验收管理的指导意见》（财库〔2016〕205号）和采购文件履约验收标准执行。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按照响应文件中响应产品的技术性能和标准验收，成交供应商须派人员在所供设备到站及到安装地点时,与采购人进行到货验收。若发现任何损坏及质量问题，成交供应商须负责更换设备零件，直至采购人验收合格为止。（2）所有货物安装调试完成采购人将 组织使用科室人员进行试用，连续运行72小时，无宕机、无数据丢失，则视为最终验收通过</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按照《财政部关于进一步加强政府采购需求和履约验收管理的指导意见》（财库〔2016〕205号）和采购文件履约验收标准执行。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供应商参加协商不得有下列情形：</w:t>
      </w:r>
    </w:p>
    <w:p>
      <w:pPr>
        <w:pStyle w:val="null3"/>
        <w:ind w:firstLine="480"/>
        <w:jc w:val="left"/>
      </w:pPr>
      <w:r>
        <w:rPr>
          <w:rFonts w:ascii="仿宋_GB2312" w:hAnsi="仿宋_GB2312" w:cs="仿宋_GB2312" w:eastAsia="仿宋_GB2312"/>
        </w:rPr>
        <w:t>一、提供虚假材料谋取成交；</w:t>
      </w:r>
    </w:p>
    <w:p>
      <w:pPr>
        <w:pStyle w:val="null3"/>
        <w:ind w:firstLine="480"/>
        <w:jc w:val="left"/>
      </w:pPr>
      <w:r>
        <w:rPr>
          <w:rFonts w:ascii="仿宋_GB2312" w:hAnsi="仿宋_GB2312" w:cs="仿宋_GB2312" w:eastAsia="仿宋_GB2312"/>
        </w:rPr>
        <w:t>二、与采购人或者代理机构恶意串通；</w:t>
      </w:r>
    </w:p>
    <w:p>
      <w:pPr>
        <w:pStyle w:val="null3"/>
        <w:ind w:firstLine="480"/>
        <w:jc w:val="left"/>
      </w:pPr>
      <w:r>
        <w:rPr>
          <w:rFonts w:ascii="仿宋_GB2312" w:hAnsi="仿宋_GB2312" w:cs="仿宋_GB2312" w:eastAsia="仿宋_GB2312"/>
        </w:rPr>
        <w:t>三、向采购人或者代理机构、协商小组成员行贿或者提供其他不正当利益；</w:t>
      </w:r>
    </w:p>
    <w:p>
      <w:pPr>
        <w:pStyle w:val="null3"/>
        <w:ind w:firstLine="480"/>
        <w:jc w:val="left"/>
      </w:pPr>
      <w:r>
        <w:rPr>
          <w:rFonts w:ascii="仿宋_GB2312" w:hAnsi="仿宋_GB2312" w:cs="仿宋_GB2312" w:eastAsia="仿宋_GB2312"/>
        </w:rPr>
        <w:t>四、成交后无正当理由拒不与采购人签订政府采购合同；</w:t>
      </w:r>
    </w:p>
    <w:p>
      <w:pPr>
        <w:pStyle w:val="null3"/>
        <w:ind w:firstLine="480"/>
        <w:jc w:val="left"/>
      </w:pPr>
      <w:r>
        <w:rPr>
          <w:rFonts w:ascii="仿宋_GB2312" w:hAnsi="仿宋_GB2312" w:cs="仿宋_GB2312" w:eastAsia="仿宋_GB2312"/>
        </w:rPr>
        <w:t>五、未按照采购文件确定的事项签订政府采购合同；</w:t>
      </w:r>
    </w:p>
    <w:p>
      <w:pPr>
        <w:pStyle w:val="null3"/>
        <w:ind w:firstLine="480"/>
        <w:jc w:val="left"/>
      </w:pPr>
      <w:r>
        <w:rPr>
          <w:rFonts w:ascii="仿宋_GB2312" w:hAnsi="仿宋_GB2312" w:cs="仿宋_GB2312" w:eastAsia="仿宋_GB2312"/>
        </w:rPr>
        <w:t>六、将政府采购合同转包或者违规分包；</w:t>
      </w:r>
    </w:p>
    <w:p>
      <w:pPr>
        <w:pStyle w:val="null3"/>
        <w:ind w:firstLine="480"/>
        <w:jc w:val="left"/>
      </w:pPr>
      <w:r>
        <w:rPr>
          <w:rFonts w:ascii="仿宋_GB2312" w:hAnsi="仿宋_GB2312" w:cs="仿宋_GB2312" w:eastAsia="仿宋_GB2312"/>
        </w:rPr>
        <w:t>七、提供假冒伪劣产品；</w:t>
      </w:r>
    </w:p>
    <w:p>
      <w:pPr>
        <w:pStyle w:val="null3"/>
        <w:ind w:firstLine="480"/>
        <w:jc w:val="left"/>
      </w:pPr>
      <w:r>
        <w:rPr>
          <w:rFonts w:ascii="仿宋_GB2312" w:hAnsi="仿宋_GB2312" w:cs="仿宋_GB2312" w:eastAsia="仿宋_GB2312"/>
        </w:rPr>
        <w:t>八、擅自变更、中止或者终止政府采购合同；</w:t>
      </w:r>
    </w:p>
    <w:p>
      <w:pPr>
        <w:pStyle w:val="null3"/>
        <w:ind w:firstLine="480"/>
        <w:jc w:val="left"/>
      </w:pPr>
      <w:r>
        <w:rPr>
          <w:rFonts w:ascii="仿宋_GB2312" w:hAnsi="仿宋_GB2312" w:cs="仿宋_GB2312" w:eastAsia="仿宋_GB2312"/>
        </w:rPr>
        <w:t>九、拒绝有关部门的监督检查或者向监督检查部门提供虚假情况；</w:t>
      </w:r>
    </w:p>
    <w:p>
      <w:pPr>
        <w:pStyle w:val="null3"/>
        <w:ind w:firstLine="480"/>
        <w:jc w:val="left"/>
      </w:pPr>
      <w:r>
        <w:rPr>
          <w:rFonts w:ascii="仿宋_GB2312" w:hAnsi="仿宋_GB2312" w:cs="仿宋_GB2312" w:eastAsia="仿宋_GB2312"/>
        </w:rPr>
        <w:t>十、法律法规规定的其他禁止情形。</w:t>
      </w:r>
    </w:p>
    <w:p>
      <w:pPr>
        <w:pStyle w:val="null3"/>
        <w:ind w:firstLine="480"/>
        <w:jc w:val="left"/>
      </w:pPr>
      <w:r>
        <w:rPr>
          <w:rFonts w:ascii="仿宋_GB2312" w:hAnsi="仿宋_GB2312" w:cs="仿宋_GB2312" w:eastAsia="仿宋_GB2312"/>
        </w:rPr>
        <w:t>供应商有前述一至三条情形之一的，作无效响应处理。成交供应商有前述一至三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根据委托代理协议约定，供应商对采购文件中采购需求的询问、质疑由 </w:t>
      </w:r>
      <w:r>
        <w:rPr>
          <w:rFonts w:ascii="仿宋_GB2312" w:hAnsi="仿宋_GB2312" w:cs="仿宋_GB2312" w:eastAsia="仿宋_GB2312"/>
        </w:rPr>
        <w:t>眉山市中医医院</w:t>
      </w:r>
      <w:r>
        <w:rPr>
          <w:rFonts w:ascii="仿宋_GB2312" w:hAnsi="仿宋_GB2312" w:cs="仿宋_GB2312" w:eastAsia="仿宋_GB2312"/>
        </w:rPr>
        <w:t xml:space="preserve"> 负责答复；供应商对除采购需求外的采购文件的询问、质疑由 </w:t>
      </w:r>
      <w:r>
        <w:rPr>
          <w:rFonts w:ascii="仿宋_GB2312" w:hAnsi="仿宋_GB2312" w:cs="仿宋_GB2312" w:eastAsia="仿宋_GB2312"/>
        </w:rPr>
        <w:t>四川金瑞程工程管理咨询有限公司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四川金瑞程工程管理咨询有限公司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联系人：李先生</w:t>
      </w:r>
    </w:p>
    <w:p>
      <w:pPr>
        <w:pStyle w:val="null3"/>
        <w:jc w:val="left"/>
      </w:pPr>
      <w:r>
        <w:rPr>
          <w:rFonts w:ascii="仿宋_GB2312" w:hAnsi="仿宋_GB2312" w:cs="仿宋_GB2312" w:eastAsia="仿宋_GB2312"/>
        </w:rPr>
        <w:t>联系电话：028-38280036</w:t>
      </w:r>
    </w:p>
    <w:p>
      <w:pPr>
        <w:pStyle w:val="null3"/>
        <w:jc w:val="left"/>
      </w:pPr>
      <w:r>
        <w:rPr>
          <w:rFonts w:ascii="仿宋_GB2312" w:hAnsi="仿宋_GB2312" w:cs="仿宋_GB2312" w:eastAsia="仿宋_GB2312"/>
        </w:rPr>
        <w:t>地址：眉山市东坡区岷东大道北段9号住院北楼11楼A区1106采购管理办公室</w:t>
      </w:r>
    </w:p>
    <w:p>
      <w:pPr>
        <w:pStyle w:val="null3"/>
        <w:jc w:val="left"/>
      </w:pPr>
      <w:r>
        <w:rPr>
          <w:rFonts w:ascii="仿宋_GB2312" w:hAnsi="仿宋_GB2312" w:cs="仿宋_GB2312" w:eastAsia="仿宋_GB2312"/>
        </w:rPr>
        <w:t>邮编：620000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联系人：刘女士</w:t>
      </w:r>
    </w:p>
    <w:p>
      <w:pPr>
        <w:pStyle w:val="null3"/>
        <w:jc w:val="left"/>
      </w:pPr>
      <w:r>
        <w:rPr>
          <w:rFonts w:ascii="仿宋_GB2312" w:hAnsi="仿宋_GB2312" w:cs="仿宋_GB2312" w:eastAsia="仿宋_GB2312"/>
        </w:rPr>
        <w:t>联系电话：18180020245</w:t>
      </w:r>
    </w:p>
    <w:p>
      <w:pPr>
        <w:pStyle w:val="null3"/>
        <w:jc w:val="left"/>
      </w:pPr>
      <w:r>
        <w:rPr>
          <w:rFonts w:ascii="仿宋_GB2312" w:hAnsi="仿宋_GB2312" w:cs="仿宋_GB2312" w:eastAsia="仿宋_GB2312"/>
        </w:rPr>
        <w:t>地址：眉山市东坡区裴城路69号1幢1单元15层3号</w:t>
      </w:r>
    </w:p>
    <w:p>
      <w:pPr>
        <w:pStyle w:val="null3"/>
        <w:jc w:val="left"/>
      </w:pPr>
      <w:r>
        <w:rPr>
          <w:rFonts w:ascii="仿宋_GB2312" w:hAnsi="仿宋_GB2312" w:cs="仿宋_GB2312" w:eastAsia="仿宋_GB2312"/>
        </w:rPr>
        <w:t>邮编：620000</w:t>
      </w:r>
    </w:p>
    <w:p>
      <w:pPr>
        <w:pStyle w:val="null3"/>
        <w:ind w:firstLine="480"/>
        <w:jc w:val="left"/>
      </w:pPr>
      <w:r>
        <w:rPr>
          <w:rFonts w:ascii="仿宋_GB2312" w:hAnsi="仿宋_GB2312" w:cs="仿宋_GB2312" w:eastAsia="仿宋_GB2312"/>
        </w:rPr>
        <w:t>三、供应商提出询问，应当明确询问事项，如以书面形式提出的，应由供应商签字并加盖公章。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采购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采购文件提出质疑的，为获取采购文件之日。对更正后的采购文件提出质疑的，如质疑内容为更正内容，为发出采购文件更正通知之日；如质疑内容为原采购文件内容，为获取原采购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（五）针对质疑事项必要的证明材料（针对采购文件提出的质疑，需提交从交易系统获取的采购文件回执单）。</w:t>
      </w:r>
    </w:p>
    <w:p>
      <w:pPr>
        <w:pStyle w:val="null3"/>
        <w:ind w:firstLine="480"/>
        <w:jc w:val="left"/>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协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对经核实排查认定不属于平台系统故障的，采购人、代理机构、供应商、协商小组应按政府采购法律制度和平台操作要求开展后续操作。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协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采购人或者代理机构应当在采购文件中明确线下样品评审规则和方式，不得对供应商实行差别待遇或者歧视性待遇。样品评审应当全过程录音录像，形成书面评审记录上传至交易系统。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550,000.00</w:t>
      </w:r>
    </w:p>
    <w:p>
      <w:pPr>
        <w:pStyle w:val="null3"/>
        <w:jc w:val="left"/>
      </w:pPr>
      <w:r>
        <w:rPr>
          <w:rFonts w:ascii="仿宋_GB2312" w:hAnsi="仿宋_GB2312" w:cs="仿宋_GB2312" w:eastAsia="仿宋_GB2312"/>
        </w:rPr>
        <w:t>采购包最高限价（元）: 550,000.00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A02051307 悬挂输送机</w:t>
            </w:r>
          </w:p>
        </w:tc>
        <w:tc>
          <w:tcPr>
            <w:tcW w:type="dxa" w:w="821"/>
          </w:tcPr>
          <w:p>
            <w:pPr>
              <w:pStyle w:val="null3"/>
              <w:jc w:val="left"/>
            </w:pPr>
            <w:r>
              <w:rPr>
                <w:rFonts w:ascii="仿宋_GB2312" w:hAnsi="仿宋_GB2312" w:cs="仿宋_GB2312" w:eastAsia="仿宋_GB2312"/>
              </w:rPr>
              <w:t>增设轨道物流站点货物采购</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550,000.00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增设轨道物流站点货物采购</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A02051307 悬挂输送机</w:t>
            </w:r>
          </w:p>
        </w:tc>
        <w:tc>
          <w:tcPr>
            <w:tcW w:type="dxa" w:w="2492"/>
          </w:tcPr>
          <w:p>
            <w:pPr>
              <w:pStyle w:val="null3"/>
              <w:jc w:val="left"/>
            </w:pPr>
            <w:r>
              <w:rPr>
                <w:rFonts w:ascii="仿宋_GB2312" w:hAnsi="仿宋_GB2312" w:cs="仿宋_GB2312" w:eastAsia="仿宋_GB2312"/>
              </w:rPr>
              <w:t>增设轨道物流站点货物采购</w:t>
            </w:r>
          </w:p>
        </w:tc>
        <w:tc>
          <w:tcPr>
            <w:tcW w:type="dxa" w:w="2492"/>
          </w:tcPr>
          <w:p>
            <w:pPr>
              <w:pStyle w:val="null3"/>
              <w:jc w:val="left"/>
            </w:pPr>
            <w:r>
              <w:rPr>
                <w:rFonts w:ascii="仿宋_GB2312" w:hAnsi="仿宋_GB2312" w:cs="仿宋_GB2312" w:eastAsia="仿宋_GB2312"/>
              </w:rPr>
              <w:t>增设轨道物流站点货物采购</w:t>
            </w:r>
          </w:p>
        </w:tc>
      </w:tr>
    </w:tbl>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标的名称：增设轨道物流站点货物采购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96"/>
              <w:gridCol w:w="974"/>
              <w:gridCol w:w="413"/>
              <w:gridCol w:w="413"/>
              <w:gridCol w:w="2221"/>
              <w:gridCol w:w="1181"/>
            </w:tblGrid>
            <w:tr>
              <w:tc>
                <w:tcPr>
                  <w:tcW w:type="dxa" w:w="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9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名称</w:t>
                  </w:r>
                </w:p>
              </w:tc>
              <w:tc>
                <w:tcPr>
                  <w:tcW w:type="dxa" w:w="4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4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2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规格</w:t>
                  </w:r>
                </w:p>
              </w:tc>
              <w:tc>
                <w:tcPr>
                  <w:tcW w:type="dxa" w:w="1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水平直轨</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2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横截面</w:t>
                  </w:r>
                  <w:r>
                    <w:rPr>
                      <w:rFonts w:ascii="仿宋_GB2312" w:hAnsi="仿宋_GB2312" w:cs="仿宋_GB2312" w:eastAsia="仿宋_GB2312"/>
                      <w:sz w:val="24"/>
                      <w:color w:val="000000"/>
                    </w:rPr>
                    <w:t>207mm×68mm，标长3.5m，铝镁合金、表面阳极氧化处理、轨道均含3根铜导轨</w:t>
                  </w:r>
                </w:p>
              </w:tc>
              <w:tc>
                <w:tcPr>
                  <w:tcW w:type="dxa" w:w="1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垂直直轨</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横截面</w:t>
                  </w:r>
                  <w:r>
                    <w:rPr>
                      <w:rFonts w:ascii="仿宋_GB2312" w:hAnsi="仿宋_GB2312" w:cs="仿宋_GB2312" w:eastAsia="仿宋_GB2312"/>
                      <w:sz w:val="24"/>
                      <w:color w:val="000000"/>
                    </w:rPr>
                    <w:t>207mm×68mm，标长3.5m，铝镁合金、表面阳极氧化处理、轨道均含3根铜导轨，需要装配齿条。</w:t>
                  </w:r>
                </w:p>
              </w:tc>
              <w:tc>
                <w:tcPr>
                  <w:tcW w:type="dxa" w:w="1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曲轨</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横截面</w:t>
                  </w:r>
                  <w:r>
                    <w:rPr>
                      <w:rFonts w:ascii="仿宋_GB2312" w:hAnsi="仿宋_GB2312" w:cs="仿宋_GB2312" w:eastAsia="仿宋_GB2312"/>
                      <w:sz w:val="24"/>
                      <w:color w:val="000000"/>
                    </w:rPr>
                    <w:t>207mm×68mm，标准角度90°，外径≤800mm，铝镁合金、表面阳极氧化处理、轨道均含3根铜导轨。</w:t>
                  </w:r>
                </w:p>
              </w:tc>
              <w:tc>
                <w:tcPr>
                  <w:tcW w:type="dxa" w:w="1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其中</w:t>
                  </w:r>
                  <w:r>
                    <w:rPr>
                      <w:rFonts w:ascii="仿宋_GB2312" w:hAnsi="仿宋_GB2312" w:cs="仿宋_GB2312" w:eastAsia="仿宋_GB2312"/>
                      <w:sz w:val="24"/>
                      <w:color w:val="000000"/>
                    </w:rPr>
                    <w:t>4个内曲轨，3个外曲轨。</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弯轨</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横截面</w:t>
                  </w:r>
                  <w:r>
                    <w:rPr>
                      <w:rFonts w:ascii="仿宋_GB2312" w:hAnsi="仿宋_GB2312" w:cs="仿宋_GB2312" w:eastAsia="仿宋_GB2312"/>
                      <w:sz w:val="24"/>
                      <w:color w:val="000000"/>
                    </w:rPr>
                    <w:t>207mm×68mm，标准角度90°，外径≤700mm，铝镁合金、表面阳极氧化处理、轨道均含3根铜导轨。</w:t>
                  </w:r>
                </w:p>
              </w:tc>
              <w:tc>
                <w:tcPr>
                  <w:tcW w:type="dxa" w:w="1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其中</w:t>
                  </w:r>
                  <w:r>
                    <w:rPr>
                      <w:rFonts w:ascii="仿宋_GB2312" w:hAnsi="仿宋_GB2312" w:cs="仿宋_GB2312" w:eastAsia="仿宋_GB2312"/>
                      <w:sz w:val="24"/>
                      <w:color w:val="000000"/>
                    </w:rPr>
                    <w:t>4个均为内弯轨</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2P1T转轨器</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连接</w:t>
                  </w:r>
                  <w:r>
                    <w:rPr>
                      <w:rFonts w:ascii="仿宋_GB2312" w:hAnsi="仿宋_GB2312" w:cs="仿宋_GB2312" w:eastAsia="仿宋_GB2312"/>
                      <w:sz w:val="24"/>
                      <w:color w:val="000000"/>
                    </w:rPr>
                    <w:t>2根轨道，自带1个平移型移动轨道，适配载重H235型运载车系统，轨道间距83mm。</w:t>
                  </w:r>
                </w:p>
              </w:tc>
              <w:tc>
                <w:tcPr>
                  <w:tcW w:type="dxa" w:w="1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含控制器</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3P2T转轨器</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连接</w:t>
                  </w:r>
                  <w:r>
                    <w:rPr>
                      <w:rFonts w:ascii="仿宋_GB2312" w:hAnsi="仿宋_GB2312" w:cs="仿宋_GB2312" w:eastAsia="仿宋_GB2312"/>
                      <w:sz w:val="24"/>
                      <w:color w:val="000000"/>
                    </w:rPr>
                    <w:t>3根轨道，自带2个平移型移动轨道，适配载重H235型运载车系统，轨道间距83mm。</w:t>
                  </w:r>
                </w:p>
              </w:tc>
              <w:tc>
                <w:tcPr>
                  <w:tcW w:type="dxa" w:w="1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含控制器</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单轨防火门</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适配</w:t>
                  </w:r>
                  <w:r>
                    <w:rPr>
                      <w:rFonts w:ascii="仿宋_GB2312" w:hAnsi="仿宋_GB2312" w:cs="仿宋_GB2312" w:eastAsia="仿宋_GB2312"/>
                      <w:sz w:val="24"/>
                      <w:color w:val="000000"/>
                    </w:rPr>
                    <w:t>H235车型，适配最大孔洞尺寸W520XH780</w:t>
                  </w:r>
                </w:p>
              </w:tc>
              <w:tc>
                <w:tcPr>
                  <w:tcW w:type="dxa" w:w="1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含控制器、翻轨器、不间断电源</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电动挡烟垂壁配套设备（单轨）</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配套电动挡烟垂壁</w:t>
                  </w:r>
                </w:p>
              </w:tc>
              <w:tc>
                <w:tcPr>
                  <w:tcW w:type="dxa" w:w="1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含控制器、翻轨器、不间断电源</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单轨防风门</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适配</w:t>
                  </w:r>
                  <w:r>
                    <w:rPr>
                      <w:rFonts w:ascii="仿宋_GB2312" w:hAnsi="仿宋_GB2312" w:cs="仿宋_GB2312" w:eastAsia="仿宋_GB2312"/>
                      <w:sz w:val="24"/>
                      <w:color w:val="000000"/>
                    </w:rPr>
                    <w:t>H235车型，适配最大孔洞尺寸W520XH780</w:t>
                  </w:r>
                </w:p>
              </w:tc>
              <w:tc>
                <w:tcPr>
                  <w:tcW w:type="dxa" w:w="1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电动单轨防风门</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适配</w:t>
                  </w:r>
                  <w:r>
                    <w:rPr>
                      <w:rFonts w:ascii="仿宋_GB2312" w:hAnsi="仿宋_GB2312" w:cs="仿宋_GB2312" w:eastAsia="仿宋_GB2312"/>
                      <w:sz w:val="24"/>
                      <w:color w:val="000000"/>
                    </w:rPr>
                    <w:t>H235车型，适配最大孔洞尺寸W520XH780</w:t>
                  </w:r>
                </w:p>
              </w:tc>
              <w:tc>
                <w:tcPr>
                  <w:tcW w:type="dxa" w:w="1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单电源</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输入电压：</w:t>
                  </w:r>
                  <w:r>
                    <w:rPr>
                      <w:rFonts w:ascii="仿宋_GB2312" w:hAnsi="仿宋_GB2312" w:cs="仿宋_GB2312" w:eastAsia="仿宋_GB2312"/>
                      <w:sz w:val="24"/>
                      <w:color w:val="000000"/>
                    </w:rPr>
                    <w:t>AC380V；输出电压DC24V，最大功率：1KW</w:t>
                  </w:r>
                </w:p>
              </w:tc>
              <w:tc>
                <w:tcPr>
                  <w:tcW w:type="dxa" w:w="1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双电源</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输入电压：</w:t>
                  </w:r>
                  <w:r>
                    <w:rPr>
                      <w:rFonts w:ascii="仿宋_GB2312" w:hAnsi="仿宋_GB2312" w:cs="仿宋_GB2312" w:eastAsia="仿宋_GB2312"/>
                      <w:sz w:val="24"/>
                      <w:color w:val="000000"/>
                    </w:rPr>
                    <w:t>AC380V；输出电压DC24V，最大功率：2KW</w:t>
                  </w:r>
                </w:p>
              </w:tc>
              <w:tc>
                <w:tcPr>
                  <w:tcW w:type="dxa" w:w="1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7英寸站点控制器</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输入电压：</w:t>
                  </w:r>
                  <w:r>
                    <w:rPr>
                      <w:rFonts w:ascii="仿宋_GB2312" w:hAnsi="仿宋_GB2312" w:cs="仿宋_GB2312" w:eastAsia="仿宋_GB2312"/>
                      <w:sz w:val="24"/>
                      <w:color w:val="000000"/>
                    </w:rPr>
                    <w:t>DC24V，规格：7英寸，彩屏，全中文人机对话界面，支持Ethernet，TCP/IP</w:t>
                  </w:r>
                </w:p>
              </w:tc>
              <w:tc>
                <w:tcPr>
                  <w:tcW w:type="dxa" w:w="1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含站点保护开关，到站信号</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以太网关</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输入电压：</w:t>
                  </w:r>
                  <w:r>
                    <w:rPr>
                      <w:rFonts w:ascii="仿宋_GB2312" w:hAnsi="仿宋_GB2312" w:cs="仿宋_GB2312" w:eastAsia="仿宋_GB2312"/>
                      <w:sz w:val="24"/>
                      <w:color w:val="000000"/>
                    </w:rPr>
                    <w:t>220V，规格，不少于16个网口，支持DHCP</w:t>
                  </w:r>
                </w:p>
              </w:tc>
              <w:tc>
                <w:tcPr>
                  <w:tcW w:type="dxa" w:w="1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安装辅材</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批</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包括</w:t>
                  </w:r>
                  <w:r>
                    <w:rPr>
                      <w:rFonts w:ascii="仿宋_GB2312" w:hAnsi="仿宋_GB2312" w:cs="仿宋_GB2312" w:eastAsia="仿宋_GB2312"/>
                      <w:sz w:val="24"/>
                      <w:color w:val="000000"/>
                    </w:rPr>
                    <w:t>C型夹、连接片、RFID位置码、盖板、线缆等</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H235小车</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辆</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1、可以承载15Kg重量；</w:t>
                  </w:r>
                </w:p>
                <w:p>
                  <w:pPr>
                    <w:pStyle w:val="null3"/>
                    <w:jc w:val="left"/>
                  </w:pPr>
                  <w:r>
                    <w:rPr>
                      <w:rFonts w:ascii="仿宋_GB2312" w:hAnsi="仿宋_GB2312" w:cs="仿宋_GB2312" w:eastAsia="仿宋_GB2312"/>
                      <w:sz w:val="24"/>
                      <w:color w:val="000000"/>
                    </w:rPr>
                    <w:t>2、带消毒功能。</w:t>
                  </w:r>
                </w:p>
              </w:tc>
              <w:tc>
                <w:tcPr>
                  <w:tcW w:type="dxa" w:w="1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包含标准型</w:t>
                  </w:r>
                  <w:r>
                    <w:rPr>
                      <w:rFonts w:ascii="仿宋_GB2312" w:hAnsi="仿宋_GB2312" w:cs="仿宋_GB2312" w:eastAsia="仿宋_GB2312"/>
                      <w:sz w:val="24"/>
                      <w:color w:val="000000"/>
                    </w:rPr>
                    <w:t>H235箱体内水平回转架、固定垫。</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系统安装及</w:t>
                  </w:r>
                  <w:r>
                    <w:rPr>
                      <w:rFonts w:ascii="仿宋_GB2312" w:hAnsi="仿宋_GB2312" w:cs="仿宋_GB2312" w:eastAsia="仿宋_GB2312"/>
                      <w:sz w:val="24"/>
                      <w:color w:val="000000"/>
                    </w:rPr>
                    <w:t>售后</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年</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color w:val="000000"/>
                    </w:rPr>
                    <w:t>包括人工，安装支架等各种辅料；</w:t>
                  </w:r>
                </w:p>
                <w:p>
                  <w:pPr>
                    <w:pStyle w:val="null3"/>
                    <w:numPr>
                      <w:ilvl w:val="0"/>
                      <w:numId w:val="1"/>
                    </w:numPr>
                    <w:jc w:val="left"/>
                  </w:pPr>
                  <w:r>
                    <w:rPr>
                      <w:rFonts w:ascii="仿宋_GB2312" w:hAnsi="仿宋_GB2312" w:cs="仿宋_GB2312" w:eastAsia="仿宋_GB2312"/>
                      <w:sz w:val="24"/>
                      <w:color w:val="000000"/>
                    </w:rPr>
                    <w:t>系统设计，培训及文件资料等。</w:t>
                  </w:r>
                </w:p>
              </w:tc>
              <w:tc>
                <w:tcPr>
                  <w:tcW w:type="dxa" w:w="1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自合同签订之日起60日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眉山市中医医院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1、按规定验收合格后，将发票交财务科审核记账，第二个月，达到付款条件起30日内，支付合同总金额的60.00%</w:t>
            </w:r>
          </w:p>
          <w:p>
            <w:pPr>
              <w:pStyle w:val="null3"/>
              <w:jc w:val="left"/>
            </w:pPr>
            <w:r>
              <w:rPr>
                <w:rFonts w:ascii="仿宋_GB2312" w:hAnsi="仿宋_GB2312" w:cs="仿宋_GB2312" w:eastAsia="仿宋_GB2312"/>
              </w:rPr>
              <w:t>2、按规定验收合格后，将发票交财务科审核记账，第四个月，达到付款条件起30日内，支付合同总金额的37.00%</w:t>
            </w:r>
          </w:p>
          <w:p>
            <w:pPr>
              <w:pStyle w:val="null3"/>
              <w:jc w:val="left"/>
            </w:pPr>
            <w:r>
              <w:rPr>
                <w:rFonts w:ascii="仿宋_GB2312" w:hAnsi="仿宋_GB2312" w:cs="仿宋_GB2312" w:eastAsia="仿宋_GB2312"/>
              </w:rPr>
              <w:t>3、一年维保期满，达到付款条件起30日内，支付合同总金额的3.00%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按照响应文件中响应产品的技术性能和标准验收，成交供应商须派人员在所供设备到站及到安装地点时,与采购人进行到货验收。若发现任何损坏及质量问题，成交供应商须负责更换设备零件，直至采购人验收合格为止。（2）所有货物安装调试完成采购人将 组织使用科室人员进行试用，连续运行72小时，无宕机、无数据丢失，则视为最终验收通过</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 xml:space="preserve"> 所有货物质保期1年，从双方签署最终验收报告之日起计算。安装调试验收合格后提供服务人员名单及联系方式，在接到采购人通知后4小时响应，24小时达到现场，48小时内解决问题。</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采购人违约责任：（1）采购人无正当理由拒收货物的，采购人应向供应商偿付合同总价5%的违约金；（2）采购人偿付的违约金不足以弥补供应商损失的，还应按供应商损失尚未弥补的部分，支付赔偿金给供应商。（3）采购人每次付款以供应商提供合法等额的发票为必要条件，未提供的，付款时间顺延，不视为违约。 供应商违约责任：（1）供应商交付的货物质量不符合合同规定的，采购人可以解除本合同，供应商应退还采购人已支付的所有款项及利息（按照一年期LPR计算），并向采购人支付合同总价10%的违约金。（2）供应商逾期10天内交付货物或完成安装调试而违约的，除应及时交足货物或完成安装调试外，应向采购人偿付逾期交货或逾期安装调试部分货款总额的5%的违约金；逾期超过10天，采购人有权终止合同，供应商则应按合同总价的10%的款额向采购人偿付违约金，并须全额退还采购人已经付给供应商的货款及利息（按照一年期LPR计算）。（3）供应商货物经采购人送交具有法定资格条件的质量技术监督机构检测后，如检测结果认定货物质量不符合本合同规定标准的，则视为供应商没有按时交货而违约，供应商应向采购人偿付逾期交货部分货款总额的5%的违约金，且供应商须在 15 天内无条件更换合格的货物，如逾期不能更换合格的货物，采购人有权终止本合同，供应商应付合同总价的10%的赔偿金给采购人，并须全额退还采购人已经付给供应商的货款及其利息（按照全国银行间同行业拆借中心公布的一年期贷款市场报价利率标准计算）。（4）供应商保证本合同货物的权利无瑕疵，包括货物所有权及知识产权等权利无瑕疵。如任何第三方经法院（或仲裁机构）裁决有权对上述货物主张权利或国家机关依法对货物进行没收查处的，供应商除应向采购人返还已收款项外，还应另按合同总价的10%向采购人支付违约金。（5）若供应商未按照合同约定履行质保、售后义务，每出现一次应向采购人支付合同价款1%的违约金，逾期采购人有权聘请第三方进行维修，由此产生的费用由供应商承担。（6）供应商偿付的违约金不足以弥补采购人损失的，还应按采购人损失尚未弥补的部分，支付赔偿金给采购人。（7）任何一方违约，守约方为维护合法权益，向违约方追偿所花费的一切费用（包括但不限于律师费、诉讼费、保全申请费、保全保函费、差旅费、鉴定费等）均由违约方承担。 5.3争议解决办法：（1）因货物的质量问题发生争议，由质量技术监督部门或双方指定的质量鉴定机构进行质量鉴定，鉴定费由供应商先行垫付。货物符合标准的，鉴定费由采购人承担；货物不符合质量标准的，鉴定费由供应商承担。（2）.合同履行期间,若双方发生争议，可协商或由有关部门调解解决，协商或调解不成的，双方均可向采购人所在地有管辖权的人民法院起诉。</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协商过程中可实质性变动的内容</w:t>
      </w:r>
    </w:p>
    <w:p>
      <w:pPr>
        <w:pStyle w:val="null3"/>
        <w:ind w:firstLine="480"/>
        <w:jc w:val="left"/>
      </w:pPr>
      <w:r>
        <w:rPr>
          <w:rFonts w:ascii="仿宋_GB2312" w:hAnsi="仿宋_GB2312" w:cs="仿宋_GB2312" w:eastAsia="仿宋_GB2312"/>
        </w:rPr>
        <w:t>协商小组可以根据采购文件和协商情况实质性变动以下内容：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除以上内容外，协商小组不得变动采购文件中的其他内容。</w:t>
      </w:r>
    </w:p>
    <w:p>
      <w:pPr>
        <w:pStyle w:val="null3"/>
        <w:ind w:firstLine="480"/>
        <w:jc w:val="left"/>
      </w:pPr>
      <w:r>
        <w:rPr>
          <w:rFonts w:ascii="仿宋_GB2312" w:hAnsi="仿宋_GB2312" w:cs="仿宋_GB2312" w:eastAsia="仿宋_GB2312"/>
        </w:rPr>
        <w:t>在协商过程中，协商小组根据项目实际需要制定协商内容，在获得采购人代表确认的前提下，可以根据协商情况实质性变动相关内容。协商小组对采购文件作出的实质性变动是采购文件的有效组成部分，协商小组应及时以书面形式通知所有参加协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单一来源采购评审办法。</w:t>
      </w:r>
    </w:p>
    <w:p>
      <w:pPr>
        <w:pStyle w:val="null3"/>
        <w:ind w:firstLine="480"/>
        <w:jc w:val="left"/>
      </w:pPr>
      <w:r>
        <w:rPr>
          <w:rFonts w:ascii="仿宋_GB2312" w:hAnsi="仿宋_GB2312" w:cs="仿宋_GB2312" w:eastAsia="仿宋_GB2312"/>
        </w:rPr>
        <w:t>二、协商工作由代理机构组织，具体评审事务由依法组建的协商小组负责。协商小组由采购人代表和评审专家组成。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三、评审工作应遵循客观、公正、审慎的原则，根据单一来源采购文件规定的评审程序、评审方法和评审标准进行独立评审。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四、本项目采取电子评审，通过交易系统完成评审工作。协商小组成员和供应商应当按照本采购文件规定和交易系统操作要求开展或者参加评审活动。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协商报告为准。评审过程中需要供应商电子签章的，供应商应按规定加盖电子印章。协商小组成员在签署协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5.2.协商小组</w:t>
      </w:r>
    </w:p>
    <w:p>
      <w:pPr>
        <w:pStyle w:val="null3"/>
        <w:ind w:firstLine="480"/>
        <w:jc w:val="left"/>
      </w:pPr>
      <w:r>
        <w:rPr>
          <w:rFonts w:ascii="仿宋_GB2312" w:hAnsi="仿宋_GB2312" w:cs="仿宋_GB2312" w:eastAsia="仿宋_GB2312"/>
        </w:rPr>
        <w:t>一、按《中华人民共和国政府采购法》的规定组建协商小组，协商小组由采购人的代表和具有相关经验的专业人员组成。本项目协商小组成员人数由采购人或者代理机构自行确定，其中专业人员不得少于成员总数的三分之二。</w:t>
      </w:r>
    </w:p>
    <w:p>
      <w:pPr>
        <w:pStyle w:val="null3"/>
        <w:ind w:firstLine="480"/>
        <w:jc w:val="left"/>
      </w:pPr>
      <w:r>
        <w:rPr>
          <w:rFonts w:ascii="仿宋_GB2312" w:hAnsi="仿宋_GB2312" w:cs="仿宋_GB2312" w:eastAsia="仿宋_GB2312"/>
        </w:rPr>
        <w:t>二、协商小组成员应当满足并适应电子化采购评审的工作需要，登录交易系统进入项目评审功能模块确认身份、签到、推荐协商小组组长。采购人代表可以使用采购人代表专用签章确认评审意见。</w:t>
      </w:r>
    </w:p>
    <w:p>
      <w:pPr>
        <w:pStyle w:val="null3"/>
        <w:ind w:firstLine="480"/>
        <w:jc w:val="left"/>
      </w:pPr>
      <w:r>
        <w:rPr>
          <w:rFonts w:ascii="仿宋_GB2312" w:hAnsi="仿宋_GB2312" w:cs="仿宋_GB2312" w:eastAsia="仿宋_GB2312"/>
        </w:rPr>
        <w:t>三、协商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协商小组，解封响应文件后，开展评审活动。</w:t>
      </w:r>
    </w:p>
    <w:p>
      <w:pPr>
        <w:pStyle w:val="null3"/>
        <w:ind w:firstLine="480"/>
        <w:jc w:val="left"/>
      </w:pPr>
      <w:r>
        <w:rPr>
          <w:rFonts w:ascii="仿宋_GB2312" w:hAnsi="仿宋_GB2312" w:cs="仿宋_GB2312" w:eastAsia="仿宋_GB2312"/>
        </w:rPr>
        <w:t>四、协商小组应当履行下列职责：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（二）审查、评价供应商响应文件等是否满足单一来源采购文件要求；</w:t>
      </w:r>
    </w:p>
    <w:p>
      <w:pPr>
        <w:pStyle w:val="null3"/>
        <w:ind w:firstLine="480"/>
        <w:jc w:val="left"/>
      </w:pPr>
      <w:r>
        <w:rPr>
          <w:rFonts w:ascii="仿宋_GB2312" w:hAnsi="仿宋_GB2312" w:cs="仿宋_GB2312" w:eastAsia="仿宋_GB2312"/>
        </w:rPr>
        <w:t>（三）根据需要要求采购人、代理机构对单一来源采购文件作出解释；根据需要要求供应商对响应文件有关事项作出澄清、说明或者更正；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（四）受采购人委托确定供应商成交；</w:t>
      </w:r>
    </w:p>
    <w:p>
      <w:pPr>
        <w:pStyle w:val="null3"/>
        <w:ind w:firstLine="480"/>
        <w:jc w:val="left"/>
      </w:pPr>
      <w:r>
        <w:rPr>
          <w:rFonts w:ascii="仿宋_GB2312" w:hAnsi="仿宋_GB2312" w:cs="仿宋_GB2312" w:eastAsia="仿宋_GB2312"/>
        </w:rPr>
        <w:t>（五）起草资格审查报告、协商情况记录并进行签署；</w:t>
      </w:r>
    </w:p>
    <w:p>
      <w:pPr>
        <w:pStyle w:val="null3"/>
        <w:ind w:firstLine="480"/>
        <w:jc w:val="left"/>
      </w:pPr>
      <w:r>
        <w:rPr>
          <w:rFonts w:ascii="仿宋_GB2312" w:hAnsi="仿宋_GB2312" w:cs="仿宋_GB2312" w:eastAsia="仿宋_GB2312"/>
        </w:rPr>
        <w:t>（六）向采购人、代理机构或者有关部门报告协商中发现的违法行为；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5.3.1.熟悉和理解采购文件</w:t>
      </w:r>
    </w:p>
    <w:p>
      <w:pPr>
        <w:pStyle w:val="null3"/>
        <w:ind w:firstLine="480"/>
        <w:jc w:val="left"/>
      </w:pPr>
      <w:r>
        <w:rPr>
          <w:rFonts w:ascii="仿宋_GB2312" w:hAnsi="仿宋_GB2312" w:cs="仿宋_GB2312" w:eastAsia="仿宋_GB2312"/>
        </w:rPr>
        <w:t>协商小组正式协商前，应当对采购文件进行熟悉和理解，内容主要包括采购文件中供应商资格条件要求、采购项目技术、服务和商务要求、评审办法和标准以及政府采购合同的内容等。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一、采购文件的规定存在歧义、重大缺陷，导致评审工作无法进行的；</w:t>
      </w:r>
    </w:p>
    <w:p>
      <w:pPr>
        <w:pStyle w:val="null3"/>
        <w:ind w:firstLine="480"/>
        <w:jc w:val="left"/>
      </w:pPr>
      <w:r>
        <w:rPr>
          <w:rFonts w:ascii="仿宋_GB2312" w:hAnsi="仿宋_GB2312" w:cs="仿宋_GB2312" w:eastAsia="仿宋_GB2312"/>
        </w:rPr>
        <w:t>二、采购项目属于国家规定的优先、强制采购范围，但是采购文件未依法体现优先、强制采购相关规定的；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三、采购项目属于政府采购促进中小企业发展的范围，但是采购文件未依法体现促进中小企业发展相关规定的；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四、采购文件载明的成交原则不合法的；</w:t>
      </w:r>
    </w:p>
    <w:p>
      <w:pPr>
        <w:pStyle w:val="null3"/>
        <w:ind w:firstLine="480"/>
        <w:jc w:val="left"/>
      </w:pPr>
      <w:r>
        <w:rPr>
          <w:rFonts w:ascii="仿宋_GB2312" w:hAnsi="仿宋_GB2312" w:cs="仿宋_GB2312" w:eastAsia="仿宋_GB2312"/>
        </w:rPr>
        <w:t>五、采购文件有违反国家其他有关强制性规定的情形。</w:t>
      </w:r>
    </w:p>
    <w:p>
      <w:pPr>
        <w:pStyle w:val="null3"/>
        <w:ind w:firstLine="480"/>
        <w:jc w:val="left"/>
      </w:pPr>
      <w:r>
        <w:rPr>
          <w:rFonts w:ascii="仿宋_GB2312" w:hAnsi="仿宋_GB2312" w:cs="仿宋_GB2312" w:eastAsia="仿宋_GB2312"/>
        </w:rPr>
        <w:t>出现上述应当停止评审情形的，协商小组应当通过交易系统向采购人、代理机构提交相关说明材料，说明停止评审的情形和具体理由。除上述情形外，协商小组不得以任何方式和理由停止评审。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协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网上开启完成后，由协商小组依据法律法规和采购文件的规定，对成功解密的响应文件中供应商资格证明等进行审查并出具资格审查报告。资格审查标准及要求如下：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协商小组依据采购文件的符合性审查要求，对符合资格要求供应商的响应文件进行符合性审查。</w:t>
      </w:r>
    </w:p>
    <w:p>
      <w:pPr>
        <w:pStyle w:val="null3"/>
        <w:ind w:firstLine="480"/>
        <w:jc w:val="left"/>
      </w:pPr>
      <w:r>
        <w:rPr>
          <w:rFonts w:ascii="仿宋_GB2312" w:hAnsi="仿宋_GB2312" w:cs="仿宋_GB2312" w:eastAsia="仿宋_GB2312"/>
        </w:rPr>
        <w:t>在符合性审查过程中，如果出现协商小组成员意见不一致的情况，按照少数服从多数的原则确定，但不得违反政府采购基本原则和采购文件规定。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采购文件中所有实质性要求（包含但不 限于所 有★条款要求）</w:t>
            </w:r>
          </w:p>
        </w:tc>
        <w:tc>
          <w:tcPr>
            <w:tcW w:type="dxa" w:w="3322"/>
          </w:tcPr>
          <w:p>
            <w:pPr>
              <w:pStyle w:val="null3"/>
              <w:jc w:val="left"/>
            </w:pPr>
            <w:r>
              <w:rPr>
                <w:rFonts w:ascii="仿宋_GB2312" w:hAnsi="仿宋_GB2312" w:cs="仿宋_GB2312" w:eastAsia="仿宋_GB2312"/>
              </w:rPr>
              <w:t>采购文件中所有实质性要求（包含但不 限于所 有★条款要求）</w:t>
            </w:r>
          </w:p>
        </w:tc>
        <w:tc>
          <w:tcPr>
            <w:tcW w:type="dxa" w:w="1661"/>
          </w:tcPr>
          <w:p>
            <w:pPr>
              <w:pStyle w:val="null3"/>
              <w:jc w:val="left"/>
            </w:pPr>
            <w:r>
              <w:rPr>
                <w:rFonts w:ascii="仿宋_GB2312" w:hAnsi="仿宋_GB2312" w:cs="仿宋_GB2312" w:eastAsia="仿宋_GB2312"/>
              </w:rPr>
              <w:t>技术要求应答表,供应商应提交的相关证明材料,商务要求应答表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协商小组发现供应商还存在未响应采购文件实质性要求的，则按无效响应处理，并在协商情况记录中载明未通过符合性审查的具体原因。</w:t>
      </w:r>
    </w:p>
    <w:p>
      <w:pPr>
        <w:pStyle w:val="null3"/>
        <w:jc w:val="left"/>
        <w:outlineLvl w:val="3"/>
      </w:pPr>
      <w:r>
        <w:rPr>
          <w:rFonts w:ascii="仿宋_GB2312" w:hAnsi="仿宋_GB2312" w:cs="仿宋_GB2312" w:eastAsia="仿宋_GB2312"/>
          <w:sz w:val="24"/>
          <w:b/>
        </w:rPr>
        <w:t>5.3.5.协商</w:t>
      </w:r>
    </w:p>
    <w:p>
      <w:pPr>
        <w:pStyle w:val="null3"/>
        <w:ind w:firstLine="480"/>
        <w:jc w:val="left"/>
      </w:pPr>
      <w:r>
        <w:rPr>
          <w:rFonts w:ascii="仿宋_GB2312" w:hAnsi="仿宋_GB2312" w:cs="仿宋_GB2312" w:eastAsia="仿宋_GB2312"/>
        </w:rPr>
        <w:t>一、协商小组按照采购文件的规定与邀请参加协商的供应商进行协商， 供应商应随时关注交易系统信息，及时参与在线协商。供应商登录交易系统进入等候大厅（找到对应项目），与协商小组进行在线协商、提交供应商响应表，供应商响应表应加盖供应商（法定名称）电子印章。协商结束前，供应商应随时关注系统提示，及时通过交易系统在线响应协商小组发出的协商邀请，签章并确认提交成功。未在规定时间内回复将不能提交，视为供应商自行放弃该轮协商，其损失由供应商承担。</w:t>
      </w:r>
    </w:p>
    <w:p>
      <w:pPr>
        <w:pStyle w:val="null3"/>
        <w:ind w:firstLine="480"/>
        <w:jc w:val="left"/>
      </w:pPr>
      <w:r>
        <w:rPr>
          <w:rFonts w:ascii="仿宋_GB2312" w:hAnsi="仿宋_GB2312" w:cs="仿宋_GB2312" w:eastAsia="仿宋_GB2312"/>
        </w:rPr>
        <w:t>二、协商小组负责与供应商（邀请参加单一来源采购的供应商为资格条件符合采购人要求的合格供应商）就第四章规定的可实质性变动的内容进行协商确定成交价格。</w:t>
      </w:r>
    </w:p>
    <w:p>
      <w:pPr>
        <w:pStyle w:val="null3"/>
        <w:ind w:firstLine="480"/>
        <w:jc w:val="left"/>
      </w:pPr>
      <w:r>
        <w:rPr>
          <w:rFonts w:ascii="仿宋_GB2312" w:hAnsi="仿宋_GB2312" w:cs="仿宋_GB2312" w:eastAsia="仿宋_GB2312"/>
        </w:rPr>
        <w:t>三、协商过程中，供应商可以根据协商情况变更其响应文件，并将变更内容以澄清函形式在线提交协商小组。澄清函作为响应文件的一部分，应加盖供应商（法定名称）电子印章，否则无效。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四、提交供应商响应表、协商过程中的书面材料往来均通过交易系统传递，协商小组成员和供应商加盖电子印章后生效。协商小组成员出现无法在线签章的特殊情况，可以线下签署报告，由代理机构对原件扫描后以附件形式上传。</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一、协商结束后，协商小组可以根据协商情况要求供应商在规定时间内进行最后报价。协商小组开启报价后，供应商应随时关注交易系统信息，登录交易系统，通过“等候大厅”进行报价并签章后提交。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二、供应商在未提高响应文件中承诺的标准情况下，其最后报价不得高于对该项目之前的报价，否则，协商小组将对其响应文件作无效处理，并通过交易系统告知供应商，说明理由。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三、供应商未按协商小组要求在规定时间内提交报价的，视为无效响应，由供应商自行承担不利后果。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（三）供应商的最后报价符合采购文件的要求。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六、最后报价出现下列情况的，除采购文件另有规定外，按以下原则处理：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七、评审过程中出现下列情形之一的，协商小组应当启动异常低价响应审查程序：</w:t>
      </w:r>
    </w:p>
    <w:p>
      <w:pPr>
        <w:pStyle w:val="null3"/>
        <w:ind w:firstLine="480"/>
        <w:jc w:val="left"/>
      </w:pPr>
      <w:r>
        <w:rPr>
          <w:rFonts w:ascii="仿宋_GB2312" w:hAnsi="仿宋_GB2312" w:cs="仿宋_GB2312" w:eastAsia="仿宋_GB2312"/>
        </w:rPr>
        <w:t xml:space="preserve">1.响应报价低于采购项目（采购包）最高限价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2.协商小组基于专业判断，认为供应商报价过低，有可能影响产品质量或者不能诚信履约的其他情形。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协商小组启动异常低价响应审查后，属于前述第1项和第2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协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协商小组应当将其作为无效响应处理。</w:t>
      </w:r>
    </w:p>
    <w:p>
      <w:pPr>
        <w:pStyle w:val="null3"/>
        <w:ind w:firstLine="480"/>
        <w:jc w:val="left"/>
      </w:pPr>
      <w:r>
        <w:rPr>
          <w:rFonts w:ascii="仿宋_GB2312" w:hAnsi="仿宋_GB2312" w:cs="仿宋_GB2312" w:eastAsia="仿宋_GB2312"/>
        </w:rPr>
        <w:t>八、供应商最后报价无效的，本次采购活动终止，并发布终止公告。</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一、评审过程中，协商小组认为采购文件有关事项表述不明确或需要说明的，可以要求采购人或者代理机构书面解释。采购人或者代理机构的解释不得改变采购文件的原义或者影响公平、公正。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协商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协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三、代理机构宣布评审结束之前，供应商应通过交易系统随时关注消息提示，及时响应协商小组发出的澄清、说明或者更正要求。供应商未能及时响应的，自行承担不利后果。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四、协商小组应当积极履行澄清、说明或者更正的职责，不得滥用权力。供应商的响应文件可以要求澄清、说明或者更正的，不得未经澄清、说明或者更正而直接作无效响应处理。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5.3.8.代理机构现场复核评审结果</w:t>
      </w:r>
    </w:p>
    <w:p>
      <w:pPr>
        <w:pStyle w:val="null3"/>
        <w:ind w:firstLine="480"/>
        <w:jc w:val="left"/>
      </w:pPr>
      <w:r>
        <w:rPr>
          <w:rFonts w:ascii="仿宋_GB2312" w:hAnsi="仿宋_GB2312" w:cs="仿宋_GB2312" w:eastAsia="仿宋_GB2312"/>
        </w:rPr>
        <w:t>一、供应商最后报价结束后，协商小组拟出具协商报告前，代理机构应当组织2名以上的本单位工作人员，在采购现场监督人员的监督之下，依据有关的法律制度和采购文件对评审结果进行复核，出具复核报告。存在资格审查认定错误的，代理机构应当根据情况书面建议协商小组现场修改评审结果或者重新评审，由协商小组自主决定是否采纳代理机构的书面建议，并承担独立评审责任。</w:t>
      </w:r>
    </w:p>
    <w:p>
      <w:pPr>
        <w:pStyle w:val="null3"/>
        <w:ind w:firstLine="480"/>
        <w:jc w:val="left"/>
      </w:pPr>
      <w:r>
        <w:rPr>
          <w:rFonts w:ascii="仿宋_GB2312" w:hAnsi="仿宋_GB2312" w:cs="仿宋_GB2312" w:eastAsia="仿宋_GB2312"/>
        </w:rPr>
        <w:t>二、协商小组采纳代理机构书面建议的，应当按照规定现场通过交易系统修改评审结果或者重新评审，并在协商情况记录中详细记载有关事宜；不采纳代理机构书面建议的，应当书面说明理由。代理机构书面建议未被协商小组采纳的，应当按照规定程序要求继续组织实施采购活动，不得擅自中止采购活动。代理机构认为协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三、代理机构复核过程中，协商小组成员不得离开评审现场。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协商小组未按照采购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5.3.9.出具协商情况记录</w:t>
      </w:r>
    </w:p>
    <w:p>
      <w:pPr>
        <w:pStyle w:val="null3"/>
        <w:ind w:firstLine="480"/>
        <w:jc w:val="left"/>
      </w:pPr>
      <w:r>
        <w:rPr>
          <w:rFonts w:ascii="仿宋_GB2312" w:hAnsi="仿宋_GB2312" w:cs="仿宋_GB2312" w:eastAsia="仿宋_GB2312"/>
        </w:rPr>
        <w:t>协商小组在交易系统中编制评审情况，出具协商情况记录。</w:t>
      </w:r>
    </w:p>
    <w:p>
      <w:pPr>
        <w:pStyle w:val="null3"/>
        <w:ind w:firstLine="480"/>
        <w:jc w:val="left"/>
      </w:pPr>
      <w:r>
        <w:rPr>
          <w:rFonts w:ascii="仿宋_GB2312" w:hAnsi="仿宋_GB2312" w:cs="仿宋_GB2312" w:eastAsia="仿宋_GB2312"/>
        </w:rPr>
        <w:t>协商情况记录是协商小组根据全体成员签署的原始协商记录和协商结果编写的报告。主要内容包括：</w:t>
      </w:r>
    </w:p>
    <w:p>
      <w:pPr>
        <w:pStyle w:val="null3"/>
        <w:ind w:firstLine="480"/>
        <w:jc w:val="left"/>
      </w:pPr>
      <w:r>
        <w:rPr>
          <w:rFonts w:ascii="仿宋_GB2312" w:hAnsi="仿宋_GB2312" w:cs="仿宋_GB2312" w:eastAsia="仿宋_GB2312"/>
        </w:rPr>
        <w:t>一、单一来源公示情况说明（属于《政府采购非招标采购方式管理办法》第三十八条规定情形的，必须包含公示情况说明）；</w:t>
      </w:r>
    </w:p>
    <w:p>
      <w:pPr>
        <w:pStyle w:val="null3"/>
        <w:ind w:firstLine="480"/>
        <w:jc w:val="left"/>
      </w:pPr>
      <w:r>
        <w:rPr>
          <w:rFonts w:ascii="仿宋_GB2312" w:hAnsi="仿宋_GB2312" w:cs="仿宋_GB2312" w:eastAsia="仿宋_GB2312"/>
        </w:rPr>
        <w:t>二、协商日期和地点，协商小组成员名单；</w:t>
      </w:r>
    </w:p>
    <w:p>
      <w:pPr>
        <w:pStyle w:val="null3"/>
        <w:ind w:firstLine="480"/>
        <w:jc w:val="left"/>
      </w:pPr>
      <w:r>
        <w:rPr>
          <w:rFonts w:ascii="仿宋_GB2312" w:hAnsi="仿宋_GB2312" w:cs="仿宋_GB2312" w:eastAsia="仿宋_GB2312"/>
        </w:rPr>
        <w:t>三、供应商提供的采购标的成本、同类项目合同价格以及相关专利、专有技术等情况说明；</w:t>
      </w:r>
    </w:p>
    <w:p>
      <w:pPr>
        <w:pStyle w:val="null3"/>
        <w:ind w:firstLine="480"/>
        <w:jc w:val="left"/>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评审结果经代理机构核对无误后，协商小组成员应当在协商报告中签字或加盖电子印章确认。协商报告签署前，协商小组成员可以对已评环节的评审意见进行修改调整，并在协商报告中进行记录。协商报告签署后，评审意见生效，除符合政府采购法律制度规定情形外，任何单位和个人不得擅自改变评审结果。协商小组成员签字但未写明不同意见或者未说明理由的，视同无意见；拒不签字或加盖电子印章又未另行说明其不同意见和理由的，视同同意评审结果。</w:t>
      </w:r>
    </w:p>
    <w:p>
      <w:pPr>
        <w:pStyle w:val="null3"/>
        <w:ind w:firstLine="480"/>
        <w:jc w:val="left"/>
      </w:pPr>
      <w:r>
        <w:rPr>
          <w:rFonts w:ascii="仿宋_GB2312" w:hAnsi="仿宋_GB2312" w:cs="仿宋_GB2312" w:eastAsia="仿宋_GB2312"/>
        </w:rPr>
        <w:t>协商小组成员复核、确认各自评审意见，汇总形成评审结果，采购人或者代理机构按规定进行核对。复核、核对发现存在财政部规定应当修改评审结果的情形，协商小组、采购人、代理机构应当依法进行处理；复核、核对无误后，协商小组按规定编写、签署协商情况记录。</w:t>
      </w:r>
    </w:p>
    <w:p>
      <w:pPr>
        <w:pStyle w:val="null3"/>
        <w:jc w:val="left"/>
        <w:outlineLvl w:val="3"/>
      </w:pPr>
      <w:r>
        <w:rPr>
          <w:rFonts w:ascii="仿宋_GB2312" w:hAnsi="仿宋_GB2312" w:cs="仿宋_GB2312" w:eastAsia="仿宋_GB2312"/>
          <w:sz w:val="24"/>
          <w:b/>
        </w:rPr>
        <w:t>5.3.10.争议处理规则</w:t>
      </w:r>
    </w:p>
    <w:p>
      <w:pPr>
        <w:pStyle w:val="null3"/>
        <w:ind w:firstLine="480"/>
        <w:jc w:val="left"/>
      </w:pPr>
      <w:r>
        <w:rPr>
          <w:rFonts w:ascii="仿宋_GB2312" w:hAnsi="仿宋_GB2312" w:cs="仿宋_GB2312" w:eastAsia="仿宋_GB2312"/>
        </w:rPr>
        <w:t>协商小组在协商过程中应当以少数服从多数的原则作出结论，但不得违反法律法规和采购文件规定。持不同意见的协商小组成员应当在协商报告上明确不同意见及理由，否则视同无意见。持不同意见的协商小组成员认为认定过程和结果不符合法律法规或者采购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5.4.评审细则及标准</w:t>
      </w:r>
    </w:p>
    <w:p>
      <w:pPr>
        <w:pStyle w:val="null3"/>
        <w:jc w:val="left"/>
        <w:outlineLvl w:val="3"/>
      </w:pPr>
      <w:r>
        <w:rPr>
          <w:rFonts w:ascii="仿宋_GB2312" w:hAnsi="仿宋_GB2312" w:cs="仿宋_GB2312" w:eastAsia="仿宋_GB2312"/>
          <w:sz w:val="24"/>
          <w:b/>
        </w:rPr>
        <w:t>价格评审细则</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经评标委员会评审，通过资格和符合性审查，且投标报价最低的投标人的投标报价作为评标基准价。2.投标报价得分=(评标基准价／投标报价)×100。</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5.5.终止采购活动情形</w:t>
      </w:r>
    </w:p>
    <w:p>
      <w:pPr>
        <w:pStyle w:val="null3"/>
        <w:ind w:firstLine="480"/>
        <w:jc w:val="left"/>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一、因情况变化，不再符合规定的单一来源采购方式使用情形的；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三、报价超过采购预算的；</w:t>
      </w:r>
    </w:p>
    <w:p>
      <w:pPr>
        <w:pStyle w:val="null3"/>
        <w:ind w:firstLine="480"/>
        <w:jc w:val="left"/>
      </w:pPr>
      <w:r>
        <w:rPr>
          <w:rFonts w:ascii="仿宋_GB2312" w:hAnsi="仿宋_GB2312" w:cs="仿宋_GB2312" w:eastAsia="仿宋_GB2312"/>
        </w:rPr>
        <w:t>四、无法商定合理的成交价格或者无法保证采购项目质量。</w:t>
      </w:r>
    </w:p>
    <w:p>
      <w:pPr>
        <w:pStyle w:val="null3"/>
        <w:jc w:val="left"/>
        <w:outlineLvl w:val="2"/>
      </w:pPr>
      <w:r>
        <w:rPr>
          <w:rFonts w:ascii="仿宋_GB2312" w:hAnsi="仿宋_GB2312" w:cs="仿宋_GB2312" w:eastAsia="仿宋_GB2312"/>
          <w:sz w:val="28"/>
          <w:b/>
        </w:rPr>
        <w:t>5.6.确定供应商成交</w:t>
      </w:r>
    </w:p>
    <w:p>
      <w:pPr>
        <w:pStyle w:val="null3"/>
        <w:jc w:val="left"/>
      </w:pPr>
      <w:r>
        <w:rPr>
          <w:rFonts w:ascii="仿宋_GB2312" w:hAnsi="仿宋_GB2312" w:cs="仿宋_GB2312" w:eastAsia="仿宋_GB2312"/>
        </w:rPr>
        <w:t>一、评审结束后，代理机构在评审结束后2个工作日内将协商情况记录送交采购人。</w:t>
      </w:r>
    </w:p>
    <w:p>
      <w:pPr>
        <w:pStyle w:val="null3"/>
        <w:jc w:val="left"/>
      </w:pPr>
      <w:r>
        <w:rPr>
          <w:rFonts w:ascii="仿宋_GB2312" w:hAnsi="仿宋_GB2312" w:cs="仿宋_GB2312" w:eastAsia="仿宋_GB2312"/>
        </w:rPr>
        <w:t>二、采购人应当自收到协商情况记录之日起5个工作日内，在协商情况记录确定的成交候选人名单中按顺序确定成交人，未按协商情况记录推荐的成交候选人顺序确定成交人，又不能说明合法理由的，视同按协商情况记录推荐的顺序确定排名第一的成交候选人为成交人。</w:t>
      </w:r>
    </w:p>
    <w:p>
      <w:pPr>
        <w:pStyle w:val="null3"/>
        <w:jc w:val="left"/>
      </w:pPr>
      <w:r>
        <w:rPr>
          <w:rFonts w:ascii="仿宋_GB2312" w:hAnsi="仿宋_GB2312" w:cs="仿宋_GB2312" w:eastAsia="仿宋_GB2312"/>
        </w:rPr>
        <w:t>三、采购人或者代理机构应当自确定之日起2个工作日内，在四川政府采购网公告成交结果，采购文件应当随成交结果同时公告。</w:t>
      </w:r>
    </w:p>
    <w:p>
      <w:pPr>
        <w:pStyle w:val="null3"/>
        <w:jc w:val="left"/>
        <w:outlineLvl w:val="2"/>
      </w:pPr>
      <w:r>
        <w:rPr>
          <w:rFonts w:ascii="仿宋_GB2312" w:hAnsi="仿宋_GB2312" w:cs="仿宋_GB2312" w:eastAsia="仿宋_GB2312"/>
          <w:sz w:val="28"/>
          <w:b/>
        </w:rPr>
        <w:t>5.7.协商小组义务</w:t>
      </w:r>
    </w:p>
    <w:p>
      <w:pPr>
        <w:pStyle w:val="null3"/>
        <w:ind w:firstLine="480"/>
        <w:jc w:val="left"/>
      </w:pPr>
      <w:r>
        <w:rPr>
          <w:rFonts w:ascii="仿宋_GB2312" w:hAnsi="仿宋_GB2312" w:cs="仿宋_GB2312" w:eastAsia="仿宋_GB2312"/>
        </w:rPr>
        <w:t>协商小组在政府采购活动中应当履行下列义务：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四、及时向监督管理部门报告评审过程中的违法违规情况，包括采购人、代理机构向专业人员作出倾向性、误导性的解释或者说明情况，供应商行贿、提供虚假材料或者串通情况，其他非法干预评审情况等；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五、发现采购文件内容违反国家有关强制性规定或者存在歧义、重大缺陷导致评审工作无法进行时，停止评审并通过交易系统向代理机构书面说明情况，说明停止评审的情形和具体理由；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5.8.协商小组成员工作纪律</w:t>
      </w:r>
    </w:p>
    <w:p>
      <w:pPr>
        <w:pStyle w:val="null3"/>
        <w:ind w:firstLine="480"/>
        <w:jc w:val="left"/>
      </w:pPr>
      <w:r>
        <w:rPr>
          <w:rFonts w:ascii="仿宋_GB2312" w:hAnsi="仿宋_GB2312" w:cs="仿宋_GB2312" w:eastAsia="仿宋_GB2312"/>
        </w:rPr>
        <w:t>协商小组成员在政府采购活动中应当遵守以下工作纪律：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一、严格遵守政府采购法律制度关于协商小组成员回避的规定。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w:t>
      </w:r>
    </w:p>
    <w:p>
      <w:pPr>
        <w:pStyle w:val="null3"/>
        <w:ind w:firstLine="960"/>
        <w:jc w:val="left"/>
      </w:pPr>
      <w:r>
        <w:rPr>
          <w:rFonts w:ascii="仿宋_GB2312" w:hAnsi="仿宋_GB2312" w:cs="仿宋_GB2312" w:eastAsia="仿宋_GB2312"/>
        </w:rPr>
        <w:t>详见附件：商务要求应答表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