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75B3F">
      <w:pPr>
        <w:pStyle w:val="9"/>
        <w:spacing w:line="400" w:lineRule="atLeast"/>
        <w:rPr>
          <w:rFonts w:hint="eastAsia" w:ascii="宋体" w:hAnsi="宋体" w:eastAsia="宋体" w:cs="宋体"/>
          <w:b/>
          <w:bCs/>
          <w:color w:val="auto"/>
          <w:sz w:val="56"/>
          <w:szCs w:val="56"/>
          <w:highlight w:val="none"/>
          <w:shd w:val="clear" w:color="auto" w:fill="FFFFFF"/>
        </w:rPr>
      </w:pPr>
      <w:r>
        <w:rPr>
          <w:rFonts w:hint="eastAsia" w:ascii="宋体" w:hAnsi="宋体" w:eastAsia="宋体" w:cs="宋体"/>
          <w:color w:val="auto"/>
          <w:highlight w:val="none"/>
        </w:rPr>
        <w:drawing>
          <wp:anchor distT="0" distB="0" distL="114300" distR="114300" simplePos="0" relativeHeight="251660288" behindDoc="0" locked="0" layoutInCell="1" allowOverlap="1">
            <wp:simplePos x="0" y="0"/>
            <wp:positionH relativeFrom="column">
              <wp:posOffset>123825</wp:posOffset>
            </wp:positionH>
            <wp:positionV relativeFrom="paragraph">
              <wp:posOffset>-50800</wp:posOffset>
            </wp:positionV>
            <wp:extent cx="1068705" cy="1098550"/>
            <wp:effectExtent l="0" t="0" r="17145" b="6350"/>
            <wp:wrapSquare wrapText="bothSides"/>
            <wp:docPr id="1" name="图片 1" descr="0b75142a0897d021b345c2dbd4a0d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b75142a0897d021b345c2dbd4a0d4d"/>
                    <pic:cNvPicPr>
                      <a:picLocks noChangeAspect="1"/>
                    </pic:cNvPicPr>
                  </pic:nvPicPr>
                  <pic:blipFill>
                    <a:blip r:embed="rId7"/>
                    <a:stretch>
                      <a:fillRect/>
                    </a:stretch>
                  </pic:blipFill>
                  <pic:spPr>
                    <a:xfrm>
                      <a:off x="0" y="0"/>
                      <a:ext cx="1068705" cy="1098550"/>
                    </a:xfrm>
                    <a:prstGeom prst="rect">
                      <a:avLst/>
                    </a:prstGeom>
                    <a:noFill/>
                    <a:ln>
                      <a:noFill/>
                    </a:ln>
                  </pic:spPr>
                </pic:pic>
              </a:graphicData>
            </a:graphic>
          </wp:anchor>
        </w:drawing>
      </w:r>
    </w:p>
    <w:p w14:paraId="2543D255">
      <w:pPr>
        <w:pStyle w:val="9"/>
        <w:spacing w:line="400" w:lineRule="atLeast"/>
        <w:rPr>
          <w:rFonts w:hint="eastAsia" w:ascii="宋体" w:hAnsi="宋体" w:eastAsia="宋体" w:cs="宋体"/>
          <w:b/>
          <w:bCs/>
          <w:color w:val="auto"/>
          <w:sz w:val="96"/>
          <w:szCs w:val="96"/>
          <w:highlight w:val="none"/>
          <w:shd w:val="clear" w:color="auto" w:fill="FFFFFF"/>
        </w:rPr>
      </w:pPr>
    </w:p>
    <w:p w14:paraId="3B3052B1">
      <w:pPr>
        <w:pStyle w:val="9"/>
        <w:spacing w:line="400" w:lineRule="atLeast"/>
        <w:jc w:val="center"/>
        <w:rPr>
          <w:rFonts w:hint="eastAsia" w:ascii="宋体" w:hAnsi="宋体" w:eastAsia="宋体" w:cs="宋体"/>
          <w:b/>
          <w:bCs/>
          <w:color w:val="auto"/>
          <w:sz w:val="110"/>
          <w:szCs w:val="110"/>
          <w:highlight w:val="none"/>
          <w:shd w:val="clear" w:color="auto" w:fill="FFFFFF"/>
        </w:rPr>
      </w:pPr>
      <w:r>
        <w:rPr>
          <w:rFonts w:hint="eastAsia" w:ascii="宋体" w:hAnsi="宋体" w:eastAsia="宋体" w:cs="宋体"/>
          <w:b/>
          <w:bCs/>
          <w:color w:val="auto"/>
          <w:sz w:val="110"/>
          <w:szCs w:val="110"/>
          <w:highlight w:val="none"/>
          <w:shd w:val="clear" w:color="auto" w:fill="FFFFFF"/>
        </w:rPr>
        <w:t>政府采购</w:t>
      </w:r>
    </w:p>
    <w:p w14:paraId="4DA85CD6">
      <w:pPr>
        <w:pStyle w:val="9"/>
        <w:spacing w:line="400" w:lineRule="atLeast"/>
        <w:jc w:val="center"/>
        <w:rPr>
          <w:rFonts w:hint="eastAsia" w:ascii="宋体" w:hAnsi="宋体" w:eastAsia="宋体" w:cs="宋体"/>
          <w:b/>
          <w:bCs/>
          <w:color w:val="auto"/>
          <w:sz w:val="110"/>
          <w:szCs w:val="110"/>
          <w:highlight w:val="none"/>
          <w:shd w:val="clear" w:color="auto" w:fill="FFFFFF"/>
        </w:rPr>
      </w:pPr>
      <w:r>
        <w:rPr>
          <w:rFonts w:hint="eastAsia" w:ascii="宋体" w:hAnsi="宋体" w:eastAsia="宋体" w:cs="宋体"/>
          <w:b/>
          <w:bCs/>
          <w:color w:val="auto"/>
          <w:sz w:val="110"/>
          <w:szCs w:val="110"/>
          <w:highlight w:val="none"/>
          <w:shd w:val="clear" w:color="auto" w:fill="FFFFFF"/>
        </w:rPr>
        <w:t xml:space="preserve"> 竞争性磋商文件</w:t>
      </w:r>
    </w:p>
    <w:p w14:paraId="01592D55">
      <w:pPr>
        <w:pStyle w:val="9"/>
        <w:spacing w:line="400" w:lineRule="atLeast"/>
        <w:rPr>
          <w:rFonts w:hint="eastAsia" w:ascii="宋体" w:hAnsi="宋体" w:eastAsia="宋体" w:cs="宋体"/>
          <w:b/>
          <w:bCs/>
          <w:color w:val="auto"/>
          <w:sz w:val="30"/>
          <w:szCs w:val="30"/>
          <w:highlight w:val="none"/>
          <w:shd w:val="clear" w:color="auto" w:fill="FFFFFF"/>
        </w:rPr>
      </w:pPr>
      <w:r>
        <w:rPr>
          <w:rFonts w:hint="eastAsia" w:ascii="宋体" w:hAnsi="宋体" w:eastAsia="宋体" w:cs="宋体"/>
          <w:b/>
          <w:color w:val="auto"/>
          <w:sz w:val="24"/>
          <w:szCs w:val="24"/>
          <w:highlight w:val="none"/>
          <w:shd w:val="clear" w:color="auto" w:fill="FFFFFF"/>
        </w:rPr>
        <w:t xml:space="preserve">  </w:t>
      </w:r>
    </w:p>
    <w:p w14:paraId="327B4F8A">
      <w:pPr>
        <w:pStyle w:val="9"/>
        <w:spacing w:before="312" w:beforeLines="100" w:after="312" w:afterLines="100" w:line="500" w:lineRule="exact"/>
        <w:ind w:left="3003" w:leftChars="426" w:hanging="2108" w:hangingChars="700"/>
        <w:jc w:val="center"/>
        <w:rPr>
          <w:rFonts w:hint="eastAsia" w:ascii="宋体" w:hAnsi="宋体" w:eastAsia="宋体" w:cs="宋体"/>
          <w:b/>
          <w:bCs/>
          <w:color w:val="auto"/>
          <w:sz w:val="30"/>
          <w:szCs w:val="30"/>
          <w:highlight w:val="none"/>
          <w:shd w:val="clear" w:color="auto" w:fill="FFFFFF"/>
        </w:rPr>
      </w:pPr>
    </w:p>
    <w:p w14:paraId="0E7355AA">
      <w:pPr>
        <w:pStyle w:val="9"/>
        <w:spacing w:before="312" w:beforeLines="100" w:after="312" w:afterLines="100" w:line="500" w:lineRule="exact"/>
        <w:ind w:firstLine="602" w:firstLineChars="200"/>
        <w:rPr>
          <w:rFonts w:hint="eastAsia" w:ascii="宋体" w:hAnsi="宋体" w:eastAsia="宋体" w:cs="宋体"/>
          <w:b/>
          <w:bCs/>
          <w:color w:val="auto"/>
          <w:sz w:val="30"/>
          <w:szCs w:val="30"/>
          <w:highlight w:val="none"/>
          <w:u w:val="single"/>
          <w:shd w:val="clear" w:color="auto" w:fill="FFFFFF"/>
          <w:lang w:eastAsia="zh-CN"/>
        </w:rPr>
      </w:pPr>
      <w:r>
        <w:rPr>
          <w:rFonts w:hint="eastAsia" w:ascii="宋体" w:hAnsi="宋体" w:eastAsia="宋体" w:cs="宋体"/>
          <w:b/>
          <w:bCs/>
          <w:color w:val="auto"/>
          <w:sz w:val="30"/>
          <w:szCs w:val="30"/>
          <w:highlight w:val="none"/>
          <w:shd w:val="clear" w:color="auto" w:fill="FFFFFF"/>
        </w:rPr>
        <w:t>采购项目名称</w:t>
      </w:r>
      <w:bookmarkStart w:id="0" w:name="PO_T_PROJECTNAME"/>
      <w:r>
        <w:rPr>
          <w:rFonts w:hint="eastAsia" w:ascii="宋体" w:hAnsi="宋体" w:eastAsia="宋体" w:cs="宋体"/>
          <w:b/>
          <w:bCs/>
          <w:color w:val="auto"/>
          <w:sz w:val="30"/>
          <w:szCs w:val="30"/>
          <w:highlight w:val="none"/>
          <w:shd w:val="clear" w:color="auto" w:fill="FFFFFF"/>
        </w:rPr>
        <w:t>：</w:t>
      </w:r>
      <w:bookmarkEnd w:id="0"/>
      <w:r>
        <w:rPr>
          <w:rFonts w:hint="eastAsia" w:hAnsi="宋体" w:cs="宋体"/>
          <w:b/>
          <w:bCs/>
          <w:color w:val="auto"/>
          <w:sz w:val="28"/>
          <w:szCs w:val="28"/>
          <w:highlight w:val="none"/>
          <w:u w:val="single"/>
          <w:shd w:val="clear" w:color="auto" w:fill="FFFFFF"/>
          <w:lang w:eastAsia="zh-CN"/>
        </w:rPr>
        <w:t>郴州市第一人民医院妇产中心建设项目特殊装修工程（优生优育、产科实验室）</w:t>
      </w:r>
    </w:p>
    <w:p w14:paraId="729F1FCD">
      <w:pPr>
        <w:pStyle w:val="9"/>
        <w:spacing w:before="312" w:beforeLines="100" w:after="312" w:afterLines="100" w:line="500" w:lineRule="exact"/>
        <w:ind w:firstLine="602" w:firstLineChars="200"/>
        <w:rPr>
          <w:rFonts w:hint="eastAsia" w:ascii="宋体" w:hAnsi="宋体" w:eastAsia="宋体" w:cs="宋体"/>
          <w:b/>
          <w:bCs/>
          <w:color w:val="auto"/>
          <w:sz w:val="30"/>
          <w:szCs w:val="30"/>
          <w:highlight w:val="none"/>
          <w:shd w:val="clear" w:color="auto" w:fill="FFFFFF"/>
          <w:lang w:eastAsia="zh-CN"/>
        </w:rPr>
      </w:pPr>
      <w:r>
        <w:rPr>
          <w:rFonts w:hint="eastAsia" w:ascii="宋体" w:hAnsi="宋体" w:eastAsia="宋体" w:cs="宋体"/>
          <w:b/>
          <w:bCs/>
          <w:color w:val="auto"/>
          <w:sz w:val="30"/>
          <w:szCs w:val="30"/>
          <w:highlight w:val="none"/>
          <w:shd w:val="clear" w:color="auto" w:fill="FFFFFF"/>
        </w:rPr>
        <w:t>采购计划编号：</w:t>
      </w:r>
      <w:r>
        <w:rPr>
          <w:rFonts w:hint="eastAsia" w:hAnsi="宋体" w:cs="宋体"/>
          <w:b/>
          <w:bCs/>
          <w:color w:val="auto"/>
          <w:sz w:val="30"/>
          <w:szCs w:val="30"/>
          <w:highlight w:val="none"/>
          <w:u w:val="single"/>
          <w:shd w:val="clear" w:color="auto" w:fill="FFFFFF"/>
          <w:lang w:eastAsia="zh-CN"/>
        </w:rPr>
        <w:t>郴财采计[2025]0261号</w:t>
      </w:r>
    </w:p>
    <w:p w14:paraId="502DEDE0">
      <w:pPr>
        <w:pStyle w:val="9"/>
        <w:spacing w:before="312" w:beforeLines="100" w:after="312" w:afterLines="100" w:line="500" w:lineRule="exact"/>
        <w:ind w:firstLine="602" w:firstLineChars="200"/>
        <w:rPr>
          <w:rFonts w:hint="eastAsia" w:ascii="宋体" w:hAnsi="宋体" w:eastAsia="宋体" w:cs="宋体"/>
          <w:b/>
          <w:bCs/>
          <w:color w:val="auto"/>
          <w:sz w:val="30"/>
          <w:szCs w:val="30"/>
          <w:highlight w:val="none"/>
          <w:u w:val="single"/>
          <w:shd w:val="clear" w:color="auto" w:fill="FFFFFF"/>
          <w:lang w:eastAsia="zh-CN"/>
        </w:rPr>
      </w:pPr>
      <w:r>
        <w:rPr>
          <w:rFonts w:hint="eastAsia" w:ascii="宋体" w:hAnsi="宋体" w:eastAsia="宋体" w:cs="宋体"/>
          <w:b/>
          <w:bCs/>
          <w:color w:val="auto"/>
          <w:sz w:val="30"/>
          <w:szCs w:val="30"/>
          <w:highlight w:val="none"/>
          <w:shd w:val="clear" w:color="auto" w:fill="FFFFFF"/>
        </w:rPr>
        <w:t>采购代理机构编号：</w:t>
      </w:r>
      <w:r>
        <w:rPr>
          <w:rFonts w:hint="eastAsia" w:hAnsi="宋体" w:cs="宋体"/>
          <w:b/>
          <w:bCs/>
          <w:color w:val="auto"/>
          <w:sz w:val="30"/>
          <w:szCs w:val="30"/>
          <w:highlight w:val="none"/>
          <w:u w:val="single"/>
          <w:shd w:val="clear" w:color="auto" w:fill="FFFFFF"/>
          <w:lang w:eastAsia="zh-CN"/>
        </w:rPr>
        <w:t>GZ-ZFCG2025-011</w:t>
      </w:r>
    </w:p>
    <w:p w14:paraId="6BEF5591">
      <w:pPr>
        <w:pStyle w:val="9"/>
        <w:spacing w:before="312" w:beforeLines="100" w:after="312" w:afterLines="100" w:line="500" w:lineRule="exact"/>
        <w:ind w:firstLine="602" w:firstLineChars="200"/>
        <w:rPr>
          <w:rFonts w:hint="eastAsia" w:ascii="宋体" w:hAnsi="宋体" w:eastAsia="宋体" w:cs="宋体"/>
          <w:b/>
          <w:bCs/>
          <w:color w:val="auto"/>
          <w:sz w:val="30"/>
          <w:szCs w:val="30"/>
          <w:highlight w:val="none"/>
          <w:u w:val="single"/>
          <w:shd w:val="clear" w:color="auto" w:fill="FFFFFF"/>
        </w:rPr>
      </w:pPr>
      <w:r>
        <w:rPr>
          <w:rFonts w:hint="eastAsia" w:ascii="宋体" w:hAnsi="宋体" w:eastAsia="宋体" w:cs="宋体"/>
          <w:b/>
          <w:bCs/>
          <w:color w:val="auto"/>
          <w:sz w:val="30"/>
          <w:szCs w:val="30"/>
          <w:highlight w:val="none"/>
          <w:shd w:val="clear" w:color="auto" w:fill="FFFFFF"/>
        </w:rPr>
        <w:t>采  购 单 位：</w:t>
      </w:r>
      <w:r>
        <w:rPr>
          <w:rFonts w:hint="eastAsia" w:ascii="宋体" w:hAnsi="宋体" w:eastAsia="宋体" w:cs="宋体"/>
          <w:b/>
          <w:bCs/>
          <w:color w:val="auto"/>
          <w:sz w:val="30"/>
          <w:szCs w:val="30"/>
          <w:highlight w:val="none"/>
          <w:u w:val="single"/>
          <w:shd w:val="clear" w:color="auto" w:fill="FFFFFF"/>
          <w:lang w:eastAsia="zh-CN"/>
        </w:rPr>
        <w:t>郴州市第一人民医院</w:t>
      </w:r>
    </w:p>
    <w:p w14:paraId="747FC3C7">
      <w:pPr>
        <w:pStyle w:val="9"/>
        <w:spacing w:before="312" w:beforeLines="100" w:after="312" w:afterLines="100" w:line="500" w:lineRule="exact"/>
        <w:ind w:firstLine="602" w:firstLineChars="200"/>
        <w:rPr>
          <w:rFonts w:hint="eastAsia" w:ascii="宋体" w:hAnsi="宋体" w:eastAsia="宋体" w:cs="宋体"/>
          <w:b/>
          <w:bCs/>
          <w:color w:val="auto"/>
          <w:sz w:val="30"/>
          <w:szCs w:val="30"/>
          <w:highlight w:val="none"/>
          <w:shd w:val="clear" w:color="auto" w:fill="FFFFFF"/>
        </w:rPr>
      </w:pPr>
      <w:r>
        <w:rPr>
          <w:rFonts w:hint="eastAsia" w:ascii="宋体" w:hAnsi="宋体" w:eastAsia="宋体" w:cs="宋体"/>
          <w:b/>
          <w:bCs/>
          <w:color w:val="auto"/>
          <w:sz w:val="30"/>
          <w:szCs w:val="30"/>
          <w:highlight w:val="none"/>
          <w:shd w:val="clear" w:color="auto" w:fill="FFFFFF"/>
        </w:rPr>
        <w:t>采购代理机构名称：</w:t>
      </w:r>
      <w:r>
        <w:rPr>
          <w:rFonts w:hint="eastAsia" w:ascii="宋体" w:hAnsi="宋体" w:eastAsia="宋体" w:cs="宋体"/>
          <w:b/>
          <w:bCs/>
          <w:color w:val="auto"/>
          <w:sz w:val="30"/>
          <w:szCs w:val="30"/>
          <w:highlight w:val="none"/>
          <w:u w:val="single"/>
          <w:shd w:val="clear" w:color="auto" w:fill="FFFFFF"/>
          <w:lang w:eastAsia="zh-CN"/>
        </w:rPr>
        <w:t>国正聚源工程咨询集团有限公司</w:t>
      </w:r>
      <w:r>
        <w:rPr>
          <w:rFonts w:hint="eastAsia" w:ascii="宋体" w:hAnsi="宋体" w:eastAsia="宋体" w:cs="宋体"/>
          <w:b/>
          <w:bCs/>
          <w:color w:val="auto"/>
          <w:sz w:val="30"/>
          <w:szCs w:val="30"/>
          <w:highlight w:val="none"/>
          <w:shd w:val="clear" w:color="auto" w:fill="FFFFFF"/>
        </w:rPr>
        <w:t xml:space="preserve"> </w:t>
      </w:r>
    </w:p>
    <w:p w14:paraId="1CE2A28B">
      <w:pPr>
        <w:pStyle w:val="9"/>
        <w:spacing w:before="312" w:beforeLines="100" w:after="312" w:afterLines="100" w:line="500" w:lineRule="exact"/>
        <w:ind w:firstLine="904" w:firstLineChars="300"/>
        <w:rPr>
          <w:rFonts w:hint="eastAsia" w:ascii="宋体" w:hAnsi="宋体" w:eastAsia="宋体" w:cs="宋体"/>
          <w:b/>
          <w:bCs/>
          <w:color w:val="auto"/>
          <w:sz w:val="30"/>
          <w:szCs w:val="30"/>
          <w:highlight w:val="none"/>
          <w:shd w:val="clear" w:color="auto" w:fill="FFFFFF"/>
        </w:rPr>
      </w:pPr>
    </w:p>
    <w:p w14:paraId="731F88D2">
      <w:pPr>
        <w:pStyle w:val="9"/>
        <w:spacing w:line="600" w:lineRule="exact"/>
        <w:jc w:val="center"/>
        <w:rPr>
          <w:rFonts w:hint="eastAsia" w:ascii="宋体" w:hAnsi="宋体" w:eastAsia="宋体" w:cs="宋体"/>
          <w:b/>
          <w:color w:val="auto"/>
          <w:sz w:val="36"/>
          <w:szCs w:val="36"/>
          <w:highlight w:val="none"/>
        </w:rPr>
        <w:sectPr>
          <w:footerReference r:id="rId3" w:type="default"/>
          <w:pgSz w:w="11906" w:h="16838"/>
          <w:pgMar w:top="1440" w:right="1531" w:bottom="1361" w:left="1531" w:header="851" w:footer="992" w:gutter="0"/>
          <w:cols w:space="720" w:num="1"/>
          <w:docGrid w:type="lines" w:linePitch="312" w:charSpace="0"/>
        </w:sectPr>
      </w:pPr>
      <w:r>
        <w:rPr>
          <w:rFonts w:hint="eastAsia" w:ascii="宋体" w:hAnsi="宋体" w:eastAsia="宋体" w:cs="宋体"/>
          <w:b/>
          <w:bCs/>
          <w:color w:val="auto"/>
          <w:sz w:val="32"/>
          <w:szCs w:val="32"/>
          <w:highlight w:val="none"/>
          <w:shd w:val="clear" w:color="auto" w:fill="FFFFFF"/>
        </w:rPr>
        <w:t>202</w:t>
      </w:r>
      <w:r>
        <w:rPr>
          <w:rFonts w:hint="eastAsia" w:hAnsi="宋体" w:cs="宋体"/>
          <w:b/>
          <w:bCs/>
          <w:color w:val="auto"/>
          <w:sz w:val="32"/>
          <w:szCs w:val="32"/>
          <w:highlight w:val="none"/>
          <w:shd w:val="clear" w:color="auto" w:fill="FFFFFF"/>
          <w:lang w:val="en-US" w:eastAsia="zh-CN"/>
        </w:rPr>
        <w:t>5</w:t>
      </w:r>
      <w:r>
        <w:rPr>
          <w:rFonts w:hint="eastAsia" w:ascii="宋体" w:hAnsi="宋体" w:eastAsia="宋体" w:cs="宋体"/>
          <w:b/>
          <w:bCs/>
          <w:color w:val="auto"/>
          <w:sz w:val="32"/>
          <w:szCs w:val="32"/>
          <w:highlight w:val="none"/>
          <w:shd w:val="clear" w:color="auto" w:fill="FFFFFF"/>
        </w:rPr>
        <w:t>年</w:t>
      </w:r>
      <w:r>
        <w:rPr>
          <w:rFonts w:hint="eastAsia" w:hAnsi="宋体" w:cs="宋体"/>
          <w:b/>
          <w:bCs/>
          <w:color w:val="auto"/>
          <w:sz w:val="32"/>
          <w:szCs w:val="32"/>
          <w:highlight w:val="none"/>
          <w:shd w:val="clear" w:color="auto" w:fill="FFFFFF"/>
          <w:lang w:val="en-US" w:eastAsia="zh-CN"/>
        </w:rPr>
        <w:t>11</w:t>
      </w:r>
      <w:r>
        <w:rPr>
          <w:rFonts w:hint="eastAsia" w:ascii="宋体" w:hAnsi="宋体" w:eastAsia="宋体" w:cs="宋体"/>
          <w:b/>
          <w:bCs/>
          <w:color w:val="auto"/>
          <w:sz w:val="32"/>
          <w:szCs w:val="32"/>
          <w:highlight w:val="none"/>
          <w:shd w:val="clear" w:color="auto" w:fill="FFFFFF"/>
        </w:rPr>
        <w:t>月</w:t>
      </w:r>
      <w:bookmarkStart w:id="1" w:name="PO_S_DIR"/>
    </w:p>
    <w:p w14:paraId="49547379">
      <w:pPr>
        <w:pStyle w:val="12"/>
        <w:tabs>
          <w:tab w:val="right" w:leader="dot" w:pos="8732"/>
        </w:tabs>
        <w:jc w:val="center"/>
        <w:rPr>
          <w:rFonts w:hint="eastAsia" w:ascii="宋体" w:hAnsi="宋体" w:eastAsia="宋体" w:cs="宋体"/>
          <w:b/>
          <w:bCs/>
          <w:color w:val="auto"/>
          <w:sz w:val="28"/>
          <w:szCs w:val="22"/>
          <w:highlight w:val="none"/>
          <w:lang w:val="en-US" w:eastAsia="zh-CN"/>
        </w:rPr>
      </w:pPr>
      <w:r>
        <w:rPr>
          <w:rFonts w:hint="eastAsia" w:ascii="宋体" w:hAnsi="宋体" w:eastAsia="宋体" w:cs="宋体"/>
          <w:b/>
          <w:bCs/>
          <w:color w:val="auto"/>
          <w:sz w:val="28"/>
          <w:szCs w:val="22"/>
          <w:highlight w:val="none"/>
          <w:lang w:val="en-US" w:eastAsia="zh-CN"/>
        </w:rPr>
        <w:t>目     录</w:t>
      </w:r>
    </w:p>
    <w:p w14:paraId="60373CFA">
      <w:pPr>
        <w:pStyle w:val="12"/>
        <w:tabs>
          <w:tab w:val="right" w:leader="dot" w:pos="8732"/>
        </w:tabs>
        <w:rPr>
          <w:rFonts w:hint="eastAsia" w:ascii="宋体" w:hAnsi="宋体" w:eastAsia="宋体" w:cs="宋体"/>
          <w:color w:val="auto"/>
          <w:szCs w:val="21"/>
          <w:highlight w:val="none"/>
        </w:rPr>
      </w:pPr>
    </w:p>
    <w:p w14:paraId="1AE30FF1">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TOC \o "1-3" \h \z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_Toc10104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第一章 磋商邀请公告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_Toc10104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4F71ABEF">
      <w:pPr>
        <w:pStyle w:val="12"/>
        <w:tabs>
          <w:tab w:val="right" w:leader="dot" w:pos="8732"/>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_Toc176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第二章 磋商邀请须知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49FA752">
      <w:pPr>
        <w:pStyle w:val="15"/>
        <w:tabs>
          <w:tab w:val="right" w:leader="dot" w:pos="8732"/>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_Toc32437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磋商须知前附表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_Toc32437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00BAE40">
      <w:pPr>
        <w:pStyle w:val="15"/>
        <w:tabs>
          <w:tab w:val="right" w:leader="dot" w:pos="8732"/>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_Toc16405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磋商须知正文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_Toc16405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D9FF1B5">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_Toc13790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第三章 采购内容及要求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_Toc13790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34</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A05F313">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_Toc8763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第四章 政府采购合同格式条款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_Toc8763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423FE446">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_Toc16812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第五章 响应文件的组成</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_Toc16812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136A826">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_Toc3245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一、磋商响应声明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_Toc3245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42</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012013E">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_Toc27355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附件1 法定代表人身份证明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_Toc27355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43</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9CB657C">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_Toc8495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附件2 法定代表人授权书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_Toc8495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44</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47456606">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_Toc8267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附件3 工程质量保修书</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_Toc8267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52ACE48">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_Toc16031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附件4    中小企业声明函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_Toc16031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49</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C129F12">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_Toc19161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二、投标人的资格证明材料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_Toc19161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3E633F2">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_Toc505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附件5 投标人基本情况表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_Toc505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EC64D49">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_Toc21724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附件6 磋商文件规定的基本资格条件证明资料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_Toc21724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014F6A92">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_Toc4188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附件7 磋商文件规定的特定资格条件证明资料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_Toc4188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9AF8768">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_Toc10899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附件8 其他证明资料或说明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_Toc10899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D26C06C">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_Toc31290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三、施工组织设计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_Toc31290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52</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E919531">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_Toc25359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附件9    施工组织设计</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_Toc25359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52</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D41886A">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_Toc18723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附件10    项目管理机构</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_Toc18723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53</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10B727D">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_Toc32092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附件11   施工项目部关键岗位人员无在建工程承诺函</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_Toc32092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55</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D93C666">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_Toc5320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附件12     参加政府采购活动前三年内在经营活动中</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_Toc5320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1C49C1A1">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_Toc15344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没有重大违法记录的书面声明</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_Toc15344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56</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AD33422">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_Toc8484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四、商务/技术响应与偏离表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_Toc8484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57</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DCFA574">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_Toc14514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五、投标报价一览表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_Toc14514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115FE13">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_Toc22262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附件13-1 投标报价一览表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_Toc22262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58</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4BCF8F0">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_Toc24085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附件13-2 分项价格表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_Toc24085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59</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3D31A0EA">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_Toc12518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六、投标人认为需要提供的其它资料</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_Toc12518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60</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2AD4F173">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_Toc5653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七、最后报价（格式）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_Toc5653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5C1E2F74">
      <w:pPr>
        <w:pStyle w:val="12"/>
        <w:tabs>
          <w:tab w:val="right" w:leader="dot" w:pos="8732"/>
        </w:tabs>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_Toc19221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32"/>
          <w:highlight w:val="none"/>
        </w:rPr>
        <w:t>最后报价表</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_Toc19221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61</w:t>
      </w:r>
      <w:r>
        <w:rPr>
          <w:rFonts w:hint="eastAsia" w:ascii="宋体" w:hAnsi="宋体" w:eastAsia="宋体" w:cs="宋体"/>
          <w:color w:val="auto"/>
          <w:highlight w:val="none"/>
        </w:rPr>
        <w:fldChar w:fldCharType="end"/>
      </w:r>
      <w:r>
        <w:rPr>
          <w:rFonts w:hint="eastAsia" w:ascii="宋体" w:hAnsi="宋体" w:eastAsia="宋体" w:cs="宋体"/>
          <w:color w:val="auto"/>
          <w:szCs w:val="21"/>
          <w:highlight w:val="none"/>
        </w:rPr>
        <w:fldChar w:fldCharType="end"/>
      </w:r>
    </w:p>
    <w:p w14:paraId="68685CED">
      <w:pPr>
        <w:tabs>
          <w:tab w:val="center" w:pos="4422"/>
        </w:tabs>
        <w:spacing w:line="380" w:lineRule="exact"/>
        <w:rPr>
          <w:rFonts w:hint="eastAsia" w:ascii="宋体" w:hAnsi="宋体" w:eastAsia="宋体" w:cs="宋体"/>
          <w:color w:val="auto"/>
          <w:highlight w:val="none"/>
        </w:rPr>
      </w:pP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ab/>
      </w:r>
    </w:p>
    <w:p w14:paraId="39B899AF">
      <w:pPr>
        <w:rPr>
          <w:rFonts w:hint="eastAsia" w:ascii="宋体" w:hAnsi="宋体" w:eastAsia="宋体" w:cs="宋体"/>
          <w:b/>
          <w:color w:val="auto"/>
          <w:sz w:val="32"/>
          <w:szCs w:val="32"/>
          <w:highlight w:val="none"/>
        </w:rPr>
      </w:pPr>
      <w:r>
        <w:rPr>
          <w:rFonts w:hint="eastAsia" w:ascii="宋体" w:hAnsi="宋体" w:eastAsia="宋体" w:cs="宋体"/>
          <w:color w:val="auto"/>
          <w:highlight w:val="none"/>
        </w:rPr>
        <w:t xml:space="preserve">         </w:t>
      </w:r>
      <w:bookmarkStart w:id="2" w:name="_Toc482133450"/>
      <w:bookmarkStart w:id="3" w:name="_Toc2593131"/>
      <w:bookmarkStart w:id="4" w:name="_Toc4506118"/>
      <w:bookmarkStart w:id="5" w:name="_Toc489263705"/>
      <w:bookmarkStart w:id="6" w:name="_Toc2674690"/>
      <w:bookmarkStart w:id="7" w:name="_Toc521048943"/>
      <w:bookmarkStart w:id="8" w:name="_Toc2674895"/>
      <w:bookmarkStart w:id="9" w:name="_Toc498186716"/>
      <w:bookmarkStart w:id="10" w:name="_Toc496459160"/>
      <w:bookmarkStart w:id="11" w:name="_Toc522285650"/>
      <w:bookmarkStart w:id="12" w:name="_Toc2684028"/>
      <w:bookmarkStart w:id="13" w:name="_Toc2951769"/>
      <w:bookmarkStart w:id="14" w:name="_Toc497049048"/>
    </w:p>
    <w:p w14:paraId="13F9B3D4">
      <w:pPr>
        <w:widowControl/>
        <w:spacing w:before="75" w:line="420" w:lineRule="atLeast"/>
        <w:ind w:firstLine="2880" w:firstLineChars="900"/>
        <w:outlineLvl w:val="0"/>
        <w:rPr>
          <w:rFonts w:hint="eastAsia" w:ascii="宋体" w:hAnsi="宋体" w:eastAsia="宋体" w:cs="宋体"/>
          <w:b/>
          <w:color w:val="auto"/>
          <w:sz w:val="32"/>
          <w:szCs w:val="32"/>
          <w:highlight w:val="none"/>
        </w:rPr>
      </w:pPr>
    </w:p>
    <w:p w14:paraId="7AD0A2A4">
      <w:pPr>
        <w:widowControl/>
        <w:spacing w:before="75" w:line="420" w:lineRule="atLeast"/>
        <w:ind w:firstLine="2880" w:firstLineChars="900"/>
        <w:outlineLvl w:val="0"/>
        <w:rPr>
          <w:rFonts w:hint="eastAsia" w:ascii="宋体" w:hAnsi="宋体" w:eastAsia="宋体" w:cs="宋体"/>
          <w:b/>
          <w:color w:val="auto"/>
          <w:sz w:val="32"/>
          <w:szCs w:val="32"/>
          <w:highlight w:val="none"/>
        </w:rPr>
      </w:pPr>
    </w:p>
    <w:p w14:paraId="3F2C68E4">
      <w:pPr>
        <w:rPr>
          <w:rFonts w:hint="eastAsia" w:ascii="宋体" w:hAnsi="宋体" w:eastAsia="宋体" w:cs="宋体"/>
          <w:b/>
          <w:color w:val="auto"/>
          <w:sz w:val="32"/>
          <w:szCs w:val="32"/>
          <w:highlight w:val="none"/>
        </w:rPr>
      </w:pPr>
      <w:bookmarkStart w:id="15" w:name="_Toc10104"/>
      <w:r>
        <w:rPr>
          <w:rFonts w:hint="eastAsia" w:ascii="宋体" w:hAnsi="宋体" w:eastAsia="宋体" w:cs="宋体"/>
          <w:b/>
          <w:color w:val="auto"/>
          <w:sz w:val="32"/>
          <w:szCs w:val="32"/>
          <w:highlight w:val="none"/>
        </w:rPr>
        <w:br w:type="page"/>
      </w:r>
    </w:p>
    <w:p w14:paraId="26333E8D">
      <w:pPr>
        <w:widowControl/>
        <w:spacing w:before="75" w:line="420" w:lineRule="atLeast"/>
        <w:ind w:firstLine="2880" w:firstLineChars="900"/>
        <w:outlineLvl w:val="0"/>
        <w:rPr>
          <w:rFonts w:hint="eastAsia" w:ascii="宋体" w:hAnsi="宋体" w:eastAsia="宋体" w:cs="宋体"/>
          <w:color w:val="auto"/>
          <w:kern w:val="0"/>
          <w:szCs w:val="21"/>
          <w:highlight w:val="none"/>
          <w:lang w:bidi="ar"/>
        </w:rPr>
      </w:pPr>
      <w:r>
        <w:rPr>
          <w:rFonts w:hint="eastAsia" w:ascii="宋体" w:hAnsi="宋体" w:eastAsia="宋体" w:cs="宋体"/>
          <w:b/>
          <w:color w:val="auto"/>
          <w:sz w:val="32"/>
          <w:szCs w:val="32"/>
          <w:highlight w:val="none"/>
        </w:rPr>
        <w:t xml:space="preserve">第一章 </w:t>
      </w:r>
      <w:bookmarkEnd w:id="2"/>
      <w:bookmarkEnd w:id="3"/>
      <w:bookmarkEnd w:id="4"/>
      <w:bookmarkEnd w:id="5"/>
      <w:bookmarkEnd w:id="6"/>
      <w:bookmarkEnd w:id="7"/>
      <w:bookmarkEnd w:id="8"/>
      <w:bookmarkEnd w:id="9"/>
      <w:bookmarkEnd w:id="10"/>
      <w:bookmarkEnd w:id="11"/>
      <w:bookmarkEnd w:id="12"/>
      <w:bookmarkEnd w:id="13"/>
      <w:bookmarkEnd w:id="14"/>
      <w:r>
        <w:rPr>
          <w:rFonts w:hint="eastAsia" w:ascii="宋体" w:hAnsi="宋体" w:eastAsia="宋体" w:cs="宋体"/>
          <w:b/>
          <w:color w:val="auto"/>
          <w:sz w:val="32"/>
          <w:szCs w:val="32"/>
          <w:highlight w:val="none"/>
        </w:rPr>
        <w:t>磋商邀请公告</w:t>
      </w:r>
      <w:bookmarkEnd w:id="15"/>
    </w:p>
    <w:p w14:paraId="5B743752">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16" w:name="_Toc3443"/>
      <w:bookmarkStart w:id="17" w:name="_Toc22891"/>
      <w:bookmarkStart w:id="18" w:name="_Toc489263715"/>
      <w:bookmarkStart w:id="19" w:name="_Toc462154910"/>
      <w:bookmarkStart w:id="20" w:name="_Toc456630328"/>
      <w:bookmarkStart w:id="21" w:name="_Toc456955402"/>
      <w:bookmarkStart w:id="22" w:name="_Toc482133460"/>
      <w:bookmarkStart w:id="23" w:name="_Toc465757496"/>
      <w:bookmarkStart w:id="24" w:name="_Toc460517358"/>
      <w:bookmarkStart w:id="25" w:name="_Toc4506119"/>
      <w:bookmarkStart w:id="26" w:name="_Toc2951770"/>
      <w:bookmarkStart w:id="27" w:name="_Toc521048944"/>
      <w:bookmarkStart w:id="28" w:name="_Toc2684029"/>
      <w:bookmarkStart w:id="29" w:name="_Toc497049049"/>
      <w:bookmarkStart w:id="30" w:name="_Toc2593132"/>
      <w:bookmarkStart w:id="31" w:name="_Toc522285651"/>
      <w:bookmarkStart w:id="32" w:name="_Toc2674896"/>
      <w:bookmarkStart w:id="33" w:name="_Toc496459161"/>
      <w:bookmarkStart w:id="34" w:name="_Toc2674691"/>
      <w:bookmarkStart w:id="35" w:name="_Toc498186717"/>
      <w:r>
        <w:rPr>
          <w:rFonts w:hint="eastAsia" w:ascii="宋体" w:hAnsi="宋体" w:eastAsia="宋体" w:cs="宋体"/>
          <w:b w:val="0"/>
          <w:color w:val="auto"/>
          <w:sz w:val="21"/>
          <w:szCs w:val="21"/>
          <w:highlight w:val="none"/>
          <w:u w:val="single"/>
          <w:lang w:eastAsia="zh-CN"/>
        </w:rPr>
        <w:t>郴州市第一人民医院</w:t>
      </w:r>
      <w:r>
        <w:rPr>
          <w:rFonts w:hint="eastAsia" w:ascii="宋体" w:hAnsi="宋体" w:eastAsia="宋体" w:cs="宋体"/>
          <w:b w:val="0"/>
          <w:color w:val="auto"/>
          <w:sz w:val="21"/>
          <w:szCs w:val="21"/>
          <w:highlight w:val="none"/>
        </w:rPr>
        <w:t>（采购人）的</w:t>
      </w:r>
      <w:r>
        <w:rPr>
          <w:rFonts w:hint="eastAsia" w:ascii="宋体" w:hAnsi="宋体" w:cs="宋体"/>
          <w:b w:val="0"/>
          <w:color w:val="auto"/>
          <w:sz w:val="21"/>
          <w:szCs w:val="21"/>
          <w:highlight w:val="none"/>
          <w:u w:val="single"/>
          <w:lang w:eastAsia="zh-CN"/>
        </w:rPr>
        <w:t>郴州市第一人民医院妇产中心建设项目特殊装修工程（优生优育、产科实验室）</w:t>
      </w:r>
      <w:r>
        <w:rPr>
          <w:rFonts w:hint="eastAsia" w:ascii="宋体" w:hAnsi="宋体" w:eastAsia="宋体" w:cs="宋体"/>
          <w:b w:val="0"/>
          <w:color w:val="auto"/>
          <w:sz w:val="21"/>
          <w:szCs w:val="21"/>
          <w:highlight w:val="none"/>
        </w:rPr>
        <w:t>（项目名称），采购计划编号：</w:t>
      </w:r>
      <w:r>
        <w:rPr>
          <w:rFonts w:hint="eastAsia" w:ascii="宋体" w:hAnsi="宋体" w:cs="宋体"/>
          <w:b w:val="0"/>
          <w:color w:val="auto"/>
          <w:sz w:val="21"/>
          <w:szCs w:val="21"/>
          <w:highlight w:val="none"/>
          <w:u w:val="single"/>
          <w:lang w:eastAsia="zh-CN"/>
        </w:rPr>
        <w:t>郴财采计[2025]0261号</w:t>
      </w:r>
      <w:r>
        <w:rPr>
          <w:rFonts w:hint="eastAsia" w:ascii="宋体" w:hAnsi="宋体" w:eastAsia="宋体" w:cs="宋体"/>
          <w:b w:val="0"/>
          <w:color w:val="auto"/>
          <w:sz w:val="21"/>
          <w:szCs w:val="21"/>
          <w:highlight w:val="none"/>
        </w:rPr>
        <w:t>，采购代理机构编号：</w:t>
      </w:r>
      <w:r>
        <w:rPr>
          <w:rFonts w:hint="eastAsia" w:ascii="宋体" w:hAnsi="宋体" w:cs="宋体"/>
          <w:b w:val="0"/>
          <w:color w:val="auto"/>
          <w:sz w:val="21"/>
          <w:szCs w:val="21"/>
          <w:highlight w:val="none"/>
          <w:u w:val="single"/>
          <w:lang w:eastAsia="zh-CN"/>
        </w:rPr>
        <w:t>GZ-ZFCG2025-011</w:t>
      </w:r>
      <w:r>
        <w:rPr>
          <w:rFonts w:hint="eastAsia" w:ascii="宋体" w:hAnsi="宋体" w:eastAsia="宋体" w:cs="宋体"/>
          <w:b w:val="0"/>
          <w:color w:val="auto"/>
          <w:sz w:val="21"/>
          <w:szCs w:val="21"/>
          <w:highlight w:val="none"/>
        </w:rPr>
        <w:t>，进行竞争性</w:t>
      </w:r>
      <w:r>
        <w:rPr>
          <w:rFonts w:hint="eastAsia" w:ascii="宋体" w:hAnsi="宋体" w:eastAsia="宋体" w:cs="宋体"/>
          <w:b w:val="0"/>
          <w:color w:val="auto"/>
          <w:sz w:val="21"/>
          <w:szCs w:val="21"/>
          <w:highlight w:val="none"/>
          <w:lang w:val="en"/>
        </w:rPr>
        <w:t>磋商</w:t>
      </w:r>
      <w:r>
        <w:rPr>
          <w:rFonts w:hint="eastAsia" w:ascii="宋体" w:hAnsi="宋体" w:eastAsia="宋体" w:cs="宋体"/>
          <w:b w:val="0"/>
          <w:color w:val="auto"/>
          <w:sz w:val="21"/>
          <w:szCs w:val="21"/>
          <w:highlight w:val="none"/>
        </w:rPr>
        <w:t>采购，现采用发布公告方式，邀请符合资格条件的供应商提交证明材料参与资格审查，并参与竞争性</w:t>
      </w:r>
      <w:r>
        <w:rPr>
          <w:rFonts w:hint="eastAsia" w:ascii="宋体" w:hAnsi="宋体" w:eastAsia="宋体" w:cs="宋体"/>
          <w:b w:val="0"/>
          <w:color w:val="auto"/>
          <w:sz w:val="21"/>
          <w:szCs w:val="21"/>
          <w:highlight w:val="none"/>
          <w:lang w:val="en"/>
        </w:rPr>
        <w:t>磋商</w:t>
      </w:r>
      <w:r>
        <w:rPr>
          <w:rFonts w:hint="eastAsia" w:ascii="宋体" w:hAnsi="宋体" w:eastAsia="宋体" w:cs="宋体"/>
          <w:b w:val="0"/>
          <w:color w:val="auto"/>
          <w:sz w:val="21"/>
          <w:szCs w:val="21"/>
          <w:highlight w:val="none"/>
        </w:rPr>
        <w:t>采购活动。</w:t>
      </w:r>
      <w:bookmarkEnd w:id="16"/>
      <w:bookmarkEnd w:id="17"/>
    </w:p>
    <w:p w14:paraId="6B938C1F">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36" w:name="_Toc18190"/>
      <w:bookmarkStart w:id="37" w:name="_Toc27404"/>
      <w:r>
        <w:rPr>
          <w:rFonts w:hint="eastAsia" w:ascii="宋体" w:hAnsi="宋体" w:eastAsia="宋体" w:cs="宋体"/>
          <w:color w:val="auto"/>
          <w:sz w:val="21"/>
          <w:szCs w:val="21"/>
          <w:highlight w:val="none"/>
        </w:rPr>
        <w:t>一、项目概况</w:t>
      </w:r>
      <w:bookmarkEnd w:id="36"/>
      <w:bookmarkEnd w:id="37"/>
      <w:r>
        <w:rPr>
          <w:rFonts w:hint="eastAsia" w:ascii="宋体" w:hAnsi="宋体" w:eastAsia="宋体" w:cs="宋体"/>
          <w:color w:val="auto"/>
          <w:sz w:val="21"/>
          <w:szCs w:val="21"/>
          <w:highlight w:val="none"/>
        </w:rPr>
        <w:t xml:space="preserve"> </w:t>
      </w:r>
    </w:p>
    <w:p w14:paraId="022FC724">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1、采购项目名称：</w:t>
      </w:r>
      <w:r>
        <w:rPr>
          <w:rFonts w:hint="eastAsia" w:ascii="宋体" w:hAnsi="宋体" w:cs="宋体"/>
          <w:color w:val="auto"/>
          <w:sz w:val="21"/>
          <w:szCs w:val="21"/>
          <w:highlight w:val="none"/>
          <w:u w:val="single"/>
          <w:lang w:eastAsia="zh-CN"/>
        </w:rPr>
        <w:t>郴州市第一人民医院妇产中心建设项目特殊装修工程（优生优育、产科实验室）</w:t>
      </w:r>
    </w:p>
    <w:p w14:paraId="7CC87BB3">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2、政府采购计划编号：</w:t>
      </w:r>
      <w:r>
        <w:rPr>
          <w:rFonts w:hint="eastAsia" w:ascii="宋体" w:hAnsi="宋体" w:cs="宋体"/>
          <w:color w:val="auto"/>
          <w:sz w:val="21"/>
          <w:szCs w:val="21"/>
          <w:highlight w:val="none"/>
          <w:u w:val="single"/>
          <w:lang w:eastAsia="zh-CN"/>
        </w:rPr>
        <w:t>郴财采计[2025]0261号</w:t>
      </w:r>
      <w:bookmarkStart w:id="522" w:name="_GoBack"/>
      <w:bookmarkEnd w:id="522"/>
    </w:p>
    <w:p w14:paraId="493A7770">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i/>
          <w:color w:val="auto"/>
          <w:sz w:val="21"/>
          <w:szCs w:val="21"/>
          <w:highlight w:val="none"/>
          <w:lang w:eastAsia="zh-CN"/>
        </w:rPr>
      </w:pPr>
      <w:r>
        <w:rPr>
          <w:rFonts w:hint="eastAsia" w:ascii="宋体" w:hAnsi="宋体" w:eastAsia="宋体" w:cs="宋体"/>
          <w:color w:val="auto"/>
          <w:sz w:val="21"/>
          <w:szCs w:val="21"/>
          <w:highlight w:val="none"/>
        </w:rPr>
        <w:t>3、委托代理编号：</w:t>
      </w:r>
      <w:r>
        <w:rPr>
          <w:rFonts w:hint="eastAsia" w:ascii="宋体" w:hAnsi="宋体" w:cs="宋体"/>
          <w:color w:val="auto"/>
          <w:sz w:val="21"/>
          <w:szCs w:val="21"/>
          <w:highlight w:val="none"/>
          <w:u w:val="single"/>
          <w:lang w:eastAsia="zh-CN"/>
        </w:rPr>
        <w:t>GZ-ZFCG2025-011</w:t>
      </w:r>
    </w:p>
    <w:p w14:paraId="4767C768">
      <w:pPr>
        <w:keepNext w:val="0"/>
        <w:keepLines w:val="0"/>
        <w:pageBreakBefore w:val="0"/>
        <w:kinsoku/>
        <w:overflowPunct/>
        <w:autoSpaceDE/>
        <w:autoSpaceDN/>
        <w:bidi w:val="0"/>
        <w:adjustRightInd w:val="0"/>
        <w:snapToGrid w:val="0"/>
        <w:spacing w:line="440" w:lineRule="exact"/>
        <w:ind w:left="2998" w:leftChars="228" w:hanging="2520" w:hangingChars="1200"/>
        <w:textAlignment w:val="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4、采购项目最高限价：</w:t>
      </w:r>
      <w:r>
        <w:rPr>
          <w:rFonts w:hint="eastAsia" w:ascii="宋体" w:hAnsi="宋体" w:eastAsia="宋体" w:cs="宋体"/>
          <w:bCs/>
          <w:color w:val="auto"/>
          <w:sz w:val="21"/>
          <w:szCs w:val="21"/>
          <w:highlight w:val="none"/>
          <w:u w:val="single"/>
        </w:rPr>
        <w:t>人民币</w:t>
      </w:r>
      <w:r>
        <w:rPr>
          <w:rFonts w:hint="eastAsia" w:ascii="宋体" w:hAnsi="宋体" w:cs="宋体"/>
          <w:bCs/>
          <w:color w:val="auto"/>
          <w:sz w:val="21"/>
          <w:szCs w:val="21"/>
          <w:highlight w:val="none"/>
          <w:u w:val="single"/>
          <w:lang w:val="en-US" w:eastAsia="zh-CN"/>
        </w:rPr>
        <w:t>伍</w:t>
      </w:r>
      <w:r>
        <w:rPr>
          <w:rFonts w:hint="eastAsia" w:ascii="宋体" w:hAnsi="宋体" w:eastAsia="宋体" w:cs="宋体"/>
          <w:bCs/>
          <w:color w:val="auto"/>
          <w:sz w:val="21"/>
          <w:szCs w:val="21"/>
          <w:highlight w:val="none"/>
          <w:u w:val="single"/>
          <w:lang w:eastAsia="zh-CN"/>
        </w:rPr>
        <w:t>佰</w:t>
      </w:r>
      <w:r>
        <w:rPr>
          <w:rFonts w:hint="eastAsia" w:ascii="宋体" w:hAnsi="宋体" w:cs="宋体"/>
          <w:bCs/>
          <w:color w:val="auto"/>
          <w:sz w:val="21"/>
          <w:szCs w:val="21"/>
          <w:highlight w:val="none"/>
          <w:u w:val="single"/>
          <w:lang w:val="en-US" w:eastAsia="zh-CN"/>
        </w:rPr>
        <w:t>零柒</w:t>
      </w:r>
      <w:r>
        <w:rPr>
          <w:rFonts w:hint="eastAsia" w:ascii="宋体" w:hAnsi="宋体" w:eastAsia="宋体" w:cs="宋体"/>
          <w:bCs/>
          <w:color w:val="auto"/>
          <w:sz w:val="21"/>
          <w:szCs w:val="21"/>
          <w:highlight w:val="none"/>
          <w:u w:val="single"/>
          <w:lang w:eastAsia="zh-CN"/>
        </w:rPr>
        <w:t>万</w:t>
      </w:r>
      <w:r>
        <w:rPr>
          <w:rFonts w:hint="eastAsia" w:ascii="宋体" w:hAnsi="宋体" w:cs="宋体"/>
          <w:bCs/>
          <w:color w:val="auto"/>
          <w:sz w:val="21"/>
          <w:szCs w:val="21"/>
          <w:highlight w:val="none"/>
          <w:u w:val="single"/>
          <w:lang w:val="en-US" w:eastAsia="zh-CN"/>
        </w:rPr>
        <w:t>捌</w:t>
      </w:r>
      <w:r>
        <w:rPr>
          <w:rFonts w:hint="eastAsia" w:ascii="宋体" w:hAnsi="宋体" w:eastAsia="宋体" w:cs="宋体"/>
          <w:bCs/>
          <w:color w:val="auto"/>
          <w:sz w:val="21"/>
          <w:szCs w:val="21"/>
          <w:highlight w:val="none"/>
          <w:u w:val="single"/>
          <w:lang w:eastAsia="zh-CN"/>
        </w:rPr>
        <w:t>仟</w:t>
      </w:r>
      <w:r>
        <w:rPr>
          <w:rFonts w:hint="eastAsia" w:ascii="宋体" w:hAnsi="宋体" w:cs="宋体"/>
          <w:bCs/>
          <w:color w:val="auto"/>
          <w:sz w:val="21"/>
          <w:szCs w:val="21"/>
          <w:highlight w:val="none"/>
          <w:u w:val="single"/>
          <w:lang w:val="en-US" w:eastAsia="zh-CN"/>
        </w:rPr>
        <w:t>捌</w:t>
      </w:r>
      <w:r>
        <w:rPr>
          <w:rFonts w:hint="eastAsia" w:ascii="宋体" w:hAnsi="宋体" w:eastAsia="宋体" w:cs="宋体"/>
          <w:bCs/>
          <w:color w:val="auto"/>
          <w:sz w:val="21"/>
          <w:szCs w:val="21"/>
          <w:highlight w:val="none"/>
          <w:u w:val="single"/>
          <w:lang w:eastAsia="zh-CN"/>
        </w:rPr>
        <w:t>佰</w:t>
      </w:r>
      <w:r>
        <w:rPr>
          <w:rFonts w:hint="eastAsia" w:ascii="宋体" w:hAnsi="宋体" w:cs="宋体"/>
          <w:bCs/>
          <w:color w:val="auto"/>
          <w:sz w:val="21"/>
          <w:szCs w:val="21"/>
          <w:highlight w:val="none"/>
          <w:u w:val="single"/>
          <w:lang w:val="en-US" w:eastAsia="zh-CN"/>
        </w:rPr>
        <w:t>陆</w:t>
      </w:r>
      <w:r>
        <w:rPr>
          <w:rFonts w:hint="eastAsia" w:ascii="宋体" w:hAnsi="宋体" w:eastAsia="宋体" w:cs="宋体"/>
          <w:bCs/>
          <w:color w:val="auto"/>
          <w:sz w:val="21"/>
          <w:szCs w:val="21"/>
          <w:highlight w:val="none"/>
          <w:u w:val="single"/>
          <w:lang w:eastAsia="zh-CN"/>
        </w:rPr>
        <w:t>拾</w:t>
      </w:r>
      <w:r>
        <w:rPr>
          <w:rFonts w:hint="eastAsia" w:ascii="宋体" w:hAnsi="宋体" w:cs="宋体"/>
          <w:bCs/>
          <w:color w:val="auto"/>
          <w:sz w:val="21"/>
          <w:szCs w:val="21"/>
          <w:highlight w:val="none"/>
          <w:u w:val="single"/>
          <w:lang w:val="en-US" w:eastAsia="zh-CN"/>
        </w:rPr>
        <w:t>捌</w:t>
      </w:r>
      <w:r>
        <w:rPr>
          <w:rFonts w:hint="eastAsia" w:ascii="宋体" w:hAnsi="宋体" w:eastAsia="宋体" w:cs="宋体"/>
          <w:bCs/>
          <w:color w:val="auto"/>
          <w:sz w:val="21"/>
          <w:szCs w:val="21"/>
          <w:highlight w:val="none"/>
          <w:u w:val="single"/>
          <w:lang w:eastAsia="zh-CN"/>
        </w:rPr>
        <w:t>元</w:t>
      </w:r>
      <w:r>
        <w:rPr>
          <w:rFonts w:hint="eastAsia" w:ascii="宋体" w:hAnsi="宋体" w:cs="宋体"/>
          <w:bCs/>
          <w:color w:val="auto"/>
          <w:sz w:val="21"/>
          <w:szCs w:val="21"/>
          <w:highlight w:val="none"/>
          <w:u w:val="single"/>
          <w:lang w:val="en-US" w:eastAsia="zh-CN"/>
        </w:rPr>
        <w:t>捌</w:t>
      </w:r>
      <w:r>
        <w:rPr>
          <w:rFonts w:hint="eastAsia" w:ascii="宋体" w:hAnsi="宋体" w:eastAsia="宋体" w:cs="宋体"/>
          <w:bCs/>
          <w:color w:val="auto"/>
          <w:sz w:val="21"/>
          <w:szCs w:val="21"/>
          <w:highlight w:val="none"/>
          <w:u w:val="single"/>
          <w:lang w:eastAsia="zh-CN"/>
        </w:rPr>
        <w:t>角</w:t>
      </w:r>
      <w:r>
        <w:rPr>
          <w:rFonts w:hint="eastAsia" w:ascii="宋体" w:hAnsi="宋体" w:cs="宋体"/>
          <w:bCs/>
          <w:color w:val="auto"/>
          <w:sz w:val="21"/>
          <w:szCs w:val="21"/>
          <w:highlight w:val="none"/>
          <w:u w:val="single"/>
          <w:lang w:val="en-US" w:eastAsia="zh-CN"/>
        </w:rPr>
        <w:t>贰</w:t>
      </w:r>
      <w:r>
        <w:rPr>
          <w:rFonts w:hint="eastAsia" w:ascii="宋体" w:hAnsi="宋体" w:eastAsia="宋体" w:cs="宋体"/>
          <w:bCs/>
          <w:color w:val="auto"/>
          <w:sz w:val="21"/>
          <w:szCs w:val="21"/>
          <w:highlight w:val="none"/>
          <w:u w:val="single"/>
          <w:lang w:eastAsia="zh-CN"/>
        </w:rPr>
        <w:t>分</w:t>
      </w:r>
      <w:r>
        <w:rPr>
          <w:rFonts w:hint="eastAsia" w:ascii="宋体" w:hAnsi="宋体" w:eastAsia="宋体" w:cs="宋体"/>
          <w:bCs/>
          <w:color w:val="auto"/>
          <w:sz w:val="21"/>
          <w:szCs w:val="21"/>
          <w:highlight w:val="none"/>
          <w:u w:val="single"/>
        </w:rPr>
        <w:t>(￥</w:t>
      </w:r>
      <w:r>
        <w:rPr>
          <w:rFonts w:hint="eastAsia" w:ascii="宋体" w:hAnsi="宋体" w:eastAsia="宋体" w:cs="宋体"/>
          <w:bCs/>
          <w:color w:val="auto"/>
          <w:sz w:val="21"/>
          <w:szCs w:val="21"/>
          <w:highlight w:val="none"/>
          <w:u w:val="single"/>
          <w:lang w:val="en-US" w:eastAsia="zh-CN"/>
        </w:rPr>
        <w:t>5078868.82元</w:t>
      </w:r>
      <w:r>
        <w:rPr>
          <w:rFonts w:hint="eastAsia" w:ascii="宋体" w:hAnsi="宋体" w:eastAsia="宋体" w:cs="宋体"/>
          <w:bCs/>
          <w:color w:val="auto"/>
          <w:sz w:val="21"/>
          <w:szCs w:val="21"/>
          <w:highlight w:val="none"/>
          <w:u w:val="single"/>
        </w:rPr>
        <w:t>）</w:t>
      </w:r>
    </w:p>
    <w:p w14:paraId="281024B1">
      <w:pPr>
        <w:keepNext w:val="0"/>
        <w:keepLines w:val="0"/>
        <w:pageBreakBefore w:val="0"/>
        <w:numPr>
          <w:ilvl w:val="0"/>
          <w:numId w:val="1"/>
        </w:numPr>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本项目</w:t>
      </w:r>
      <w:r>
        <w:rPr>
          <w:rFonts w:hint="eastAsia" w:ascii="宋体" w:hAnsi="宋体" w:eastAsia="宋体" w:cs="宋体"/>
          <w:color w:val="auto"/>
          <w:sz w:val="21"/>
          <w:szCs w:val="21"/>
          <w:highlight w:val="none"/>
        </w:rPr>
        <w:t>对应的中小企业划分标准所属行业：</w:t>
      </w:r>
      <w:r>
        <w:rPr>
          <w:rFonts w:hint="eastAsia" w:ascii="宋体" w:hAnsi="宋体" w:eastAsia="宋体" w:cs="宋体"/>
          <w:color w:val="auto"/>
          <w:sz w:val="21"/>
          <w:szCs w:val="21"/>
          <w:highlight w:val="none"/>
          <w:u w:val="single"/>
        </w:rPr>
        <w:t>建筑业</w:t>
      </w:r>
    </w:p>
    <w:p w14:paraId="09A3C924">
      <w:pPr>
        <w:keepNext w:val="0"/>
        <w:keepLines w:val="0"/>
        <w:widowControl/>
        <w:suppressLineNumbers w:val="0"/>
        <w:shd w:val="clear" w:fill="FFFFFF"/>
        <w:spacing w:before="0" w:beforeAutospacing="0" w:after="150" w:afterAutospacing="0" w:line="23" w:lineRule="atLeast"/>
        <w:ind w:left="0" w:right="0" w:firstLine="420"/>
        <w:jc w:val="lef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6、合同定价方式：</w:t>
      </w:r>
      <w:r>
        <w:rPr>
          <w:rFonts w:hint="eastAsia" w:ascii="宋体" w:hAnsi="宋体" w:cs="宋体"/>
          <w:iCs/>
          <w:color w:val="auto"/>
          <w:sz w:val="21"/>
          <w:szCs w:val="21"/>
          <w:highlight w:val="none"/>
          <w:lang w:eastAsia="zh-CN"/>
        </w:rPr>
        <w:t>□</w:t>
      </w:r>
      <w:r>
        <w:rPr>
          <w:rFonts w:hint="eastAsia" w:ascii="宋体" w:hAnsi="宋体" w:eastAsia="宋体" w:cs="宋体"/>
          <w:iCs/>
          <w:color w:val="auto"/>
          <w:sz w:val="21"/>
          <w:szCs w:val="21"/>
          <w:highlight w:val="none"/>
        </w:rPr>
        <w:t>固定总价</w:t>
      </w:r>
      <w:r>
        <w:rPr>
          <w:rFonts w:hint="eastAsia" w:ascii="宋体" w:hAnsi="宋体" w:cs="宋体"/>
          <w:iCs/>
          <w:color w:val="auto"/>
          <w:sz w:val="21"/>
          <w:szCs w:val="21"/>
          <w:highlight w:val="none"/>
          <w:lang w:eastAsia="zh-CN"/>
        </w:rPr>
        <w:t>☑</w:t>
      </w:r>
      <w:r>
        <w:rPr>
          <w:rFonts w:hint="eastAsia" w:ascii="宋体" w:hAnsi="宋体" w:eastAsia="宋体" w:cs="宋体"/>
          <w:iCs/>
          <w:color w:val="auto"/>
          <w:sz w:val="21"/>
          <w:szCs w:val="21"/>
          <w:highlight w:val="none"/>
        </w:rPr>
        <w:t xml:space="preserve">固定单价 </w:t>
      </w:r>
      <w:r>
        <w:rPr>
          <w:rFonts w:hint="eastAsia" w:ascii="宋体" w:hAnsi="宋体" w:cs="宋体"/>
          <w:iCs/>
          <w:color w:val="auto"/>
          <w:sz w:val="21"/>
          <w:szCs w:val="21"/>
          <w:highlight w:val="none"/>
          <w:lang w:eastAsia="zh-CN"/>
        </w:rPr>
        <w:t>□</w:t>
      </w:r>
      <w:r>
        <w:rPr>
          <w:rFonts w:hint="eastAsia" w:ascii="宋体" w:hAnsi="宋体" w:eastAsia="宋体" w:cs="宋体"/>
          <w:iCs/>
          <w:color w:val="auto"/>
          <w:sz w:val="21"/>
          <w:szCs w:val="21"/>
          <w:highlight w:val="none"/>
        </w:rPr>
        <w:t xml:space="preserve">成本补偿 </w:t>
      </w:r>
      <w:r>
        <w:rPr>
          <w:rFonts w:hint="eastAsia" w:ascii="宋体" w:hAnsi="宋体" w:cs="宋体"/>
          <w:iCs/>
          <w:color w:val="auto"/>
          <w:sz w:val="21"/>
          <w:szCs w:val="21"/>
          <w:highlight w:val="none"/>
          <w:lang w:eastAsia="zh-CN"/>
        </w:rPr>
        <w:t>□</w:t>
      </w:r>
      <w:r>
        <w:rPr>
          <w:rFonts w:hint="eastAsia" w:ascii="宋体" w:hAnsi="宋体" w:eastAsia="宋体" w:cs="宋体"/>
          <w:iCs/>
          <w:color w:val="auto"/>
          <w:sz w:val="21"/>
          <w:szCs w:val="21"/>
          <w:highlight w:val="none"/>
        </w:rPr>
        <w:t>绩效激励</w:t>
      </w:r>
    </w:p>
    <w:p w14:paraId="717B8AC4">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r>
        <w:rPr>
          <w:rFonts w:hint="eastAsia" w:ascii="宋体" w:hAnsi="宋体" w:eastAsia="宋体" w:cs="宋体"/>
          <w:bCs/>
          <w:color w:val="auto"/>
          <w:sz w:val="21"/>
          <w:szCs w:val="21"/>
          <w:highlight w:val="none"/>
          <w:lang w:val="en-US" w:eastAsia="zh-CN"/>
        </w:rPr>
        <w:t>评标方法：</w:t>
      </w:r>
      <w:r>
        <w:rPr>
          <w:rFonts w:hint="eastAsia" w:ascii="宋体" w:hAnsi="宋体" w:cs="宋体"/>
          <w:iCs/>
          <w:color w:val="auto"/>
          <w:sz w:val="21"/>
          <w:szCs w:val="21"/>
          <w:highlight w:val="none"/>
          <w:lang w:eastAsia="zh-CN"/>
        </w:rPr>
        <w:t>☑</w:t>
      </w:r>
      <w:r>
        <w:rPr>
          <w:rFonts w:hint="eastAsia" w:ascii="宋体" w:hAnsi="宋体" w:eastAsia="宋体" w:cs="宋体"/>
          <w:bCs/>
          <w:color w:val="auto"/>
          <w:sz w:val="21"/>
          <w:szCs w:val="21"/>
          <w:highlight w:val="none"/>
          <w:lang w:val="en-US" w:eastAsia="zh-CN"/>
        </w:rPr>
        <w:t>综合评分法 </w:t>
      </w:r>
      <w:r>
        <w:rPr>
          <w:rFonts w:hint="eastAsia" w:ascii="宋体" w:hAnsi="宋体" w:cs="宋体"/>
          <w:iCs/>
          <w:color w:val="auto"/>
          <w:sz w:val="21"/>
          <w:szCs w:val="21"/>
          <w:highlight w:val="none"/>
          <w:lang w:eastAsia="zh-CN"/>
        </w:rPr>
        <w:t>□</w:t>
      </w:r>
      <w:r>
        <w:rPr>
          <w:rFonts w:hint="eastAsia" w:ascii="宋体" w:hAnsi="宋体" w:eastAsia="宋体" w:cs="宋体"/>
          <w:bCs/>
          <w:color w:val="auto"/>
          <w:sz w:val="21"/>
          <w:szCs w:val="21"/>
          <w:highlight w:val="none"/>
          <w:lang w:val="en-US" w:eastAsia="zh-CN"/>
        </w:rPr>
        <w:t>最低评标价法</w:t>
      </w:r>
    </w:p>
    <w:p w14:paraId="0093EFF2">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bCs/>
          <w:color w:val="auto"/>
          <w:sz w:val="21"/>
          <w:szCs w:val="21"/>
          <w:highlight w:val="none"/>
          <w:u w:val="single"/>
        </w:rPr>
      </w:pPr>
      <w:r>
        <w:rPr>
          <w:rFonts w:hint="eastAsia" w:ascii="宋体" w:hAnsi="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工期：</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90天，以监理单位下发的开工令开工时间计算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w:t>
      </w:r>
    </w:p>
    <w:p w14:paraId="12FED76F">
      <w:pPr>
        <w:pStyle w:val="38"/>
        <w:keepNext w:val="0"/>
        <w:keepLines w:val="0"/>
        <w:pageBreakBefore w:val="0"/>
        <w:kinsoku/>
        <w:overflowPunct/>
        <w:autoSpaceDE/>
        <w:autoSpaceDN/>
        <w:bidi w:val="0"/>
        <w:spacing w:line="440" w:lineRule="exact"/>
        <w:ind w:firstLine="480"/>
        <w:textAlignment w:val="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9</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本项目分阶段要求供应商提供以下保证：</w:t>
      </w:r>
    </w:p>
    <w:p w14:paraId="411AB193">
      <w:pPr>
        <w:pStyle w:val="38"/>
        <w:keepNext w:val="0"/>
        <w:keepLines w:val="0"/>
        <w:pageBreakBefore w:val="0"/>
        <w:kinsoku/>
        <w:overflowPunct/>
        <w:autoSpaceDE/>
        <w:autoSpaceDN/>
        <w:bidi w:val="0"/>
        <w:spacing w:line="440" w:lineRule="exact"/>
        <w:ind w:firstLine="480"/>
        <w:textAlignment w:val="auto"/>
        <w:rPr>
          <w:rFonts w:hint="eastAsia" w:ascii="宋体" w:hAnsi="宋体" w:eastAsia="宋体" w:cs="宋体"/>
          <w:iCs/>
          <w:color w:val="auto"/>
          <w:sz w:val="21"/>
          <w:szCs w:val="21"/>
          <w:highlight w:val="none"/>
        </w:rPr>
      </w:pPr>
      <w:r>
        <w:rPr>
          <w:rFonts w:hint="eastAsia" w:ascii="宋体" w:hAnsi="宋体" w:cs="宋体"/>
          <w:iCs/>
          <w:color w:val="auto"/>
          <w:sz w:val="21"/>
          <w:szCs w:val="21"/>
          <w:highlight w:val="none"/>
          <w:lang w:eastAsia="zh-CN"/>
        </w:rPr>
        <w:t>☑</w:t>
      </w:r>
      <w:r>
        <w:rPr>
          <w:rFonts w:hint="eastAsia" w:ascii="宋体" w:hAnsi="宋体" w:eastAsia="宋体" w:cs="宋体"/>
          <w:iCs/>
          <w:color w:val="auto"/>
          <w:sz w:val="21"/>
          <w:szCs w:val="21"/>
          <w:highlight w:val="none"/>
        </w:rPr>
        <w:t>质量保证金：合同金额的</w:t>
      </w:r>
      <w:r>
        <w:rPr>
          <w:rFonts w:hint="eastAsia" w:ascii="宋体" w:hAnsi="宋体" w:eastAsia="宋体" w:cs="宋体"/>
          <w:color w:val="auto"/>
          <w:sz w:val="21"/>
          <w:szCs w:val="21"/>
          <w:highlight w:val="none"/>
          <w:u w:val="single"/>
        </w:rPr>
        <w:t xml:space="preserve"> 3 </w:t>
      </w:r>
      <w:r>
        <w:rPr>
          <w:rFonts w:hint="eastAsia" w:ascii="宋体" w:hAnsi="宋体" w:eastAsia="宋体" w:cs="宋体"/>
          <w:iCs/>
          <w:color w:val="auto"/>
          <w:sz w:val="21"/>
          <w:szCs w:val="21"/>
          <w:highlight w:val="none"/>
        </w:rPr>
        <w:t>%。</w:t>
      </w:r>
    </w:p>
    <w:p w14:paraId="60DECD61">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10</w:t>
      </w:r>
      <w:r>
        <w:rPr>
          <w:rFonts w:hint="eastAsia" w:ascii="宋体" w:hAnsi="宋体" w:eastAsia="宋体" w:cs="宋体"/>
          <w:bCs/>
          <w:color w:val="auto"/>
          <w:sz w:val="21"/>
          <w:szCs w:val="21"/>
          <w:highlight w:val="none"/>
        </w:rPr>
        <w:t>、根据《关于进一步优化政府采购领域营商环境的通知》郴财采资〔2024〕6号文件精神，本项目取消投标保证金及履约保证金。</w:t>
      </w:r>
    </w:p>
    <w:p w14:paraId="0B6F68F4">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38" w:name="_Toc4966"/>
      <w:bookmarkStart w:id="39" w:name="_Toc2797"/>
      <w:r>
        <w:rPr>
          <w:rFonts w:hint="eastAsia" w:ascii="宋体" w:hAnsi="宋体" w:eastAsia="宋体" w:cs="宋体"/>
          <w:color w:val="auto"/>
          <w:sz w:val="21"/>
          <w:szCs w:val="21"/>
          <w:highlight w:val="none"/>
        </w:rPr>
        <w:t>二、采购需求</w:t>
      </w:r>
      <w:bookmarkEnd w:id="38"/>
      <w:bookmarkEnd w:id="39"/>
    </w:p>
    <w:tbl>
      <w:tblPr>
        <w:tblStyle w:val="19"/>
        <w:tblW w:w="967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15" w:type="dxa"/>
          <w:left w:w="15" w:type="dxa"/>
          <w:bottom w:w="15" w:type="dxa"/>
          <w:right w:w="15" w:type="dxa"/>
        </w:tblCellMar>
      </w:tblPr>
      <w:tblGrid>
        <w:gridCol w:w="611"/>
        <w:gridCol w:w="3836"/>
        <w:gridCol w:w="877"/>
        <w:gridCol w:w="2330"/>
        <w:gridCol w:w="2024"/>
      </w:tblGrid>
      <w:tr w14:paraId="19C4E9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491" w:hRule="atLeast"/>
          <w:jc w:val="center"/>
        </w:trPr>
        <w:tc>
          <w:tcPr>
            <w:tcW w:w="611" w:type="dxa"/>
            <w:tcMar>
              <w:top w:w="0" w:type="dxa"/>
              <w:left w:w="108" w:type="dxa"/>
              <w:bottom w:w="0" w:type="dxa"/>
              <w:right w:w="108" w:type="dxa"/>
            </w:tcMar>
            <w:vAlign w:val="center"/>
          </w:tcPr>
          <w:p w14:paraId="664D8FBF">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b/>
                <w:color w:val="auto"/>
                <w:kern w:val="0"/>
                <w:sz w:val="21"/>
                <w:szCs w:val="21"/>
                <w:highlight w:val="none"/>
                <w:lang w:eastAsia="zh-CN"/>
              </w:rPr>
            </w:pPr>
            <w:r>
              <w:rPr>
                <w:rFonts w:hint="eastAsia" w:ascii="宋体" w:hAnsi="宋体" w:eastAsia="宋体" w:cs="宋体"/>
                <w:b/>
                <w:color w:val="auto"/>
                <w:kern w:val="0"/>
                <w:sz w:val="21"/>
                <w:szCs w:val="21"/>
                <w:highlight w:val="none"/>
                <w:lang w:val="en-US" w:eastAsia="zh-CN"/>
              </w:rPr>
              <w:t>序号</w:t>
            </w:r>
          </w:p>
        </w:tc>
        <w:tc>
          <w:tcPr>
            <w:tcW w:w="3836" w:type="dxa"/>
            <w:tcMar>
              <w:top w:w="0" w:type="dxa"/>
              <w:left w:w="108" w:type="dxa"/>
              <w:bottom w:w="0" w:type="dxa"/>
              <w:right w:w="108" w:type="dxa"/>
            </w:tcMar>
            <w:vAlign w:val="center"/>
          </w:tcPr>
          <w:p w14:paraId="77C7BB82">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 xml:space="preserve">项目名称 </w:t>
            </w:r>
          </w:p>
        </w:tc>
        <w:tc>
          <w:tcPr>
            <w:tcW w:w="877" w:type="dxa"/>
            <w:tcMar>
              <w:top w:w="0" w:type="dxa"/>
              <w:left w:w="108" w:type="dxa"/>
              <w:bottom w:w="0" w:type="dxa"/>
              <w:right w:w="108" w:type="dxa"/>
            </w:tcMar>
            <w:vAlign w:val="center"/>
          </w:tcPr>
          <w:p w14:paraId="09F035F2">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数量</w:t>
            </w:r>
          </w:p>
        </w:tc>
        <w:tc>
          <w:tcPr>
            <w:tcW w:w="2330" w:type="dxa"/>
            <w:vAlign w:val="center"/>
          </w:tcPr>
          <w:p w14:paraId="77DC3F24">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采购项目最高限价（元）</w:t>
            </w:r>
          </w:p>
        </w:tc>
        <w:tc>
          <w:tcPr>
            <w:tcW w:w="2024" w:type="dxa"/>
            <w:vAlign w:val="center"/>
          </w:tcPr>
          <w:p w14:paraId="69D139B0">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b/>
                <w:color w:val="auto"/>
                <w:kern w:val="0"/>
                <w:sz w:val="21"/>
                <w:szCs w:val="21"/>
                <w:highlight w:val="none"/>
              </w:rPr>
            </w:pPr>
            <w:r>
              <w:rPr>
                <w:rFonts w:hint="eastAsia" w:ascii="宋体" w:hAnsi="宋体" w:eastAsia="宋体" w:cs="宋体"/>
                <w:b/>
                <w:bCs w:val="0"/>
                <w:color w:val="auto"/>
                <w:kern w:val="0"/>
                <w:sz w:val="21"/>
                <w:szCs w:val="21"/>
                <w:highlight w:val="none"/>
                <w:lang w:eastAsia="zh-CN"/>
              </w:rPr>
              <w:t>采购</w:t>
            </w:r>
            <w:r>
              <w:rPr>
                <w:rFonts w:hint="eastAsia" w:ascii="宋体" w:hAnsi="宋体" w:eastAsia="宋体" w:cs="宋体"/>
                <w:b/>
                <w:bCs w:val="0"/>
                <w:color w:val="auto"/>
                <w:kern w:val="0"/>
                <w:sz w:val="21"/>
                <w:szCs w:val="21"/>
                <w:highlight w:val="none"/>
              </w:rPr>
              <w:t>代理服务费</w:t>
            </w:r>
          </w:p>
        </w:tc>
      </w:tr>
      <w:tr w14:paraId="39CB72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15" w:type="dxa"/>
            <w:left w:w="15" w:type="dxa"/>
            <w:bottom w:w="15" w:type="dxa"/>
            <w:right w:w="15" w:type="dxa"/>
          </w:tblCellMar>
        </w:tblPrEx>
        <w:trPr>
          <w:trHeight w:val="1108" w:hRule="atLeast"/>
          <w:jc w:val="center"/>
        </w:trPr>
        <w:tc>
          <w:tcPr>
            <w:tcW w:w="611" w:type="dxa"/>
            <w:tcMar>
              <w:top w:w="0" w:type="dxa"/>
              <w:left w:w="108" w:type="dxa"/>
              <w:bottom w:w="0" w:type="dxa"/>
              <w:right w:w="108" w:type="dxa"/>
            </w:tcMar>
            <w:vAlign w:val="center"/>
          </w:tcPr>
          <w:p w14:paraId="5B21EC9A">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836" w:type="dxa"/>
            <w:tcMar>
              <w:top w:w="0" w:type="dxa"/>
              <w:left w:w="108" w:type="dxa"/>
              <w:bottom w:w="0" w:type="dxa"/>
              <w:right w:w="108" w:type="dxa"/>
            </w:tcMar>
            <w:vAlign w:val="center"/>
          </w:tcPr>
          <w:p w14:paraId="549A00E0">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bCs/>
                <w:color w:val="auto"/>
                <w:kern w:val="0"/>
                <w:sz w:val="21"/>
                <w:szCs w:val="21"/>
                <w:highlight w:val="none"/>
                <w:lang w:eastAsia="zh-CN"/>
              </w:rPr>
            </w:pPr>
            <w:r>
              <w:rPr>
                <w:rFonts w:hint="eastAsia" w:ascii="宋体" w:hAnsi="宋体" w:cs="宋体"/>
                <w:color w:val="auto"/>
                <w:sz w:val="21"/>
                <w:szCs w:val="21"/>
                <w:highlight w:val="none"/>
                <w:lang w:eastAsia="zh-CN"/>
              </w:rPr>
              <w:t>郴州市第一人民医院妇产中心建设项目特殊装修工程（优生优育、产科实验室）</w:t>
            </w:r>
          </w:p>
        </w:tc>
        <w:tc>
          <w:tcPr>
            <w:tcW w:w="877" w:type="dxa"/>
            <w:tcMar>
              <w:top w:w="0" w:type="dxa"/>
              <w:left w:w="108" w:type="dxa"/>
              <w:bottom w:w="0" w:type="dxa"/>
              <w:right w:w="108" w:type="dxa"/>
            </w:tcMar>
            <w:vAlign w:val="center"/>
          </w:tcPr>
          <w:p w14:paraId="37D7A9C6">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项</w:t>
            </w:r>
          </w:p>
        </w:tc>
        <w:tc>
          <w:tcPr>
            <w:tcW w:w="2330" w:type="dxa"/>
            <w:vAlign w:val="center"/>
          </w:tcPr>
          <w:p w14:paraId="656F66DD">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eastAsia="zh-CN"/>
              </w:rPr>
              <w:t>5078868.82</w:t>
            </w:r>
            <w:r>
              <w:rPr>
                <w:rFonts w:hint="eastAsia" w:ascii="宋体" w:hAnsi="宋体" w:eastAsia="宋体" w:cs="宋体"/>
                <w:color w:val="auto"/>
                <w:sz w:val="21"/>
                <w:szCs w:val="21"/>
                <w:highlight w:val="none"/>
                <w:lang w:val="en-US" w:eastAsia="zh-CN"/>
              </w:rPr>
              <w:t>元</w:t>
            </w:r>
          </w:p>
        </w:tc>
        <w:tc>
          <w:tcPr>
            <w:tcW w:w="2024" w:type="dxa"/>
            <w:vAlign w:val="center"/>
          </w:tcPr>
          <w:p w14:paraId="7D5A9BFE">
            <w:pPr>
              <w:keepNext w:val="0"/>
              <w:keepLines w:val="0"/>
              <w:pageBreakBefore w:val="0"/>
              <w:widowControl/>
              <w:kinsoku/>
              <w:overflowPunct/>
              <w:autoSpaceDE/>
              <w:autoSpaceDN/>
              <w:bidi w:val="0"/>
              <w:spacing w:line="440" w:lineRule="exact"/>
              <w:jc w:val="center"/>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sz w:val="21"/>
                <w:szCs w:val="21"/>
                <w:highlight w:val="none"/>
                <w:lang w:val="en-US" w:eastAsia="zh-CN"/>
              </w:rPr>
              <w:t>不超过22800.00</w:t>
            </w:r>
            <w:r>
              <w:rPr>
                <w:rFonts w:hint="eastAsia" w:ascii="宋体" w:hAnsi="宋体" w:eastAsia="宋体" w:cs="宋体"/>
                <w:color w:val="auto"/>
                <w:sz w:val="21"/>
                <w:szCs w:val="21"/>
                <w:highlight w:val="none"/>
                <w:lang w:val="en-US" w:eastAsia="zh-CN"/>
              </w:rPr>
              <w:t>元</w:t>
            </w:r>
          </w:p>
        </w:tc>
      </w:tr>
    </w:tbl>
    <w:p w14:paraId="78A733C5">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40" w:name="_Toc2924"/>
      <w:bookmarkStart w:id="41" w:name="_Toc19989"/>
      <w:r>
        <w:rPr>
          <w:rFonts w:hint="eastAsia" w:ascii="宋体" w:hAnsi="宋体" w:eastAsia="宋体" w:cs="宋体"/>
          <w:color w:val="auto"/>
          <w:sz w:val="21"/>
          <w:szCs w:val="21"/>
          <w:highlight w:val="none"/>
        </w:rPr>
        <w:t>三、采购项目需落实的政府采购政策</w:t>
      </w:r>
      <w:bookmarkEnd w:id="40"/>
      <w:bookmarkEnd w:id="41"/>
    </w:p>
    <w:p w14:paraId="73E9F244">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1、优先采购：节能产品、环境标志产品享受加分或价格折扣。</w:t>
      </w:r>
    </w:p>
    <w:p w14:paraId="77EF0FCA">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2、支持中小企业：中小企业享受预留采购份额或价格折扣。</w:t>
      </w:r>
    </w:p>
    <w:p w14:paraId="3C38A094">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42" w:name="_Toc23897"/>
      <w:bookmarkStart w:id="43" w:name="_Toc3643"/>
      <w:r>
        <w:rPr>
          <w:rFonts w:hint="eastAsia" w:ascii="宋体" w:hAnsi="宋体" w:eastAsia="宋体" w:cs="宋体"/>
          <w:color w:val="auto"/>
          <w:sz w:val="21"/>
          <w:szCs w:val="21"/>
          <w:highlight w:val="none"/>
        </w:rPr>
        <w:t>四、供应商的资质要求</w:t>
      </w:r>
      <w:bookmarkEnd w:id="42"/>
      <w:bookmarkEnd w:id="43"/>
    </w:p>
    <w:p w14:paraId="078D2812">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1、供应商的基本资格条件：符合《中华人民共和国政府采购法》第二十二条规定的供应商条件，即：</w:t>
      </w:r>
    </w:p>
    <w:p w14:paraId="02A54784">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p w14:paraId="0E5B96C4">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44" w:name="_Toc22087"/>
      <w:bookmarkStart w:id="45" w:name="_Toc19162"/>
      <w:r>
        <w:rPr>
          <w:rFonts w:hint="eastAsia" w:ascii="宋体" w:hAnsi="宋体" w:eastAsia="宋体" w:cs="宋体"/>
          <w:b w:val="0"/>
          <w:color w:val="auto"/>
          <w:sz w:val="21"/>
          <w:szCs w:val="21"/>
          <w:highlight w:val="none"/>
        </w:rPr>
        <w:t>（2）具有良好的商业信誉和健全的财务会计制度；</w:t>
      </w:r>
      <w:bookmarkEnd w:id="44"/>
      <w:bookmarkEnd w:id="45"/>
    </w:p>
    <w:p w14:paraId="7111F2EA">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46" w:name="_Toc2362"/>
      <w:bookmarkStart w:id="47" w:name="_Toc4104"/>
      <w:r>
        <w:rPr>
          <w:rFonts w:hint="eastAsia" w:ascii="宋体" w:hAnsi="宋体" w:eastAsia="宋体" w:cs="宋体"/>
          <w:b w:val="0"/>
          <w:color w:val="auto"/>
          <w:sz w:val="21"/>
          <w:szCs w:val="21"/>
          <w:highlight w:val="none"/>
        </w:rPr>
        <w:t>（3）具有履行合同所必需的设备和专业技术能力；</w:t>
      </w:r>
      <w:bookmarkEnd w:id="46"/>
      <w:bookmarkEnd w:id="47"/>
    </w:p>
    <w:p w14:paraId="25D8A5D3">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48" w:name="_Toc8538"/>
      <w:bookmarkStart w:id="49" w:name="_Toc12497"/>
      <w:r>
        <w:rPr>
          <w:rFonts w:hint="eastAsia" w:ascii="宋体" w:hAnsi="宋体" w:eastAsia="宋体" w:cs="宋体"/>
          <w:b w:val="0"/>
          <w:color w:val="auto"/>
          <w:sz w:val="21"/>
          <w:szCs w:val="21"/>
          <w:highlight w:val="none"/>
        </w:rPr>
        <w:t>（4）有依法缴纳税收和社会保障资金的良好记录；</w:t>
      </w:r>
      <w:bookmarkEnd w:id="48"/>
      <w:bookmarkEnd w:id="49"/>
    </w:p>
    <w:p w14:paraId="1B63311E">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50" w:name="_Toc26494"/>
      <w:bookmarkStart w:id="51" w:name="_Toc6442"/>
      <w:r>
        <w:rPr>
          <w:rFonts w:hint="eastAsia" w:ascii="宋体" w:hAnsi="宋体" w:eastAsia="宋体" w:cs="宋体"/>
          <w:b w:val="0"/>
          <w:color w:val="auto"/>
          <w:sz w:val="21"/>
          <w:szCs w:val="21"/>
          <w:highlight w:val="none"/>
        </w:rPr>
        <w:t>（5）参加政府采购活动前三年内，在经营活动中没有重大违法记录；</w:t>
      </w:r>
      <w:bookmarkEnd w:id="50"/>
      <w:bookmarkEnd w:id="51"/>
    </w:p>
    <w:p w14:paraId="1EF2B272">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574E3667">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52" w:name="_Toc17719"/>
      <w:bookmarkStart w:id="53" w:name="_Toc27884"/>
      <w:r>
        <w:rPr>
          <w:rFonts w:hint="eastAsia" w:ascii="宋体" w:hAnsi="宋体" w:eastAsia="宋体" w:cs="宋体"/>
          <w:b w:val="0"/>
          <w:color w:val="auto"/>
          <w:sz w:val="21"/>
          <w:szCs w:val="21"/>
          <w:highlight w:val="none"/>
        </w:rPr>
        <w:t>2、落实政府采购政策需满足的资格要求：</w:t>
      </w:r>
      <w:bookmarkEnd w:id="52"/>
      <w:bookmarkEnd w:id="53"/>
    </w:p>
    <w:p w14:paraId="389EADE8">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val="en-US" w:eastAsia="zh-CN"/>
        </w:rPr>
      </w:pPr>
      <w:bookmarkStart w:id="54" w:name="_Toc17520"/>
      <w:bookmarkStart w:id="55" w:name="_Toc18569"/>
      <w:r>
        <w:rPr>
          <w:rFonts w:hint="eastAsia" w:ascii="宋体" w:hAnsi="宋体" w:eastAsia="宋体" w:cs="宋体"/>
          <w:b w:val="0"/>
          <w:color w:val="auto"/>
          <w:sz w:val="21"/>
          <w:szCs w:val="21"/>
          <w:highlight w:val="none"/>
        </w:rPr>
        <w:sym w:font="Wingdings" w:char="00A8"/>
      </w:r>
      <w:r>
        <w:rPr>
          <w:rFonts w:hint="eastAsia" w:ascii="宋体" w:hAnsi="宋体" w:eastAsia="宋体" w:cs="宋体"/>
          <w:b w:val="0"/>
          <w:color w:val="auto"/>
          <w:sz w:val="21"/>
          <w:szCs w:val="21"/>
          <w:highlight w:val="none"/>
        </w:rPr>
        <w:t>专门面向：</w:t>
      </w:r>
      <w:r>
        <w:rPr>
          <w:rFonts w:hint="eastAsia" w:ascii="宋体" w:hAnsi="宋体" w:eastAsia="宋体" w:cs="宋体"/>
          <w:b w:val="0"/>
          <w:color w:val="auto"/>
          <w:sz w:val="21"/>
          <w:szCs w:val="21"/>
          <w:highlight w:val="none"/>
        </w:rPr>
        <w:sym w:font="Wingdings" w:char="00A8"/>
      </w:r>
      <w:r>
        <w:rPr>
          <w:rFonts w:hint="eastAsia" w:ascii="宋体" w:hAnsi="宋体" w:eastAsia="宋体" w:cs="宋体"/>
          <w:b w:val="0"/>
          <w:color w:val="auto"/>
          <w:sz w:val="21"/>
          <w:szCs w:val="21"/>
          <w:highlight w:val="none"/>
        </w:rPr>
        <w:t xml:space="preserve">中小企业  </w:t>
      </w:r>
      <w:r>
        <w:rPr>
          <w:rFonts w:hint="eastAsia" w:ascii="宋体" w:hAnsi="宋体" w:eastAsia="宋体" w:cs="宋体"/>
          <w:b w:val="0"/>
          <w:color w:val="auto"/>
          <w:sz w:val="21"/>
          <w:szCs w:val="21"/>
          <w:highlight w:val="none"/>
        </w:rPr>
        <w:sym w:font="Wingdings" w:char="00A8"/>
      </w:r>
      <w:r>
        <w:rPr>
          <w:rFonts w:hint="eastAsia" w:ascii="宋体" w:hAnsi="宋体" w:eastAsia="宋体" w:cs="宋体"/>
          <w:b w:val="0"/>
          <w:color w:val="auto"/>
          <w:sz w:val="21"/>
          <w:szCs w:val="21"/>
          <w:highlight w:val="none"/>
        </w:rPr>
        <w:t xml:space="preserve">小微企业 </w:t>
      </w:r>
      <w:r>
        <w:rPr>
          <w:rFonts w:hint="eastAsia" w:ascii="宋体" w:hAnsi="宋体" w:eastAsia="宋体" w:cs="宋体"/>
          <w:b w:val="0"/>
          <w:color w:val="auto"/>
          <w:sz w:val="21"/>
          <w:szCs w:val="21"/>
          <w:highlight w:val="none"/>
        </w:rPr>
        <w:sym w:font="Wingdings" w:char="00A8"/>
      </w:r>
      <w:r>
        <w:rPr>
          <w:rFonts w:hint="eastAsia" w:ascii="宋体" w:hAnsi="宋体" w:eastAsia="宋体" w:cs="宋体"/>
          <w:b w:val="0"/>
          <w:color w:val="auto"/>
          <w:sz w:val="21"/>
          <w:szCs w:val="21"/>
          <w:highlight w:val="none"/>
        </w:rPr>
        <w:t xml:space="preserve">监狱企业  </w:t>
      </w:r>
      <w:r>
        <w:rPr>
          <w:rFonts w:hint="eastAsia" w:ascii="宋体" w:hAnsi="宋体" w:eastAsia="宋体" w:cs="宋体"/>
          <w:b w:val="0"/>
          <w:color w:val="auto"/>
          <w:sz w:val="21"/>
          <w:szCs w:val="21"/>
          <w:highlight w:val="none"/>
        </w:rPr>
        <w:sym w:font="Wingdings" w:char="00A8"/>
      </w:r>
      <w:r>
        <w:rPr>
          <w:rFonts w:hint="eastAsia" w:ascii="宋体" w:hAnsi="宋体" w:eastAsia="宋体" w:cs="宋体"/>
          <w:b w:val="0"/>
          <w:color w:val="auto"/>
          <w:sz w:val="21"/>
          <w:szCs w:val="21"/>
          <w:highlight w:val="none"/>
        </w:rPr>
        <w:t>福利性单位。</w:t>
      </w:r>
      <w:bookmarkEnd w:id="54"/>
      <w:bookmarkEnd w:id="55"/>
    </w:p>
    <w:p w14:paraId="48248C8B">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56" w:name="_Toc8783"/>
      <w:bookmarkStart w:id="57" w:name="_Toc6645"/>
      <w:r>
        <w:rPr>
          <w:rFonts w:hint="eastAsia" w:ascii="宋体" w:hAnsi="宋体" w:eastAsia="宋体" w:cs="宋体"/>
          <w:b w:val="0"/>
          <w:color w:val="auto"/>
          <w:sz w:val="21"/>
          <w:szCs w:val="21"/>
          <w:highlight w:val="none"/>
        </w:rPr>
        <w:sym w:font="Wingdings" w:char="00A8"/>
      </w:r>
      <w:r>
        <w:rPr>
          <w:rFonts w:hint="eastAsia" w:ascii="宋体" w:hAnsi="宋体" w:eastAsia="宋体" w:cs="宋体"/>
          <w:b w:val="0"/>
          <w:color w:val="auto"/>
          <w:sz w:val="21"/>
          <w:szCs w:val="21"/>
          <w:highlight w:val="none"/>
        </w:rPr>
        <w:t>强制分包：大型企业应将采购份额的</w:t>
      </w:r>
      <w:r>
        <w:rPr>
          <w:rFonts w:hint="eastAsia" w:ascii="宋体" w:hAnsi="宋体" w:eastAsia="宋体" w:cs="宋体"/>
          <w:b w:val="0"/>
          <w:color w:val="auto"/>
          <w:sz w:val="21"/>
          <w:szCs w:val="21"/>
          <w:highlight w:val="none"/>
          <w:u w:val="single"/>
        </w:rPr>
        <w:t xml:space="preserve"> / </w:t>
      </w:r>
      <w:r>
        <w:rPr>
          <w:rFonts w:hint="eastAsia" w:ascii="宋体" w:hAnsi="宋体" w:eastAsia="宋体" w:cs="宋体"/>
          <w:b w:val="0"/>
          <w:color w:val="auto"/>
          <w:sz w:val="21"/>
          <w:szCs w:val="21"/>
          <w:highlight w:val="none"/>
        </w:rPr>
        <w:t>%分包给中小企业。</w:t>
      </w:r>
      <w:bookmarkEnd w:id="56"/>
      <w:bookmarkEnd w:id="57"/>
    </w:p>
    <w:p w14:paraId="56C4ABC8">
      <w:pPr>
        <w:keepNext w:val="0"/>
        <w:keepLines w:val="0"/>
        <w:pageBreakBefore w:val="0"/>
        <w:kinsoku/>
        <w:overflowPunct/>
        <w:autoSpaceDE/>
        <w:autoSpaceDN/>
        <w:bidi w:val="0"/>
        <w:adjustRightInd w:val="0"/>
        <w:snapToGrid w:val="0"/>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3、供应商的特定资格条件：</w:t>
      </w:r>
    </w:p>
    <w:p w14:paraId="6FA88FE1">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（1）投标人须具备住房城乡建设主管部门颁发的</w:t>
      </w:r>
      <w:r>
        <w:rPr>
          <w:rFonts w:hint="eastAsia" w:ascii="宋体" w:hAnsi="宋体" w:eastAsia="宋体" w:cs="宋体"/>
          <w:b/>
          <w:bCs w:val="0"/>
          <w:color w:val="auto"/>
          <w:sz w:val="21"/>
          <w:szCs w:val="21"/>
          <w:highlight w:val="none"/>
        </w:rPr>
        <w:t>建筑装修装饰工程专业承包贰级（含）以上资质</w:t>
      </w:r>
      <w:r>
        <w:rPr>
          <w:rFonts w:hint="eastAsia" w:ascii="宋体" w:hAnsi="宋体" w:eastAsia="宋体" w:cs="宋体"/>
          <w:b w:val="0"/>
          <w:color w:val="auto"/>
          <w:sz w:val="21"/>
          <w:szCs w:val="21"/>
          <w:highlight w:val="none"/>
        </w:rPr>
        <w:t>；且安全生产许可证处于有效期。</w:t>
      </w:r>
    </w:p>
    <w:p w14:paraId="08ADDE04">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（2）拟任项目负责人（项目经理）须具有</w:t>
      </w:r>
      <w:r>
        <w:rPr>
          <w:rFonts w:hint="eastAsia" w:ascii="宋体" w:hAnsi="宋体" w:eastAsia="宋体" w:cs="宋体"/>
          <w:b/>
          <w:bCs w:val="0"/>
          <w:color w:val="auto"/>
          <w:sz w:val="21"/>
          <w:szCs w:val="21"/>
          <w:highlight w:val="none"/>
        </w:rPr>
        <w:t>建筑工程专业贰级及以上</w:t>
      </w:r>
      <w:r>
        <w:rPr>
          <w:rFonts w:hint="eastAsia" w:ascii="宋体" w:hAnsi="宋体" w:eastAsia="宋体" w:cs="宋体"/>
          <w:b w:val="0"/>
          <w:color w:val="auto"/>
          <w:sz w:val="21"/>
          <w:szCs w:val="21"/>
          <w:highlight w:val="none"/>
        </w:rPr>
        <w:t>注册建造师执业资格，并且</w:t>
      </w:r>
      <w:r>
        <w:rPr>
          <w:rFonts w:hint="eastAsia" w:ascii="宋体" w:hAnsi="宋体" w:eastAsia="宋体" w:cs="宋体"/>
          <w:b/>
          <w:bCs w:val="0"/>
          <w:color w:val="auto"/>
          <w:sz w:val="21"/>
          <w:szCs w:val="21"/>
          <w:highlight w:val="none"/>
        </w:rPr>
        <w:t>具备有效的B类安全生产考核合格证</w:t>
      </w:r>
      <w:r>
        <w:rPr>
          <w:rFonts w:hint="eastAsia" w:ascii="宋体" w:hAnsi="宋体" w:cs="宋体"/>
          <w:b/>
          <w:bCs w:val="0"/>
          <w:color w:val="auto"/>
          <w:sz w:val="21"/>
          <w:szCs w:val="21"/>
          <w:highlight w:val="none"/>
          <w:lang w:eastAsia="zh-CN"/>
        </w:rPr>
        <w:t>，</w:t>
      </w:r>
      <w:r>
        <w:rPr>
          <w:rFonts w:hint="eastAsia" w:ascii="宋体" w:hAnsi="宋体" w:cs="宋体"/>
          <w:b/>
          <w:bCs w:val="0"/>
          <w:color w:val="auto"/>
          <w:sz w:val="21"/>
          <w:szCs w:val="21"/>
          <w:highlight w:val="none"/>
          <w:lang w:val="en-US" w:eastAsia="zh-CN"/>
        </w:rPr>
        <w:t>须为本单位正式职工且无在建工程项目</w:t>
      </w:r>
      <w:r>
        <w:rPr>
          <w:rFonts w:hint="eastAsia" w:ascii="宋体" w:hAnsi="宋体" w:eastAsia="宋体" w:cs="宋体"/>
          <w:b w:val="0"/>
          <w:color w:val="auto"/>
          <w:sz w:val="21"/>
          <w:szCs w:val="21"/>
          <w:highlight w:val="none"/>
        </w:rPr>
        <w:t>；提供本企业为其依法缴纳的近3个月（指202</w:t>
      </w:r>
      <w:r>
        <w:rPr>
          <w:rFonts w:hint="eastAsia" w:ascii="宋体" w:hAnsi="宋体" w:cs="宋体"/>
          <w:b w:val="0"/>
          <w:color w:val="auto"/>
          <w:sz w:val="21"/>
          <w:szCs w:val="21"/>
          <w:highlight w:val="none"/>
          <w:lang w:val="en-US" w:eastAsia="zh-CN"/>
        </w:rPr>
        <w:t>5</w:t>
      </w:r>
      <w:r>
        <w:rPr>
          <w:rFonts w:hint="eastAsia" w:ascii="宋体" w:hAnsi="宋体" w:eastAsia="宋体" w:cs="宋体"/>
          <w:b w:val="0"/>
          <w:color w:val="auto"/>
          <w:sz w:val="21"/>
          <w:szCs w:val="21"/>
          <w:highlight w:val="none"/>
        </w:rPr>
        <w:t>年</w:t>
      </w:r>
      <w:r>
        <w:rPr>
          <w:rFonts w:hint="eastAsia" w:ascii="宋体" w:hAnsi="宋体" w:cs="宋体"/>
          <w:b w:val="0"/>
          <w:color w:val="auto"/>
          <w:sz w:val="21"/>
          <w:szCs w:val="21"/>
          <w:highlight w:val="none"/>
          <w:lang w:val="en-US" w:eastAsia="zh-CN"/>
        </w:rPr>
        <w:t>8</w:t>
      </w:r>
      <w:r>
        <w:rPr>
          <w:rFonts w:hint="eastAsia" w:ascii="宋体" w:hAnsi="宋体" w:eastAsia="宋体" w:cs="宋体"/>
          <w:b w:val="0"/>
          <w:color w:val="auto"/>
          <w:sz w:val="21"/>
          <w:szCs w:val="21"/>
          <w:highlight w:val="none"/>
        </w:rPr>
        <w:t>月至202</w:t>
      </w:r>
      <w:r>
        <w:rPr>
          <w:rFonts w:hint="eastAsia" w:ascii="宋体" w:hAnsi="宋体" w:cs="宋体"/>
          <w:b w:val="0"/>
          <w:color w:val="auto"/>
          <w:sz w:val="21"/>
          <w:szCs w:val="21"/>
          <w:highlight w:val="none"/>
          <w:lang w:val="en-US" w:eastAsia="zh-CN"/>
        </w:rPr>
        <w:t>5</w:t>
      </w:r>
      <w:r>
        <w:rPr>
          <w:rFonts w:hint="eastAsia" w:ascii="宋体" w:hAnsi="宋体" w:eastAsia="宋体" w:cs="宋体"/>
          <w:b w:val="0"/>
          <w:color w:val="auto"/>
          <w:sz w:val="21"/>
          <w:szCs w:val="21"/>
          <w:highlight w:val="none"/>
        </w:rPr>
        <w:t>年</w:t>
      </w:r>
      <w:r>
        <w:rPr>
          <w:rFonts w:hint="eastAsia" w:ascii="宋体" w:hAnsi="宋体" w:cs="宋体"/>
          <w:b w:val="0"/>
          <w:color w:val="auto"/>
          <w:sz w:val="21"/>
          <w:szCs w:val="21"/>
          <w:highlight w:val="none"/>
          <w:lang w:val="en-US" w:eastAsia="zh-CN"/>
        </w:rPr>
        <w:t>10</w:t>
      </w:r>
      <w:r>
        <w:rPr>
          <w:rFonts w:hint="eastAsia" w:ascii="宋体" w:hAnsi="宋体" w:eastAsia="宋体" w:cs="宋体"/>
          <w:b w:val="0"/>
          <w:color w:val="auto"/>
          <w:sz w:val="21"/>
          <w:szCs w:val="21"/>
          <w:highlight w:val="none"/>
        </w:rPr>
        <w:t>月）的社保证明。</w:t>
      </w:r>
    </w:p>
    <w:p w14:paraId="1EDC516D">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（3）施工项目部关键岗位人员数量不得低于湘建建[2020]208号文件规定的最低配备标准（即：项目负责人1人、技术负责人1人、施工员1人、安全员1人、质量员1人），并且提供关键岗位人员202</w:t>
      </w:r>
      <w:r>
        <w:rPr>
          <w:rFonts w:hint="eastAsia" w:ascii="宋体" w:hAnsi="宋体" w:eastAsia="宋体" w:cs="宋体"/>
          <w:b w:val="0"/>
          <w:color w:val="auto"/>
          <w:sz w:val="21"/>
          <w:szCs w:val="21"/>
          <w:highlight w:val="none"/>
          <w:lang w:val="en-US" w:eastAsia="zh-CN"/>
        </w:rPr>
        <w:t>5</w:t>
      </w:r>
      <w:r>
        <w:rPr>
          <w:rFonts w:hint="eastAsia" w:ascii="宋体" w:hAnsi="宋体" w:eastAsia="宋体" w:cs="宋体"/>
          <w:b w:val="0"/>
          <w:color w:val="auto"/>
          <w:sz w:val="21"/>
          <w:szCs w:val="21"/>
          <w:highlight w:val="none"/>
        </w:rPr>
        <w:t>年</w:t>
      </w:r>
      <w:r>
        <w:rPr>
          <w:rFonts w:hint="eastAsia" w:ascii="宋体" w:hAnsi="宋体" w:eastAsia="宋体" w:cs="宋体"/>
          <w:b w:val="0"/>
          <w:color w:val="auto"/>
          <w:sz w:val="21"/>
          <w:szCs w:val="21"/>
          <w:highlight w:val="none"/>
          <w:lang w:val="en-US" w:eastAsia="zh-CN"/>
        </w:rPr>
        <w:t>8</w:t>
      </w:r>
      <w:r>
        <w:rPr>
          <w:rFonts w:hint="eastAsia" w:ascii="宋体" w:hAnsi="宋体" w:eastAsia="宋体" w:cs="宋体"/>
          <w:b w:val="0"/>
          <w:color w:val="auto"/>
          <w:sz w:val="21"/>
          <w:szCs w:val="21"/>
          <w:highlight w:val="none"/>
        </w:rPr>
        <w:t>月至202</w:t>
      </w:r>
      <w:r>
        <w:rPr>
          <w:rFonts w:hint="eastAsia" w:ascii="宋体" w:hAnsi="宋体" w:eastAsia="宋体" w:cs="宋体"/>
          <w:b w:val="0"/>
          <w:color w:val="auto"/>
          <w:sz w:val="21"/>
          <w:szCs w:val="21"/>
          <w:highlight w:val="none"/>
          <w:lang w:val="en-US" w:eastAsia="zh-CN"/>
        </w:rPr>
        <w:t>5</w:t>
      </w:r>
      <w:r>
        <w:rPr>
          <w:rFonts w:hint="eastAsia" w:ascii="宋体" w:hAnsi="宋体" w:eastAsia="宋体" w:cs="宋体"/>
          <w:b w:val="0"/>
          <w:color w:val="auto"/>
          <w:sz w:val="21"/>
          <w:szCs w:val="21"/>
          <w:highlight w:val="none"/>
        </w:rPr>
        <w:t>年</w:t>
      </w:r>
      <w:r>
        <w:rPr>
          <w:rFonts w:hint="eastAsia" w:ascii="宋体" w:hAnsi="宋体" w:eastAsia="宋体" w:cs="宋体"/>
          <w:b w:val="0"/>
          <w:color w:val="auto"/>
          <w:sz w:val="21"/>
          <w:szCs w:val="21"/>
          <w:highlight w:val="none"/>
          <w:lang w:val="en-US" w:eastAsia="zh-CN"/>
        </w:rPr>
        <w:t>10</w:t>
      </w:r>
      <w:r>
        <w:rPr>
          <w:rFonts w:hint="eastAsia" w:ascii="宋体" w:hAnsi="宋体" w:eastAsia="宋体" w:cs="宋体"/>
          <w:b w:val="0"/>
          <w:color w:val="auto"/>
          <w:sz w:val="21"/>
          <w:szCs w:val="21"/>
          <w:highlight w:val="none"/>
        </w:rPr>
        <w:t>月社保证明，提供关键岗位人员无在建项目承诺书。</w:t>
      </w:r>
    </w:p>
    <w:p w14:paraId="4C5029CE">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58" w:name="_Toc30027"/>
      <w:bookmarkStart w:id="59" w:name="_Toc12733"/>
      <w:r>
        <w:rPr>
          <w:rFonts w:hint="eastAsia" w:ascii="宋体" w:hAnsi="宋体" w:eastAsia="宋体" w:cs="宋体"/>
          <w:b w:val="0"/>
          <w:color w:val="auto"/>
          <w:sz w:val="21"/>
          <w:szCs w:val="21"/>
          <w:highlight w:val="none"/>
        </w:rPr>
        <w:t>4、单位负责人为同一人或者存在直接控股、管理关系的不同供应商，不得参加同一合同项下的采购活动。</w:t>
      </w:r>
      <w:bookmarkEnd w:id="58"/>
      <w:bookmarkEnd w:id="59"/>
    </w:p>
    <w:p w14:paraId="08F1F40D">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60" w:name="_Toc19633"/>
      <w:bookmarkStart w:id="61" w:name="_Toc18133"/>
      <w:r>
        <w:rPr>
          <w:rFonts w:hint="eastAsia" w:ascii="宋体" w:hAnsi="宋体" w:eastAsia="宋体" w:cs="宋体"/>
          <w:b w:val="0"/>
          <w:color w:val="auto"/>
          <w:sz w:val="21"/>
          <w:szCs w:val="21"/>
          <w:highlight w:val="none"/>
        </w:rPr>
        <w:t>5、为本项目提供整体设计、规范编制或者项目管理、监理、检测等服务的，不得再参加此项目的其他采购活动。</w:t>
      </w:r>
      <w:bookmarkEnd w:id="60"/>
      <w:bookmarkEnd w:id="61"/>
    </w:p>
    <w:p w14:paraId="0BC483DB">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62" w:name="_Toc26814"/>
      <w:bookmarkStart w:id="63" w:name="_Toc27438"/>
      <w:r>
        <w:rPr>
          <w:rFonts w:hint="eastAsia" w:ascii="宋体" w:hAnsi="宋体" w:eastAsia="宋体" w:cs="宋体"/>
          <w:b w:val="0"/>
          <w:color w:val="auto"/>
          <w:sz w:val="21"/>
          <w:szCs w:val="21"/>
          <w:highlight w:val="none"/>
        </w:rPr>
        <w:t>6、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bookmarkEnd w:id="62"/>
      <w:bookmarkEnd w:id="63"/>
    </w:p>
    <w:p w14:paraId="2F214B65">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64" w:name="_Toc27672"/>
      <w:bookmarkStart w:id="65" w:name="_Toc34"/>
      <w:r>
        <w:rPr>
          <w:rFonts w:hint="eastAsia" w:ascii="宋体" w:hAnsi="宋体" w:eastAsia="宋体" w:cs="宋体"/>
          <w:b w:val="0"/>
          <w:color w:val="auto"/>
          <w:sz w:val="21"/>
          <w:szCs w:val="21"/>
          <w:highlight w:val="none"/>
        </w:rPr>
        <w:t>7、本次采购</w:t>
      </w:r>
      <w:r>
        <w:rPr>
          <w:rFonts w:hint="eastAsia" w:ascii="宋体" w:hAnsi="宋体" w:eastAsia="宋体" w:cs="宋体"/>
          <w:b/>
          <w:bCs w:val="0"/>
          <w:color w:val="auto"/>
          <w:sz w:val="21"/>
          <w:szCs w:val="21"/>
          <w:highlight w:val="none"/>
        </w:rPr>
        <w:t>不接受</w:t>
      </w:r>
      <w:r>
        <w:rPr>
          <w:rFonts w:hint="eastAsia" w:ascii="宋体" w:hAnsi="宋体" w:eastAsia="宋体" w:cs="宋体"/>
          <w:b w:val="0"/>
          <w:color w:val="auto"/>
          <w:sz w:val="21"/>
          <w:szCs w:val="21"/>
          <w:highlight w:val="none"/>
        </w:rPr>
        <w:t>联合体形式。</w:t>
      </w:r>
      <w:bookmarkEnd w:id="64"/>
      <w:bookmarkEnd w:id="65"/>
    </w:p>
    <w:p w14:paraId="539280F6">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66" w:name="_Toc8330"/>
      <w:bookmarkStart w:id="67" w:name="_Toc13545"/>
      <w:r>
        <w:rPr>
          <w:rFonts w:hint="eastAsia" w:ascii="宋体" w:hAnsi="宋体" w:eastAsia="宋体" w:cs="宋体"/>
          <w:color w:val="auto"/>
          <w:sz w:val="21"/>
          <w:szCs w:val="21"/>
          <w:highlight w:val="none"/>
        </w:rPr>
        <w:t>五、磋商文件获取的时间、地点、方式</w:t>
      </w:r>
      <w:bookmarkEnd w:id="66"/>
      <w:bookmarkEnd w:id="67"/>
    </w:p>
    <w:p w14:paraId="258A3A0F">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68" w:name="_Toc5561"/>
      <w:bookmarkStart w:id="69" w:name="_Toc12744"/>
      <w:r>
        <w:rPr>
          <w:rFonts w:hint="eastAsia" w:ascii="宋体" w:hAnsi="宋体" w:eastAsia="宋体" w:cs="宋体"/>
          <w:b w:val="0"/>
          <w:color w:val="auto"/>
          <w:sz w:val="21"/>
          <w:szCs w:val="21"/>
          <w:highlight w:val="none"/>
        </w:rPr>
        <w:t>1、磋商文件的获取时间：凡符合投标资格要求并有意参加竞争性磋商活动的，可在公告发布之日起至提交响应文件截止之日通过郴州市政府采购（非标）电子交易平台（网址：http://cz.hbncp.com.cn/#/）免费获取及下载电子采购文件。</w:t>
      </w:r>
      <w:bookmarkEnd w:id="68"/>
      <w:bookmarkEnd w:id="69"/>
    </w:p>
    <w:p w14:paraId="60A30618">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70" w:name="_Toc29728"/>
      <w:bookmarkStart w:id="71" w:name="_Toc10160"/>
      <w:r>
        <w:rPr>
          <w:rFonts w:hint="eastAsia" w:ascii="宋体" w:hAnsi="宋体" w:eastAsia="宋体" w:cs="宋体"/>
          <w:b w:val="0"/>
          <w:color w:val="auto"/>
          <w:sz w:val="21"/>
          <w:szCs w:val="21"/>
          <w:highlight w:val="none"/>
        </w:rPr>
        <w:t>2、采购文件及修改、澄清文件的获取方式：</w:t>
      </w:r>
      <w:bookmarkEnd w:id="70"/>
      <w:bookmarkEnd w:id="71"/>
    </w:p>
    <w:p w14:paraId="3ED645E7">
      <w:pPr>
        <w:pStyle w:val="2"/>
        <w:keepNext w:val="0"/>
        <w:keepLines w:val="0"/>
        <w:pageBreakBefore w:val="0"/>
        <w:widowControl/>
        <w:shd w:val="clear" w:color="auto" w:fill="FFFFFF"/>
        <w:kinsoku/>
        <w:wordWrap w:val="0"/>
        <w:overflowPunct/>
        <w:topLine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72" w:name="_Toc25101"/>
      <w:bookmarkStart w:id="73" w:name="_Toc8850"/>
      <w:r>
        <w:rPr>
          <w:rFonts w:hint="eastAsia" w:ascii="宋体" w:hAnsi="宋体" w:eastAsia="宋体" w:cs="宋体"/>
          <w:b w:val="0"/>
          <w:color w:val="auto"/>
          <w:sz w:val="21"/>
          <w:szCs w:val="21"/>
          <w:highlight w:val="none"/>
        </w:rPr>
        <w:t>2.1供应商应在本项目获取采购文件截止时间前登录湖南省公共资源交易统一注册平台（网址：http://222.240.80.14:8888/G2/register!verification.do?systemId=4028c7b35a8cfff2015a8df8bba001fc）中进行账号注册和数字证书申请。</w:t>
      </w:r>
      <w:bookmarkEnd w:id="72"/>
      <w:bookmarkEnd w:id="73"/>
    </w:p>
    <w:p w14:paraId="3F80560A">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74" w:name="_Toc28607"/>
      <w:bookmarkStart w:id="75" w:name="_Toc31198"/>
      <w:r>
        <w:rPr>
          <w:rFonts w:hint="eastAsia" w:ascii="宋体" w:hAnsi="宋体" w:eastAsia="宋体" w:cs="宋体"/>
          <w:b w:val="0"/>
          <w:color w:val="auto"/>
          <w:sz w:val="21"/>
          <w:szCs w:val="21"/>
          <w:highlight w:val="none"/>
        </w:rPr>
        <w:t>2.2已完成审核的供应商应在本项目获取采购文件截止时间前登录郴州市政府采购（非标）电子交易平台（网址：http://cz.hbncp.com.cn/#/）中进行“公告”--“立即投递”--“下载文件”的操作，逾期将不能获取文件。未按照相关程序操作的供应商，所产生的后果由供应商自行承担全部责任。修改、澄清后的采购文件请供应商自行在以上网站下载或查阅，恕不另行通知，如有遗漏，由供应商自行承担全部责任。</w:t>
      </w:r>
      <w:bookmarkEnd w:id="74"/>
      <w:bookmarkEnd w:id="75"/>
    </w:p>
    <w:p w14:paraId="0AC18206">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76" w:name="_Toc22173"/>
      <w:bookmarkStart w:id="77" w:name="_Toc5086"/>
      <w:r>
        <w:rPr>
          <w:rFonts w:hint="eastAsia" w:ascii="宋体" w:hAnsi="宋体" w:eastAsia="宋体" w:cs="宋体"/>
          <w:b w:val="0"/>
          <w:color w:val="auto"/>
          <w:sz w:val="21"/>
          <w:szCs w:val="21"/>
          <w:highlight w:val="none"/>
        </w:rPr>
        <w:t>3、通过网络下载，其采购文件与备案的书面采购文件具有同等法律效力。供应商应及时关注网上相关采购信息，如有遗漏（包括但不限于文件未下载或下载不完整），采购人概不负责，所造成的投标失败或损失由供应商自行承担。</w:t>
      </w:r>
      <w:bookmarkEnd w:id="76"/>
      <w:bookmarkEnd w:id="77"/>
    </w:p>
    <w:p w14:paraId="27F3649B">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78" w:name="_Toc1279"/>
      <w:bookmarkStart w:id="79" w:name="_Toc10486"/>
      <w:r>
        <w:rPr>
          <w:rFonts w:hint="eastAsia" w:ascii="宋体" w:hAnsi="宋体" w:eastAsia="宋体" w:cs="宋体"/>
          <w:color w:val="auto"/>
          <w:sz w:val="21"/>
          <w:szCs w:val="21"/>
          <w:highlight w:val="none"/>
        </w:rPr>
        <w:t>六、响应文件提交的截止时间、开启时间及地点</w:t>
      </w:r>
      <w:bookmarkEnd w:id="78"/>
      <w:bookmarkEnd w:id="79"/>
    </w:p>
    <w:p w14:paraId="22244892">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80" w:name="_Toc22477"/>
      <w:bookmarkStart w:id="81" w:name="_Toc14493"/>
      <w:r>
        <w:rPr>
          <w:rFonts w:hint="eastAsia" w:ascii="宋体" w:hAnsi="宋体" w:eastAsia="宋体" w:cs="宋体"/>
          <w:b w:val="0"/>
          <w:color w:val="auto"/>
          <w:sz w:val="21"/>
          <w:szCs w:val="21"/>
          <w:highlight w:val="none"/>
        </w:rPr>
        <w:t>1、响应文件的提交方式：供应商应在本项目获取采购文件截止时间前登录郴州市公共资源（非标）电子交易平台（网址：http://cz.hbncp.com.cn/#/）进行线上上传。</w:t>
      </w:r>
      <w:bookmarkEnd w:id="80"/>
      <w:bookmarkEnd w:id="81"/>
    </w:p>
    <w:p w14:paraId="12BCDF2E">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82" w:name="_Toc29767"/>
      <w:bookmarkStart w:id="83" w:name="_Toc28868"/>
      <w:r>
        <w:rPr>
          <w:rFonts w:hint="eastAsia" w:ascii="宋体" w:hAnsi="宋体" w:eastAsia="宋体" w:cs="宋体"/>
          <w:b w:val="0"/>
          <w:color w:val="auto"/>
          <w:sz w:val="21"/>
          <w:szCs w:val="21"/>
          <w:highlight w:val="none"/>
        </w:rPr>
        <w:t>2、首次响应文件的提交截止时间：</w:t>
      </w:r>
      <w:r>
        <w:rPr>
          <w:rFonts w:hint="eastAsia" w:ascii="宋体" w:hAnsi="宋体" w:eastAsia="宋体" w:cs="宋体"/>
          <w:b w:val="0"/>
          <w:color w:val="auto"/>
          <w:sz w:val="21"/>
          <w:szCs w:val="21"/>
          <w:highlight w:val="none"/>
          <w:u w:val="single"/>
        </w:rPr>
        <w:t>202</w:t>
      </w:r>
      <w:r>
        <w:rPr>
          <w:rFonts w:hint="eastAsia" w:ascii="宋体" w:hAnsi="宋体" w:cs="宋体"/>
          <w:b w:val="0"/>
          <w:color w:val="auto"/>
          <w:sz w:val="21"/>
          <w:szCs w:val="21"/>
          <w:highlight w:val="none"/>
          <w:u w:val="single"/>
          <w:lang w:val="en-US" w:eastAsia="zh-CN"/>
        </w:rPr>
        <w:t>5</w:t>
      </w:r>
      <w:r>
        <w:rPr>
          <w:rFonts w:hint="eastAsia" w:ascii="宋体" w:hAnsi="宋体" w:eastAsia="宋体" w:cs="宋体"/>
          <w:b w:val="0"/>
          <w:color w:val="auto"/>
          <w:sz w:val="21"/>
          <w:szCs w:val="21"/>
          <w:highlight w:val="none"/>
        </w:rPr>
        <w:t>年</w:t>
      </w:r>
      <w:r>
        <w:rPr>
          <w:rFonts w:hint="eastAsia" w:ascii="宋体" w:hAnsi="宋体" w:cs="宋体"/>
          <w:b w:val="0"/>
          <w:color w:val="auto"/>
          <w:sz w:val="21"/>
          <w:szCs w:val="21"/>
          <w:highlight w:val="none"/>
          <w:u w:val="single"/>
          <w:lang w:val="en-US" w:eastAsia="zh-CN"/>
        </w:rPr>
        <w:t>12</w:t>
      </w:r>
      <w:r>
        <w:rPr>
          <w:rFonts w:hint="eastAsia" w:ascii="宋体" w:hAnsi="宋体" w:eastAsia="宋体" w:cs="宋体"/>
          <w:b w:val="0"/>
          <w:color w:val="auto"/>
          <w:sz w:val="21"/>
          <w:szCs w:val="21"/>
          <w:highlight w:val="none"/>
        </w:rPr>
        <w:t>月</w:t>
      </w:r>
      <w:r>
        <w:rPr>
          <w:rFonts w:hint="eastAsia" w:ascii="宋体" w:hAnsi="宋体" w:cs="宋体"/>
          <w:b w:val="0"/>
          <w:color w:val="auto"/>
          <w:sz w:val="21"/>
          <w:szCs w:val="21"/>
          <w:highlight w:val="none"/>
          <w:u w:val="single"/>
          <w:lang w:val="en-US" w:eastAsia="zh-CN"/>
        </w:rPr>
        <w:t>5</w:t>
      </w:r>
      <w:r>
        <w:rPr>
          <w:rFonts w:hint="eastAsia" w:ascii="宋体" w:hAnsi="宋体" w:eastAsia="宋体" w:cs="宋体"/>
          <w:b w:val="0"/>
          <w:color w:val="auto"/>
          <w:sz w:val="21"/>
          <w:szCs w:val="21"/>
          <w:highlight w:val="none"/>
        </w:rPr>
        <w:t>日</w:t>
      </w:r>
      <w:r>
        <w:rPr>
          <w:rFonts w:hint="eastAsia" w:ascii="宋体" w:hAnsi="宋体" w:cs="宋体"/>
          <w:b w:val="0"/>
          <w:color w:val="auto"/>
          <w:sz w:val="21"/>
          <w:szCs w:val="21"/>
          <w:highlight w:val="none"/>
          <w:u w:val="single"/>
          <w:lang w:val="en-US" w:eastAsia="zh-CN"/>
        </w:rPr>
        <w:t>9</w:t>
      </w:r>
      <w:r>
        <w:rPr>
          <w:rFonts w:hint="eastAsia" w:ascii="宋体" w:hAnsi="宋体" w:eastAsia="宋体" w:cs="宋体"/>
          <w:b w:val="0"/>
          <w:color w:val="auto"/>
          <w:sz w:val="21"/>
          <w:szCs w:val="21"/>
          <w:highlight w:val="none"/>
        </w:rPr>
        <w:t>时</w:t>
      </w:r>
      <w:r>
        <w:rPr>
          <w:rFonts w:hint="eastAsia" w:ascii="宋体" w:hAnsi="宋体" w:eastAsia="宋体" w:cs="宋体"/>
          <w:b w:val="0"/>
          <w:color w:val="auto"/>
          <w:sz w:val="21"/>
          <w:szCs w:val="21"/>
          <w:highlight w:val="none"/>
          <w:u w:val="single"/>
        </w:rPr>
        <w:t xml:space="preserve"> 30 </w:t>
      </w:r>
      <w:r>
        <w:rPr>
          <w:rFonts w:hint="eastAsia" w:ascii="宋体" w:hAnsi="宋体" w:eastAsia="宋体" w:cs="宋体"/>
          <w:b w:val="0"/>
          <w:color w:val="auto"/>
          <w:sz w:val="21"/>
          <w:szCs w:val="21"/>
          <w:highlight w:val="none"/>
        </w:rPr>
        <w:t>分（北京时间），超过截止时间的投标将被拒绝。</w:t>
      </w:r>
      <w:bookmarkEnd w:id="82"/>
      <w:bookmarkEnd w:id="83"/>
    </w:p>
    <w:p w14:paraId="72A7E8F8">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84" w:name="_Toc9712"/>
      <w:bookmarkStart w:id="85" w:name="_Toc17752"/>
      <w:r>
        <w:rPr>
          <w:rFonts w:hint="eastAsia" w:ascii="宋体" w:hAnsi="宋体" w:eastAsia="宋体" w:cs="宋体"/>
          <w:b w:val="0"/>
          <w:color w:val="auto"/>
          <w:sz w:val="21"/>
          <w:szCs w:val="21"/>
          <w:highlight w:val="none"/>
        </w:rPr>
        <w:t>3、首次响应文件的开启时间：</w:t>
      </w:r>
      <w:r>
        <w:rPr>
          <w:rFonts w:hint="eastAsia" w:ascii="宋体" w:hAnsi="宋体" w:eastAsia="宋体" w:cs="宋体"/>
          <w:b w:val="0"/>
          <w:color w:val="auto"/>
          <w:sz w:val="21"/>
          <w:szCs w:val="21"/>
          <w:highlight w:val="none"/>
          <w:u w:val="single"/>
        </w:rPr>
        <w:t>202</w:t>
      </w:r>
      <w:r>
        <w:rPr>
          <w:rFonts w:hint="eastAsia" w:ascii="宋体" w:hAnsi="宋体" w:cs="宋体"/>
          <w:b w:val="0"/>
          <w:color w:val="auto"/>
          <w:sz w:val="21"/>
          <w:szCs w:val="21"/>
          <w:highlight w:val="none"/>
          <w:u w:val="single"/>
          <w:lang w:val="en-US" w:eastAsia="zh-CN"/>
        </w:rPr>
        <w:t>5</w:t>
      </w:r>
      <w:r>
        <w:rPr>
          <w:rFonts w:hint="eastAsia" w:ascii="宋体" w:hAnsi="宋体" w:eastAsia="宋体" w:cs="宋体"/>
          <w:b w:val="0"/>
          <w:color w:val="auto"/>
          <w:sz w:val="21"/>
          <w:szCs w:val="21"/>
          <w:highlight w:val="none"/>
        </w:rPr>
        <w:t>年</w:t>
      </w:r>
      <w:r>
        <w:rPr>
          <w:rFonts w:hint="eastAsia" w:ascii="宋体" w:hAnsi="宋体" w:cs="宋体"/>
          <w:b w:val="0"/>
          <w:color w:val="auto"/>
          <w:sz w:val="21"/>
          <w:szCs w:val="21"/>
          <w:highlight w:val="none"/>
          <w:u w:val="single"/>
          <w:lang w:val="en-US" w:eastAsia="zh-CN"/>
        </w:rPr>
        <w:t>12</w:t>
      </w:r>
      <w:r>
        <w:rPr>
          <w:rFonts w:hint="eastAsia" w:ascii="宋体" w:hAnsi="宋体" w:eastAsia="宋体" w:cs="宋体"/>
          <w:b w:val="0"/>
          <w:color w:val="auto"/>
          <w:sz w:val="21"/>
          <w:szCs w:val="21"/>
          <w:highlight w:val="none"/>
        </w:rPr>
        <w:t>月</w:t>
      </w:r>
      <w:r>
        <w:rPr>
          <w:rFonts w:hint="eastAsia" w:ascii="宋体" w:hAnsi="宋体" w:cs="宋体"/>
          <w:b w:val="0"/>
          <w:color w:val="auto"/>
          <w:sz w:val="21"/>
          <w:szCs w:val="21"/>
          <w:highlight w:val="none"/>
          <w:u w:val="single"/>
          <w:lang w:val="en-US" w:eastAsia="zh-CN"/>
        </w:rPr>
        <w:t>5</w:t>
      </w:r>
      <w:r>
        <w:rPr>
          <w:rFonts w:hint="eastAsia" w:ascii="宋体" w:hAnsi="宋体" w:eastAsia="宋体" w:cs="宋体"/>
          <w:b w:val="0"/>
          <w:color w:val="auto"/>
          <w:sz w:val="21"/>
          <w:szCs w:val="21"/>
          <w:highlight w:val="none"/>
        </w:rPr>
        <w:t>日</w:t>
      </w:r>
      <w:r>
        <w:rPr>
          <w:rFonts w:hint="eastAsia" w:ascii="宋体" w:hAnsi="宋体" w:cs="宋体"/>
          <w:b w:val="0"/>
          <w:color w:val="auto"/>
          <w:sz w:val="21"/>
          <w:szCs w:val="21"/>
          <w:highlight w:val="none"/>
          <w:u w:val="single"/>
          <w:lang w:val="en-US" w:eastAsia="zh-CN"/>
        </w:rPr>
        <w:t>9</w:t>
      </w:r>
      <w:r>
        <w:rPr>
          <w:rFonts w:hint="eastAsia" w:ascii="宋体" w:hAnsi="宋体" w:eastAsia="宋体" w:cs="宋体"/>
          <w:b w:val="0"/>
          <w:color w:val="auto"/>
          <w:sz w:val="21"/>
          <w:szCs w:val="21"/>
          <w:highlight w:val="none"/>
        </w:rPr>
        <w:t>时</w:t>
      </w:r>
      <w:r>
        <w:rPr>
          <w:rFonts w:hint="eastAsia" w:ascii="宋体" w:hAnsi="宋体" w:eastAsia="宋体" w:cs="宋体"/>
          <w:b w:val="0"/>
          <w:color w:val="auto"/>
          <w:sz w:val="21"/>
          <w:szCs w:val="21"/>
          <w:highlight w:val="none"/>
          <w:u w:val="single"/>
        </w:rPr>
        <w:t xml:space="preserve"> 30 </w:t>
      </w:r>
      <w:r>
        <w:rPr>
          <w:rFonts w:hint="eastAsia" w:ascii="宋体" w:hAnsi="宋体" w:eastAsia="宋体" w:cs="宋体"/>
          <w:b w:val="0"/>
          <w:color w:val="auto"/>
          <w:sz w:val="21"/>
          <w:szCs w:val="21"/>
          <w:highlight w:val="none"/>
        </w:rPr>
        <w:t>分（北京时间）。</w:t>
      </w:r>
      <w:bookmarkEnd w:id="84"/>
      <w:bookmarkEnd w:id="85"/>
    </w:p>
    <w:p w14:paraId="66BD3D52">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86" w:name="_Toc10661"/>
      <w:bookmarkStart w:id="87" w:name="_Toc14888"/>
      <w:r>
        <w:rPr>
          <w:rFonts w:hint="eastAsia" w:ascii="宋体" w:hAnsi="宋体" w:eastAsia="宋体" w:cs="宋体"/>
          <w:b w:val="0"/>
          <w:color w:val="auto"/>
          <w:sz w:val="21"/>
          <w:szCs w:val="21"/>
          <w:highlight w:val="none"/>
        </w:rPr>
        <w:t>4、首次响应文件的开启地点：郴州市市民服务中心</w:t>
      </w:r>
      <w:r>
        <w:rPr>
          <w:rFonts w:hint="eastAsia" w:ascii="宋体" w:hAnsi="宋体" w:cs="宋体"/>
          <w:b/>
          <w:bCs w:val="0"/>
          <w:color w:val="auto"/>
          <w:sz w:val="21"/>
          <w:szCs w:val="21"/>
          <w:highlight w:val="none"/>
          <w:lang w:val="en-US" w:eastAsia="zh-CN"/>
        </w:rPr>
        <w:t>3</w:t>
      </w:r>
      <w:r>
        <w:rPr>
          <w:rFonts w:hint="eastAsia" w:ascii="宋体" w:hAnsi="宋体" w:eastAsia="宋体" w:cs="宋体"/>
          <w:b/>
          <w:bCs w:val="0"/>
          <w:color w:val="auto"/>
          <w:sz w:val="21"/>
          <w:szCs w:val="21"/>
          <w:highlight w:val="none"/>
        </w:rPr>
        <w:t>楼</w:t>
      </w:r>
      <w:r>
        <w:rPr>
          <w:rFonts w:hint="eastAsia" w:ascii="宋体" w:hAnsi="宋体" w:eastAsia="宋体" w:cs="宋体"/>
          <w:b w:val="0"/>
          <w:color w:val="auto"/>
          <w:sz w:val="21"/>
          <w:szCs w:val="21"/>
          <w:highlight w:val="none"/>
        </w:rPr>
        <w:t>市公共资源交易中心第</w:t>
      </w:r>
      <w:r>
        <w:rPr>
          <w:rFonts w:hint="eastAsia" w:ascii="宋体" w:hAnsi="宋体" w:cs="宋体"/>
          <w:b w:val="0"/>
          <w:color w:val="auto"/>
          <w:sz w:val="21"/>
          <w:szCs w:val="21"/>
          <w:highlight w:val="none"/>
          <w:u w:val="single"/>
          <w:lang w:val="en-US" w:eastAsia="zh-CN"/>
        </w:rPr>
        <w:t>11</w:t>
      </w:r>
      <w:r>
        <w:rPr>
          <w:rFonts w:hint="eastAsia" w:ascii="宋体" w:hAnsi="宋体" w:eastAsia="宋体" w:cs="宋体"/>
          <w:b w:val="0"/>
          <w:color w:val="auto"/>
          <w:sz w:val="21"/>
          <w:szCs w:val="21"/>
          <w:highlight w:val="none"/>
        </w:rPr>
        <w:t>开标室。</w:t>
      </w:r>
      <w:bookmarkEnd w:id="86"/>
      <w:bookmarkEnd w:id="87"/>
    </w:p>
    <w:p w14:paraId="57E9A5FF">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88" w:name="_Toc1824"/>
      <w:bookmarkStart w:id="89" w:name="_Toc2697"/>
      <w:r>
        <w:rPr>
          <w:rFonts w:hint="eastAsia" w:ascii="宋体" w:hAnsi="宋体" w:eastAsia="宋体" w:cs="宋体"/>
          <w:b w:val="0"/>
          <w:color w:val="auto"/>
          <w:sz w:val="21"/>
          <w:szCs w:val="21"/>
          <w:highlight w:val="none"/>
        </w:rPr>
        <w:t>5、本项目实行全流程电子化，供应商应在规定时间内使用电脑自行远程解密开启文件，并参加网上开标活动。电子响应文件解密时限：30分钟。请供应商确保响应文件如期解密。</w:t>
      </w:r>
      <w:bookmarkEnd w:id="88"/>
      <w:bookmarkEnd w:id="89"/>
    </w:p>
    <w:p w14:paraId="28F11545">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90" w:name="_Toc25283"/>
      <w:bookmarkStart w:id="91" w:name="_Toc13227"/>
      <w:r>
        <w:rPr>
          <w:rFonts w:hint="eastAsia" w:ascii="宋体" w:hAnsi="宋体" w:eastAsia="宋体" w:cs="宋体"/>
          <w:b w:val="0"/>
          <w:color w:val="auto"/>
          <w:sz w:val="21"/>
          <w:szCs w:val="21"/>
          <w:highlight w:val="none"/>
        </w:rPr>
        <w:t>6、首次响应文件的开启时间与提交首次响应文件的截止时间为同一时间。</w:t>
      </w:r>
      <w:bookmarkEnd w:id="90"/>
      <w:bookmarkEnd w:id="91"/>
    </w:p>
    <w:p w14:paraId="0F448592">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92" w:name="_Toc29345"/>
      <w:bookmarkStart w:id="93" w:name="_Toc27794"/>
      <w:r>
        <w:rPr>
          <w:rFonts w:hint="eastAsia" w:ascii="宋体" w:hAnsi="宋体" w:eastAsia="宋体" w:cs="宋体"/>
          <w:b w:val="0"/>
          <w:color w:val="auto"/>
          <w:sz w:val="21"/>
          <w:szCs w:val="21"/>
          <w:highlight w:val="none"/>
        </w:rPr>
        <w:t>7、本项目电子响应文件容量应当控制在100MB以内（如文件大小超过100M，请联系系统客服协助），请供应商注意控制文件大小，若因响应文件容量较大而影响投标的，其责任由供应商自行承担。</w:t>
      </w:r>
      <w:bookmarkEnd w:id="92"/>
      <w:bookmarkEnd w:id="93"/>
    </w:p>
    <w:p w14:paraId="1CDDE0D4">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94" w:name="_Toc11052"/>
      <w:bookmarkStart w:id="95" w:name="_Toc20004"/>
      <w:r>
        <w:rPr>
          <w:rFonts w:hint="eastAsia" w:ascii="宋体" w:hAnsi="宋体" w:eastAsia="宋体" w:cs="宋体"/>
          <w:b w:val="0"/>
          <w:color w:val="auto"/>
          <w:sz w:val="21"/>
          <w:szCs w:val="21"/>
          <w:highlight w:val="none"/>
        </w:rPr>
        <w:t>8、为保证本项目的顺利进行，供应商应在投递页面填写本项目的磋商代表的手机号码，以便顺利进行视频会议进行磋商。</w:t>
      </w:r>
      <w:bookmarkEnd w:id="94"/>
      <w:bookmarkEnd w:id="95"/>
    </w:p>
    <w:p w14:paraId="785D21C7">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96" w:name="_Toc6074"/>
      <w:bookmarkStart w:id="97" w:name="_Toc18719"/>
      <w:r>
        <w:rPr>
          <w:rFonts w:hint="eastAsia" w:ascii="宋体" w:hAnsi="宋体" w:eastAsia="宋体" w:cs="宋体"/>
          <w:color w:val="auto"/>
          <w:sz w:val="21"/>
          <w:szCs w:val="21"/>
          <w:highlight w:val="none"/>
        </w:rPr>
        <w:t>七、磋商公告</w:t>
      </w:r>
      <w:bookmarkEnd w:id="96"/>
      <w:bookmarkEnd w:id="97"/>
    </w:p>
    <w:p w14:paraId="0412BEB6">
      <w:pPr>
        <w:keepNext w:val="0"/>
        <w:keepLines w:val="0"/>
        <w:pageBreakBefore w:val="0"/>
        <w:kinsoku/>
        <w:overflowPunct/>
        <w:autoSpaceDE/>
        <w:autoSpaceDN/>
        <w:bidi w:val="0"/>
        <w:adjustRightInd w:val="0"/>
        <w:snapToGrid w:val="0"/>
        <w:spacing w:line="440" w:lineRule="exact"/>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磋商公告在</w:t>
      </w:r>
      <w:bookmarkStart w:id="98" w:name="OLE_LINK5"/>
      <w:r>
        <w:rPr>
          <w:rFonts w:hint="eastAsia" w:ascii="宋体" w:hAnsi="宋体" w:eastAsia="宋体" w:cs="宋体"/>
          <w:color w:val="auto"/>
          <w:sz w:val="21"/>
          <w:szCs w:val="21"/>
          <w:highlight w:val="none"/>
        </w:rPr>
        <w:t>中国湖南政府采购网（www.ccgp-hunan.gov.cn）、郴州市公共资源交易中心(http://czggzy.c</w:t>
      </w:r>
      <w:r>
        <w:rPr>
          <w:rFonts w:hint="eastAsia" w:ascii="宋体" w:hAnsi="宋体" w:eastAsia="宋体" w:cs="宋体"/>
          <w:color w:val="auto"/>
          <w:kern w:val="0"/>
          <w:sz w:val="21"/>
          <w:szCs w:val="21"/>
          <w:highlight w:val="none"/>
        </w:rPr>
        <w:t>zs.gov.cn/)</w:t>
      </w:r>
      <w:r>
        <w:rPr>
          <w:rFonts w:hint="eastAsia" w:ascii="宋体" w:hAnsi="宋体" w:cs="宋体"/>
          <w:color w:val="auto"/>
          <w:kern w:val="0"/>
          <w:sz w:val="21"/>
          <w:szCs w:val="21"/>
          <w:highlight w:val="none"/>
          <w:lang w:eastAsia="zh-CN"/>
        </w:rPr>
        <w:t>、</w:t>
      </w:r>
      <w:r>
        <w:rPr>
          <w:rFonts w:hint="eastAsia" w:ascii="宋体" w:hAnsi="宋体" w:cs="宋体"/>
          <w:color w:val="auto"/>
          <w:szCs w:val="21"/>
          <w:highlight w:val="none"/>
          <w:shd w:val="clear" w:color="auto" w:fill="FFFFFF"/>
        </w:rPr>
        <w:t>51招标网</w:t>
      </w:r>
      <w:r>
        <w:rPr>
          <w:rFonts w:hint="eastAsia" w:ascii="宋体" w:hAnsi="宋体" w:cs="宋体"/>
          <w:color w:val="auto"/>
          <w:szCs w:val="21"/>
          <w:highlight w:val="none"/>
          <w:shd w:val="clear" w:color="auto" w:fill="FFFFFF"/>
          <w:lang w:eastAsia="zh-CN"/>
        </w:rPr>
        <w:t>（</w:t>
      </w:r>
      <w:r>
        <w:rPr>
          <w:rFonts w:hint="eastAsia" w:ascii="宋体" w:hAnsi="宋体" w:cs="宋体"/>
          <w:color w:val="auto"/>
          <w:szCs w:val="21"/>
          <w:highlight w:val="none"/>
          <w:shd w:val="clear" w:color="auto" w:fill="FFFFFF"/>
          <w:lang w:val="en-US" w:eastAsia="zh-CN"/>
        </w:rPr>
        <w:t>网站：</w:t>
      </w:r>
      <w:r>
        <w:rPr>
          <w:rFonts w:hint="eastAsia" w:ascii="宋体" w:hAnsi="宋体" w:cs="宋体"/>
          <w:color w:val="auto"/>
          <w:szCs w:val="21"/>
          <w:highlight w:val="none"/>
          <w:shd w:val="clear" w:color="auto" w:fill="FFFFFF"/>
        </w:rPr>
        <w:t>https://www.51eliao.com/#/index</w:t>
      </w:r>
      <w:r>
        <w:rPr>
          <w:rFonts w:hint="eastAsia" w:ascii="宋体" w:hAnsi="宋体" w:cs="宋体"/>
          <w:color w:val="auto"/>
          <w:szCs w:val="21"/>
          <w:highlight w:val="none"/>
          <w:shd w:val="clear" w:color="auto" w:fill="FFFFFF"/>
          <w:lang w:eastAsia="zh-CN"/>
        </w:rPr>
        <w:t>）、</w:t>
      </w:r>
      <w:r>
        <w:rPr>
          <w:rFonts w:hint="eastAsia" w:ascii="宋体" w:hAnsi="宋体" w:cs="宋体"/>
          <w:color w:val="auto"/>
          <w:szCs w:val="21"/>
          <w:highlight w:val="none"/>
          <w:shd w:val="clear" w:color="auto" w:fill="FFFFFF"/>
        </w:rPr>
        <w:t>郴州市第一人民医院官网（网址:czhospital.51eliao.com）</w:t>
      </w:r>
      <w:bookmarkEnd w:id="98"/>
      <w:r>
        <w:rPr>
          <w:rFonts w:hint="eastAsia" w:ascii="宋体" w:hAnsi="宋体" w:eastAsia="宋体" w:cs="宋体"/>
          <w:color w:val="auto"/>
          <w:sz w:val="21"/>
          <w:szCs w:val="21"/>
          <w:highlight w:val="none"/>
        </w:rPr>
        <w:t>发布。在其他媒体发布的招标公告，公告内容以本招标公告指定媒体发布的公告为准；公告期限自本招标公告指定媒体最先发布公告之日起算。</w:t>
      </w:r>
    </w:p>
    <w:p w14:paraId="1443F2B7">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99" w:name="_Toc25354"/>
      <w:bookmarkStart w:id="100" w:name="_Toc27697"/>
      <w:r>
        <w:rPr>
          <w:rFonts w:hint="eastAsia" w:ascii="宋体" w:hAnsi="宋体" w:eastAsia="宋体" w:cs="宋体"/>
          <w:color w:val="auto"/>
          <w:sz w:val="21"/>
          <w:szCs w:val="21"/>
          <w:highlight w:val="none"/>
        </w:rPr>
        <w:t>八、确定邀请供应商</w:t>
      </w:r>
      <w:bookmarkEnd w:id="99"/>
      <w:bookmarkEnd w:id="100"/>
    </w:p>
    <w:p w14:paraId="35CEB364">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101" w:name="_Toc30440"/>
      <w:bookmarkStart w:id="102" w:name="_Toc19031"/>
      <w:r>
        <w:rPr>
          <w:rFonts w:hint="eastAsia" w:ascii="宋体" w:hAnsi="宋体" w:eastAsia="宋体" w:cs="宋体"/>
          <w:b w:val="0"/>
          <w:color w:val="auto"/>
          <w:sz w:val="21"/>
          <w:szCs w:val="21"/>
          <w:highlight w:val="none"/>
        </w:rPr>
        <w:t>磋商小组确定所有符合相应资格条件的供应商参与竞争性磋商采购活动。</w:t>
      </w:r>
      <w:bookmarkEnd w:id="101"/>
      <w:bookmarkEnd w:id="102"/>
    </w:p>
    <w:p w14:paraId="2DDB0DEF">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103" w:name="_Toc20448"/>
      <w:bookmarkStart w:id="104" w:name="_Toc24437"/>
      <w:r>
        <w:rPr>
          <w:rFonts w:hint="eastAsia" w:ascii="宋体" w:hAnsi="宋体" w:eastAsia="宋体" w:cs="宋体"/>
          <w:color w:val="auto"/>
          <w:sz w:val="21"/>
          <w:szCs w:val="21"/>
          <w:highlight w:val="none"/>
        </w:rPr>
        <w:t>九、询问及质疑</w:t>
      </w:r>
      <w:bookmarkEnd w:id="103"/>
      <w:bookmarkEnd w:id="104"/>
    </w:p>
    <w:p w14:paraId="386FDDFC">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105" w:name="_Toc6900"/>
      <w:bookmarkStart w:id="106" w:name="_Toc2781"/>
      <w:r>
        <w:rPr>
          <w:rFonts w:hint="eastAsia" w:ascii="宋体" w:hAnsi="宋体" w:eastAsia="宋体" w:cs="宋体"/>
          <w:b w:val="0"/>
          <w:color w:val="auto"/>
          <w:sz w:val="21"/>
          <w:szCs w:val="21"/>
          <w:highlight w:val="none"/>
        </w:rPr>
        <w:t>1、供应商对采购活动事项如有疑问的，可以向采购人、政府采购代理机构提出询问。采购人、政府采购代理机构将在3个工作日内作出答复。</w:t>
      </w:r>
      <w:bookmarkEnd w:id="105"/>
      <w:bookmarkEnd w:id="106"/>
    </w:p>
    <w:p w14:paraId="6416A21E">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bookmarkStart w:id="107" w:name="_Toc7184"/>
      <w:bookmarkStart w:id="108" w:name="_Toc15537"/>
      <w:r>
        <w:rPr>
          <w:rFonts w:hint="eastAsia" w:ascii="宋体" w:hAnsi="宋体" w:eastAsia="宋体" w:cs="宋体"/>
          <w:b w:val="0"/>
          <w:color w:val="auto"/>
          <w:sz w:val="21"/>
          <w:szCs w:val="21"/>
          <w:highlight w:val="none"/>
        </w:rPr>
        <w:t>2、潜在供应商认为磋商文件或磋商邀请公告使自己的合法权益受到损害的，可以在获取招标文件之日起7个工作日内，以书面形式一次性向采购人、政府采购代理机构提出针对同一采购程序环节的质疑。</w:t>
      </w:r>
      <w:bookmarkEnd w:id="107"/>
      <w:bookmarkEnd w:id="108"/>
    </w:p>
    <w:p w14:paraId="7E39E2D6">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109" w:name="_Toc29474"/>
      <w:bookmarkStart w:id="110" w:name="_Toc32699"/>
      <w:r>
        <w:rPr>
          <w:rFonts w:hint="eastAsia" w:ascii="宋体" w:hAnsi="宋体" w:eastAsia="宋体" w:cs="宋体"/>
          <w:color w:val="auto"/>
          <w:sz w:val="21"/>
          <w:szCs w:val="21"/>
          <w:highlight w:val="none"/>
        </w:rPr>
        <w:t>十、采购人及其委托的政府采购代理机构的名称、地址和联系方法</w:t>
      </w:r>
      <w:bookmarkEnd w:id="109"/>
      <w:bookmarkEnd w:id="110"/>
    </w:p>
    <w:p w14:paraId="24014F13">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1、采购人信息</w:t>
      </w:r>
    </w:p>
    <w:p w14:paraId="25E4907A">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bookmarkStart w:id="111" w:name="OLE_LINK2"/>
      <w:r>
        <w:rPr>
          <w:rFonts w:hint="eastAsia" w:ascii="宋体" w:hAnsi="宋体" w:eastAsia="宋体" w:cs="宋体"/>
          <w:b w:val="0"/>
          <w:color w:val="auto"/>
          <w:sz w:val="21"/>
          <w:szCs w:val="21"/>
          <w:highlight w:val="none"/>
          <w:lang w:eastAsia="zh-CN"/>
        </w:rPr>
        <w:t>（1）名  称：郴州市第一人民医院</w:t>
      </w:r>
    </w:p>
    <w:p w14:paraId="6B51E8F8">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（2）地  址：郴州市罗家井102号</w:t>
      </w:r>
    </w:p>
    <w:p w14:paraId="6C985EC9">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（3）联系人：</w:t>
      </w:r>
      <w:r>
        <w:rPr>
          <w:rFonts w:hint="eastAsia" w:ascii="宋体" w:hAnsi="宋体" w:cs="宋体"/>
          <w:b w:val="0"/>
          <w:color w:val="auto"/>
          <w:sz w:val="21"/>
          <w:szCs w:val="21"/>
          <w:highlight w:val="none"/>
          <w:lang w:eastAsia="zh-CN"/>
        </w:rPr>
        <w:t>李女士</w:t>
      </w:r>
      <w:r>
        <w:rPr>
          <w:rFonts w:hint="eastAsia" w:ascii="宋体" w:hAnsi="宋体" w:eastAsia="宋体" w:cs="宋体"/>
          <w:b w:val="0"/>
          <w:color w:val="auto"/>
          <w:sz w:val="21"/>
          <w:szCs w:val="21"/>
          <w:highlight w:val="none"/>
          <w:lang w:eastAsia="zh-CN"/>
        </w:rPr>
        <w:t xml:space="preserve">/胡女士 </w:t>
      </w:r>
    </w:p>
    <w:p w14:paraId="227F1010">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（4）电  话：0735-2343967</w:t>
      </w:r>
    </w:p>
    <w:bookmarkEnd w:id="111"/>
    <w:p w14:paraId="0F0FA231">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cs="宋体"/>
          <w:b w:val="0"/>
          <w:color w:val="auto"/>
          <w:sz w:val="21"/>
          <w:szCs w:val="21"/>
          <w:highlight w:val="none"/>
          <w:lang w:val="en-US" w:eastAsia="zh-CN"/>
        </w:rPr>
      </w:pPr>
      <w:r>
        <w:rPr>
          <w:rFonts w:hint="eastAsia" w:ascii="宋体" w:hAnsi="宋体" w:cs="宋体"/>
          <w:b w:val="0"/>
          <w:color w:val="auto"/>
          <w:sz w:val="21"/>
          <w:szCs w:val="21"/>
          <w:highlight w:val="none"/>
          <w:lang w:val="en-US" w:eastAsia="zh-CN"/>
        </w:rPr>
        <w:t>2、代建单位信息</w:t>
      </w:r>
    </w:p>
    <w:p w14:paraId="465A444D">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（1）名  称：</w:t>
      </w:r>
      <w:bookmarkStart w:id="112" w:name="OLE_LINK3"/>
      <w:r>
        <w:rPr>
          <w:rFonts w:hint="eastAsia" w:ascii="宋体" w:hAnsi="宋体" w:eastAsia="宋体" w:cs="宋体"/>
          <w:b w:val="0"/>
          <w:color w:val="auto"/>
          <w:sz w:val="21"/>
          <w:szCs w:val="21"/>
          <w:highlight w:val="none"/>
          <w:lang w:eastAsia="zh-CN"/>
        </w:rPr>
        <w:t>湖南明泰项目管理有限公司</w:t>
      </w:r>
      <w:bookmarkEnd w:id="112"/>
    </w:p>
    <w:p w14:paraId="5664DFFE">
      <w:pPr>
        <w:keepNext w:val="0"/>
        <w:keepLines w:val="0"/>
        <w:pageBreakBefore w:val="0"/>
        <w:widowControl/>
        <w:shd w:val="clear" w:color="auto" w:fill="FFFFFF"/>
        <w:kinsoku/>
        <w:overflowPunct/>
        <w:autoSpaceDE/>
        <w:autoSpaceDN/>
        <w:bidi w:val="0"/>
        <w:spacing w:before="0" w:after="0" w:line="440" w:lineRule="exact"/>
        <w:ind w:firstLine="420" w:firstLineChars="200"/>
        <w:jc w:val="both"/>
        <w:textAlignment w:val="auto"/>
        <w:outlineLvl w:val="1"/>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（2）地  址：长沙市雨花区香樟路819号万坤图商业广场1栋1-1305室</w:t>
      </w:r>
    </w:p>
    <w:p w14:paraId="6B25CA6F">
      <w:pPr>
        <w:keepNext w:val="0"/>
        <w:keepLines w:val="0"/>
        <w:pageBreakBefore w:val="0"/>
        <w:widowControl/>
        <w:shd w:val="clear" w:color="auto" w:fill="FFFFFF"/>
        <w:kinsoku/>
        <w:overflowPunct/>
        <w:autoSpaceDE/>
        <w:autoSpaceDN/>
        <w:bidi w:val="0"/>
        <w:spacing w:before="0" w:after="0" w:line="440" w:lineRule="exact"/>
        <w:ind w:firstLine="420" w:firstLineChars="200"/>
        <w:jc w:val="both"/>
        <w:textAlignment w:val="auto"/>
        <w:outlineLvl w:val="1"/>
        <w:rPr>
          <w:rFonts w:hint="eastAsia" w:ascii="宋体" w:hAnsi="宋体" w:eastAsia="宋体" w:cs="宋体"/>
          <w:b w:val="0"/>
          <w:bCs/>
          <w:color w:val="auto"/>
          <w:kern w:val="2"/>
          <w:sz w:val="21"/>
          <w:szCs w:val="21"/>
          <w:highlight w:val="none"/>
          <w:lang w:val="en-US" w:eastAsia="zh-CN" w:bidi="ar-SA"/>
        </w:rPr>
      </w:pPr>
      <w:r>
        <w:rPr>
          <w:rFonts w:hint="eastAsia" w:ascii="宋体" w:hAnsi="宋体" w:eastAsia="宋体" w:cs="宋体"/>
          <w:b w:val="0"/>
          <w:bCs/>
          <w:color w:val="auto"/>
          <w:kern w:val="2"/>
          <w:sz w:val="21"/>
          <w:szCs w:val="21"/>
          <w:highlight w:val="none"/>
          <w:lang w:val="en-US" w:eastAsia="zh-CN" w:bidi="ar-SA"/>
        </w:rPr>
        <w:t xml:space="preserve">（3）联系人：邹先生 </w:t>
      </w:r>
    </w:p>
    <w:p w14:paraId="19E8E373">
      <w:pPr>
        <w:keepNext w:val="0"/>
        <w:keepLines w:val="0"/>
        <w:pageBreakBefore w:val="0"/>
        <w:widowControl/>
        <w:shd w:val="clear" w:color="auto" w:fill="FFFFFF"/>
        <w:kinsoku/>
        <w:overflowPunct/>
        <w:autoSpaceDE/>
        <w:autoSpaceDN/>
        <w:bidi w:val="0"/>
        <w:spacing w:before="0" w:after="0" w:line="440" w:lineRule="exact"/>
        <w:ind w:firstLine="420" w:firstLineChars="200"/>
        <w:jc w:val="both"/>
        <w:textAlignment w:val="auto"/>
        <w:outlineLvl w:val="1"/>
        <w:rPr>
          <w:rFonts w:hint="default" w:ascii="宋体" w:hAnsi="宋体" w:eastAsia="宋体" w:cs="宋体"/>
          <w:b w:val="0"/>
          <w:color w:val="auto"/>
          <w:sz w:val="21"/>
          <w:szCs w:val="21"/>
          <w:highlight w:val="none"/>
          <w:lang w:val="en-US" w:eastAsia="zh-CN"/>
        </w:rPr>
      </w:pPr>
      <w:r>
        <w:rPr>
          <w:rFonts w:hint="eastAsia" w:ascii="宋体" w:hAnsi="宋体" w:eastAsia="宋体" w:cs="宋体"/>
          <w:b w:val="0"/>
          <w:bCs/>
          <w:color w:val="auto"/>
          <w:kern w:val="2"/>
          <w:sz w:val="21"/>
          <w:szCs w:val="21"/>
          <w:highlight w:val="none"/>
          <w:lang w:val="en-US" w:eastAsia="zh-CN" w:bidi="ar-SA"/>
        </w:rPr>
        <w:t>（4）电  话：18874093388</w:t>
      </w:r>
    </w:p>
    <w:p w14:paraId="001FFCA5">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cs="宋体"/>
          <w:b w:val="0"/>
          <w:color w:val="auto"/>
          <w:sz w:val="21"/>
          <w:szCs w:val="21"/>
          <w:highlight w:val="none"/>
          <w:lang w:val="en-US" w:eastAsia="zh-CN"/>
        </w:rPr>
        <w:t>3</w:t>
      </w:r>
      <w:r>
        <w:rPr>
          <w:rFonts w:hint="eastAsia" w:ascii="宋体" w:hAnsi="宋体" w:eastAsia="宋体" w:cs="宋体"/>
          <w:b w:val="0"/>
          <w:color w:val="auto"/>
          <w:sz w:val="21"/>
          <w:szCs w:val="21"/>
          <w:highlight w:val="none"/>
          <w:lang w:eastAsia="zh-CN"/>
        </w:rPr>
        <w:t>、采购代理机构信息</w:t>
      </w:r>
    </w:p>
    <w:p w14:paraId="2BA100DD">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（1）名  称：国正聚源工程咨询集团有限公司</w:t>
      </w:r>
    </w:p>
    <w:p w14:paraId="2E6E08D6">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eastAsia="zh-CN"/>
        </w:rPr>
        <w:t>（2）地  址：郴州市苏仙区青年大道阳光瑞城</w:t>
      </w:r>
      <w:r>
        <w:rPr>
          <w:rFonts w:hint="eastAsia" w:ascii="宋体" w:hAnsi="宋体" w:eastAsia="宋体" w:cs="宋体"/>
          <w:b w:val="0"/>
          <w:color w:val="auto"/>
          <w:sz w:val="21"/>
          <w:szCs w:val="21"/>
          <w:highlight w:val="none"/>
          <w:lang w:val="en-US" w:eastAsia="zh-CN"/>
        </w:rPr>
        <w:t>5栋</w:t>
      </w:r>
    </w:p>
    <w:p w14:paraId="789ED02B">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（3）联系人：谷丽平、</w:t>
      </w:r>
      <w:r>
        <w:rPr>
          <w:rFonts w:hint="eastAsia" w:ascii="宋体" w:hAnsi="宋体" w:cs="宋体"/>
          <w:b w:val="0"/>
          <w:color w:val="auto"/>
          <w:sz w:val="21"/>
          <w:szCs w:val="21"/>
          <w:highlight w:val="none"/>
          <w:lang w:val="en-US" w:eastAsia="zh-CN"/>
        </w:rPr>
        <w:t>蒋丽丽</w:t>
      </w:r>
      <w:r>
        <w:rPr>
          <w:rFonts w:hint="eastAsia" w:ascii="宋体" w:hAnsi="宋体" w:eastAsia="宋体" w:cs="宋体"/>
          <w:b w:val="0"/>
          <w:color w:val="auto"/>
          <w:sz w:val="21"/>
          <w:szCs w:val="21"/>
          <w:highlight w:val="none"/>
          <w:lang w:eastAsia="zh-CN"/>
        </w:rPr>
        <w:t xml:space="preserve"> </w:t>
      </w:r>
    </w:p>
    <w:p w14:paraId="324F44BD">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lang w:eastAsia="zh-CN"/>
        </w:rPr>
      </w:pPr>
      <w:r>
        <w:rPr>
          <w:rFonts w:hint="eastAsia" w:ascii="宋体" w:hAnsi="宋体" w:eastAsia="宋体" w:cs="宋体"/>
          <w:b w:val="0"/>
          <w:color w:val="auto"/>
          <w:sz w:val="21"/>
          <w:szCs w:val="21"/>
          <w:highlight w:val="none"/>
          <w:lang w:eastAsia="zh-CN"/>
        </w:rPr>
        <w:t>（4）电  话：0735-2898607/17369316167</w:t>
      </w:r>
    </w:p>
    <w:p w14:paraId="6CC5DA88">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color w:val="auto"/>
          <w:sz w:val="21"/>
          <w:szCs w:val="21"/>
          <w:highlight w:val="none"/>
        </w:rPr>
      </w:pPr>
      <w:bookmarkStart w:id="113" w:name="_Toc2767"/>
      <w:bookmarkStart w:id="114" w:name="_Toc28243"/>
      <w:r>
        <w:rPr>
          <w:rFonts w:hint="eastAsia" w:ascii="宋体" w:hAnsi="宋体" w:eastAsia="宋体" w:cs="宋体"/>
          <w:color w:val="auto"/>
          <w:sz w:val="21"/>
          <w:szCs w:val="21"/>
          <w:highlight w:val="none"/>
        </w:rPr>
        <w:t>十一、其它补充事宜：</w:t>
      </w:r>
      <w:bookmarkEnd w:id="113"/>
      <w:bookmarkEnd w:id="114"/>
    </w:p>
    <w:p w14:paraId="5713E880">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1、本邀请公告选项：</w:t>
      </w:r>
      <w:r>
        <w:rPr>
          <w:rFonts w:hint="eastAsia" w:ascii="宋体" w:hAnsi="宋体" w:cs="宋体"/>
          <w:iCs/>
          <w:color w:val="auto"/>
          <w:sz w:val="21"/>
          <w:szCs w:val="21"/>
          <w:highlight w:val="none"/>
          <w:lang w:eastAsia="zh-CN"/>
        </w:rPr>
        <w:t>☑</w:t>
      </w:r>
      <w:r>
        <w:rPr>
          <w:rFonts w:hint="eastAsia" w:ascii="宋体" w:hAnsi="宋体" w:eastAsia="宋体" w:cs="宋体"/>
          <w:b w:val="0"/>
          <w:color w:val="auto"/>
          <w:sz w:val="21"/>
          <w:szCs w:val="21"/>
          <w:highlight w:val="none"/>
        </w:rPr>
        <w:t xml:space="preserve">表示选择   </w:t>
      </w:r>
      <w:r>
        <w:rPr>
          <w:rFonts w:hint="eastAsia" w:ascii="宋体" w:hAnsi="宋体" w:cs="宋体"/>
          <w:iCs/>
          <w:color w:val="auto"/>
          <w:sz w:val="21"/>
          <w:szCs w:val="21"/>
          <w:highlight w:val="none"/>
          <w:lang w:eastAsia="zh-CN"/>
        </w:rPr>
        <w:t>□</w:t>
      </w:r>
      <w:r>
        <w:rPr>
          <w:rFonts w:hint="eastAsia" w:ascii="宋体" w:hAnsi="宋体" w:eastAsia="宋体" w:cs="宋体"/>
          <w:b w:val="0"/>
          <w:color w:val="auto"/>
          <w:sz w:val="21"/>
          <w:szCs w:val="21"/>
          <w:highlight w:val="none"/>
        </w:rPr>
        <w:t>表示未选择</w:t>
      </w:r>
    </w:p>
    <w:p w14:paraId="29E1F4F6">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2、采购代理服务费</w:t>
      </w:r>
      <w:r>
        <w:rPr>
          <w:rFonts w:hint="eastAsia" w:ascii="宋体" w:hAnsi="宋体" w:eastAsia="宋体" w:cs="宋体"/>
          <w:b w:val="0"/>
          <w:color w:val="auto"/>
          <w:sz w:val="21"/>
          <w:szCs w:val="21"/>
          <w:highlight w:val="none"/>
          <w:lang w:eastAsia="zh-CN"/>
        </w:rPr>
        <w:t>和专家评审费</w:t>
      </w:r>
      <w:r>
        <w:rPr>
          <w:rFonts w:hint="eastAsia" w:ascii="宋体" w:hAnsi="宋体" w:eastAsia="宋体" w:cs="宋体"/>
          <w:b w:val="0"/>
          <w:color w:val="auto"/>
          <w:sz w:val="21"/>
          <w:szCs w:val="21"/>
          <w:highlight w:val="none"/>
        </w:rPr>
        <w:t>由</w:t>
      </w:r>
      <w:r>
        <w:rPr>
          <w:rFonts w:hint="eastAsia" w:ascii="宋体" w:hAnsi="宋体" w:eastAsia="宋体" w:cs="宋体"/>
          <w:color w:val="auto"/>
          <w:sz w:val="21"/>
          <w:szCs w:val="21"/>
          <w:highlight w:val="none"/>
          <w:u w:val="single"/>
        </w:rPr>
        <w:t>采购人</w:t>
      </w:r>
      <w:r>
        <w:rPr>
          <w:rFonts w:hint="eastAsia" w:ascii="宋体" w:hAnsi="宋体" w:eastAsia="宋体" w:cs="宋体"/>
          <w:b w:val="0"/>
          <w:color w:val="auto"/>
          <w:sz w:val="21"/>
          <w:szCs w:val="21"/>
          <w:highlight w:val="none"/>
        </w:rPr>
        <w:t>支付不超过22800.00元。</w:t>
      </w:r>
    </w:p>
    <w:p w14:paraId="63FC7CFA">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3、参与本项目政府采购活动的供应商无需向采购人、采购代理机构、郴州市公共资源交易中心缴纳任何费用。</w:t>
      </w:r>
    </w:p>
    <w:p w14:paraId="0A552636">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4、各供应商可在郴州市公共资源交易中心网“下载中心”中下载“政府采购电子标操作手册”。</w:t>
      </w:r>
    </w:p>
    <w:p w14:paraId="67918F71">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若因供应商对网上招投标操作不熟悉或自身电脑、个人网络等原因导致不能在投标截止时间之前完成响应文件上传的，所造成的投标失败或损失由投标人自行承担。建议在各投标人在工作时间段内上传响应文件，在操作系统过程中有疑问或困难请及时进行咨询。</w:t>
      </w:r>
    </w:p>
    <w:p w14:paraId="2BD5FCD7">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若开标时出现网络故障、交易系统技术故障等情形，导致解密无法完成而影响采购活动开展的，采购人有权采取非加密文件上传或者将项目延期、延长响应文件解密时间等相应措施，以保障采购活动的公开、公平和公正，供应商不得对此持有异议。</w:t>
      </w:r>
    </w:p>
    <w:p w14:paraId="7524B175">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7、交易平台技术支持联系方式：</w:t>
      </w:r>
    </w:p>
    <w:p w14:paraId="6282436E">
      <w:pPr>
        <w:pStyle w:val="2"/>
        <w:keepNext w:val="0"/>
        <w:keepLines w:val="0"/>
        <w:pageBreakBefore w:val="0"/>
        <w:widowControl/>
        <w:shd w:val="clear" w:color="auto" w:fill="FFFFFF"/>
        <w:kinsoku/>
        <w:overflowPunct/>
        <w:autoSpaceDE/>
        <w:autoSpaceDN/>
        <w:bidi w:val="0"/>
        <w:spacing w:before="0" w:after="0" w:line="440" w:lineRule="exact"/>
        <w:ind w:firstLine="420"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val="0"/>
          <w:color w:val="auto"/>
          <w:sz w:val="21"/>
          <w:szCs w:val="21"/>
          <w:highlight w:val="none"/>
        </w:rPr>
        <w:t>平台客服电话：400-112-9919；客服QQ：800182906。</w:t>
      </w:r>
    </w:p>
    <w:p w14:paraId="05F6BF7D">
      <w:pPr>
        <w:pStyle w:val="2"/>
        <w:keepNext w:val="0"/>
        <w:keepLines w:val="0"/>
        <w:pageBreakBefore w:val="0"/>
        <w:widowControl/>
        <w:shd w:val="clear" w:color="auto" w:fill="FFFFFF"/>
        <w:kinsoku/>
        <w:overflowPunct/>
        <w:autoSpaceDE/>
        <w:autoSpaceDN/>
        <w:bidi w:val="0"/>
        <w:spacing w:before="0" w:after="0" w:line="440" w:lineRule="exact"/>
        <w:ind w:firstLine="640" w:firstLineChars="200"/>
        <w:textAlignment w:val="auto"/>
        <w:rPr>
          <w:rFonts w:hint="eastAsia" w:ascii="宋体" w:hAnsi="宋体" w:eastAsia="宋体" w:cs="宋体"/>
          <w:b/>
          <w:color w:val="auto"/>
          <w:sz w:val="32"/>
          <w:szCs w:val="32"/>
          <w:highlight w:val="none"/>
        </w:rPr>
      </w:pPr>
    </w:p>
    <w:p w14:paraId="751E6705">
      <w:pPr>
        <w:widowControl/>
        <w:spacing w:before="75" w:line="420" w:lineRule="atLeast"/>
        <w:ind w:firstLine="2880" w:firstLineChars="900"/>
        <w:outlineLvl w:val="0"/>
        <w:rPr>
          <w:rFonts w:hint="eastAsia" w:ascii="宋体" w:hAnsi="宋体" w:eastAsia="宋体" w:cs="宋体"/>
          <w:b/>
          <w:color w:val="auto"/>
          <w:sz w:val="32"/>
          <w:szCs w:val="32"/>
          <w:highlight w:val="none"/>
        </w:rPr>
        <w:sectPr>
          <w:footerReference r:id="rId4" w:type="default"/>
          <w:pgSz w:w="11906" w:h="16838"/>
          <w:pgMar w:top="1418" w:right="1587" w:bottom="1417" w:left="1587" w:header="964" w:footer="907" w:gutter="0"/>
          <w:cols w:space="720" w:num="1"/>
          <w:docGrid w:type="linesAndChars" w:linePitch="312" w:charSpace="0"/>
        </w:sectPr>
      </w:pPr>
      <w:bookmarkStart w:id="115" w:name="_Toc176"/>
    </w:p>
    <w:p w14:paraId="6E7A597B">
      <w:pPr>
        <w:widowControl/>
        <w:spacing w:before="75" w:line="420" w:lineRule="atLeast"/>
        <w:ind w:firstLine="2880" w:firstLineChars="900"/>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第二章 </w:t>
      </w:r>
      <w:bookmarkEnd w:id="18"/>
      <w:bookmarkEnd w:id="19"/>
      <w:bookmarkEnd w:id="20"/>
      <w:bookmarkEnd w:id="21"/>
      <w:bookmarkEnd w:id="22"/>
      <w:bookmarkEnd w:id="23"/>
      <w:bookmarkEnd w:id="24"/>
      <w:r>
        <w:rPr>
          <w:rFonts w:hint="eastAsia" w:ascii="宋体" w:hAnsi="宋体" w:eastAsia="宋体" w:cs="宋体"/>
          <w:b/>
          <w:color w:val="auto"/>
          <w:sz w:val="32"/>
          <w:szCs w:val="32"/>
          <w:highlight w:val="none"/>
        </w:rPr>
        <w:t>磋商邀请须知</w:t>
      </w:r>
      <w:bookmarkEnd w:id="25"/>
      <w:bookmarkEnd w:id="26"/>
      <w:bookmarkEnd w:id="27"/>
      <w:bookmarkEnd w:id="28"/>
      <w:bookmarkEnd w:id="29"/>
      <w:bookmarkEnd w:id="30"/>
      <w:bookmarkEnd w:id="31"/>
      <w:bookmarkEnd w:id="32"/>
      <w:bookmarkEnd w:id="33"/>
      <w:bookmarkEnd w:id="34"/>
      <w:bookmarkEnd w:id="35"/>
      <w:bookmarkEnd w:id="115"/>
    </w:p>
    <w:p w14:paraId="67CB79B5">
      <w:pPr>
        <w:adjustRightInd w:val="0"/>
        <w:snapToGrid w:val="0"/>
        <w:spacing w:line="360" w:lineRule="auto"/>
        <w:jc w:val="center"/>
        <w:outlineLvl w:val="1"/>
        <w:rPr>
          <w:rFonts w:hint="eastAsia" w:ascii="宋体" w:hAnsi="宋体" w:eastAsia="宋体" w:cs="宋体"/>
          <w:b/>
          <w:color w:val="auto"/>
          <w:sz w:val="28"/>
          <w:szCs w:val="28"/>
          <w:highlight w:val="none"/>
        </w:rPr>
      </w:pPr>
      <w:bookmarkStart w:id="116" w:name="_Toc521048945"/>
      <w:bookmarkStart w:id="117" w:name="_Toc2593133"/>
      <w:bookmarkStart w:id="118" w:name="_Toc2674897"/>
      <w:bookmarkStart w:id="119" w:name="_Toc522285652"/>
      <w:bookmarkStart w:id="120" w:name="_Toc496459162"/>
      <w:bookmarkStart w:id="121" w:name="_Toc469505433"/>
      <w:bookmarkStart w:id="122" w:name="_Toc498186718"/>
      <w:bookmarkStart w:id="123" w:name="_Toc439925374"/>
      <w:bookmarkStart w:id="124" w:name="_Toc455491151"/>
      <w:bookmarkStart w:id="125" w:name="_Toc497049050"/>
      <w:bookmarkStart w:id="126" w:name="_Toc4506120"/>
      <w:bookmarkStart w:id="127" w:name="_Toc2951771"/>
      <w:bookmarkStart w:id="128" w:name="_Toc439925243"/>
      <w:bookmarkStart w:id="129" w:name="_Toc2684030"/>
      <w:bookmarkStart w:id="130" w:name="_Toc2674692"/>
      <w:bookmarkStart w:id="131" w:name="_Toc469593786"/>
      <w:bookmarkStart w:id="132" w:name="_Toc454957329"/>
      <w:bookmarkStart w:id="133" w:name="_Toc32437"/>
      <w:r>
        <w:rPr>
          <w:rFonts w:hint="eastAsia" w:ascii="宋体" w:hAnsi="宋体" w:eastAsia="宋体" w:cs="宋体"/>
          <w:b/>
          <w:color w:val="auto"/>
          <w:sz w:val="28"/>
          <w:szCs w:val="28"/>
          <w:highlight w:val="none"/>
        </w:rPr>
        <w:t>磋商须知前附表</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Style w:val="19"/>
        <w:tblW w:w="93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4"/>
        <w:gridCol w:w="1999"/>
        <w:gridCol w:w="6242"/>
      </w:tblGrid>
      <w:tr w14:paraId="1FEB9F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2527BE9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999" w:type="dxa"/>
            <w:vAlign w:val="center"/>
          </w:tcPr>
          <w:p w14:paraId="4F72F32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6242" w:type="dxa"/>
            <w:vAlign w:val="center"/>
          </w:tcPr>
          <w:p w14:paraId="5BFFBCB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编列内容规定</w:t>
            </w:r>
          </w:p>
        </w:tc>
      </w:tr>
      <w:tr w14:paraId="524596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vAlign w:val="center"/>
          </w:tcPr>
          <w:p w14:paraId="0BDBA4A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一、说明</w:t>
            </w:r>
          </w:p>
        </w:tc>
      </w:tr>
      <w:tr w14:paraId="13ED2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5130F67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vAlign w:val="center"/>
          </w:tcPr>
          <w:p w14:paraId="0FE6FC4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采购项目名称</w:t>
            </w:r>
          </w:p>
        </w:tc>
        <w:tc>
          <w:tcPr>
            <w:tcW w:w="6242" w:type="dxa"/>
            <w:vAlign w:val="center"/>
          </w:tcPr>
          <w:p w14:paraId="640AC068">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郴州市第一人民医院妇产中心建设项目特殊装修工程（优生优育、产科实验室）</w:t>
            </w:r>
          </w:p>
        </w:tc>
      </w:tr>
      <w:tr w14:paraId="469A4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4D4DF3C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vAlign w:val="center"/>
          </w:tcPr>
          <w:p w14:paraId="4BD68D3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sz w:val="21"/>
                <w:szCs w:val="21"/>
                <w:highlight w:val="none"/>
                <w:lang w:val="en-US" w:eastAsia="zh-CN"/>
              </w:rPr>
            </w:pPr>
            <w:bookmarkStart w:id="134" w:name="OLE_LINK4"/>
            <w:r>
              <w:rPr>
                <w:rFonts w:hint="eastAsia" w:ascii="宋体" w:hAnsi="宋体" w:eastAsia="宋体" w:cs="宋体"/>
                <w:color w:val="auto"/>
                <w:sz w:val="21"/>
                <w:szCs w:val="21"/>
                <w:highlight w:val="none"/>
              </w:rPr>
              <w:t>采购人</w:t>
            </w:r>
            <w:bookmarkEnd w:id="134"/>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代建单位</w:t>
            </w:r>
          </w:p>
        </w:tc>
        <w:tc>
          <w:tcPr>
            <w:tcW w:w="6242" w:type="dxa"/>
            <w:vAlign w:val="center"/>
          </w:tcPr>
          <w:p w14:paraId="72DB4D92">
            <w:pPr>
              <w:keepNext w:val="0"/>
              <w:keepLines w:val="0"/>
              <w:pageBreakBefore w:val="0"/>
              <w:kinsoku/>
              <w:wordWrap/>
              <w:overflowPunct/>
              <w:topLinePunct w:val="0"/>
              <w:autoSpaceDE/>
              <w:autoSpaceDN/>
              <w:bidi w:val="0"/>
              <w:adjustRightInd w:val="0"/>
              <w:snapToGrid w:val="0"/>
              <w:spacing w:line="240" w:lineRule="auto"/>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详见招标公告</w:t>
            </w:r>
          </w:p>
        </w:tc>
      </w:tr>
      <w:tr w14:paraId="50A43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03" w:hRule="atLeast"/>
          <w:jc w:val="center"/>
        </w:trPr>
        <w:tc>
          <w:tcPr>
            <w:tcW w:w="1114" w:type="dxa"/>
            <w:vAlign w:val="center"/>
          </w:tcPr>
          <w:p w14:paraId="0B4E0A1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99" w:type="dxa"/>
            <w:vAlign w:val="center"/>
          </w:tcPr>
          <w:p w14:paraId="727B9E8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242" w:type="dxa"/>
            <w:vAlign w:val="center"/>
          </w:tcPr>
          <w:p w14:paraId="3B01FFAA">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（1）名  称：国正聚源工程咨询集团有限公司</w:t>
            </w:r>
          </w:p>
          <w:p w14:paraId="0C6EAD2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（2）地  址：郴州市苏仙区青年大道阳光瑞城5栋</w:t>
            </w:r>
          </w:p>
          <w:p w14:paraId="4BE01FB2">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（3）联系人：谷丽平、</w:t>
            </w:r>
            <w:r>
              <w:rPr>
                <w:rFonts w:hint="eastAsia" w:ascii="宋体" w:hAnsi="宋体" w:cs="宋体"/>
                <w:color w:val="auto"/>
                <w:sz w:val="21"/>
                <w:szCs w:val="21"/>
                <w:highlight w:val="none"/>
                <w:lang w:val="en-US" w:eastAsia="zh-CN"/>
              </w:rPr>
              <w:t>蒋丽丽</w:t>
            </w:r>
            <w:r>
              <w:rPr>
                <w:rFonts w:hint="eastAsia" w:ascii="宋体" w:hAnsi="宋体" w:eastAsia="宋体" w:cs="宋体"/>
                <w:color w:val="auto"/>
                <w:sz w:val="21"/>
                <w:szCs w:val="21"/>
                <w:highlight w:val="none"/>
                <w:lang w:eastAsia="zh-CN"/>
              </w:rPr>
              <w:t xml:space="preserve"> </w:t>
            </w:r>
          </w:p>
          <w:p w14:paraId="786AFB1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（4）电  话：0735-2898607/17369316167</w:t>
            </w:r>
          </w:p>
        </w:tc>
      </w:tr>
      <w:tr w14:paraId="5F2045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restart"/>
            <w:vAlign w:val="center"/>
          </w:tcPr>
          <w:p w14:paraId="6C6ADAE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99" w:type="dxa"/>
            <w:vAlign w:val="center"/>
          </w:tcPr>
          <w:p w14:paraId="4DE7A4A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投标人的</w:t>
            </w:r>
            <w:r>
              <w:rPr>
                <w:rFonts w:hint="eastAsia" w:ascii="宋体" w:hAnsi="宋体" w:eastAsia="宋体" w:cs="宋体"/>
                <w:color w:val="auto"/>
                <w:sz w:val="21"/>
                <w:szCs w:val="21"/>
                <w:highlight w:val="none"/>
              </w:rPr>
              <w:t>邀请方式</w:t>
            </w:r>
          </w:p>
        </w:tc>
        <w:tc>
          <w:tcPr>
            <w:tcW w:w="6242" w:type="dxa"/>
            <w:vAlign w:val="center"/>
          </w:tcPr>
          <w:p w14:paraId="2A667970">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□由采购人和评审专家书面推荐的方式邀请不少于3家符合相应资格条件的供应商参与竞争性磋商采购活动。</w:t>
            </w:r>
          </w:p>
          <w:p w14:paraId="138C4291">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■发布公告。</w:t>
            </w:r>
          </w:p>
          <w:p w14:paraId="7EACDA4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□随机从省级财政部门建立的供应商库中抽取。</w:t>
            </w:r>
          </w:p>
        </w:tc>
      </w:tr>
      <w:tr w14:paraId="3C71A3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continue"/>
            <w:vAlign w:val="center"/>
          </w:tcPr>
          <w:p w14:paraId="7A2BF44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p>
        </w:tc>
        <w:tc>
          <w:tcPr>
            <w:tcW w:w="1999" w:type="dxa"/>
            <w:vAlign w:val="center"/>
          </w:tcPr>
          <w:p w14:paraId="2A1AF4D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购买竞争性磋商文件时应提供的资料</w:t>
            </w:r>
          </w:p>
        </w:tc>
        <w:tc>
          <w:tcPr>
            <w:tcW w:w="6242" w:type="dxa"/>
            <w:vAlign w:val="center"/>
          </w:tcPr>
          <w:p w14:paraId="16C1EF1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详见第一章磋商邀请公告。</w:t>
            </w:r>
          </w:p>
        </w:tc>
      </w:tr>
      <w:tr w14:paraId="3474F5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12E5911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999" w:type="dxa"/>
            <w:vAlign w:val="center"/>
          </w:tcPr>
          <w:p w14:paraId="0A2295E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投标人</w:t>
            </w:r>
            <w:r>
              <w:rPr>
                <w:rFonts w:hint="eastAsia" w:ascii="宋体" w:hAnsi="宋体" w:eastAsia="宋体" w:cs="宋体"/>
                <w:color w:val="auto"/>
                <w:sz w:val="21"/>
                <w:szCs w:val="21"/>
                <w:highlight w:val="none"/>
              </w:rPr>
              <w:t>资格条件</w:t>
            </w:r>
          </w:p>
        </w:tc>
        <w:tc>
          <w:tcPr>
            <w:tcW w:w="6242" w:type="dxa"/>
            <w:vAlign w:val="center"/>
          </w:tcPr>
          <w:p w14:paraId="7AA17451">
            <w:pPr>
              <w:pStyle w:val="16"/>
              <w:keepNext w:val="0"/>
              <w:keepLines w:val="0"/>
              <w:pageBreakBefore w:val="0"/>
              <w:kinsoku/>
              <w:wordWrap/>
              <w:overflowPunct/>
              <w:topLinePunct w:val="0"/>
              <w:autoSpaceDE/>
              <w:autoSpaceDN/>
              <w:bidi w:val="0"/>
              <w:spacing w:before="0" w:beforeAutospacing="0" w:after="0" w:afterAutospacing="0"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详见第一章磋商邀请。</w:t>
            </w:r>
          </w:p>
        </w:tc>
      </w:tr>
      <w:tr w14:paraId="290095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7BC46FA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999" w:type="dxa"/>
            <w:vAlign w:val="center"/>
          </w:tcPr>
          <w:p w14:paraId="06F7420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联合体形式</w:t>
            </w:r>
          </w:p>
        </w:tc>
        <w:tc>
          <w:tcPr>
            <w:tcW w:w="6242" w:type="dxa"/>
            <w:vAlign w:val="center"/>
          </w:tcPr>
          <w:p w14:paraId="29EBD42D">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不接受</w:t>
            </w:r>
          </w:p>
          <w:p w14:paraId="047D4CC1">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接受</w:t>
            </w:r>
          </w:p>
        </w:tc>
      </w:tr>
      <w:tr w14:paraId="2248EB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7C3F7DB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999" w:type="dxa"/>
            <w:vAlign w:val="center"/>
          </w:tcPr>
          <w:p w14:paraId="78DCB176">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对联合体各方的要求</w:t>
            </w:r>
          </w:p>
        </w:tc>
        <w:tc>
          <w:tcPr>
            <w:tcW w:w="6242" w:type="dxa"/>
            <w:vAlign w:val="center"/>
          </w:tcPr>
          <w:p w14:paraId="2865283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本项目不适用</w:t>
            </w:r>
          </w:p>
        </w:tc>
      </w:tr>
      <w:tr w14:paraId="553626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07A1551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999" w:type="dxa"/>
            <w:vAlign w:val="center"/>
          </w:tcPr>
          <w:p w14:paraId="1F80C1B3">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现场勘察</w:t>
            </w:r>
          </w:p>
        </w:tc>
        <w:tc>
          <w:tcPr>
            <w:tcW w:w="6242" w:type="dxa"/>
            <w:vAlign w:val="center"/>
          </w:tcPr>
          <w:p w14:paraId="357E86AB">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采购人不组织</w:t>
            </w:r>
          </w:p>
          <w:p w14:paraId="270F9CFB">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采购人组织，时间：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xml:space="preserve">     </w:t>
            </w:r>
          </w:p>
        </w:tc>
      </w:tr>
      <w:tr w14:paraId="1A0788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6615199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999" w:type="dxa"/>
            <w:vAlign w:val="center"/>
          </w:tcPr>
          <w:p w14:paraId="1F252985">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采购进口产品</w:t>
            </w:r>
          </w:p>
        </w:tc>
        <w:tc>
          <w:tcPr>
            <w:tcW w:w="6242" w:type="dxa"/>
            <w:vAlign w:val="center"/>
          </w:tcPr>
          <w:p w14:paraId="6255720F">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本采购项目拒绝进口产品参加投标；</w:t>
            </w:r>
          </w:p>
          <w:p w14:paraId="5483E12E">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本采购项目涉及到进口产品的已经财政部门审核同意购买进口产品。</w:t>
            </w:r>
          </w:p>
        </w:tc>
      </w:tr>
      <w:tr w14:paraId="64182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5B2206A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999" w:type="dxa"/>
            <w:vAlign w:val="center"/>
          </w:tcPr>
          <w:p w14:paraId="12B0E92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政府采购优先采购：</w:t>
            </w:r>
          </w:p>
          <w:p w14:paraId="495121A2">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(1)非标记★符号的节能产品；(2)环境标志产品；（本项目不适用）</w:t>
            </w:r>
          </w:p>
          <w:p w14:paraId="0250235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Cs/>
                <w:color w:val="auto"/>
                <w:kern w:val="0"/>
                <w:sz w:val="21"/>
                <w:szCs w:val="21"/>
                <w:highlight w:val="none"/>
              </w:rPr>
              <w:t>支持</w:t>
            </w:r>
            <w:r>
              <w:rPr>
                <w:rFonts w:hint="eastAsia" w:ascii="宋体" w:hAnsi="宋体" w:eastAsia="宋体" w:cs="宋体"/>
                <w:color w:val="auto"/>
                <w:sz w:val="21"/>
                <w:szCs w:val="21"/>
                <w:highlight w:val="none"/>
              </w:rPr>
              <w:t>中小企业发展；</w:t>
            </w:r>
          </w:p>
          <w:p w14:paraId="7FD7BDCA">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)其他。（本项目不适用）</w:t>
            </w:r>
          </w:p>
          <w:p w14:paraId="56C1B84F">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p>
        </w:tc>
        <w:tc>
          <w:tcPr>
            <w:tcW w:w="6242" w:type="dxa"/>
            <w:vAlign w:val="center"/>
          </w:tcPr>
          <w:p w14:paraId="1A621504">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1、采购产品为《节能产品政府采购清单》(最新期) 内非标记★符号的节能产品：应给予5%-10%的价格扣除，用扣除后的价格参与评审，本项目具体扣除比例分别为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81F4C77">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2、采购产品为《环境标志产品政府采购清单》（最新期）内的：应给予5%-10%的价格扣除，用扣除后的价格参与评审，本项目具体扣除比例分别为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D7FB734">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3、非专门面向中小企业采购，且符合政府采购促进中小企业发展相关规定的：</w:t>
            </w:r>
          </w:p>
          <w:p w14:paraId="39A1B3F5">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（1）给予小型和微型企业报价的价格给予6%-10%（工程项目）的扣除，用扣除后的价格参与评审，本项目具体扣除比例为</w:t>
            </w:r>
            <w:r>
              <w:rPr>
                <w:rFonts w:hint="eastAsia" w:ascii="宋体" w:hAnsi="宋体" w:cs="宋体"/>
                <w:b/>
                <w:bCs/>
                <w:color w:val="auto"/>
                <w:sz w:val="21"/>
                <w:szCs w:val="21"/>
                <w:highlight w:val="none"/>
                <w:u w:val="single"/>
                <w:lang w:val="en-US" w:eastAsia="zh-CN"/>
              </w:rPr>
              <w:t>6</w:t>
            </w:r>
            <w:r>
              <w:rPr>
                <w:rFonts w:hint="eastAsia" w:ascii="宋体" w:hAnsi="宋体" w:eastAsia="宋体" w:cs="宋体"/>
                <w:b/>
                <w:bCs/>
                <w:color w:val="auto"/>
                <w:sz w:val="21"/>
                <w:szCs w:val="21"/>
                <w:highlight w:val="none"/>
                <w:u w:val="single"/>
              </w:rPr>
              <w:t>％。</w:t>
            </w:r>
          </w:p>
          <w:p w14:paraId="24A009C3">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（2）给予联合体2%-3%的价格扣除，用扣除后的价格参与评审，本项目具体扣除比例为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9F0F2B3">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（3）政府采购支持残疾人福利性单位发展：视同小型、微型企业，投标报价扣除比例为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。政府采购支持监狱企业发展：视同小型、微型企业，投标报价扣除比例为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B2D0742">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、监狱企业、残疾人福利性单位同时属于小型、微型企业的，不重复享受价格评审优惠政策。</w:t>
            </w:r>
            <w:r>
              <w:rPr>
                <w:rStyle w:val="34"/>
                <w:rFonts w:hint="eastAsia" w:ascii="宋体" w:hAnsi="宋体" w:eastAsia="宋体" w:cs="宋体"/>
                <w:color w:val="auto"/>
                <w:sz w:val="21"/>
                <w:szCs w:val="21"/>
                <w:highlight w:val="none"/>
              </w:rPr>
              <w:t xml:space="preserve"> </w:t>
            </w:r>
          </w:p>
        </w:tc>
      </w:tr>
      <w:tr w14:paraId="3775EF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restart"/>
            <w:vAlign w:val="center"/>
          </w:tcPr>
          <w:p w14:paraId="573C1EF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999" w:type="dxa"/>
            <w:vAlign w:val="center"/>
          </w:tcPr>
          <w:p w14:paraId="0A60467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rPr>
              <w:t>政府采购</w:t>
            </w:r>
            <w:r>
              <w:rPr>
                <w:rFonts w:hint="eastAsia" w:ascii="宋体" w:hAnsi="宋体" w:eastAsia="宋体" w:cs="宋体"/>
                <w:color w:val="auto"/>
                <w:sz w:val="21"/>
                <w:szCs w:val="21"/>
                <w:highlight w:val="none"/>
              </w:rPr>
              <w:t>支持</w:t>
            </w:r>
            <w:r>
              <w:rPr>
                <w:rFonts w:hint="eastAsia" w:ascii="宋体" w:hAnsi="宋体" w:eastAsia="宋体" w:cs="宋体"/>
                <w:bCs/>
                <w:color w:val="auto"/>
                <w:kern w:val="0"/>
                <w:sz w:val="21"/>
                <w:szCs w:val="21"/>
                <w:highlight w:val="none"/>
              </w:rPr>
              <w:t>中小企业融资</w:t>
            </w:r>
          </w:p>
        </w:tc>
        <w:tc>
          <w:tcPr>
            <w:tcW w:w="6242" w:type="dxa"/>
            <w:vAlign w:val="center"/>
          </w:tcPr>
          <w:p w14:paraId="09A4344F">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有融资需求的，可向银行咨询或登陆湖南省政府采购网查询。</w:t>
            </w:r>
          </w:p>
        </w:tc>
      </w:tr>
      <w:tr w14:paraId="32877E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Merge w:val="continue"/>
            <w:vAlign w:val="center"/>
          </w:tcPr>
          <w:p w14:paraId="6B73709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p>
        </w:tc>
        <w:tc>
          <w:tcPr>
            <w:tcW w:w="1999" w:type="dxa"/>
            <w:vAlign w:val="center"/>
          </w:tcPr>
          <w:p w14:paraId="0A110CF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政府采购信用</w:t>
            </w:r>
          </w:p>
          <w:p w14:paraId="56A2C95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担保</w:t>
            </w:r>
          </w:p>
        </w:tc>
        <w:tc>
          <w:tcPr>
            <w:tcW w:w="6242" w:type="dxa"/>
            <w:vAlign w:val="center"/>
          </w:tcPr>
          <w:p w14:paraId="4C5600CD">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有投标担保、履约担保需求的，可向担保机构咨询或登陆湖南省政府采购网查询。</w:t>
            </w:r>
          </w:p>
        </w:tc>
      </w:tr>
      <w:tr w14:paraId="184260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vAlign w:val="center"/>
          </w:tcPr>
          <w:p w14:paraId="26A85BCD">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二、竞争性磋商文件</w:t>
            </w:r>
          </w:p>
        </w:tc>
      </w:tr>
      <w:tr w14:paraId="0FB27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bottom w:val="single" w:color="auto" w:sz="4" w:space="0"/>
            </w:tcBorders>
            <w:vAlign w:val="center"/>
          </w:tcPr>
          <w:p w14:paraId="2342D78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tcBorders>
              <w:bottom w:val="single" w:color="auto" w:sz="4" w:space="0"/>
            </w:tcBorders>
            <w:vAlign w:val="center"/>
          </w:tcPr>
          <w:p w14:paraId="3C16FFEB">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信用信息查询</w:t>
            </w:r>
          </w:p>
          <w:p w14:paraId="2E0CDC83">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rPr>
              <w:t>渠道</w:t>
            </w:r>
          </w:p>
        </w:tc>
        <w:tc>
          <w:tcPr>
            <w:tcW w:w="6242" w:type="dxa"/>
            <w:vAlign w:val="center"/>
          </w:tcPr>
          <w:p w14:paraId="12D333A7">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信用中国”网站（www.creditchina.gov.cn）、中国政府采购网(</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"http://www.ccgp.gov.cn"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www.ccgp.gov.cn</w: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)、“信用湖南”网站（www.credithunan.gov.cn）、湖南省政府采购网（www.ccgp-hunan.gov.cn）、“信用郴州”网站（xycz.czs.gov.cn）</w:t>
            </w:r>
          </w:p>
        </w:tc>
      </w:tr>
      <w:tr w14:paraId="6ADCAB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top w:val="single" w:color="auto" w:sz="4" w:space="0"/>
              <w:bottom w:val="single" w:color="auto" w:sz="4" w:space="0"/>
            </w:tcBorders>
            <w:vAlign w:val="center"/>
          </w:tcPr>
          <w:p w14:paraId="5EE2C74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tcBorders>
              <w:top w:val="single" w:color="auto" w:sz="4" w:space="0"/>
              <w:bottom w:val="single" w:color="auto" w:sz="4" w:space="0"/>
            </w:tcBorders>
            <w:vAlign w:val="center"/>
          </w:tcPr>
          <w:p w14:paraId="3C125C9A">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rPr>
              <w:t>信用信息查询记录和证据留存的具体方式</w:t>
            </w:r>
          </w:p>
        </w:tc>
        <w:tc>
          <w:tcPr>
            <w:tcW w:w="6242" w:type="dxa"/>
            <w:vAlign w:val="center"/>
          </w:tcPr>
          <w:p w14:paraId="01137681">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投标人在本项目投标截止时间之前在规定的查询渠道进行查询，并将查询记录的网上截图打印件放入响应文件中，作为响应文件的组成部分。</w:t>
            </w:r>
          </w:p>
        </w:tc>
      </w:tr>
      <w:tr w14:paraId="388DBC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5" w:hRule="atLeast"/>
          <w:jc w:val="center"/>
        </w:trPr>
        <w:tc>
          <w:tcPr>
            <w:tcW w:w="1114" w:type="dxa"/>
            <w:tcBorders>
              <w:top w:val="single" w:color="auto" w:sz="4" w:space="0"/>
              <w:bottom w:val="single" w:color="auto" w:sz="4" w:space="0"/>
            </w:tcBorders>
            <w:vAlign w:val="center"/>
          </w:tcPr>
          <w:p w14:paraId="78523E6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99" w:type="dxa"/>
            <w:tcBorders>
              <w:top w:val="single" w:color="auto" w:sz="4" w:space="0"/>
              <w:bottom w:val="single" w:color="auto" w:sz="4" w:space="0"/>
            </w:tcBorders>
            <w:vAlign w:val="center"/>
          </w:tcPr>
          <w:p w14:paraId="2EF0F31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rPr>
              <w:t>信用信息查询审核的截止时点</w:t>
            </w:r>
          </w:p>
        </w:tc>
        <w:tc>
          <w:tcPr>
            <w:tcW w:w="6242" w:type="dxa"/>
            <w:vAlign w:val="center"/>
          </w:tcPr>
          <w:p w14:paraId="35174B84">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至本项目投标截止时间止。</w:t>
            </w:r>
          </w:p>
        </w:tc>
      </w:tr>
      <w:tr w14:paraId="24D72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top w:val="single" w:color="auto" w:sz="4" w:space="0"/>
            </w:tcBorders>
            <w:vAlign w:val="center"/>
          </w:tcPr>
          <w:p w14:paraId="1F57C9D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99" w:type="dxa"/>
            <w:tcBorders>
              <w:top w:val="single" w:color="auto" w:sz="4" w:space="0"/>
            </w:tcBorders>
            <w:vAlign w:val="center"/>
          </w:tcPr>
          <w:p w14:paraId="160CBAB4">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信用信息的使用规则</w:t>
            </w:r>
          </w:p>
        </w:tc>
        <w:tc>
          <w:tcPr>
            <w:tcW w:w="6242" w:type="dxa"/>
            <w:vAlign w:val="center"/>
          </w:tcPr>
          <w:p w14:paraId="2B35FC85">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信用信息查询记录的网上截图打印件交由磋商小组审核。</w:t>
            </w:r>
          </w:p>
        </w:tc>
      </w:tr>
      <w:tr w14:paraId="70ED2F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411275F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999" w:type="dxa"/>
            <w:vAlign w:val="center"/>
          </w:tcPr>
          <w:p w14:paraId="0C56EAD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竞争性磋商文件的可能实质性变动内容</w:t>
            </w:r>
          </w:p>
        </w:tc>
        <w:tc>
          <w:tcPr>
            <w:tcW w:w="6242" w:type="dxa"/>
            <w:vAlign w:val="center"/>
          </w:tcPr>
          <w:p w14:paraId="224E636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在磋商过程中，磋商文件的技术、服务要求以及合同草案条款可能发生实质性变动。如有，磋商小组将以书面形式告知所有参加磋商的投标人，投标人应以书面形式进行回应和答复。</w:t>
            </w:r>
          </w:p>
        </w:tc>
      </w:tr>
      <w:tr w14:paraId="4391E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58DC8CF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999" w:type="dxa"/>
            <w:vAlign w:val="center"/>
          </w:tcPr>
          <w:p w14:paraId="2E47493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竞争性磋商文件的</w:t>
            </w:r>
          </w:p>
          <w:p w14:paraId="12FCDE1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提供期限</w:t>
            </w:r>
          </w:p>
        </w:tc>
        <w:tc>
          <w:tcPr>
            <w:tcW w:w="6242" w:type="dxa"/>
            <w:vAlign w:val="center"/>
          </w:tcPr>
          <w:p w14:paraId="77257F4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rPr>
              <w:t>凡符合投标资格要求并有意参加竞争性磋商活动的，可在公告发布之日起至提交响应文件截止之日通过郴州市政府采购（非标）电子交易平台（网址：http://cz.hbncp.com.cn/#/）免费获取及下载电子采购文件。</w:t>
            </w:r>
          </w:p>
        </w:tc>
      </w:tr>
      <w:tr w14:paraId="60B86A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06139D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999" w:type="dxa"/>
            <w:vAlign w:val="center"/>
          </w:tcPr>
          <w:p w14:paraId="6860D8D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提交首次响应文件的截止时间</w:t>
            </w:r>
          </w:p>
        </w:tc>
        <w:tc>
          <w:tcPr>
            <w:tcW w:w="6242" w:type="dxa"/>
            <w:vAlign w:val="center"/>
          </w:tcPr>
          <w:p w14:paraId="44F68B7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bCs/>
                <w:color w:val="auto"/>
                <w:spacing w:val="-4"/>
                <w:sz w:val="21"/>
                <w:szCs w:val="21"/>
                <w:highlight w:val="none"/>
              </w:rPr>
            </w:pPr>
            <w:r>
              <w:rPr>
                <w:rFonts w:hint="eastAsia" w:ascii="宋体" w:hAnsi="宋体" w:eastAsia="宋体" w:cs="宋体"/>
                <w:b/>
                <w:bCs/>
                <w:color w:val="auto"/>
                <w:spacing w:val="-4"/>
                <w:sz w:val="21"/>
                <w:szCs w:val="21"/>
                <w:highlight w:val="none"/>
                <w:u w:val="single"/>
              </w:rPr>
              <w:t>202</w:t>
            </w:r>
            <w:r>
              <w:rPr>
                <w:rFonts w:hint="eastAsia" w:ascii="宋体" w:hAnsi="宋体" w:cs="宋体"/>
                <w:b/>
                <w:bCs/>
                <w:color w:val="auto"/>
                <w:spacing w:val="-4"/>
                <w:sz w:val="21"/>
                <w:szCs w:val="21"/>
                <w:highlight w:val="none"/>
                <w:u w:val="single"/>
                <w:lang w:val="en-US" w:eastAsia="zh-CN"/>
              </w:rPr>
              <w:t>5</w:t>
            </w:r>
            <w:r>
              <w:rPr>
                <w:rFonts w:hint="eastAsia" w:ascii="宋体" w:hAnsi="宋体" w:eastAsia="宋体" w:cs="宋体"/>
                <w:b/>
                <w:bCs/>
                <w:color w:val="auto"/>
                <w:spacing w:val="-4"/>
                <w:sz w:val="21"/>
                <w:szCs w:val="21"/>
                <w:highlight w:val="none"/>
                <w:u w:val="single"/>
              </w:rPr>
              <w:t>年</w:t>
            </w:r>
            <w:r>
              <w:rPr>
                <w:rFonts w:hint="eastAsia" w:ascii="宋体" w:hAnsi="宋体" w:cs="宋体"/>
                <w:b/>
                <w:bCs/>
                <w:color w:val="auto"/>
                <w:spacing w:val="-4"/>
                <w:sz w:val="21"/>
                <w:szCs w:val="21"/>
                <w:highlight w:val="none"/>
                <w:u w:val="single"/>
                <w:lang w:val="en-US" w:eastAsia="zh-CN"/>
              </w:rPr>
              <w:t>12</w:t>
            </w:r>
            <w:r>
              <w:rPr>
                <w:rFonts w:hint="eastAsia" w:ascii="宋体" w:hAnsi="宋体" w:eastAsia="宋体" w:cs="宋体"/>
                <w:b/>
                <w:bCs/>
                <w:color w:val="auto"/>
                <w:spacing w:val="-4"/>
                <w:sz w:val="21"/>
                <w:szCs w:val="21"/>
                <w:highlight w:val="none"/>
                <w:u w:val="single"/>
              </w:rPr>
              <w:t>月</w:t>
            </w:r>
            <w:r>
              <w:rPr>
                <w:rFonts w:hint="eastAsia" w:ascii="宋体" w:hAnsi="宋体" w:cs="宋体"/>
                <w:b/>
                <w:bCs/>
                <w:color w:val="auto"/>
                <w:spacing w:val="-4"/>
                <w:sz w:val="21"/>
                <w:szCs w:val="21"/>
                <w:highlight w:val="none"/>
                <w:u w:val="single"/>
                <w:lang w:val="en-US" w:eastAsia="zh-CN"/>
              </w:rPr>
              <w:t>5</w:t>
            </w:r>
            <w:r>
              <w:rPr>
                <w:rFonts w:hint="eastAsia" w:ascii="宋体" w:hAnsi="宋体" w:eastAsia="宋体" w:cs="宋体"/>
                <w:b/>
                <w:bCs/>
                <w:color w:val="auto"/>
                <w:spacing w:val="-4"/>
                <w:sz w:val="21"/>
                <w:szCs w:val="21"/>
                <w:highlight w:val="none"/>
                <w:u w:val="single"/>
              </w:rPr>
              <w:t>日</w:t>
            </w:r>
            <w:r>
              <w:rPr>
                <w:rFonts w:hint="eastAsia" w:ascii="宋体" w:hAnsi="宋体" w:cs="宋体"/>
                <w:b/>
                <w:bCs/>
                <w:color w:val="auto"/>
                <w:spacing w:val="-4"/>
                <w:sz w:val="21"/>
                <w:szCs w:val="21"/>
                <w:highlight w:val="none"/>
                <w:u w:val="single"/>
                <w:lang w:val="en-US" w:eastAsia="zh-CN"/>
              </w:rPr>
              <w:t>9</w:t>
            </w:r>
            <w:r>
              <w:rPr>
                <w:rFonts w:hint="eastAsia" w:ascii="宋体" w:hAnsi="宋体" w:eastAsia="宋体" w:cs="宋体"/>
                <w:b/>
                <w:bCs/>
                <w:color w:val="auto"/>
                <w:spacing w:val="-4"/>
                <w:sz w:val="21"/>
                <w:szCs w:val="21"/>
                <w:highlight w:val="none"/>
                <w:u w:val="single"/>
              </w:rPr>
              <w:t>时</w:t>
            </w:r>
            <w:r>
              <w:rPr>
                <w:rFonts w:hint="eastAsia" w:ascii="宋体" w:hAnsi="宋体" w:cs="宋体"/>
                <w:b/>
                <w:bCs/>
                <w:color w:val="auto"/>
                <w:spacing w:val="-4"/>
                <w:sz w:val="21"/>
                <w:szCs w:val="21"/>
                <w:highlight w:val="none"/>
                <w:u w:val="single"/>
                <w:lang w:val="en-US" w:eastAsia="zh-CN"/>
              </w:rPr>
              <w:t>30</w:t>
            </w:r>
            <w:r>
              <w:rPr>
                <w:rFonts w:hint="eastAsia" w:ascii="宋体" w:hAnsi="宋体" w:eastAsia="宋体" w:cs="宋体"/>
                <w:b/>
                <w:bCs/>
                <w:color w:val="auto"/>
                <w:spacing w:val="-4"/>
                <w:sz w:val="21"/>
                <w:szCs w:val="21"/>
                <w:highlight w:val="none"/>
                <w:u w:val="single"/>
              </w:rPr>
              <w:t>分（北京时间）</w:t>
            </w:r>
          </w:p>
        </w:tc>
      </w:tr>
      <w:tr w14:paraId="6A1CFE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vAlign w:val="center"/>
          </w:tcPr>
          <w:p w14:paraId="3671BF5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三、响应文件的编写</w:t>
            </w:r>
          </w:p>
        </w:tc>
      </w:tr>
      <w:tr w14:paraId="01CF6A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5" w:hRule="atLeast"/>
          <w:jc w:val="center"/>
        </w:trPr>
        <w:tc>
          <w:tcPr>
            <w:tcW w:w="1114" w:type="dxa"/>
            <w:vAlign w:val="center"/>
          </w:tcPr>
          <w:p w14:paraId="7BCA9CC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vAlign w:val="center"/>
          </w:tcPr>
          <w:p w14:paraId="46D2146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采购项目最高限价</w:t>
            </w:r>
          </w:p>
        </w:tc>
        <w:tc>
          <w:tcPr>
            <w:tcW w:w="6242" w:type="dxa"/>
            <w:vAlign w:val="center"/>
          </w:tcPr>
          <w:p w14:paraId="7323364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人民币</w:t>
            </w:r>
            <w:r>
              <w:rPr>
                <w:rFonts w:hint="eastAsia" w:ascii="宋体" w:hAnsi="宋体" w:eastAsia="宋体" w:cs="宋体"/>
                <w:b/>
                <w:bCs/>
                <w:color w:val="auto"/>
                <w:sz w:val="21"/>
                <w:szCs w:val="21"/>
                <w:highlight w:val="none"/>
                <w:lang w:val="en-US" w:eastAsia="zh-CN"/>
              </w:rPr>
              <w:t>伍</w:t>
            </w:r>
            <w:r>
              <w:rPr>
                <w:rFonts w:hint="eastAsia" w:ascii="宋体" w:hAnsi="宋体" w:eastAsia="宋体" w:cs="宋体"/>
                <w:b/>
                <w:bCs/>
                <w:color w:val="auto"/>
                <w:sz w:val="21"/>
                <w:szCs w:val="21"/>
                <w:highlight w:val="none"/>
                <w:lang w:eastAsia="zh-CN"/>
              </w:rPr>
              <w:t>佰</w:t>
            </w:r>
            <w:r>
              <w:rPr>
                <w:rFonts w:hint="eastAsia" w:ascii="宋体" w:hAnsi="宋体" w:eastAsia="宋体" w:cs="宋体"/>
                <w:b/>
                <w:bCs/>
                <w:color w:val="auto"/>
                <w:sz w:val="21"/>
                <w:szCs w:val="21"/>
                <w:highlight w:val="none"/>
                <w:lang w:val="en-US" w:eastAsia="zh-CN"/>
              </w:rPr>
              <w:t>零柒</w:t>
            </w:r>
            <w:r>
              <w:rPr>
                <w:rFonts w:hint="eastAsia" w:ascii="宋体" w:hAnsi="宋体" w:eastAsia="宋体" w:cs="宋体"/>
                <w:b/>
                <w:bCs/>
                <w:color w:val="auto"/>
                <w:sz w:val="21"/>
                <w:szCs w:val="21"/>
                <w:highlight w:val="none"/>
                <w:lang w:eastAsia="zh-CN"/>
              </w:rPr>
              <w:t>万</w:t>
            </w:r>
            <w:r>
              <w:rPr>
                <w:rFonts w:hint="eastAsia" w:ascii="宋体" w:hAnsi="宋体" w:eastAsia="宋体" w:cs="宋体"/>
                <w:b/>
                <w:bCs/>
                <w:color w:val="auto"/>
                <w:sz w:val="21"/>
                <w:szCs w:val="21"/>
                <w:highlight w:val="none"/>
                <w:lang w:val="en-US" w:eastAsia="zh-CN"/>
              </w:rPr>
              <w:t>捌</w:t>
            </w:r>
            <w:r>
              <w:rPr>
                <w:rFonts w:hint="eastAsia" w:ascii="宋体" w:hAnsi="宋体" w:eastAsia="宋体" w:cs="宋体"/>
                <w:b/>
                <w:bCs/>
                <w:color w:val="auto"/>
                <w:sz w:val="21"/>
                <w:szCs w:val="21"/>
                <w:highlight w:val="none"/>
                <w:lang w:eastAsia="zh-CN"/>
              </w:rPr>
              <w:t>仟</w:t>
            </w:r>
            <w:r>
              <w:rPr>
                <w:rFonts w:hint="eastAsia" w:ascii="宋体" w:hAnsi="宋体" w:eastAsia="宋体" w:cs="宋体"/>
                <w:b/>
                <w:bCs/>
                <w:color w:val="auto"/>
                <w:sz w:val="21"/>
                <w:szCs w:val="21"/>
                <w:highlight w:val="none"/>
                <w:lang w:val="en-US" w:eastAsia="zh-CN"/>
              </w:rPr>
              <w:t>捌</w:t>
            </w:r>
            <w:r>
              <w:rPr>
                <w:rFonts w:hint="eastAsia" w:ascii="宋体" w:hAnsi="宋体" w:eastAsia="宋体" w:cs="宋体"/>
                <w:b/>
                <w:bCs/>
                <w:color w:val="auto"/>
                <w:sz w:val="21"/>
                <w:szCs w:val="21"/>
                <w:highlight w:val="none"/>
                <w:lang w:eastAsia="zh-CN"/>
              </w:rPr>
              <w:t>佰</w:t>
            </w:r>
            <w:r>
              <w:rPr>
                <w:rFonts w:hint="eastAsia" w:ascii="宋体" w:hAnsi="宋体" w:eastAsia="宋体" w:cs="宋体"/>
                <w:b/>
                <w:bCs/>
                <w:color w:val="auto"/>
                <w:sz w:val="21"/>
                <w:szCs w:val="21"/>
                <w:highlight w:val="none"/>
                <w:lang w:val="en-US" w:eastAsia="zh-CN"/>
              </w:rPr>
              <w:t>陆</w:t>
            </w:r>
            <w:r>
              <w:rPr>
                <w:rFonts w:hint="eastAsia" w:ascii="宋体" w:hAnsi="宋体" w:eastAsia="宋体" w:cs="宋体"/>
                <w:b/>
                <w:bCs/>
                <w:color w:val="auto"/>
                <w:sz w:val="21"/>
                <w:szCs w:val="21"/>
                <w:highlight w:val="none"/>
                <w:lang w:eastAsia="zh-CN"/>
              </w:rPr>
              <w:t>拾</w:t>
            </w:r>
            <w:r>
              <w:rPr>
                <w:rFonts w:hint="eastAsia" w:ascii="宋体" w:hAnsi="宋体" w:eastAsia="宋体" w:cs="宋体"/>
                <w:b/>
                <w:bCs/>
                <w:color w:val="auto"/>
                <w:sz w:val="21"/>
                <w:szCs w:val="21"/>
                <w:highlight w:val="none"/>
                <w:lang w:val="en-US" w:eastAsia="zh-CN"/>
              </w:rPr>
              <w:t>捌</w:t>
            </w:r>
            <w:r>
              <w:rPr>
                <w:rFonts w:hint="eastAsia" w:ascii="宋体" w:hAnsi="宋体" w:eastAsia="宋体" w:cs="宋体"/>
                <w:b/>
                <w:bCs/>
                <w:color w:val="auto"/>
                <w:sz w:val="21"/>
                <w:szCs w:val="21"/>
                <w:highlight w:val="none"/>
                <w:lang w:eastAsia="zh-CN"/>
              </w:rPr>
              <w:t>元</w:t>
            </w:r>
            <w:r>
              <w:rPr>
                <w:rFonts w:hint="eastAsia" w:ascii="宋体" w:hAnsi="宋体" w:eastAsia="宋体" w:cs="宋体"/>
                <w:b/>
                <w:bCs/>
                <w:color w:val="auto"/>
                <w:sz w:val="21"/>
                <w:szCs w:val="21"/>
                <w:highlight w:val="none"/>
                <w:lang w:val="en-US" w:eastAsia="zh-CN"/>
              </w:rPr>
              <w:t>捌</w:t>
            </w:r>
            <w:r>
              <w:rPr>
                <w:rFonts w:hint="eastAsia" w:ascii="宋体" w:hAnsi="宋体" w:eastAsia="宋体" w:cs="宋体"/>
                <w:b/>
                <w:bCs/>
                <w:color w:val="auto"/>
                <w:sz w:val="21"/>
                <w:szCs w:val="21"/>
                <w:highlight w:val="none"/>
                <w:lang w:eastAsia="zh-CN"/>
              </w:rPr>
              <w:t>角</w:t>
            </w:r>
            <w:r>
              <w:rPr>
                <w:rFonts w:hint="eastAsia" w:ascii="宋体" w:hAnsi="宋体" w:eastAsia="宋体" w:cs="宋体"/>
                <w:b/>
                <w:bCs/>
                <w:color w:val="auto"/>
                <w:sz w:val="21"/>
                <w:szCs w:val="21"/>
                <w:highlight w:val="none"/>
                <w:lang w:val="en-US" w:eastAsia="zh-CN"/>
              </w:rPr>
              <w:t>贰</w:t>
            </w:r>
            <w:r>
              <w:rPr>
                <w:rFonts w:hint="eastAsia" w:ascii="宋体" w:hAnsi="宋体" w:eastAsia="宋体" w:cs="宋体"/>
                <w:b/>
                <w:bCs/>
                <w:color w:val="auto"/>
                <w:sz w:val="21"/>
                <w:szCs w:val="21"/>
                <w:highlight w:val="none"/>
                <w:lang w:eastAsia="zh-CN"/>
              </w:rPr>
              <w:t>分</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5078868.82元</w:t>
            </w:r>
            <w:r>
              <w:rPr>
                <w:rFonts w:hint="eastAsia" w:ascii="宋体" w:hAnsi="宋体" w:eastAsia="宋体" w:cs="宋体"/>
                <w:b/>
                <w:bCs/>
                <w:color w:val="auto"/>
                <w:sz w:val="21"/>
                <w:szCs w:val="21"/>
                <w:highlight w:val="none"/>
              </w:rPr>
              <w:t>）。</w:t>
            </w:r>
          </w:p>
        </w:tc>
      </w:tr>
      <w:tr w14:paraId="11AD0D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114" w:type="dxa"/>
            <w:vAlign w:val="center"/>
          </w:tcPr>
          <w:p w14:paraId="770E26D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vAlign w:val="center"/>
          </w:tcPr>
          <w:p w14:paraId="74092DA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6242" w:type="dxa"/>
            <w:vAlign w:val="center"/>
          </w:tcPr>
          <w:p w14:paraId="2AB22147">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w:t>
            </w:r>
            <w:r>
              <w:rPr>
                <w:rFonts w:hint="eastAsia" w:ascii="宋体" w:hAnsi="宋体" w:eastAsia="宋体" w:cs="宋体"/>
                <w:color w:val="auto"/>
                <w:sz w:val="21"/>
                <w:szCs w:val="21"/>
                <w:highlight w:val="none"/>
              </w:rPr>
              <w:t>不要求提供</w:t>
            </w:r>
          </w:p>
          <w:p w14:paraId="19F56A3D">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要求提供</w:t>
            </w:r>
          </w:p>
        </w:tc>
      </w:tr>
      <w:tr w14:paraId="0C61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4" w:hRule="atLeast"/>
          <w:jc w:val="center"/>
        </w:trPr>
        <w:tc>
          <w:tcPr>
            <w:tcW w:w="1114" w:type="dxa"/>
            <w:vAlign w:val="center"/>
          </w:tcPr>
          <w:p w14:paraId="38F57E5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99" w:type="dxa"/>
            <w:vAlign w:val="center"/>
          </w:tcPr>
          <w:p w14:paraId="6A08ACD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响应文件有效期</w:t>
            </w:r>
          </w:p>
        </w:tc>
        <w:tc>
          <w:tcPr>
            <w:tcW w:w="6242" w:type="dxa"/>
            <w:vAlign w:val="center"/>
          </w:tcPr>
          <w:p w14:paraId="4BCFB36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90日（日历日）</w:t>
            </w:r>
          </w:p>
        </w:tc>
      </w:tr>
      <w:tr w14:paraId="39D8ED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1114" w:type="dxa"/>
            <w:vMerge w:val="restart"/>
            <w:vAlign w:val="center"/>
          </w:tcPr>
          <w:p w14:paraId="67B4522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99" w:type="dxa"/>
            <w:tcBorders>
              <w:bottom w:val="single" w:color="auto" w:sz="4" w:space="0"/>
            </w:tcBorders>
            <w:vAlign w:val="center"/>
          </w:tcPr>
          <w:p w14:paraId="122B8C11">
            <w:pPr>
              <w:keepNext w:val="0"/>
              <w:keepLines w:val="0"/>
              <w:pageBreakBefore w:val="0"/>
              <w:kinsoku/>
              <w:wordWrap/>
              <w:overflowPunct/>
              <w:topLinePunct w:val="0"/>
              <w:autoSpaceDE/>
              <w:autoSpaceDN/>
              <w:bidi w:val="0"/>
              <w:adjustRightInd w:val="0"/>
              <w:snapToGrid w:val="0"/>
              <w:spacing w:line="240" w:lineRule="auto"/>
              <w:contextualSpacing/>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电子投标文件的提交</w:t>
            </w:r>
          </w:p>
        </w:tc>
        <w:tc>
          <w:tcPr>
            <w:tcW w:w="6242" w:type="dxa"/>
            <w:tcBorders>
              <w:bottom w:val="single" w:color="auto" w:sz="4" w:space="0"/>
            </w:tcBorders>
            <w:vAlign w:val="center"/>
          </w:tcPr>
          <w:p w14:paraId="0386603F">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投标人必须在采购文件规定的投标截止时间前用电子密钥登录“郴州市公共资源交易中心”登录“政府采购交易系统”（http://www.czggzy.net/TPBidder），上传电子投标文件。</w:t>
            </w:r>
          </w:p>
        </w:tc>
      </w:tr>
      <w:tr w14:paraId="6DAE13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05" w:hRule="atLeast"/>
          <w:jc w:val="center"/>
        </w:trPr>
        <w:tc>
          <w:tcPr>
            <w:tcW w:w="1114" w:type="dxa"/>
            <w:vMerge w:val="continue"/>
            <w:vAlign w:val="center"/>
          </w:tcPr>
          <w:p w14:paraId="795D4F0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p>
        </w:tc>
        <w:tc>
          <w:tcPr>
            <w:tcW w:w="1999" w:type="dxa"/>
            <w:tcBorders>
              <w:top w:val="single" w:color="auto" w:sz="4" w:space="0"/>
            </w:tcBorders>
            <w:vAlign w:val="center"/>
          </w:tcPr>
          <w:p w14:paraId="5EE1D2DF">
            <w:pPr>
              <w:keepNext w:val="0"/>
              <w:keepLines w:val="0"/>
              <w:pageBreakBefore w:val="0"/>
              <w:kinsoku/>
              <w:wordWrap/>
              <w:overflowPunct/>
              <w:topLinePunct w:val="0"/>
              <w:autoSpaceDE/>
              <w:autoSpaceDN/>
              <w:bidi w:val="0"/>
              <w:adjustRightInd w:val="0"/>
              <w:snapToGrid w:val="0"/>
              <w:spacing w:line="240" w:lineRule="auto"/>
              <w:contextualSpacing/>
              <w:jc w:val="left"/>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纸质版投标文件的提交</w:t>
            </w:r>
          </w:p>
        </w:tc>
        <w:tc>
          <w:tcPr>
            <w:tcW w:w="6242" w:type="dxa"/>
            <w:tcBorders>
              <w:top w:val="single" w:color="auto" w:sz="4" w:space="0"/>
            </w:tcBorders>
            <w:vAlign w:val="center"/>
          </w:tcPr>
          <w:p w14:paraId="4F2F4C7E">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u w:val="single"/>
              </w:rPr>
              <w:t>★投标人被确定为第一中标候选人后，需提供纸制投标文件</w:t>
            </w:r>
            <w:r>
              <w:rPr>
                <w:rFonts w:hint="eastAsia" w:ascii="宋体" w:hAnsi="宋体" w:cs="宋体"/>
                <w:b/>
                <w:color w:val="auto"/>
                <w:sz w:val="21"/>
                <w:szCs w:val="21"/>
                <w:highlight w:val="none"/>
                <w:u w:val="single"/>
                <w:lang w:val="en-US" w:eastAsia="zh-CN"/>
              </w:rPr>
              <w:t>五</w:t>
            </w:r>
            <w:r>
              <w:rPr>
                <w:rFonts w:hint="eastAsia" w:ascii="宋体" w:hAnsi="宋体" w:eastAsia="宋体" w:cs="宋体"/>
                <w:b/>
                <w:color w:val="auto"/>
                <w:sz w:val="21"/>
                <w:szCs w:val="21"/>
                <w:highlight w:val="none"/>
                <w:u w:val="single"/>
              </w:rPr>
              <w:t>份（一正</w:t>
            </w:r>
            <w:r>
              <w:rPr>
                <w:rFonts w:hint="eastAsia" w:ascii="宋体" w:hAnsi="宋体" w:cs="宋体"/>
                <w:b/>
                <w:color w:val="auto"/>
                <w:sz w:val="21"/>
                <w:szCs w:val="21"/>
                <w:highlight w:val="none"/>
                <w:u w:val="single"/>
                <w:lang w:val="en-US" w:eastAsia="zh-CN"/>
              </w:rPr>
              <w:t>四</w:t>
            </w:r>
            <w:r>
              <w:rPr>
                <w:rFonts w:hint="eastAsia" w:ascii="宋体" w:hAnsi="宋体" w:eastAsia="宋体" w:cs="宋体"/>
                <w:b/>
                <w:color w:val="auto"/>
                <w:sz w:val="21"/>
                <w:szCs w:val="21"/>
                <w:highlight w:val="none"/>
                <w:u w:val="single"/>
              </w:rPr>
              <w:t>副）至采购代理机构（纸制投标文件内容</w:t>
            </w:r>
            <w:r>
              <w:rPr>
                <w:rFonts w:hint="eastAsia" w:ascii="宋体" w:hAnsi="宋体" w:eastAsia="宋体" w:cs="宋体"/>
                <w:b/>
                <w:color w:val="auto"/>
                <w:sz w:val="21"/>
                <w:szCs w:val="21"/>
                <w:highlight w:val="none"/>
                <w:u w:val="single"/>
                <w:lang w:eastAsia="zh-CN"/>
              </w:rPr>
              <w:t>须</w:t>
            </w:r>
            <w:r>
              <w:rPr>
                <w:rFonts w:hint="eastAsia" w:ascii="宋体" w:hAnsi="宋体" w:eastAsia="宋体" w:cs="宋体"/>
                <w:b/>
                <w:color w:val="auto"/>
                <w:sz w:val="21"/>
                <w:szCs w:val="21"/>
                <w:highlight w:val="none"/>
                <w:u w:val="single"/>
              </w:rPr>
              <w:t>与电子投标文件一致，如出现不一致时以电子投标文件为准。）</w:t>
            </w:r>
          </w:p>
        </w:tc>
      </w:tr>
      <w:tr w14:paraId="22702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4" w:hRule="atLeast"/>
          <w:jc w:val="center"/>
        </w:trPr>
        <w:tc>
          <w:tcPr>
            <w:tcW w:w="9355" w:type="dxa"/>
            <w:gridSpan w:val="3"/>
            <w:vAlign w:val="center"/>
          </w:tcPr>
          <w:p w14:paraId="40FF5EED">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四、响应文件的递交</w:t>
            </w:r>
          </w:p>
        </w:tc>
      </w:tr>
      <w:tr w14:paraId="76A938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69D6513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vAlign w:val="center"/>
          </w:tcPr>
          <w:p w14:paraId="0BC60FA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电子投标文件的加密和提交</w:t>
            </w:r>
          </w:p>
        </w:tc>
        <w:tc>
          <w:tcPr>
            <w:tcW w:w="6242" w:type="dxa"/>
            <w:vAlign w:val="center"/>
          </w:tcPr>
          <w:p w14:paraId="508A207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1、响应文件的提交方式：供应商应在本项目获取采购文件截止时间</w:t>
            </w:r>
            <w:r>
              <w:rPr>
                <w:rFonts w:hint="eastAsia" w:ascii="宋体" w:hAnsi="宋体" w:eastAsia="宋体" w:cs="宋体"/>
                <w:color w:val="auto"/>
                <w:sz w:val="21"/>
                <w:szCs w:val="21"/>
                <w:highlight w:val="none"/>
              </w:rPr>
              <w:t>前登录郴州市公共资源（非标）电子交易平台（网址：http://cz.hbncp.com.cn/#/）进行线上上传。</w:t>
            </w:r>
          </w:p>
          <w:p w14:paraId="701516CB">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2、首次响应文件的提交截止时间：202</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年</w:t>
            </w: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月</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日</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时</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0分（北京时间），超过截止时间的投标将被拒绝。</w:t>
            </w:r>
          </w:p>
          <w:p w14:paraId="428C9659">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3、首次响应文件的开启时间：202</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年</w:t>
            </w: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月</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日</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时</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0分（北京时间）。</w:t>
            </w:r>
          </w:p>
          <w:p w14:paraId="1CA0712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4、首次响应文件的开启地点：郴州市市民服务中心</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楼市公共资源交易中心</w:t>
            </w: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11</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开</w:t>
            </w:r>
            <w:r>
              <w:rPr>
                <w:rFonts w:hint="eastAsia" w:ascii="宋体" w:hAnsi="宋体" w:eastAsia="宋体" w:cs="宋体"/>
                <w:color w:val="auto"/>
                <w:sz w:val="21"/>
                <w:szCs w:val="21"/>
                <w:highlight w:val="none"/>
              </w:rPr>
              <w:t>标室。</w:t>
            </w:r>
          </w:p>
          <w:p w14:paraId="0EF8BF5B">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5、本项目实行全流程电子化，供应商应在规定时间内使用电脑自行远程解密开启文件，并参加网上开标活动。电子响应文件解密时限：30分钟。请供应商确保响应文件如期解密。</w:t>
            </w:r>
          </w:p>
          <w:p w14:paraId="509A3B1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6、首次响应文件的开启时间与提交首次响应文件的截止时间为同一时间。</w:t>
            </w:r>
          </w:p>
          <w:p w14:paraId="472EF8B5">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7、本项目电子响应文件容量应当控制在100MB以内（如文件大小超过100M，请联系系统客服协助），请供应商注意控制文件大小，若因响应文件容量较大而影响投标的，其责任由供应商自行承担。</w:t>
            </w:r>
          </w:p>
          <w:p w14:paraId="74B539E5">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pacing w:val="-2"/>
                <w:sz w:val="21"/>
                <w:szCs w:val="21"/>
                <w:highlight w:val="none"/>
                <w:u w:val="dottedHeavy"/>
              </w:rPr>
            </w:pPr>
            <w:r>
              <w:rPr>
                <w:rFonts w:hint="eastAsia" w:ascii="宋体" w:hAnsi="宋体" w:eastAsia="宋体" w:cs="宋体"/>
                <w:color w:val="auto"/>
                <w:sz w:val="21"/>
                <w:szCs w:val="21"/>
                <w:highlight w:val="none"/>
              </w:rPr>
              <w:t>8、为保证本项目的顺利进行，供应商应在投递页面填写本项目的磋商代表的手机号码，以便顺利进行视频会议进行磋商。</w:t>
            </w:r>
          </w:p>
        </w:tc>
      </w:tr>
      <w:tr w14:paraId="786E4F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5EF2546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vAlign w:val="center"/>
          </w:tcPr>
          <w:p w14:paraId="4F64D00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投标文件上传截止时间</w:t>
            </w:r>
          </w:p>
        </w:tc>
        <w:tc>
          <w:tcPr>
            <w:tcW w:w="6242" w:type="dxa"/>
            <w:vAlign w:val="center"/>
          </w:tcPr>
          <w:p w14:paraId="71CC34E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投标文件上传截止时间：</w:t>
            </w:r>
            <w:r>
              <w:rPr>
                <w:rFonts w:hint="eastAsia" w:ascii="宋体" w:hAnsi="宋体" w:eastAsia="宋体" w:cs="宋体"/>
                <w:b/>
                <w:bCs/>
                <w:color w:val="auto"/>
                <w:sz w:val="21"/>
                <w:szCs w:val="21"/>
                <w:highlight w:val="none"/>
              </w:rPr>
              <w:t>202</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年</w:t>
            </w:r>
            <w:r>
              <w:rPr>
                <w:rFonts w:hint="eastAsia" w:ascii="宋体" w:hAnsi="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月</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日</w:t>
            </w:r>
            <w:r>
              <w:rPr>
                <w:rFonts w:hint="eastAsia" w:ascii="宋体" w:hAnsi="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时</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0分</w:t>
            </w:r>
            <w:r>
              <w:rPr>
                <w:rFonts w:hint="eastAsia" w:ascii="宋体" w:hAnsi="宋体" w:eastAsia="宋体" w:cs="宋体"/>
                <w:color w:val="auto"/>
                <w:sz w:val="21"/>
                <w:szCs w:val="21"/>
                <w:highlight w:val="none"/>
              </w:rPr>
              <w:t>（北京时间），在投标截至时间前供应商应在本项目获取采购文件截止时间前登录郴州市公共资源（非标）电子交易平台（网址：http://cz.hbncp.com.cn/#/）进行线上上传，</w:t>
            </w:r>
            <w:r>
              <w:rPr>
                <w:rFonts w:hint="eastAsia" w:ascii="宋体" w:hAnsi="宋体" w:eastAsia="宋体" w:cs="宋体"/>
                <w:bCs/>
                <w:color w:val="auto"/>
                <w:sz w:val="21"/>
                <w:szCs w:val="21"/>
                <w:highlight w:val="none"/>
              </w:rPr>
              <w:t>电子投标文件解密时限：30分钟。</w:t>
            </w:r>
            <w:r>
              <w:rPr>
                <w:rFonts w:hint="eastAsia" w:ascii="宋体" w:hAnsi="宋体" w:eastAsia="宋体" w:cs="宋体"/>
                <w:color w:val="auto"/>
                <w:sz w:val="21"/>
                <w:szCs w:val="21"/>
                <w:highlight w:val="none"/>
              </w:rPr>
              <w:t>如果上传有困难，请及时咨询，如果多次上传均告失败，请拨打咨询电话（平台客服电话：400-112-9919）。</w:t>
            </w:r>
          </w:p>
        </w:tc>
      </w:tr>
      <w:tr w14:paraId="4D215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vAlign w:val="center"/>
          </w:tcPr>
          <w:p w14:paraId="034DFC41">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w:t>
            </w:r>
            <w:r>
              <w:rPr>
                <w:rFonts w:hint="eastAsia" w:ascii="宋体" w:hAnsi="宋体" w:eastAsia="宋体" w:cs="宋体"/>
                <w:b/>
                <w:bCs/>
                <w:color w:val="auto"/>
                <w:sz w:val="21"/>
                <w:szCs w:val="21"/>
                <w:highlight w:val="none"/>
              </w:rPr>
              <w:t>开标、资格审查和评标</w:t>
            </w:r>
          </w:p>
        </w:tc>
      </w:tr>
      <w:tr w14:paraId="04349C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tcBorders>
              <w:bottom w:val="single" w:color="auto" w:sz="4" w:space="0"/>
            </w:tcBorders>
            <w:vAlign w:val="center"/>
          </w:tcPr>
          <w:p w14:paraId="07E78666">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tcBorders>
              <w:bottom w:val="single" w:color="auto" w:sz="4" w:space="0"/>
            </w:tcBorders>
            <w:vAlign w:val="center"/>
          </w:tcPr>
          <w:p w14:paraId="4DCD41B3">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 </w:t>
            </w:r>
          </w:p>
        </w:tc>
        <w:tc>
          <w:tcPr>
            <w:tcW w:w="6242" w:type="dxa"/>
            <w:vAlign w:val="center"/>
          </w:tcPr>
          <w:p w14:paraId="15EF44D0">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rPr>
              <w:t>郴州市市民服务中心</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楼市公共资源交易中心</w:t>
            </w: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11</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开</w:t>
            </w:r>
            <w:r>
              <w:rPr>
                <w:rFonts w:hint="eastAsia" w:ascii="宋体" w:hAnsi="宋体" w:eastAsia="宋体" w:cs="宋体"/>
                <w:b w:val="0"/>
                <w:bCs w:val="0"/>
                <w:color w:val="auto"/>
                <w:sz w:val="21"/>
                <w:szCs w:val="21"/>
                <w:highlight w:val="none"/>
              </w:rPr>
              <w:t>标室</w:t>
            </w:r>
            <w:r>
              <w:rPr>
                <w:rFonts w:hint="eastAsia" w:ascii="宋体" w:hAnsi="宋体" w:eastAsia="宋体" w:cs="宋体"/>
                <w:color w:val="auto"/>
                <w:sz w:val="21"/>
                <w:szCs w:val="21"/>
                <w:highlight w:val="none"/>
              </w:rPr>
              <w:t>，</w:t>
            </w:r>
            <w:r>
              <w:rPr>
                <w:rFonts w:hint="eastAsia" w:ascii="宋体" w:hAnsi="宋体" w:eastAsia="宋体" w:cs="宋体"/>
                <w:bCs/>
                <w:color w:val="auto"/>
                <w:sz w:val="21"/>
                <w:szCs w:val="21"/>
                <w:highlight w:val="none"/>
              </w:rPr>
              <w:t>电子投标文件解密时限：30分钟。</w:t>
            </w:r>
          </w:p>
        </w:tc>
      </w:tr>
      <w:tr w14:paraId="48DDB0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38821FF4">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vAlign w:val="center"/>
          </w:tcPr>
          <w:p w14:paraId="32851892">
            <w:pPr>
              <w:keepNext w:val="0"/>
              <w:keepLines w:val="0"/>
              <w:pageBreakBefore w:val="0"/>
              <w:kinsoku/>
              <w:wordWrap/>
              <w:overflowPunct/>
              <w:topLinePunct w:val="0"/>
              <w:autoSpaceDE/>
              <w:autoSpaceDN/>
              <w:bidi w:val="0"/>
              <w:adjustRightInd w:val="0"/>
              <w:snapToGrid w:val="0"/>
              <w:spacing w:line="240" w:lineRule="auto"/>
              <w:contextualSpacing/>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推荐的中标候选人数量</w:t>
            </w:r>
          </w:p>
        </w:tc>
        <w:tc>
          <w:tcPr>
            <w:tcW w:w="6242" w:type="dxa"/>
            <w:vAlign w:val="center"/>
          </w:tcPr>
          <w:p w14:paraId="4F845B36">
            <w:pPr>
              <w:keepNext w:val="0"/>
              <w:keepLines w:val="0"/>
              <w:pageBreakBefore w:val="0"/>
              <w:kinsoku/>
              <w:wordWrap/>
              <w:overflowPunct/>
              <w:topLinePunct w:val="0"/>
              <w:autoSpaceDE/>
              <w:autoSpaceDN/>
              <w:bidi w:val="0"/>
              <w:adjustRightInd w:val="0"/>
              <w:snapToGrid w:val="0"/>
              <w:spacing w:line="240" w:lineRule="auto"/>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中标候选人3名（中标人1名）</w:t>
            </w:r>
          </w:p>
        </w:tc>
      </w:tr>
      <w:tr w14:paraId="19300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638E0773">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99" w:type="dxa"/>
            <w:vAlign w:val="center"/>
          </w:tcPr>
          <w:p w14:paraId="5EA82D70">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最后报价调整</w:t>
            </w:r>
          </w:p>
        </w:tc>
        <w:tc>
          <w:tcPr>
            <w:tcW w:w="6242" w:type="dxa"/>
            <w:vAlign w:val="center"/>
          </w:tcPr>
          <w:p w14:paraId="45B46FE7">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政府采购支持中小企业发展（货物类供应商和产品制造商应同时满足中小微企业的条件）：小型或微型企业，最后报价扣除比例为</w:t>
            </w:r>
          </w:p>
          <w:p w14:paraId="18909AC4">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%；联合体参与磋商的，最后报价扣除比例为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%。评审时，用扣除后的最后报价计算价格分。</w:t>
            </w:r>
          </w:p>
        </w:tc>
      </w:tr>
      <w:tr w14:paraId="1D6130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3E7591A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99" w:type="dxa"/>
            <w:vAlign w:val="center"/>
          </w:tcPr>
          <w:p w14:paraId="04245869">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技术、商务、价格</w:t>
            </w:r>
            <w:r>
              <w:rPr>
                <w:rFonts w:hint="eastAsia" w:ascii="宋体" w:hAnsi="宋体" w:eastAsia="宋体" w:cs="宋体"/>
                <w:color w:val="auto"/>
                <w:kern w:val="0"/>
                <w:sz w:val="21"/>
                <w:szCs w:val="21"/>
                <w:highlight w:val="none"/>
              </w:rPr>
              <w:t>得分或总得分</w:t>
            </w:r>
            <w:r>
              <w:rPr>
                <w:rFonts w:hint="eastAsia" w:ascii="宋体" w:hAnsi="宋体" w:eastAsia="宋体" w:cs="宋体"/>
                <w:color w:val="auto"/>
                <w:sz w:val="21"/>
                <w:szCs w:val="21"/>
                <w:highlight w:val="none"/>
              </w:rPr>
              <w:t>调整</w:t>
            </w:r>
          </w:p>
        </w:tc>
        <w:tc>
          <w:tcPr>
            <w:tcW w:w="6242" w:type="dxa"/>
            <w:vAlign w:val="center"/>
          </w:tcPr>
          <w:p w14:paraId="7D3FA135">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具体详见评分表</w:t>
            </w:r>
          </w:p>
        </w:tc>
      </w:tr>
      <w:tr w14:paraId="2B851E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3BD01493">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999" w:type="dxa"/>
            <w:vAlign w:val="center"/>
          </w:tcPr>
          <w:p w14:paraId="4AD24D3C">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磋商小组人员数量及组成</w:t>
            </w:r>
          </w:p>
        </w:tc>
        <w:tc>
          <w:tcPr>
            <w:tcW w:w="6242" w:type="dxa"/>
            <w:vAlign w:val="center"/>
          </w:tcPr>
          <w:p w14:paraId="0648A044">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从湖南省政府采购评审专家库中随机抽取评审专家</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人组成。</w:t>
            </w:r>
          </w:p>
        </w:tc>
      </w:tr>
      <w:tr w14:paraId="198E65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vAlign w:val="center"/>
          </w:tcPr>
          <w:p w14:paraId="7B833842">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六、成交结果信息公布与授予合同</w:t>
            </w:r>
          </w:p>
        </w:tc>
      </w:tr>
      <w:tr w14:paraId="79EE74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0" w:hRule="atLeast"/>
          <w:jc w:val="center"/>
        </w:trPr>
        <w:tc>
          <w:tcPr>
            <w:tcW w:w="1114" w:type="dxa"/>
            <w:vAlign w:val="center"/>
          </w:tcPr>
          <w:p w14:paraId="432DA42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vAlign w:val="center"/>
          </w:tcPr>
          <w:p w14:paraId="71607730">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信息公告发布媒体</w:t>
            </w:r>
          </w:p>
        </w:tc>
        <w:tc>
          <w:tcPr>
            <w:tcW w:w="6242" w:type="dxa"/>
            <w:vAlign w:val="center"/>
          </w:tcPr>
          <w:p w14:paraId="4F2B823D">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中国湖南政府采购网（www.ccgp-hunan.gov.cn）、郴州市公共资源交易中心(http://czggzy.c</w:t>
            </w:r>
            <w:r>
              <w:rPr>
                <w:rFonts w:hint="eastAsia" w:ascii="宋体" w:hAnsi="宋体" w:eastAsia="宋体" w:cs="宋体"/>
                <w:color w:val="auto"/>
                <w:kern w:val="0"/>
                <w:sz w:val="21"/>
                <w:szCs w:val="21"/>
                <w:highlight w:val="none"/>
              </w:rPr>
              <w:t>zs.gov.cn/)</w:t>
            </w:r>
            <w:r>
              <w:rPr>
                <w:rFonts w:hint="eastAsia" w:ascii="宋体" w:hAnsi="宋体" w:cs="宋体"/>
                <w:color w:val="auto"/>
                <w:kern w:val="0"/>
                <w:sz w:val="21"/>
                <w:szCs w:val="21"/>
                <w:highlight w:val="none"/>
                <w:lang w:eastAsia="zh-CN"/>
              </w:rPr>
              <w:t>、</w:t>
            </w:r>
            <w:r>
              <w:rPr>
                <w:rFonts w:hint="eastAsia" w:ascii="宋体" w:hAnsi="宋体" w:cs="宋体"/>
                <w:color w:val="auto"/>
                <w:szCs w:val="21"/>
                <w:highlight w:val="none"/>
                <w:shd w:val="clear" w:color="auto" w:fill="FFFFFF"/>
              </w:rPr>
              <w:t>51招标网</w:t>
            </w:r>
            <w:r>
              <w:rPr>
                <w:rFonts w:hint="eastAsia" w:ascii="宋体" w:hAnsi="宋体" w:cs="宋体"/>
                <w:color w:val="auto"/>
                <w:szCs w:val="21"/>
                <w:highlight w:val="none"/>
                <w:shd w:val="clear" w:color="auto" w:fill="FFFFFF"/>
                <w:lang w:eastAsia="zh-CN"/>
              </w:rPr>
              <w:t>（</w:t>
            </w:r>
            <w:r>
              <w:rPr>
                <w:rFonts w:hint="eastAsia" w:ascii="宋体" w:hAnsi="宋体" w:cs="宋体"/>
                <w:color w:val="auto"/>
                <w:szCs w:val="21"/>
                <w:highlight w:val="none"/>
                <w:shd w:val="clear" w:color="auto" w:fill="FFFFFF"/>
                <w:lang w:val="en-US" w:eastAsia="zh-CN"/>
              </w:rPr>
              <w:t>网站：</w:t>
            </w:r>
            <w:r>
              <w:rPr>
                <w:rFonts w:hint="eastAsia" w:ascii="宋体" w:hAnsi="宋体" w:cs="宋体"/>
                <w:color w:val="auto"/>
                <w:szCs w:val="21"/>
                <w:highlight w:val="none"/>
                <w:shd w:val="clear" w:color="auto" w:fill="FFFFFF"/>
              </w:rPr>
              <w:t>https://www.51eliao.com/#/index</w:t>
            </w:r>
            <w:r>
              <w:rPr>
                <w:rFonts w:hint="eastAsia" w:ascii="宋体" w:hAnsi="宋体" w:cs="宋体"/>
                <w:color w:val="auto"/>
                <w:szCs w:val="21"/>
                <w:highlight w:val="none"/>
                <w:shd w:val="clear" w:color="auto" w:fill="FFFFFF"/>
                <w:lang w:eastAsia="zh-CN"/>
              </w:rPr>
              <w:t>）、</w:t>
            </w:r>
            <w:r>
              <w:rPr>
                <w:rFonts w:hint="eastAsia" w:ascii="宋体" w:hAnsi="宋体" w:cs="宋体"/>
                <w:color w:val="auto"/>
                <w:szCs w:val="21"/>
                <w:highlight w:val="none"/>
                <w:shd w:val="clear" w:color="auto" w:fill="FFFFFF"/>
              </w:rPr>
              <w:t>郴州市第一人民医院官网（网址:czhospital.51eliao.com）</w:t>
            </w:r>
          </w:p>
        </w:tc>
      </w:tr>
      <w:tr w14:paraId="5B788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561A28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vAlign w:val="center"/>
          </w:tcPr>
          <w:p w14:paraId="07B7AC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6242" w:type="dxa"/>
            <w:vAlign w:val="center"/>
          </w:tcPr>
          <w:p w14:paraId="101A24D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根据《关于进一步优化政府采购领域营商环境的通知》郴财采资〔2024〕6号文件精神，本项目取消投标保证金及履约保证金。</w:t>
            </w:r>
          </w:p>
        </w:tc>
      </w:tr>
      <w:tr w14:paraId="0970D2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vAlign w:val="center"/>
          </w:tcPr>
          <w:p w14:paraId="36BF2320">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七、其他规定</w:t>
            </w:r>
          </w:p>
        </w:tc>
      </w:tr>
      <w:tr w14:paraId="2A6554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0ACFC2D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vAlign w:val="center"/>
          </w:tcPr>
          <w:p w14:paraId="2603768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采购代理服务费</w:t>
            </w:r>
          </w:p>
        </w:tc>
        <w:tc>
          <w:tcPr>
            <w:tcW w:w="6242" w:type="dxa"/>
            <w:vAlign w:val="center"/>
          </w:tcPr>
          <w:p w14:paraId="2CEC6EA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采购代理服务费</w:t>
            </w:r>
            <w:r>
              <w:rPr>
                <w:rFonts w:hint="eastAsia" w:ascii="宋体" w:hAnsi="宋体" w:cs="宋体"/>
                <w:color w:val="auto"/>
                <w:sz w:val="21"/>
                <w:szCs w:val="21"/>
                <w:highlight w:val="none"/>
                <w:lang w:val="en-US" w:eastAsia="zh-CN"/>
              </w:rPr>
              <w:t>以中标价格为基数，</w:t>
            </w:r>
            <w:r>
              <w:rPr>
                <w:rFonts w:hint="eastAsia" w:ascii="宋体" w:hAnsi="宋体" w:eastAsia="宋体" w:cs="宋体"/>
                <w:color w:val="auto"/>
                <w:sz w:val="21"/>
                <w:szCs w:val="21"/>
                <w:highlight w:val="none"/>
              </w:rPr>
              <w:t>按照郴州市第一人民医院代理服务费收费标准执行</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不超过</w:t>
            </w:r>
            <w:r>
              <w:rPr>
                <w:rFonts w:hint="eastAsia" w:ascii="宋体" w:hAnsi="宋体" w:eastAsia="宋体" w:cs="宋体"/>
                <w:color w:val="auto"/>
                <w:sz w:val="21"/>
                <w:szCs w:val="21"/>
                <w:highlight w:val="none"/>
              </w:rPr>
              <w:t>人民币</w:t>
            </w:r>
            <w:r>
              <w:rPr>
                <w:rFonts w:hint="eastAsia" w:ascii="宋体" w:hAnsi="宋体" w:cs="宋体"/>
                <w:color w:val="auto"/>
                <w:sz w:val="21"/>
                <w:szCs w:val="21"/>
                <w:highlight w:val="none"/>
                <w:lang w:eastAsia="zh-CN"/>
              </w:rPr>
              <w:t>22800.00</w:t>
            </w:r>
            <w:r>
              <w:rPr>
                <w:rFonts w:hint="eastAsia" w:ascii="宋体" w:hAnsi="宋体" w:eastAsia="宋体" w:cs="宋体"/>
                <w:color w:val="auto"/>
                <w:sz w:val="21"/>
                <w:szCs w:val="21"/>
                <w:highlight w:val="none"/>
              </w:rPr>
              <w:t>元</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由采购人支付</w:t>
            </w:r>
            <w:r>
              <w:rPr>
                <w:rFonts w:hint="eastAsia" w:ascii="宋体" w:hAnsi="宋体" w:eastAsia="宋体" w:cs="宋体"/>
                <w:color w:val="auto"/>
                <w:sz w:val="21"/>
                <w:szCs w:val="21"/>
                <w:highlight w:val="none"/>
              </w:rPr>
              <w:t>。</w:t>
            </w:r>
          </w:p>
        </w:tc>
      </w:tr>
      <w:tr w14:paraId="2BD7A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98" w:hRule="atLeast"/>
          <w:jc w:val="center"/>
        </w:trPr>
        <w:tc>
          <w:tcPr>
            <w:tcW w:w="1114" w:type="dxa"/>
            <w:vAlign w:val="center"/>
          </w:tcPr>
          <w:p w14:paraId="7896CF9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vAlign w:val="center"/>
          </w:tcPr>
          <w:p w14:paraId="59AB975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其他规定</w:t>
            </w:r>
          </w:p>
        </w:tc>
        <w:tc>
          <w:tcPr>
            <w:tcW w:w="6242" w:type="dxa"/>
            <w:vAlign w:val="center"/>
          </w:tcPr>
          <w:p w14:paraId="67B7BC31">
            <w:pPr>
              <w:keepNext w:val="0"/>
              <w:keepLines w:val="0"/>
              <w:pageBreakBefore w:val="0"/>
              <w:numPr>
                <w:ilvl w:val="0"/>
                <w:numId w:val="2"/>
              </w:numPr>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某个投标人的最后报价明显低于其他投标人的最后报价，磋商小组认为有可能影响产品质量或者不能诚信履约的，磋商小组有权要求其在评审现场在合理的时间内提供书面说明，必要时提交相关证明材料；投标人不能证明其最后报价合理性的，磋商小组应当将其作为无效响应处理。</w:t>
            </w:r>
          </w:p>
        </w:tc>
      </w:tr>
      <w:tr w14:paraId="23FD22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355" w:type="dxa"/>
            <w:gridSpan w:val="3"/>
            <w:vAlign w:val="center"/>
          </w:tcPr>
          <w:p w14:paraId="07C98E47">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第三章  采购合同专用条款（前附表）</w:t>
            </w:r>
          </w:p>
        </w:tc>
      </w:tr>
      <w:tr w14:paraId="2A15DA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14" w:type="dxa"/>
            <w:vAlign w:val="center"/>
          </w:tcPr>
          <w:p w14:paraId="4F9BFF05">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9" w:type="dxa"/>
            <w:vAlign w:val="center"/>
          </w:tcPr>
          <w:p w14:paraId="2F4129FC">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w:t>
            </w:r>
          </w:p>
        </w:tc>
        <w:tc>
          <w:tcPr>
            <w:tcW w:w="6242" w:type="dxa"/>
            <w:vAlign w:val="center"/>
          </w:tcPr>
          <w:p w14:paraId="12F05F52">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甲方名称：</w:t>
            </w:r>
            <w:r>
              <w:rPr>
                <w:rFonts w:hint="eastAsia" w:ascii="宋体" w:hAnsi="宋体" w:eastAsia="宋体" w:cs="宋体"/>
                <w:b/>
                <w:bCs/>
                <w:color w:val="auto"/>
                <w:sz w:val="21"/>
                <w:szCs w:val="21"/>
                <w:highlight w:val="none"/>
                <w:u w:val="single"/>
                <w:lang w:eastAsia="zh-CN"/>
              </w:rPr>
              <w:t>郴州市第一人民医院</w:t>
            </w:r>
          </w:p>
          <w:p w14:paraId="29A19635">
            <w:pPr>
              <w:keepNext w:val="0"/>
              <w:keepLines w:val="0"/>
              <w:pageBreakBefore w:val="0"/>
              <w:kinsoku/>
              <w:wordWrap/>
              <w:overflowPunct/>
              <w:topLinePunct w:val="0"/>
              <w:autoSpaceDE/>
              <w:autoSpaceDN/>
              <w:bidi w:val="0"/>
              <w:spacing w:line="240" w:lineRule="auto"/>
              <w:textAlignment w:val="auto"/>
              <w:rPr>
                <w:rFonts w:hint="default"/>
                <w:b w:val="0"/>
                <w:bCs w:val="0"/>
                <w:lang w:val="en-US" w:eastAsia="zh-CN"/>
              </w:rPr>
            </w:pPr>
            <w:r>
              <w:rPr>
                <w:rFonts w:hint="eastAsia" w:ascii="宋体" w:hAnsi="宋体" w:cs="宋体"/>
                <w:b w:val="0"/>
                <w:bCs w:val="0"/>
                <w:color w:val="auto"/>
                <w:sz w:val="21"/>
                <w:szCs w:val="21"/>
                <w:highlight w:val="none"/>
                <w:u w:val="none"/>
                <w:lang w:val="en-US" w:eastAsia="zh-CN"/>
              </w:rPr>
              <w:t>代建单位名称：</w:t>
            </w:r>
            <w:r>
              <w:rPr>
                <w:rFonts w:hint="eastAsia" w:ascii="宋体" w:hAnsi="宋体" w:cs="宋体"/>
                <w:b/>
                <w:bCs/>
                <w:color w:val="auto"/>
                <w:sz w:val="21"/>
                <w:szCs w:val="21"/>
                <w:highlight w:val="none"/>
                <w:u w:val="single"/>
                <w:lang w:val="en-US" w:eastAsia="zh-CN"/>
              </w:rPr>
              <w:t>湖南明泰项目管理有限公司</w:t>
            </w:r>
          </w:p>
          <w:p w14:paraId="7565DF79">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乙方名称：成交人</w:t>
            </w:r>
          </w:p>
        </w:tc>
      </w:tr>
      <w:tr w14:paraId="0EEA1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4" w:hRule="atLeast"/>
          <w:jc w:val="center"/>
        </w:trPr>
        <w:tc>
          <w:tcPr>
            <w:tcW w:w="1114" w:type="dxa"/>
            <w:vAlign w:val="center"/>
          </w:tcPr>
          <w:p w14:paraId="7F6F3CC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9" w:type="dxa"/>
            <w:vAlign w:val="center"/>
          </w:tcPr>
          <w:p w14:paraId="49EC20F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项目现场</w:t>
            </w:r>
          </w:p>
        </w:tc>
        <w:tc>
          <w:tcPr>
            <w:tcW w:w="6242" w:type="dxa"/>
            <w:vAlign w:val="center"/>
          </w:tcPr>
          <w:p w14:paraId="5B32B5B6">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郴州市第一人民医院</w:t>
            </w:r>
          </w:p>
        </w:tc>
      </w:tr>
      <w:tr w14:paraId="7D1F94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80" w:hRule="atLeast"/>
          <w:jc w:val="center"/>
        </w:trPr>
        <w:tc>
          <w:tcPr>
            <w:tcW w:w="1114" w:type="dxa"/>
            <w:vAlign w:val="center"/>
          </w:tcPr>
          <w:p w14:paraId="4798F580">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99" w:type="dxa"/>
            <w:vAlign w:val="center"/>
          </w:tcPr>
          <w:p w14:paraId="756F3B2F">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履行合同的时间、地点及方式</w:t>
            </w:r>
          </w:p>
        </w:tc>
        <w:tc>
          <w:tcPr>
            <w:tcW w:w="6242" w:type="dxa"/>
            <w:vAlign w:val="center"/>
          </w:tcPr>
          <w:p w14:paraId="05FF55D9">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工期：</w:t>
            </w:r>
            <w:r>
              <w:rPr>
                <w:rFonts w:hint="eastAsia" w:ascii="宋体" w:hAnsi="宋体" w:eastAsia="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90天</w:t>
            </w:r>
            <w:r>
              <w:rPr>
                <w:rFonts w:hint="eastAsia" w:ascii="宋体" w:hAnsi="宋体" w:cs="宋体"/>
                <w:bCs/>
                <w:color w:val="auto"/>
                <w:sz w:val="21"/>
                <w:szCs w:val="21"/>
                <w:highlight w:val="none"/>
                <w:u w:val="single"/>
                <w:lang w:eastAsia="zh-CN"/>
              </w:rPr>
              <w:t>，</w:t>
            </w:r>
            <w:r>
              <w:rPr>
                <w:rFonts w:hint="eastAsia" w:ascii="宋体" w:hAnsi="宋体" w:cs="宋体"/>
                <w:bCs/>
                <w:color w:val="auto"/>
                <w:sz w:val="21"/>
                <w:szCs w:val="21"/>
                <w:highlight w:val="none"/>
                <w:u w:val="single"/>
                <w:lang w:val="en-US" w:eastAsia="zh-CN"/>
              </w:rPr>
              <w:t>以监理单位下发的开工令开工时间计算</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 xml:space="preserve"> </w:t>
            </w:r>
          </w:p>
          <w:p w14:paraId="5C94B279">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实施地点：郴州市北湖区罗家井102号（郴州市第一人民医院中心医院</w:t>
            </w:r>
            <w:r>
              <w:rPr>
                <w:rFonts w:hint="eastAsia" w:ascii="宋体" w:hAnsi="宋体" w:eastAsia="宋体" w:cs="宋体"/>
                <w:color w:val="auto"/>
                <w:sz w:val="21"/>
                <w:szCs w:val="21"/>
                <w:highlight w:val="none"/>
                <w:lang w:val="en-US" w:eastAsia="zh-CN"/>
              </w:rPr>
              <w:t>内科大楼23楼</w:t>
            </w:r>
            <w:r>
              <w:rPr>
                <w:rFonts w:hint="eastAsia" w:ascii="宋体" w:hAnsi="宋体" w:eastAsia="宋体" w:cs="宋体"/>
                <w:color w:val="auto"/>
                <w:sz w:val="21"/>
                <w:szCs w:val="21"/>
                <w:highlight w:val="none"/>
              </w:rPr>
              <w:t>）。</w:t>
            </w:r>
          </w:p>
        </w:tc>
      </w:tr>
      <w:tr w14:paraId="4FBF4E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014080BA">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99" w:type="dxa"/>
            <w:vAlign w:val="center"/>
          </w:tcPr>
          <w:p w14:paraId="3A13F80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6242" w:type="dxa"/>
            <w:vAlign w:val="center"/>
          </w:tcPr>
          <w:p w14:paraId="3FBFEF8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符合国家现行验收标准，竣（交）工达到合格标准。施工期间，应接受招标人及政府建设主管部门的监督管理，遵守有关法律法规。</w:t>
            </w:r>
          </w:p>
        </w:tc>
      </w:tr>
      <w:tr w14:paraId="7F6800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1114" w:type="dxa"/>
            <w:vAlign w:val="center"/>
          </w:tcPr>
          <w:p w14:paraId="27B5C5FC">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999" w:type="dxa"/>
            <w:vAlign w:val="center"/>
          </w:tcPr>
          <w:p w14:paraId="6EE6346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242" w:type="dxa"/>
            <w:vAlign w:val="center"/>
          </w:tcPr>
          <w:p w14:paraId="1E3DD2D8">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后，提供预付款担保，预付款申请和正式发票，支付预付款30%(合同金额扣除不可预计费)，在后期支付工程进度款时分两次(每次50%)予以扣回，当月进度款不足以抵扣预付款则累计至下月;工程进度款按国家有关规定执行，安全文明措施费及农民工工资保证金等须按照有关规定执行到位。</w:t>
            </w:r>
          </w:p>
          <w:p w14:paraId="682EBA10">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2.按每个月进度支付进度款：承包人应在每月15日前上报进度款资料，当期进度款应按当期实物量完成量的80％进行支付；竣工验收前累计支付不超过合同额的 80%。</w:t>
            </w:r>
          </w:p>
          <w:p w14:paraId="537FC31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3.项目完工后，取得竣工验收合格报告，并经发包人组织相关部门验收合格后，经过工程审计结算后，付至工程结算金额的97%，余款3％留作质保金，质保期满贰年无质量问题无息返还。</w:t>
            </w:r>
          </w:p>
          <w:p w14:paraId="349872A0">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每次支付工程款(进度款、结算款等)，承包人必须向发包人提供合法、合规且经本项目所在地税务部门认可的，且对发包人开具含税的正式发票，并提供公司法人或项目经理签字和盖章的付款申请，款项支付付至承包人的基本账户，安全文明施工措施费支付承包人的专用账户，农民工工资支付至专用账户。</w:t>
            </w:r>
          </w:p>
          <w:p w14:paraId="7983F79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.施工中用</w:t>
            </w:r>
            <w:r>
              <w:rPr>
                <w:rFonts w:hint="eastAsia" w:ascii="宋体" w:hAnsi="宋体" w:eastAsia="宋体" w:cs="宋体"/>
                <w:color w:val="auto"/>
                <w:sz w:val="21"/>
                <w:szCs w:val="21"/>
                <w:highlight w:val="none"/>
                <w:lang w:val="en-US" w:eastAsia="zh-CN"/>
              </w:rPr>
              <w:t>到</w:t>
            </w:r>
            <w:r>
              <w:rPr>
                <w:rFonts w:hint="eastAsia" w:ascii="宋体" w:hAnsi="宋体" w:eastAsia="宋体" w:cs="宋体"/>
                <w:color w:val="auto"/>
                <w:sz w:val="21"/>
                <w:szCs w:val="21"/>
                <w:highlight w:val="none"/>
              </w:rPr>
              <w:t>甲方水电，水费按审定金额的0.5%计算，电费按审定金额的0.5%计算，由甲方从结算款中直接扣除。</w:t>
            </w:r>
          </w:p>
          <w:p w14:paraId="2B6D66CF">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.承包方应严格执行《保障农民工工资支付条例》等国家有关规定，务必专款专用，按时支付农民工工资，切实保障农民工的合法权益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w:t>
            </w:r>
            <w:r>
              <w:rPr>
                <w:rFonts w:hint="eastAsia" w:ascii="宋体" w:hAnsi="宋体" w:eastAsia="宋体" w:cs="宋体"/>
                <w:color w:val="auto"/>
                <w:sz w:val="21"/>
                <w:szCs w:val="21"/>
                <w:highlight w:val="none"/>
              </w:rPr>
              <w:t>出现农民工工资投诉，查实后按每次1000元考核从工程款中扣除。</w:t>
            </w:r>
          </w:p>
          <w:p w14:paraId="1E25BD0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承包方承诺工程结算绝不高估冒算，并承担竣工结算净核减率&gt;5%的净核减额对应的审计费用。施工方应承担的审计费用将从审计确认后的竣工结算金额中扣除，支付给受托审计的工程造价咨询机构，结算完成后乙方所开具的发票不含此部分的金额。</w:t>
            </w:r>
          </w:p>
        </w:tc>
      </w:tr>
      <w:tr w14:paraId="07688B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5" w:hRule="atLeast"/>
          <w:jc w:val="center"/>
        </w:trPr>
        <w:tc>
          <w:tcPr>
            <w:tcW w:w="1114" w:type="dxa"/>
            <w:vAlign w:val="center"/>
          </w:tcPr>
          <w:p w14:paraId="6236986A">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999" w:type="dxa"/>
            <w:vAlign w:val="center"/>
          </w:tcPr>
          <w:p w14:paraId="5D6FA083">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242" w:type="dxa"/>
            <w:vAlign w:val="center"/>
          </w:tcPr>
          <w:p w14:paraId="1F53DBB1">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不接受</w:t>
            </w:r>
          </w:p>
          <w:p w14:paraId="08544F6D">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接受</w:t>
            </w:r>
          </w:p>
        </w:tc>
      </w:tr>
      <w:tr w14:paraId="2A907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4" w:hRule="atLeast"/>
          <w:jc w:val="center"/>
        </w:trPr>
        <w:tc>
          <w:tcPr>
            <w:tcW w:w="1114" w:type="dxa"/>
            <w:vAlign w:val="center"/>
          </w:tcPr>
          <w:p w14:paraId="2CE257DB">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999" w:type="dxa"/>
            <w:vAlign w:val="center"/>
          </w:tcPr>
          <w:p w14:paraId="5D26F68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伴随服务</w:t>
            </w:r>
          </w:p>
        </w:tc>
        <w:tc>
          <w:tcPr>
            <w:tcW w:w="6242" w:type="dxa"/>
            <w:vAlign w:val="center"/>
          </w:tcPr>
          <w:p w14:paraId="550120E7">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第三章 采购内容及要求</w:t>
            </w:r>
          </w:p>
        </w:tc>
      </w:tr>
      <w:tr w14:paraId="5D09C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14" w:type="dxa"/>
            <w:vAlign w:val="center"/>
          </w:tcPr>
          <w:p w14:paraId="3299EEDF">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999" w:type="dxa"/>
            <w:vAlign w:val="center"/>
          </w:tcPr>
          <w:p w14:paraId="3CA2B719">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解决争议的方式</w:t>
            </w:r>
          </w:p>
        </w:tc>
        <w:tc>
          <w:tcPr>
            <w:tcW w:w="6242" w:type="dxa"/>
            <w:vAlign w:val="center"/>
          </w:tcPr>
          <w:p w14:paraId="2DCF468F">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■诉讼</w:t>
            </w:r>
          </w:p>
          <w:p w14:paraId="5A1F970E">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□仲裁</w:t>
            </w:r>
          </w:p>
        </w:tc>
      </w:tr>
      <w:tr w14:paraId="6721D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trPr>
        <w:tc>
          <w:tcPr>
            <w:tcW w:w="1114" w:type="dxa"/>
            <w:vAlign w:val="center"/>
          </w:tcPr>
          <w:p w14:paraId="681BC9F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999" w:type="dxa"/>
            <w:vAlign w:val="center"/>
          </w:tcPr>
          <w:p w14:paraId="1B934B4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合同未尽事项</w:t>
            </w:r>
          </w:p>
        </w:tc>
        <w:tc>
          <w:tcPr>
            <w:tcW w:w="6242" w:type="dxa"/>
            <w:vAlign w:val="center"/>
          </w:tcPr>
          <w:p w14:paraId="01A70CA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合同的签订以本项目磋商文件、中标单位响应文件为依据，未尽事项协商解决。</w:t>
            </w:r>
          </w:p>
        </w:tc>
      </w:tr>
      <w:tr w14:paraId="1FBA82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9" w:hRule="atLeast"/>
          <w:jc w:val="center"/>
        </w:trPr>
        <w:tc>
          <w:tcPr>
            <w:tcW w:w="1114" w:type="dxa"/>
            <w:vAlign w:val="center"/>
          </w:tcPr>
          <w:p w14:paraId="092AB52F">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999" w:type="dxa"/>
            <w:vAlign w:val="center"/>
          </w:tcPr>
          <w:p w14:paraId="3D9D919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补充条款</w:t>
            </w:r>
          </w:p>
        </w:tc>
        <w:tc>
          <w:tcPr>
            <w:tcW w:w="6242" w:type="dxa"/>
            <w:vAlign w:val="center"/>
          </w:tcPr>
          <w:p w14:paraId="3A304D7E">
            <w:pPr>
              <w:keepNext w:val="0"/>
              <w:keepLines w:val="0"/>
              <w:pageBreakBefore w:val="0"/>
              <w:kinsoku/>
              <w:wordWrap/>
              <w:overflowPunct/>
              <w:topLinePunct w:val="0"/>
              <w:autoSpaceDE/>
              <w:autoSpaceDN/>
              <w:bidi w:val="0"/>
              <w:spacing w:line="240" w:lineRule="auto"/>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w:t>
            </w:r>
          </w:p>
        </w:tc>
      </w:tr>
    </w:tbl>
    <w:p w14:paraId="65A94521">
      <w:pPr>
        <w:adjustRightInd w:val="0"/>
        <w:snapToGrid w:val="0"/>
        <w:spacing w:line="360" w:lineRule="auto"/>
        <w:rPr>
          <w:rFonts w:hint="eastAsia" w:ascii="宋体" w:hAnsi="宋体" w:eastAsia="宋体" w:cs="宋体"/>
          <w:b/>
          <w:color w:val="auto"/>
          <w:sz w:val="28"/>
          <w:szCs w:val="28"/>
          <w:highlight w:val="none"/>
        </w:rPr>
      </w:pPr>
      <w:bookmarkStart w:id="135" w:name="_Toc522285653"/>
      <w:bookmarkStart w:id="136" w:name="_Toc496459163"/>
      <w:bookmarkStart w:id="137" w:name="_Toc2684031"/>
      <w:bookmarkStart w:id="138" w:name="_Toc2674898"/>
      <w:bookmarkStart w:id="139" w:name="_Toc2593134"/>
      <w:bookmarkStart w:id="140" w:name="_Toc497049051"/>
      <w:bookmarkStart w:id="141" w:name="_Toc521048946"/>
      <w:bookmarkStart w:id="142" w:name="_Toc2674693"/>
      <w:bookmarkStart w:id="143" w:name="_Toc498186719"/>
    </w:p>
    <w:p w14:paraId="533B6735">
      <w:pPr>
        <w:adjustRightInd w:val="0"/>
        <w:snapToGrid w:val="0"/>
        <w:spacing w:line="360" w:lineRule="auto"/>
        <w:jc w:val="center"/>
        <w:outlineLvl w:val="1"/>
        <w:rPr>
          <w:rFonts w:hint="eastAsia" w:ascii="宋体" w:hAnsi="宋体" w:eastAsia="宋体" w:cs="宋体"/>
          <w:b/>
          <w:color w:val="auto"/>
          <w:sz w:val="28"/>
          <w:szCs w:val="28"/>
          <w:highlight w:val="none"/>
        </w:rPr>
      </w:pPr>
      <w:bookmarkStart w:id="144" w:name="_Toc4506121"/>
      <w:bookmarkStart w:id="145" w:name="_Toc16405"/>
      <w:bookmarkStart w:id="146" w:name="_Toc2951772"/>
      <w:r>
        <w:rPr>
          <w:rFonts w:hint="eastAsia" w:ascii="宋体" w:hAnsi="宋体" w:eastAsia="宋体" w:cs="宋体"/>
          <w:b/>
          <w:color w:val="auto"/>
          <w:sz w:val="28"/>
          <w:szCs w:val="28"/>
          <w:highlight w:val="none"/>
        </w:rPr>
        <w:t>磋商须知正文</w:t>
      </w:r>
      <w:bookmarkEnd w:id="135"/>
      <w:bookmarkEnd w:id="136"/>
      <w:bookmarkEnd w:id="137"/>
      <w:bookmarkEnd w:id="138"/>
      <w:bookmarkEnd w:id="139"/>
      <w:bookmarkEnd w:id="140"/>
      <w:bookmarkEnd w:id="141"/>
      <w:bookmarkEnd w:id="142"/>
      <w:bookmarkEnd w:id="143"/>
      <w:bookmarkEnd w:id="144"/>
      <w:bookmarkEnd w:id="145"/>
      <w:bookmarkEnd w:id="146"/>
    </w:p>
    <w:p w14:paraId="5A9A4215">
      <w:pPr>
        <w:adjustRightInd w:val="0"/>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一、说明</w:t>
      </w:r>
    </w:p>
    <w:p w14:paraId="0093039D">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1.适用范围</w:t>
      </w:r>
    </w:p>
    <w:p w14:paraId="4A31FD6B">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本磋商文件仅适用于磋商须知前附表(以下简称</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中所叙述的采购项目。</w:t>
      </w:r>
    </w:p>
    <w:p w14:paraId="32CD2F36">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2.定义</w:t>
      </w:r>
    </w:p>
    <w:p w14:paraId="63CC2206">
      <w:pPr>
        <w:adjustRightInd w:val="0"/>
        <w:snapToGrid w:val="0"/>
        <w:spacing w:line="4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2.1 “采购人”是指依法进行政府采购的国家机关、事业单位、团体组织。本次政府采购的采购人名称、地址、电话、联系人见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w:t>
      </w:r>
    </w:p>
    <w:p w14:paraId="78BBC34F">
      <w:pPr>
        <w:adjustRightInd w:val="0"/>
        <w:snapToGrid w:val="0"/>
        <w:spacing w:line="4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eastAsia="宋体" w:cs="宋体"/>
          <w:b/>
          <w:color w:val="auto"/>
          <w:szCs w:val="21"/>
          <w:highlight w:val="none"/>
        </w:rPr>
        <w:t>磋商须知前附表。</w:t>
      </w:r>
    </w:p>
    <w:p w14:paraId="2182D770">
      <w:pPr>
        <w:adjustRightInd w:val="0"/>
        <w:snapToGrid w:val="0"/>
        <w:spacing w:line="400" w:lineRule="exact"/>
        <w:ind w:firstLine="420" w:firstLineChars="200"/>
        <w:rPr>
          <w:rFonts w:hint="eastAsia" w:ascii="宋体" w:hAnsi="宋体" w:eastAsia="宋体" w:cs="宋体"/>
          <w:bCs/>
          <w:color w:val="auto"/>
          <w:kern w:val="36"/>
          <w:szCs w:val="21"/>
          <w:highlight w:val="none"/>
        </w:rPr>
      </w:pPr>
      <w:r>
        <w:rPr>
          <w:rFonts w:hint="eastAsia" w:ascii="宋体" w:hAnsi="宋体" w:eastAsia="宋体" w:cs="宋体"/>
          <w:color w:val="auto"/>
          <w:szCs w:val="21"/>
          <w:highlight w:val="none"/>
        </w:rPr>
        <w:t>2.3 “投标人”是指响应磋商文件要求、参加竞争性磋商采购的法人、其他组织或者自然人。本次政府采购项目</w:t>
      </w:r>
      <w:r>
        <w:rPr>
          <w:rFonts w:hint="eastAsia" w:ascii="宋体" w:hAnsi="宋体" w:eastAsia="宋体" w:cs="宋体"/>
          <w:color w:val="auto"/>
          <w:kern w:val="0"/>
          <w:szCs w:val="21"/>
          <w:highlight w:val="none"/>
        </w:rPr>
        <w:t>邀请</w:t>
      </w:r>
      <w:r>
        <w:rPr>
          <w:rFonts w:hint="eastAsia" w:ascii="宋体" w:hAnsi="宋体" w:eastAsia="宋体" w:cs="宋体"/>
          <w:color w:val="auto"/>
          <w:szCs w:val="21"/>
          <w:highlight w:val="none"/>
        </w:rPr>
        <w:t>的</w:t>
      </w:r>
      <w:r>
        <w:rPr>
          <w:rFonts w:hint="eastAsia" w:ascii="宋体" w:hAnsi="宋体" w:eastAsia="宋体" w:cs="宋体"/>
          <w:color w:val="auto"/>
          <w:kern w:val="0"/>
          <w:szCs w:val="21"/>
          <w:highlight w:val="none"/>
        </w:rPr>
        <w:t>投标人通过</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所述方式</w:t>
      </w:r>
      <w:r>
        <w:rPr>
          <w:rFonts w:hint="eastAsia" w:ascii="宋体" w:hAnsi="宋体" w:eastAsia="宋体" w:cs="宋体"/>
          <w:color w:val="auto"/>
          <w:kern w:val="0"/>
          <w:szCs w:val="21"/>
          <w:highlight w:val="none"/>
        </w:rPr>
        <w:t>，邀请符合资格条件的投标人提交响应文件（含资格证明资料），参与竞争性磋商采购活动。</w:t>
      </w:r>
    </w:p>
    <w:p w14:paraId="4E3C595F">
      <w:pPr>
        <w:adjustRightInd w:val="0"/>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2.4 “磋商小组”是指</w:t>
      </w:r>
      <w:r>
        <w:rPr>
          <w:rFonts w:hint="eastAsia" w:ascii="宋体" w:hAnsi="宋体" w:eastAsia="宋体" w:cs="宋体"/>
          <w:color w:val="auto"/>
          <w:kern w:val="0"/>
          <w:szCs w:val="21"/>
          <w:highlight w:val="none"/>
        </w:rPr>
        <w:t>依据财政部</w:t>
      </w:r>
      <w:r>
        <w:rPr>
          <w:rFonts w:hint="eastAsia" w:ascii="宋体" w:hAnsi="宋体" w:eastAsia="宋体" w:cs="宋体"/>
          <w:bCs/>
          <w:color w:val="auto"/>
          <w:kern w:val="36"/>
          <w:szCs w:val="21"/>
          <w:highlight w:val="none"/>
        </w:rPr>
        <w:t>《政府采购竞争性磋商采购方式管理暂行办法》有关规定组建，依法依规</w:t>
      </w:r>
      <w:r>
        <w:rPr>
          <w:rFonts w:hint="eastAsia" w:ascii="宋体" w:hAnsi="宋体" w:eastAsia="宋体" w:cs="宋体"/>
          <w:color w:val="auto"/>
          <w:kern w:val="0"/>
          <w:szCs w:val="21"/>
          <w:highlight w:val="none"/>
        </w:rPr>
        <w:t>履行其职责和义务的机构。</w:t>
      </w:r>
    </w:p>
    <w:p w14:paraId="4640C307">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 “货物”是指各种形态和种类的物品，包括原资料、燃料、设备、产品等，详见《政府采购品目分类目录》(</w:t>
      </w:r>
      <w:r>
        <w:rPr>
          <w:rStyle w:val="21"/>
          <w:rFonts w:hint="eastAsia" w:ascii="宋体" w:hAnsi="宋体" w:eastAsia="宋体" w:cs="宋体"/>
          <w:color w:val="auto"/>
          <w:szCs w:val="21"/>
          <w:highlight w:val="none"/>
        </w:rPr>
        <w:t>财库[2013]189号</w:t>
      </w:r>
      <w:r>
        <w:rPr>
          <w:rFonts w:hint="eastAsia" w:ascii="宋体" w:hAnsi="宋体" w:eastAsia="宋体" w:cs="宋体"/>
          <w:color w:val="auto"/>
          <w:szCs w:val="21"/>
          <w:highlight w:val="none"/>
        </w:rPr>
        <w:t>)。</w:t>
      </w:r>
    </w:p>
    <w:p w14:paraId="2A7C8AF2">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 “工程”是指建设工程，包括建筑物和构筑物的新建、改建、扩建、装修、拆除、修缮等，详见《政府采购品目分类目录》(</w:t>
      </w:r>
      <w:r>
        <w:rPr>
          <w:rStyle w:val="21"/>
          <w:rFonts w:hint="eastAsia" w:ascii="宋体" w:hAnsi="宋体" w:eastAsia="宋体" w:cs="宋体"/>
          <w:color w:val="auto"/>
          <w:szCs w:val="21"/>
          <w:highlight w:val="none"/>
        </w:rPr>
        <w:t>财库[2013]189号</w:t>
      </w:r>
      <w:r>
        <w:rPr>
          <w:rFonts w:hint="eastAsia" w:ascii="宋体" w:hAnsi="宋体" w:eastAsia="宋体" w:cs="宋体"/>
          <w:color w:val="auto"/>
          <w:szCs w:val="21"/>
          <w:highlight w:val="none"/>
        </w:rPr>
        <w:t>)。</w:t>
      </w:r>
    </w:p>
    <w:p w14:paraId="6EB5744E">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 “服务”是指除货物和工程以外的其他政府采购对象，详见《政府采购品目分类目录》(</w:t>
      </w:r>
      <w:r>
        <w:rPr>
          <w:rStyle w:val="21"/>
          <w:rFonts w:hint="eastAsia" w:ascii="宋体" w:hAnsi="宋体" w:eastAsia="宋体" w:cs="宋体"/>
          <w:color w:val="auto"/>
          <w:szCs w:val="21"/>
          <w:highlight w:val="none"/>
        </w:rPr>
        <w:t>财库[2013]189号</w:t>
      </w:r>
      <w:r>
        <w:rPr>
          <w:rFonts w:hint="eastAsia" w:ascii="宋体" w:hAnsi="宋体" w:eastAsia="宋体" w:cs="宋体"/>
          <w:color w:val="auto"/>
          <w:szCs w:val="21"/>
          <w:highlight w:val="none"/>
        </w:rPr>
        <w:t>)。</w:t>
      </w:r>
    </w:p>
    <w:p w14:paraId="2623B9E6">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2.8</w:t>
      </w:r>
      <w:r>
        <w:rPr>
          <w:rFonts w:hint="eastAsia" w:ascii="宋体" w:hAnsi="宋体" w:eastAsia="宋体" w:cs="宋体"/>
          <w:color w:val="auto"/>
          <w:szCs w:val="21"/>
          <w:highlight w:val="none"/>
        </w:rPr>
        <w:t xml:space="preserve"> “节能产品”或者“环保产品”是指财政部发布的《节能产品政府采购品目清单》或者《环境标志产品政府采购品目清单》的产品，“两型产品”是指湖南省财政厅发布的《湖南省两型产品政府采购目录》的产品。</w:t>
      </w:r>
    </w:p>
    <w:p w14:paraId="28D9FBCF">
      <w:pPr>
        <w:adjustRightInd w:val="0"/>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2.9</w:t>
      </w:r>
      <w:r>
        <w:rPr>
          <w:rFonts w:hint="eastAsia" w:ascii="宋体" w:hAnsi="宋体" w:eastAsia="宋体" w:cs="宋体"/>
          <w:color w:val="auto"/>
          <w:kern w:val="0"/>
          <w:szCs w:val="21"/>
          <w:highlight w:val="none"/>
        </w:rPr>
        <w:t xml:space="preserve"> “进口产品”是指通过中国海关报关验放进入中国境内且产自关境外的产品，详见《关于政府采购进口产品管理有关问题的通知》(财库[2007]119号)。</w:t>
      </w:r>
    </w:p>
    <w:p w14:paraId="72CD4212">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3.投标人的资格要求</w:t>
      </w:r>
    </w:p>
    <w:p w14:paraId="609D2D84">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投标人应当符合</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中规定的资格条件要求。</w:t>
      </w:r>
    </w:p>
    <w:p w14:paraId="7ECF62B0">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3.2投标人为联合体形式的，除应满足本章第3.1款资格条件要求及第3.3款规定外，还应遵守以下规定： </w:t>
      </w:r>
    </w:p>
    <w:p w14:paraId="528A985C">
      <w:pPr>
        <w:adjustRightInd w:val="0"/>
        <w:snapToGrid w:val="0"/>
        <w:spacing w:line="400" w:lineRule="exact"/>
        <w:ind w:firstLine="315" w:firstLineChars="15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（1）联合体各方应按磋商文件提供的格式签订联合体协议书，明确联合体牵头人和各方权利义务(含承担工作及工作量比例)；</w:t>
      </w:r>
    </w:p>
    <w:p w14:paraId="49C94D95">
      <w:pPr>
        <w:adjustRightInd w:val="0"/>
        <w:snapToGrid w:val="0"/>
        <w:spacing w:line="400" w:lineRule="exact"/>
        <w:ind w:firstLine="315" w:firstLineChars="15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（2）联合体中有同类资质的投标人按照联合体分工承担相同工作的，应当按照资质等级较低的投标人确定资质等级；</w:t>
      </w:r>
    </w:p>
    <w:p w14:paraId="41F37761">
      <w:pPr>
        <w:adjustRightInd w:val="0"/>
        <w:snapToGrid w:val="0"/>
        <w:spacing w:line="400" w:lineRule="exact"/>
        <w:ind w:firstLine="315" w:firstLineChars="15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（3）以联合体形式参加政府采购活动的，联合体各方不得再单独参加或者与其他投标人另外组成联合体参加同一合同项下的政府采购活动。</w:t>
      </w:r>
    </w:p>
    <w:p w14:paraId="1C9BD775">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投标人不得存在下列情形之一：</w:t>
      </w:r>
    </w:p>
    <w:p w14:paraId="229A7B6B">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（l）与采购人、采购代理机构存在</w:t>
      </w:r>
      <w:r>
        <w:rPr>
          <w:rFonts w:hint="eastAsia" w:ascii="宋体" w:hAnsi="宋体" w:eastAsia="宋体" w:cs="宋体"/>
          <w:bCs/>
          <w:color w:val="auto"/>
          <w:szCs w:val="21"/>
          <w:highlight w:val="none"/>
        </w:rPr>
        <w:t>隶属关系或者其他利害关系</w:t>
      </w:r>
      <w:r>
        <w:rPr>
          <w:rFonts w:hint="eastAsia" w:ascii="宋体" w:hAnsi="宋体" w:eastAsia="宋体" w:cs="宋体"/>
          <w:color w:val="auto"/>
          <w:szCs w:val="21"/>
          <w:highlight w:val="none"/>
        </w:rPr>
        <w:t>。</w:t>
      </w:r>
    </w:p>
    <w:p w14:paraId="3D2CB24F">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（2）与其他投标人的法定代表人（或者负责人）为同一人，或者与其他投标人存在直接控股、管理关系。</w:t>
      </w:r>
    </w:p>
    <w:p w14:paraId="54B240A9">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bCs/>
          <w:color w:val="auto"/>
          <w:spacing w:val="-4"/>
          <w:szCs w:val="21"/>
          <w:highlight w:val="none"/>
        </w:rPr>
        <w:t>受到刑事处罚，或者受到责令停产停业、在一至三年内禁止参加政府采购活动、暂扣或者吊销许可证、暂扣或者吊销执照等情形之一的行政处罚，或者存在</w:t>
      </w:r>
      <w:r>
        <w:rPr>
          <w:rFonts w:hint="eastAsia" w:ascii="宋体" w:hAnsi="宋体" w:eastAsia="宋体" w:cs="宋体"/>
          <w:color w:val="auto"/>
          <w:spacing w:val="-4"/>
          <w:szCs w:val="21"/>
          <w:highlight w:val="none"/>
        </w:rPr>
        <w:t>财政部门认定的其他重大违法记录</w:t>
      </w:r>
      <w:r>
        <w:rPr>
          <w:rFonts w:hint="eastAsia" w:ascii="宋体" w:hAnsi="宋体" w:eastAsia="宋体" w:cs="宋体"/>
          <w:color w:val="auto"/>
          <w:szCs w:val="21"/>
          <w:highlight w:val="none"/>
        </w:rPr>
        <w:t>。</w:t>
      </w:r>
    </w:p>
    <w:p w14:paraId="758A6469">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4.参与磋商的费用 </w:t>
      </w:r>
    </w:p>
    <w:p w14:paraId="046FB988">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无论磋商的结果如何，投标人应自行承担所有与竞争性磋商采购活动有关的全部费用。</w:t>
      </w:r>
    </w:p>
    <w:p w14:paraId="0BB5550D">
      <w:pPr>
        <w:pStyle w:val="9"/>
        <w:adjustRightInd w:val="0"/>
        <w:snapToGrid w:val="0"/>
        <w:spacing w:line="400" w:lineRule="exact"/>
        <w:rPr>
          <w:rFonts w:hint="eastAsia" w:ascii="宋体" w:hAnsi="宋体" w:eastAsia="宋体" w:cs="宋体"/>
          <w:b/>
          <w:bCs/>
          <w:color w:val="auto"/>
          <w:sz w:val="21"/>
          <w:highlight w:val="none"/>
        </w:rPr>
      </w:pPr>
      <w:r>
        <w:rPr>
          <w:rFonts w:hint="eastAsia" w:ascii="宋体" w:hAnsi="宋体" w:eastAsia="宋体" w:cs="宋体"/>
          <w:b/>
          <w:color w:val="auto"/>
          <w:sz w:val="21"/>
          <w:highlight w:val="none"/>
        </w:rPr>
        <w:t>5．</w:t>
      </w:r>
      <w:r>
        <w:rPr>
          <w:rFonts w:hint="eastAsia" w:ascii="宋体" w:hAnsi="宋体" w:eastAsia="宋体" w:cs="宋体"/>
          <w:b/>
          <w:bCs/>
          <w:color w:val="auto"/>
          <w:sz w:val="21"/>
          <w:highlight w:val="none"/>
        </w:rPr>
        <w:t>授权委托</w:t>
      </w:r>
    </w:p>
    <w:p w14:paraId="5329F936">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投标人代表为投标人法定代表人的，应具备法定代表人身份证明。投标人代表不是投标人法定代表人的，应具备法定代表人授权书，并附法定代表人身份证明。</w:t>
      </w:r>
    </w:p>
    <w:p w14:paraId="05A2A710">
      <w:pPr>
        <w:pStyle w:val="9"/>
        <w:adjustRightInd w:val="0"/>
        <w:snapToGrid w:val="0"/>
        <w:spacing w:line="400" w:lineRule="exact"/>
        <w:rPr>
          <w:rFonts w:hint="eastAsia" w:ascii="宋体" w:hAnsi="宋体" w:eastAsia="宋体" w:cs="宋体"/>
          <w:b/>
          <w:color w:val="auto"/>
          <w:sz w:val="21"/>
          <w:highlight w:val="none"/>
        </w:rPr>
      </w:pPr>
      <w:r>
        <w:rPr>
          <w:rFonts w:hint="eastAsia" w:ascii="宋体" w:hAnsi="宋体" w:eastAsia="宋体" w:cs="宋体"/>
          <w:b/>
          <w:color w:val="auto"/>
          <w:sz w:val="21"/>
          <w:highlight w:val="none"/>
        </w:rPr>
        <w:t>6．联合体形式</w:t>
      </w:r>
    </w:p>
    <w:p w14:paraId="6369CE1A">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6.1除</w:t>
      </w:r>
      <w:r>
        <w:rPr>
          <w:rFonts w:hint="eastAsia" w:ascii="宋体" w:hAnsi="宋体" w:eastAsia="宋体" w:cs="宋体"/>
          <w:b/>
          <w:color w:val="auto"/>
          <w:sz w:val="21"/>
          <w:highlight w:val="none"/>
        </w:rPr>
        <w:t>磋商须知前附表</w:t>
      </w:r>
      <w:r>
        <w:rPr>
          <w:rFonts w:hint="eastAsia" w:ascii="宋体" w:hAnsi="宋体" w:eastAsia="宋体" w:cs="宋体"/>
          <w:color w:val="auto"/>
          <w:sz w:val="21"/>
          <w:highlight w:val="none"/>
        </w:rPr>
        <w:t>中另有规定，本次磋商采购不接受为联合体形式的投标人。</w:t>
      </w:r>
    </w:p>
    <w:p w14:paraId="7E6D8C36">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6.2投标人为联合体形式的，除应符合本章第3条规定外，还应遵守以下规定：</w:t>
      </w:r>
    </w:p>
    <w:p w14:paraId="5DE49692">
      <w:pPr>
        <w:adjustRightInd w:val="0"/>
        <w:snapToGrid w:val="0"/>
        <w:spacing w:line="400" w:lineRule="exact"/>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（l）联合体各方必须签订联合体协议书，明确联合体牵头人和各方的义务、工作、合同工作量比例；</w:t>
      </w:r>
    </w:p>
    <w:p w14:paraId="0BA7E3BD">
      <w:pPr>
        <w:adjustRightInd w:val="0"/>
        <w:snapToGrid w:val="0"/>
        <w:spacing w:line="400" w:lineRule="exact"/>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（2）联合体各方均应当符合本章第3.1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规定的投标人基本资格条件；</w:t>
      </w:r>
    </w:p>
    <w:p w14:paraId="13E43C9B">
      <w:pPr>
        <w:adjustRightInd w:val="0"/>
        <w:snapToGrid w:val="0"/>
        <w:spacing w:line="400" w:lineRule="exact"/>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（3）除</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中另有规定，联合体各方中至少有一方应当符合本章第3.1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规定的投标人特定资格条件；</w:t>
      </w:r>
    </w:p>
    <w:p w14:paraId="58BAEE63">
      <w:pPr>
        <w:adjustRightInd w:val="0"/>
        <w:snapToGrid w:val="0"/>
        <w:spacing w:line="400" w:lineRule="exact"/>
        <w:ind w:firstLine="315" w:firstLineChars="150"/>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rPr>
        <w:t>（4）</w:t>
      </w:r>
      <w:r>
        <w:rPr>
          <w:rFonts w:hint="eastAsia" w:ascii="宋体" w:hAnsi="宋体" w:eastAsia="宋体" w:cs="宋体"/>
          <w:color w:val="auto"/>
          <w:kern w:val="0"/>
          <w:szCs w:val="21"/>
          <w:highlight w:val="none"/>
          <w:lang w:val="zh-CN"/>
        </w:rPr>
        <w:t>联合体各方不得再单独或与其他投标人组成新的联合体参加同一项目的采购活动。</w:t>
      </w:r>
    </w:p>
    <w:p w14:paraId="2125631A">
      <w:pPr>
        <w:adjustRightInd w:val="0"/>
        <w:snapToGrid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7.现场勘察</w:t>
      </w:r>
    </w:p>
    <w:p w14:paraId="65C049D5">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7.1投标人应按</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中规定对采购项目现场和周围环境的现场考察。</w:t>
      </w:r>
    </w:p>
    <w:p w14:paraId="0AB4440D">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7.2勘察现场的费用由投标人自己承担，勘察期间所发生的人身伤害及财产损失由投标人自己负责。</w:t>
      </w:r>
    </w:p>
    <w:p w14:paraId="24058E43">
      <w:pPr>
        <w:adjustRightInd w:val="0"/>
        <w:snapToGrid w:val="0"/>
        <w:spacing w:line="400" w:lineRule="exact"/>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7.3采购人不对投标人据此而做出的推论、理解和结论负责。一旦成交，投标人不得以任何借口，提出额外补偿，或延长合同期限的要求。</w:t>
      </w:r>
    </w:p>
    <w:p w14:paraId="19C4969E">
      <w:pPr>
        <w:adjustRightInd w:val="0"/>
        <w:snapToGrid w:val="0"/>
        <w:spacing w:line="400" w:lineRule="exact"/>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8.采购进口产品</w:t>
      </w:r>
    </w:p>
    <w:p w14:paraId="7DDB42A1">
      <w:pPr>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8.1除</w:t>
      </w:r>
      <w:r>
        <w:rPr>
          <w:rFonts w:hint="eastAsia" w:ascii="宋体" w:hAnsi="宋体" w:eastAsia="宋体" w:cs="宋体"/>
          <w:b/>
          <w:color w:val="auto"/>
          <w:szCs w:val="21"/>
          <w:highlight w:val="none"/>
        </w:rPr>
        <w:t>磋商文件前附表</w:t>
      </w:r>
      <w:r>
        <w:rPr>
          <w:rFonts w:hint="eastAsia" w:ascii="宋体" w:hAnsi="宋体" w:eastAsia="宋体" w:cs="宋体"/>
          <w:color w:val="auto"/>
          <w:szCs w:val="21"/>
          <w:highlight w:val="none"/>
        </w:rPr>
        <w:t>另有规定外，本项目</w:t>
      </w:r>
      <w:r>
        <w:rPr>
          <w:rFonts w:hint="eastAsia" w:ascii="宋体" w:hAnsi="宋体" w:eastAsia="宋体" w:cs="宋体"/>
          <w:color w:val="auto"/>
          <w:kern w:val="0"/>
          <w:szCs w:val="21"/>
          <w:highlight w:val="none"/>
        </w:rPr>
        <w:t>拒绝进口产品参加</w:t>
      </w:r>
      <w:r>
        <w:rPr>
          <w:rFonts w:hint="eastAsia" w:ascii="宋体" w:hAnsi="宋体" w:eastAsia="宋体" w:cs="宋体"/>
          <w:color w:val="auto"/>
          <w:szCs w:val="21"/>
          <w:highlight w:val="none"/>
        </w:rPr>
        <w:t>竞争性磋商采购活动</w:t>
      </w:r>
      <w:r>
        <w:rPr>
          <w:rFonts w:hint="eastAsia" w:ascii="宋体" w:hAnsi="宋体" w:eastAsia="宋体" w:cs="宋体"/>
          <w:color w:val="auto"/>
          <w:kern w:val="0"/>
          <w:szCs w:val="21"/>
          <w:highlight w:val="none"/>
        </w:rPr>
        <w:t>。</w:t>
      </w:r>
    </w:p>
    <w:p w14:paraId="4EC48C25">
      <w:pPr>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8.2</w:t>
      </w:r>
      <w:r>
        <w:rPr>
          <w:rFonts w:hint="eastAsia" w:ascii="宋体" w:hAnsi="宋体" w:eastAsia="宋体" w:cs="宋体"/>
          <w:color w:val="auto"/>
          <w:szCs w:val="21"/>
          <w:highlight w:val="none"/>
        </w:rPr>
        <w:t>本章第7.1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w:t>
      </w:r>
      <w:r>
        <w:rPr>
          <w:rFonts w:hint="eastAsia" w:ascii="宋体" w:hAnsi="宋体" w:eastAsia="宋体" w:cs="宋体"/>
          <w:color w:val="auto"/>
          <w:kern w:val="0"/>
          <w:szCs w:val="21"/>
          <w:highlight w:val="none"/>
        </w:rPr>
        <w:t>同意购买进口产品的，</w:t>
      </w:r>
      <w:r>
        <w:rPr>
          <w:rFonts w:hint="eastAsia" w:ascii="宋体" w:hAnsi="宋体" w:eastAsia="宋体" w:cs="宋体"/>
          <w:color w:val="auto"/>
          <w:szCs w:val="21"/>
          <w:highlight w:val="none"/>
        </w:rPr>
        <w:t>本项目</w:t>
      </w:r>
      <w:r>
        <w:rPr>
          <w:rFonts w:hint="eastAsia" w:ascii="宋体" w:hAnsi="宋体" w:eastAsia="宋体" w:cs="宋体"/>
          <w:color w:val="auto"/>
          <w:kern w:val="0"/>
          <w:szCs w:val="21"/>
          <w:highlight w:val="none"/>
          <w:lang w:val="zh-CN"/>
        </w:rPr>
        <w:t>采购活动</w:t>
      </w:r>
      <w:r>
        <w:rPr>
          <w:rFonts w:hint="eastAsia" w:ascii="宋体" w:hAnsi="宋体" w:eastAsia="宋体" w:cs="宋体"/>
          <w:color w:val="auto"/>
          <w:kern w:val="0"/>
          <w:szCs w:val="21"/>
          <w:highlight w:val="none"/>
        </w:rPr>
        <w:t>不限制满足</w:t>
      </w:r>
      <w:r>
        <w:rPr>
          <w:rFonts w:hint="eastAsia" w:ascii="宋体" w:hAnsi="宋体" w:eastAsia="宋体" w:cs="宋体"/>
          <w:color w:val="auto"/>
          <w:szCs w:val="21"/>
          <w:highlight w:val="none"/>
        </w:rPr>
        <w:t>磋商文件要求</w:t>
      </w:r>
      <w:r>
        <w:rPr>
          <w:rFonts w:hint="eastAsia" w:ascii="宋体" w:hAnsi="宋体" w:eastAsia="宋体" w:cs="宋体"/>
          <w:color w:val="auto"/>
          <w:kern w:val="0"/>
          <w:szCs w:val="21"/>
          <w:highlight w:val="none"/>
        </w:rPr>
        <w:t>的国内产品参与</w:t>
      </w:r>
      <w:r>
        <w:rPr>
          <w:rFonts w:hint="eastAsia" w:ascii="宋体" w:hAnsi="宋体" w:eastAsia="宋体" w:cs="宋体"/>
          <w:color w:val="auto"/>
          <w:szCs w:val="21"/>
          <w:highlight w:val="none"/>
        </w:rPr>
        <w:t>竞争性磋商</w:t>
      </w:r>
      <w:r>
        <w:rPr>
          <w:rFonts w:hint="eastAsia" w:ascii="宋体" w:hAnsi="宋体" w:eastAsia="宋体" w:cs="宋体"/>
          <w:color w:val="auto"/>
          <w:kern w:val="0"/>
          <w:szCs w:val="21"/>
          <w:highlight w:val="none"/>
        </w:rPr>
        <w:t>。</w:t>
      </w:r>
    </w:p>
    <w:p w14:paraId="41302DDD">
      <w:pPr>
        <w:adjustRightInd w:val="0"/>
        <w:snapToGrid w:val="0"/>
        <w:spacing w:line="400" w:lineRule="exact"/>
        <w:jc w:val="left"/>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9.</w:t>
      </w:r>
      <w:r>
        <w:rPr>
          <w:rFonts w:hint="eastAsia" w:ascii="宋体" w:hAnsi="宋体" w:eastAsia="宋体" w:cs="宋体"/>
          <w:b/>
          <w:color w:val="auto"/>
          <w:szCs w:val="21"/>
          <w:highlight w:val="none"/>
        </w:rPr>
        <w:t xml:space="preserve"> 政府采购政策支持</w:t>
      </w:r>
    </w:p>
    <w:p w14:paraId="47983611">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kern w:val="0"/>
          <w:szCs w:val="21"/>
          <w:highlight w:val="none"/>
        </w:rPr>
        <w:t>9.1</w:t>
      </w:r>
      <w:r>
        <w:rPr>
          <w:rFonts w:hint="eastAsia" w:ascii="宋体" w:hAnsi="宋体" w:eastAsia="宋体" w:cs="宋体"/>
          <w:color w:val="auto"/>
          <w:highlight w:val="none"/>
        </w:rPr>
        <w:t>强制采购：对列入财政部、国家发展改革委发布的《节能产品政府采购品目清单》且属于应当强制采购的节能产品，按其规定实行强制采购。</w:t>
      </w:r>
      <w:r>
        <w:rPr>
          <w:rFonts w:hint="eastAsia" w:ascii="宋体" w:hAnsi="宋体" w:eastAsia="宋体" w:cs="宋体"/>
          <w:color w:val="auto"/>
          <w:szCs w:val="21"/>
          <w:highlight w:val="none"/>
        </w:rPr>
        <w:t>实行政府采购强制采购的节能产品见</w:t>
      </w:r>
      <w:r>
        <w:rPr>
          <w:rFonts w:hint="eastAsia" w:ascii="宋体" w:hAnsi="宋体" w:eastAsia="宋体" w:cs="宋体"/>
          <w:b/>
          <w:color w:val="auto"/>
          <w:kern w:val="0"/>
          <w:szCs w:val="21"/>
          <w:highlight w:val="none"/>
        </w:rPr>
        <w:t>磋商文件前附表</w:t>
      </w:r>
      <w:r>
        <w:rPr>
          <w:rFonts w:hint="eastAsia" w:ascii="宋体" w:hAnsi="宋体" w:eastAsia="宋体" w:cs="宋体"/>
          <w:b/>
          <w:color w:val="auto"/>
          <w:szCs w:val="21"/>
          <w:highlight w:val="none"/>
        </w:rPr>
        <w:t>。</w:t>
      </w:r>
      <w:r>
        <w:rPr>
          <w:rFonts w:hint="eastAsia" w:ascii="宋体" w:hAnsi="宋体" w:eastAsia="宋体" w:cs="宋体"/>
          <w:color w:val="auto"/>
          <w:highlight w:val="none"/>
        </w:rPr>
        <w:t>（采购人拟采购的产品属于品目清单范围的，采购人及其委托的采购代理机构应当依据国家确定的认证机构出具的、处于有效期之内的节能产品认证证书，对获得证书的产品实施政府强制采购）。</w:t>
      </w:r>
    </w:p>
    <w:p w14:paraId="2A3A470C">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9.2优先采购：对列入财政部、国家发展改革委发布的《节能产品政府采购品目清单》的非强制采购节能产品，财政部、环境保护部发布的《环境标志产品政府采购品目清单》的环境标志产品，实行优先采购，评审时按相应评标方法给予价格折扣或者加分。政府采购优先采购的优惠率见</w:t>
      </w:r>
      <w:r>
        <w:rPr>
          <w:rFonts w:hint="eastAsia" w:ascii="宋体" w:hAnsi="宋体" w:eastAsia="宋体" w:cs="宋体"/>
          <w:b/>
          <w:color w:val="auto"/>
          <w:kern w:val="0"/>
          <w:szCs w:val="21"/>
          <w:highlight w:val="none"/>
        </w:rPr>
        <w:t>磋商文件前附表</w:t>
      </w:r>
      <w:r>
        <w:rPr>
          <w:rFonts w:hint="eastAsia" w:ascii="宋体" w:hAnsi="宋体" w:eastAsia="宋体" w:cs="宋体"/>
          <w:color w:val="auto"/>
          <w:highlight w:val="none"/>
        </w:rPr>
        <w:t>。</w:t>
      </w:r>
    </w:p>
    <w:p w14:paraId="04DB8091">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9.3价格评审优惠：支持中小企业，对小型和微型企业产品给予价格折扣，用扣除后的价格参与评审。监狱企业、残疾人福利性单位视同小型、微型企业。</w:t>
      </w:r>
    </w:p>
    <w:p w14:paraId="5AFCAD33">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9.4 优先采购产品同时属于“非强制采购节能产品”、“环境标志产品”的，评审时只有其中一项能享受优先待遇（供应商自行选择，并在报价文件中并填报相关信息及数据）；中小企业（含残疾人福利性单位、监狱企业）可以与同时属于“非强制采购节能产品”、“环境标志产品”中的一项重复计算；监狱企业、残疾人福利性单位属于小型、微型企业的，不重复享受政策。</w:t>
      </w:r>
    </w:p>
    <w:p w14:paraId="7D80C70B">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highlight w:val="none"/>
        </w:rPr>
        <w:t>9.5 同一项目中部分产品属于优先采购政策的，评审时只对该部分产</w:t>
      </w:r>
      <w:r>
        <w:rPr>
          <w:rFonts w:hint="eastAsia" w:ascii="宋体" w:hAnsi="宋体" w:eastAsia="宋体" w:cs="宋体"/>
          <w:color w:val="auto"/>
          <w:szCs w:val="21"/>
          <w:highlight w:val="none"/>
        </w:rPr>
        <w:t>品的报价实行价格扣除及加分。</w:t>
      </w:r>
    </w:p>
    <w:p w14:paraId="2E1A5FEC">
      <w:pPr>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9.6 符合本章第9.1</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第9.2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规定的，应提供相关证明资料。</w:t>
      </w:r>
    </w:p>
    <w:p w14:paraId="6F950763">
      <w:pPr>
        <w:pStyle w:val="3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（1）非强制采购节能产品：依据国家确定的认证机构出具的、处于有效期之内的节能产品认证证书复印件，对获得证书的产品实施政府优先采购。</w:t>
      </w:r>
    </w:p>
    <w:p w14:paraId="0FE7AC78">
      <w:pPr>
        <w:pStyle w:val="3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（2）环境标志产品：依据国家确定的认证机构出具的、处于有效期之内的环境标志产品认证证书复印件，对获得证书的产品实施政府优先采购。</w:t>
      </w:r>
    </w:p>
    <w:p w14:paraId="417D923B">
      <w:pPr>
        <w:pStyle w:val="3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）中小企业：按</w:t>
      </w:r>
      <w:r>
        <w:rPr>
          <w:rFonts w:hint="eastAsia" w:ascii="宋体" w:hAnsi="宋体" w:eastAsia="宋体" w:cs="宋体"/>
          <w:color w:val="auto"/>
          <w:kern w:val="2"/>
          <w:sz w:val="21"/>
          <w:szCs w:val="21"/>
          <w:highlight w:val="none"/>
          <w:lang w:eastAsia="zh-CN"/>
        </w:rPr>
        <w:t>《政府采购促进中小企业发展管理办法》（财库【2020】46 号）</w:t>
      </w:r>
      <w:r>
        <w:rPr>
          <w:rFonts w:hint="eastAsia" w:ascii="宋体" w:hAnsi="宋体" w:eastAsia="宋体" w:cs="宋体"/>
          <w:color w:val="auto"/>
          <w:kern w:val="2"/>
          <w:sz w:val="21"/>
          <w:szCs w:val="21"/>
          <w:highlight w:val="none"/>
        </w:rPr>
        <w:t>规定提供《中小企业声明》（格式）。制造商符合小型、微型企业规定的，须与投标人同时出具《中小企业声明》。</w:t>
      </w:r>
    </w:p>
    <w:p w14:paraId="31DCAD39">
      <w:pPr>
        <w:pStyle w:val="35"/>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）监狱企业：按《财政部 司法部关于政府采购支持监狱企业发展有关问题的通知》(财库〔2014〕68号)文件规定提供证明文件（复印件）。</w:t>
      </w:r>
    </w:p>
    <w:p w14:paraId="4575B901">
      <w:pPr>
        <w:pStyle w:val="35"/>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）残疾人福利性单位：按《三部门联合发布关于促进残疾人就业政府采购政策的通知》(财库〔2017〕141号)文件规定提供《残疾人福利性单位声明函》（格式）。</w:t>
      </w:r>
    </w:p>
    <w:p w14:paraId="4102E02A">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9.7投标人有融资、担保需求的，具体办理流程可向</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所列金融机构和担保机构询问。</w:t>
      </w:r>
    </w:p>
    <w:p w14:paraId="65D6DF5B">
      <w:pPr>
        <w:adjustRightInd w:val="0"/>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二、磋商文件</w:t>
      </w:r>
    </w:p>
    <w:p w14:paraId="2D0490CB">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10．磋商文件的组成</w:t>
      </w:r>
    </w:p>
    <w:p w14:paraId="39582D39">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10.1 磋商文件由下列文件组成：</w:t>
      </w:r>
    </w:p>
    <w:p w14:paraId="2D10E787">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第一章 磋商邀请</w:t>
      </w:r>
    </w:p>
    <w:p w14:paraId="76921C1C">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第二章 磋商须知</w:t>
      </w:r>
    </w:p>
    <w:p w14:paraId="7CC00FF6">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第三章 政府采购合同格式条款</w:t>
      </w:r>
    </w:p>
    <w:p w14:paraId="6E97FE2B">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第四章 响应文件的组成</w:t>
      </w:r>
    </w:p>
    <w:p w14:paraId="0FC281C8">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第五章 采购内容及要求</w:t>
      </w:r>
    </w:p>
    <w:p w14:paraId="02FF26A2">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10.2磋商小组根据与投标人磋商情况可能实质性变动的内容，包括采购需求中的技术、服务要求以及合同条款，在</w:t>
      </w:r>
      <w:r>
        <w:rPr>
          <w:rFonts w:hint="eastAsia" w:ascii="宋体" w:hAnsi="宋体" w:eastAsia="宋体" w:cs="宋体"/>
          <w:b/>
          <w:color w:val="auto"/>
          <w:sz w:val="21"/>
          <w:highlight w:val="none"/>
        </w:rPr>
        <w:t>磋商须知前附表</w:t>
      </w:r>
      <w:r>
        <w:rPr>
          <w:rFonts w:hint="eastAsia" w:ascii="宋体" w:hAnsi="宋体" w:eastAsia="宋体" w:cs="宋体"/>
          <w:color w:val="auto"/>
          <w:sz w:val="21"/>
          <w:highlight w:val="none"/>
        </w:rPr>
        <w:t>中明确。</w:t>
      </w:r>
    </w:p>
    <w:p w14:paraId="7A9ACDB6">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10.3投标人应仔细阅读</w:t>
      </w:r>
      <w:r>
        <w:rPr>
          <w:rFonts w:hint="eastAsia" w:ascii="宋体" w:hAnsi="宋体" w:eastAsia="宋体" w:cs="宋体"/>
          <w:bCs/>
          <w:color w:val="auto"/>
          <w:szCs w:val="21"/>
          <w:highlight w:val="none"/>
        </w:rPr>
        <w:t>磋商</w:t>
      </w:r>
      <w:r>
        <w:rPr>
          <w:rFonts w:hint="eastAsia" w:ascii="宋体" w:hAnsi="宋体" w:eastAsia="宋体" w:cs="宋体"/>
          <w:color w:val="auto"/>
          <w:szCs w:val="21"/>
          <w:highlight w:val="none"/>
        </w:rPr>
        <w:t>文件的全部内容，按照</w:t>
      </w:r>
      <w:r>
        <w:rPr>
          <w:rFonts w:hint="eastAsia" w:ascii="宋体" w:hAnsi="宋体" w:eastAsia="宋体" w:cs="宋体"/>
          <w:bCs/>
          <w:color w:val="auto"/>
          <w:szCs w:val="21"/>
          <w:highlight w:val="none"/>
        </w:rPr>
        <w:t>磋商</w:t>
      </w:r>
      <w:r>
        <w:rPr>
          <w:rFonts w:hint="eastAsia" w:ascii="宋体" w:hAnsi="宋体" w:eastAsia="宋体" w:cs="宋体"/>
          <w:color w:val="auto"/>
          <w:szCs w:val="21"/>
          <w:highlight w:val="none"/>
        </w:rPr>
        <w:t>文件要求编制响应文件。任何对</w:t>
      </w:r>
      <w:r>
        <w:rPr>
          <w:rFonts w:hint="eastAsia" w:ascii="宋体" w:hAnsi="宋体" w:eastAsia="宋体" w:cs="宋体"/>
          <w:bCs/>
          <w:color w:val="auto"/>
          <w:szCs w:val="21"/>
          <w:highlight w:val="none"/>
        </w:rPr>
        <w:t>磋商</w:t>
      </w:r>
      <w:r>
        <w:rPr>
          <w:rFonts w:hint="eastAsia" w:ascii="宋体" w:hAnsi="宋体" w:eastAsia="宋体" w:cs="宋体"/>
          <w:color w:val="auto"/>
          <w:szCs w:val="21"/>
          <w:highlight w:val="none"/>
        </w:rPr>
        <w:t>文件的忽略或误解不能作为响应文件存在缺陷或瑕疵的理由，其风险由投标人承担。</w:t>
      </w:r>
    </w:p>
    <w:p w14:paraId="3C2D5597">
      <w:pPr>
        <w:adjustRightInd w:val="0"/>
        <w:snapToGrid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11. 磋商文件的提供期限</w:t>
      </w:r>
    </w:p>
    <w:p w14:paraId="203467A3">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11.1磋商文件的提供期限自开始发出之日起不得少于五个工作日。具体提供期限见</w:t>
      </w:r>
      <w:r>
        <w:rPr>
          <w:rFonts w:hint="eastAsia" w:ascii="宋体" w:hAnsi="宋体" w:eastAsia="宋体" w:cs="宋体"/>
          <w:b/>
          <w:color w:val="auto"/>
          <w:szCs w:val="21"/>
          <w:highlight w:val="none"/>
        </w:rPr>
        <w:t>磋商文件前附表</w:t>
      </w:r>
      <w:r>
        <w:rPr>
          <w:rFonts w:hint="eastAsia" w:ascii="宋体" w:hAnsi="宋体" w:eastAsia="宋体" w:cs="宋体"/>
          <w:color w:val="auto"/>
          <w:szCs w:val="21"/>
          <w:highlight w:val="none"/>
        </w:rPr>
        <w:t>。</w:t>
      </w:r>
    </w:p>
    <w:p w14:paraId="66E4DD07">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11.2投标人应持</w:t>
      </w:r>
      <w:r>
        <w:rPr>
          <w:rFonts w:hint="eastAsia" w:ascii="宋体" w:hAnsi="宋体" w:eastAsia="宋体" w:cs="宋体"/>
          <w:b/>
          <w:color w:val="auto"/>
          <w:szCs w:val="21"/>
          <w:highlight w:val="none"/>
        </w:rPr>
        <w:t>磋商文件前附表</w:t>
      </w:r>
      <w:r>
        <w:rPr>
          <w:rFonts w:hint="eastAsia" w:ascii="宋体" w:hAnsi="宋体" w:eastAsia="宋体" w:cs="宋体"/>
          <w:color w:val="auto"/>
          <w:szCs w:val="21"/>
          <w:highlight w:val="none"/>
        </w:rPr>
        <w:t>规定的资料领取或购买磋商文件。</w:t>
      </w:r>
    </w:p>
    <w:p w14:paraId="55D951B7">
      <w:pPr>
        <w:pStyle w:val="9"/>
        <w:adjustRightInd w:val="0"/>
        <w:snapToGrid w:val="0"/>
        <w:spacing w:line="400" w:lineRule="exact"/>
        <w:rPr>
          <w:rFonts w:hint="eastAsia" w:ascii="宋体" w:hAnsi="宋体" w:eastAsia="宋体" w:cs="宋体"/>
          <w:color w:val="auto"/>
          <w:sz w:val="21"/>
          <w:highlight w:val="none"/>
        </w:rPr>
      </w:pPr>
      <w:r>
        <w:rPr>
          <w:rFonts w:hint="eastAsia" w:ascii="宋体" w:hAnsi="宋体" w:eastAsia="宋体" w:cs="宋体"/>
          <w:b/>
          <w:color w:val="auto"/>
          <w:sz w:val="21"/>
          <w:highlight w:val="none"/>
        </w:rPr>
        <w:t>12.提交首次响应文件的截止时间</w:t>
      </w:r>
    </w:p>
    <w:p w14:paraId="6675991F">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投标人提交首次响应文件截止时间见</w:t>
      </w:r>
      <w:r>
        <w:rPr>
          <w:rFonts w:hint="eastAsia" w:ascii="宋体" w:hAnsi="宋体" w:eastAsia="宋体" w:cs="宋体"/>
          <w:b/>
          <w:color w:val="auto"/>
          <w:sz w:val="21"/>
          <w:highlight w:val="none"/>
        </w:rPr>
        <w:t>磋商须知前附表</w:t>
      </w:r>
      <w:r>
        <w:rPr>
          <w:rFonts w:hint="eastAsia" w:ascii="宋体" w:hAnsi="宋体" w:eastAsia="宋体" w:cs="宋体"/>
          <w:color w:val="auto"/>
          <w:sz w:val="21"/>
          <w:highlight w:val="none"/>
        </w:rPr>
        <w:t>。</w:t>
      </w:r>
    </w:p>
    <w:p w14:paraId="39212912">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13.磋商文件的澄清</w:t>
      </w:r>
      <w:r>
        <w:rPr>
          <w:rFonts w:hint="eastAsia" w:ascii="宋体" w:hAnsi="宋体" w:eastAsia="宋体" w:cs="宋体"/>
          <w:b/>
          <w:color w:val="auto"/>
          <w:kern w:val="0"/>
          <w:szCs w:val="21"/>
          <w:highlight w:val="none"/>
          <w:lang w:val="zh-CN"/>
        </w:rPr>
        <w:t>或者</w:t>
      </w:r>
      <w:r>
        <w:rPr>
          <w:rFonts w:hint="eastAsia" w:ascii="宋体" w:hAnsi="宋体" w:eastAsia="宋体" w:cs="宋体"/>
          <w:b/>
          <w:bCs/>
          <w:color w:val="auto"/>
          <w:szCs w:val="21"/>
          <w:highlight w:val="none"/>
        </w:rPr>
        <w:t>修改</w:t>
      </w:r>
    </w:p>
    <w:p w14:paraId="02679BDA">
      <w:pPr>
        <w:adjustRightInd w:val="0"/>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13.1在</w:t>
      </w:r>
      <w:r>
        <w:rPr>
          <w:rFonts w:hint="eastAsia" w:ascii="宋体" w:hAnsi="宋体" w:eastAsia="宋体" w:cs="宋体"/>
          <w:color w:val="auto"/>
          <w:kern w:val="0"/>
          <w:szCs w:val="21"/>
          <w:highlight w:val="none"/>
        </w:rPr>
        <w:t xml:space="preserve">提交首次响应文件截止之日前，采购人、采购代理机构可以对已发出的磋商文件进行必要的澄清或者修改。 </w:t>
      </w:r>
    </w:p>
    <w:p w14:paraId="189AFFB6">
      <w:pPr>
        <w:adjustRightInd w:val="0"/>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13.2</w:t>
      </w:r>
      <w:r>
        <w:rPr>
          <w:rFonts w:hint="eastAsia" w:ascii="宋体" w:hAnsi="宋体" w:eastAsia="宋体" w:cs="宋体"/>
          <w:color w:val="auto"/>
          <w:kern w:val="0"/>
          <w:szCs w:val="21"/>
          <w:highlight w:val="none"/>
        </w:rPr>
        <w:t>澄清或者修改的内容可能影响响应文件编制的，采购人、采购代理机构应当在提交首次响应文件截止之日3个工作日前，以书面形式通知所有接收磋商文件的投标人，不足3个工作日的，顺延投标人提交首次响应文件截止时间。</w:t>
      </w:r>
    </w:p>
    <w:p w14:paraId="381E06EF">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13.2提交首次响应文件截止时间前对磋商文件澄清或者修改内容，为磋商文件的组成部分。</w:t>
      </w:r>
    </w:p>
    <w:p w14:paraId="15FB772C">
      <w:pPr>
        <w:adjustRightInd w:val="0"/>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三、响应文件</w:t>
      </w:r>
    </w:p>
    <w:p w14:paraId="4CC5F4D5">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14.一般要求</w:t>
      </w:r>
    </w:p>
    <w:p w14:paraId="02E071E4">
      <w:pPr>
        <w:adjustRightInd w:val="0"/>
        <w:snapToGrid w:val="0"/>
        <w:spacing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14.1 投标人应仔细阅读磋商文件的所有内容，按磋商文件的要求编制响应文件，并保证所提供的全部资料的真实性、有效性和合法性，以使其响应文件对磋商文件做出实质性的响应。</w:t>
      </w:r>
    </w:p>
    <w:p w14:paraId="39BC3729">
      <w:pPr>
        <w:adjustRightInd w:val="0"/>
        <w:snapToGrid w:val="0"/>
        <w:spacing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 </w:t>
      </w:r>
      <w:r>
        <w:rPr>
          <w:rFonts w:hint="eastAsia" w:ascii="宋体" w:hAnsi="宋体" w:eastAsia="宋体" w:cs="宋体"/>
          <w:color w:val="auto"/>
          <w:szCs w:val="21"/>
          <w:highlight w:val="none"/>
        </w:rPr>
        <w:t>投标人提交的响应文件及投标人与采购人或采购代理机构、磋商小组就有关磋商的所有来往函电均使用中文。投标人可以提交其它语言的资料，但应附中文注释，在有差异时以中文为准。</w:t>
      </w:r>
    </w:p>
    <w:p w14:paraId="34EBF7CA">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14.3 </w:t>
      </w:r>
      <w:r>
        <w:rPr>
          <w:rFonts w:hint="eastAsia" w:ascii="宋体" w:hAnsi="宋体" w:eastAsia="宋体" w:cs="宋体"/>
          <w:color w:val="auto"/>
          <w:sz w:val="21"/>
          <w:highlight w:val="none"/>
        </w:rPr>
        <w:t>计量单位应使用我国法定计量单位，未列明时应默认为我国法定计量单位。</w:t>
      </w:r>
    </w:p>
    <w:p w14:paraId="799EC953">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14.4 本项目实行全流程电子化，供应商应在规定时间内使用电脑自行远程解密开启文件，并参加网上开标活动。电子响应文件解密时限：30分钟。请供应商确保响应文件如期解密。</w:t>
      </w:r>
    </w:p>
    <w:p w14:paraId="3903BDA8">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14.5 投标人应按磋商文件中提供的响应文件格式填写。</w:t>
      </w:r>
    </w:p>
    <w:p w14:paraId="3DAB7D2D">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w:t>
      </w:r>
      <w:r>
        <w:rPr>
          <w:rFonts w:hint="eastAsia" w:ascii="宋体" w:hAnsi="宋体" w:eastAsia="宋体" w:cs="宋体"/>
          <w:b/>
          <w:color w:val="auto"/>
          <w:szCs w:val="21"/>
          <w:highlight w:val="none"/>
        </w:rPr>
        <w:t>响应文件</w:t>
      </w:r>
      <w:r>
        <w:rPr>
          <w:rFonts w:hint="eastAsia" w:ascii="宋体" w:hAnsi="宋体" w:eastAsia="宋体" w:cs="宋体"/>
          <w:b/>
          <w:bCs/>
          <w:color w:val="auto"/>
          <w:szCs w:val="21"/>
          <w:highlight w:val="none"/>
        </w:rPr>
        <w:t>的组成</w:t>
      </w:r>
    </w:p>
    <w:p w14:paraId="54197A14">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 响应文件包括下列内容： </w:t>
      </w:r>
    </w:p>
    <w:p w14:paraId="1B990EF2">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（1）磋商响应声明</w:t>
      </w:r>
    </w:p>
    <w:p w14:paraId="00C22BB1">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（2）保证金</w:t>
      </w:r>
    </w:p>
    <w:p w14:paraId="1B707E1B">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（3）投标人的资格证明材料</w:t>
      </w:r>
    </w:p>
    <w:p w14:paraId="45EB5FBB">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（4）施工组织设计</w:t>
      </w:r>
    </w:p>
    <w:p w14:paraId="2016CF60">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（5）商务/技术响应与偏离表</w:t>
      </w:r>
    </w:p>
    <w:p w14:paraId="1267D2EC">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（6）报价一览表及报价文件</w:t>
      </w:r>
    </w:p>
    <w:p w14:paraId="6E2AA7D1">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（7）投标人认为需提供的其他资料</w:t>
      </w:r>
    </w:p>
    <w:p w14:paraId="4BCAA23A">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（8）最后报价</w:t>
      </w:r>
    </w:p>
    <w:p w14:paraId="7C274404">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15.2在磋商过程中，投标人根据</w:t>
      </w:r>
      <w:r>
        <w:rPr>
          <w:rFonts w:hint="eastAsia" w:ascii="宋体" w:hAnsi="宋体" w:eastAsia="宋体" w:cs="宋体"/>
          <w:color w:val="auto"/>
          <w:kern w:val="0"/>
          <w:szCs w:val="21"/>
          <w:highlight w:val="none"/>
        </w:rPr>
        <w:t>磋商小组</w:t>
      </w:r>
      <w:r>
        <w:rPr>
          <w:rFonts w:hint="eastAsia" w:ascii="宋体" w:hAnsi="宋体" w:eastAsia="宋体" w:cs="宋体"/>
          <w:bCs/>
          <w:color w:val="auto"/>
          <w:szCs w:val="21"/>
          <w:highlight w:val="none"/>
        </w:rPr>
        <w:t>书面形式要求</w:t>
      </w:r>
      <w:r>
        <w:rPr>
          <w:rFonts w:hint="eastAsia" w:ascii="宋体" w:hAnsi="宋体" w:eastAsia="宋体" w:cs="宋体"/>
          <w:color w:val="auto"/>
          <w:kern w:val="0"/>
          <w:szCs w:val="21"/>
          <w:highlight w:val="none"/>
        </w:rPr>
        <w:t>提交的</w:t>
      </w:r>
      <w:r>
        <w:rPr>
          <w:rFonts w:hint="eastAsia" w:ascii="宋体" w:hAnsi="宋体" w:eastAsia="宋体" w:cs="宋体"/>
          <w:color w:val="auto"/>
          <w:szCs w:val="21"/>
          <w:highlight w:val="none"/>
        </w:rPr>
        <w:t>最后报价(或者</w:t>
      </w:r>
      <w:r>
        <w:rPr>
          <w:rFonts w:hint="eastAsia" w:ascii="宋体" w:hAnsi="宋体" w:eastAsia="宋体" w:cs="宋体"/>
          <w:bCs/>
          <w:color w:val="auto"/>
          <w:szCs w:val="21"/>
          <w:highlight w:val="none"/>
        </w:rPr>
        <w:t>重</w:t>
      </w:r>
      <w:r>
        <w:rPr>
          <w:rFonts w:hint="eastAsia" w:ascii="宋体" w:hAnsi="宋体" w:eastAsia="宋体" w:cs="宋体"/>
          <w:color w:val="auto"/>
          <w:kern w:val="0"/>
          <w:szCs w:val="21"/>
          <w:highlight w:val="none"/>
        </w:rPr>
        <w:t>新提交的响应文件和</w:t>
      </w:r>
      <w:r>
        <w:rPr>
          <w:rFonts w:hint="eastAsia" w:ascii="宋体" w:hAnsi="宋体" w:eastAsia="宋体" w:cs="宋体"/>
          <w:color w:val="auto"/>
          <w:szCs w:val="21"/>
          <w:highlight w:val="none"/>
        </w:rPr>
        <w:t>最后报价)是响应文件的有效组成部分。</w:t>
      </w:r>
    </w:p>
    <w:p w14:paraId="1C2A65D8">
      <w:pPr>
        <w:adjustRightInd w:val="0"/>
        <w:snapToGrid w:val="0"/>
        <w:spacing w:line="4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15.3</w:t>
      </w:r>
      <w:r>
        <w:rPr>
          <w:rFonts w:hint="eastAsia" w:ascii="宋体" w:hAnsi="宋体" w:eastAsia="宋体" w:cs="宋体"/>
          <w:color w:val="auto"/>
          <w:kern w:val="0"/>
          <w:szCs w:val="21"/>
          <w:highlight w:val="none"/>
        </w:rPr>
        <w:t>磋商文件规定可能发生实质性变动的，投标人应当在</w:t>
      </w:r>
      <w:r>
        <w:rPr>
          <w:rFonts w:hint="eastAsia" w:ascii="宋体" w:hAnsi="宋体" w:eastAsia="宋体" w:cs="宋体"/>
          <w:color w:val="auto"/>
          <w:szCs w:val="21"/>
          <w:highlight w:val="none"/>
        </w:rPr>
        <w:t>《技术/商务响应与偏离表》中对应内容注明。</w:t>
      </w:r>
    </w:p>
    <w:p w14:paraId="540E78D8">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15.4根据《政府采购法》第四十二条的规定，投标人无论成交与否，其响应文件不予退还。</w:t>
      </w:r>
    </w:p>
    <w:p w14:paraId="0A38F835">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16.报价</w:t>
      </w:r>
    </w:p>
    <w:p w14:paraId="698D4DD0">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16.1投标人应当根据磋商文件要求和范围，</w:t>
      </w:r>
      <w:r>
        <w:rPr>
          <w:rFonts w:hint="eastAsia" w:ascii="宋体" w:hAnsi="宋体" w:eastAsia="宋体" w:cs="宋体"/>
          <w:color w:val="auto"/>
          <w:highlight w:val="none"/>
        </w:rPr>
        <w:t>采用对经财政评审中心评审后的工程量清单进行优惠率报价，同时</w:t>
      </w:r>
      <w:r>
        <w:rPr>
          <w:rFonts w:hint="eastAsia" w:ascii="宋体" w:hAnsi="宋体" w:eastAsia="宋体" w:cs="宋体"/>
          <w:color w:val="auto"/>
          <w:szCs w:val="21"/>
          <w:highlight w:val="none"/>
        </w:rPr>
        <w:t>以人民币进行报价，以元为单位，保留小数点后两位。</w:t>
      </w:r>
    </w:p>
    <w:p w14:paraId="3A457BF7">
      <w:pPr>
        <w:pStyle w:val="36"/>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16.2投标人应按第四章 响应文件组成格式填写。</w:t>
      </w:r>
    </w:p>
    <w:p w14:paraId="10D5D3F4">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16.3响应文件中标明的价格在合同执行过程中是固定不变的，不得以任何理由予以变更。以可变动价格提交的报价将被认为是非实质响应而被拒绝。</w:t>
      </w:r>
    </w:p>
    <w:p w14:paraId="277012ED">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16.4</w:t>
      </w:r>
      <w:r>
        <w:rPr>
          <w:rFonts w:hint="eastAsia" w:ascii="宋体" w:hAnsi="宋体" w:eastAsia="宋体" w:cs="宋体"/>
          <w:color w:val="auto"/>
          <w:sz w:val="21"/>
          <w:highlight w:val="none"/>
          <w:lang w:val="zh-CN"/>
        </w:rPr>
        <w:t>投标人</w:t>
      </w:r>
      <w:r>
        <w:rPr>
          <w:rFonts w:hint="eastAsia" w:ascii="宋体" w:hAnsi="宋体" w:eastAsia="宋体" w:cs="宋体"/>
          <w:color w:val="auto"/>
          <w:sz w:val="21"/>
          <w:highlight w:val="none"/>
        </w:rPr>
        <w:t>的报价不得超过采购项目预算，采购项目预算或其计算方法见</w:t>
      </w:r>
      <w:r>
        <w:rPr>
          <w:rFonts w:hint="eastAsia" w:ascii="宋体" w:hAnsi="宋体" w:eastAsia="宋体" w:cs="宋体"/>
          <w:b/>
          <w:color w:val="auto"/>
          <w:sz w:val="21"/>
          <w:highlight w:val="none"/>
        </w:rPr>
        <w:t>磋商须知前附表</w:t>
      </w:r>
      <w:r>
        <w:rPr>
          <w:rFonts w:hint="eastAsia" w:ascii="宋体" w:hAnsi="宋体" w:eastAsia="宋体" w:cs="宋体"/>
          <w:color w:val="auto"/>
          <w:sz w:val="21"/>
          <w:highlight w:val="none"/>
        </w:rPr>
        <w:t>。</w:t>
      </w:r>
    </w:p>
    <w:p w14:paraId="05C9F41D">
      <w:pPr>
        <w:pStyle w:val="9"/>
        <w:adjustRightInd w:val="0"/>
        <w:snapToGrid w:val="0"/>
        <w:spacing w:line="400" w:lineRule="exact"/>
        <w:rPr>
          <w:rFonts w:hint="eastAsia" w:ascii="宋体" w:hAnsi="宋体" w:eastAsia="宋体" w:cs="宋体"/>
          <w:b/>
          <w:color w:val="auto"/>
          <w:sz w:val="21"/>
          <w:highlight w:val="none"/>
        </w:rPr>
      </w:pPr>
      <w:r>
        <w:rPr>
          <w:rFonts w:hint="eastAsia" w:ascii="宋体" w:hAnsi="宋体" w:eastAsia="宋体" w:cs="宋体"/>
          <w:b/>
          <w:color w:val="auto"/>
          <w:sz w:val="21"/>
          <w:highlight w:val="none"/>
        </w:rPr>
        <w:t>17.投标人符合磋商文件规定的证明文件</w:t>
      </w:r>
    </w:p>
    <w:p w14:paraId="12C07AC4">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17.1投标人应提交满足本章第3.1款规定的资格条件要求的证明文件,该证明文件作为响应文件的一部分。</w:t>
      </w:r>
    </w:p>
    <w:p w14:paraId="670B1F5C">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17.2如果投标人为联合体，则应提交联合体各方资格证明文件、联合体协议。否则，在评审时将其视为无效响应。</w:t>
      </w:r>
    </w:p>
    <w:p w14:paraId="49810333">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17.3证明工程建设与磋商采购文件要求一致的文件，可以是文字资料、图纸和数据，并须提供：</w:t>
      </w:r>
    </w:p>
    <w:p w14:paraId="7CFF6779">
      <w:pPr>
        <w:adjustRightInd w:val="0"/>
        <w:snapToGrid w:val="0"/>
        <w:spacing w:line="400" w:lineRule="exact"/>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（1）工程量清单；</w:t>
      </w:r>
    </w:p>
    <w:p w14:paraId="6DD0DBFF">
      <w:pPr>
        <w:adjustRightInd w:val="0"/>
        <w:snapToGrid w:val="0"/>
        <w:spacing w:line="400" w:lineRule="exact"/>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（2）质量保证说明。</w:t>
      </w:r>
    </w:p>
    <w:p w14:paraId="0434CA83">
      <w:pPr>
        <w:adjustRightInd w:val="0"/>
        <w:snapToGrid w:val="0"/>
        <w:spacing w:line="400" w:lineRule="exact"/>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18．样品提供（本项目不作要求）</w:t>
      </w:r>
    </w:p>
    <w:p w14:paraId="10BFC6EB">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规定</w:t>
      </w:r>
      <w:r>
        <w:rPr>
          <w:rFonts w:hint="eastAsia" w:ascii="宋体" w:hAnsi="宋体" w:eastAsia="宋体" w:cs="宋体"/>
          <w:bCs/>
          <w:color w:val="auto"/>
          <w:szCs w:val="21"/>
          <w:highlight w:val="none"/>
        </w:rPr>
        <w:t>投标人</w:t>
      </w:r>
      <w:r>
        <w:rPr>
          <w:rFonts w:hint="eastAsia" w:ascii="宋体" w:hAnsi="宋体" w:eastAsia="宋体" w:cs="宋体"/>
          <w:color w:val="auto"/>
          <w:szCs w:val="21"/>
          <w:highlight w:val="none"/>
        </w:rPr>
        <w:t>在磋商时提供样品的，</w:t>
      </w:r>
      <w:r>
        <w:rPr>
          <w:rFonts w:hint="eastAsia" w:ascii="宋体" w:hAnsi="宋体" w:eastAsia="宋体" w:cs="宋体"/>
          <w:bCs/>
          <w:color w:val="auto"/>
          <w:szCs w:val="21"/>
          <w:highlight w:val="none"/>
        </w:rPr>
        <w:t>投标人</w:t>
      </w:r>
      <w:r>
        <w:rPr>
          <w:rFonts w:hint="eastAsia" w:ascii="宋体" w:hAnsi="宋体" w:eastAsia="宋体" w:cs="宋体"/>
          <w:color w:val="auto"/>
          <w:szCs w:val="21"/>
          <w:highlight w:val="none"/>
        </w:rPr>
        <w:t>有以下情形之一的，在评审时将其视为无效响应。</w:t>
      </w:r>
    </w:p>
    <w:p w14:paraId="29A2C858">
      <w:pPr>
        <w:adjustRightInd w:val="0"/>
        <w:snapToGrid w:val="0"/>
        <w:spacing w:line="400" w:lineRule="exact"/>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（1）未在</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规定的提交时间、地点提交的；</w:t>
      </w:r>
    </w:p>
    <w:p w14:paraId="7DE27F2D">
      <w:pPr>
        <w:adjustRightInd w:val="0"/>
        <w:snapToGrid w:val="0"/>
        <w:spacing w:line="400" w:lineRule="exact"/>
        <w:ind w:firstLine="315" w:firstLineChars="1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Cs/>
          <w:color w:val="auto"/>
          <w:szCs w:val="21"/>
          <w:highlight w:val="none"/>
        </w:rPr>
        <w:t>投标人</w:t>
      </w:r>
      <w:r>
        <w:rPr>
          <w:rFonts w:hint="eastAsia" w:ascii="宋体" w:hAnsi="宋体" w:eastAsia="宋体" w:cs="宋体"/>
          <w:color w:val="auto"/>
          <w:szCs w:val="21"/>
          <w:highlight w:val="none"/>
        </w:rPr>
        <w:t>提供的样品与响应文件中提供样品的型号、规格不一致的。</w:t>
      </w:r>
    </w:p>
    <w:p w14:paraId="2F26B5A6">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19.</w:t>
      </w:r>
      <w:r>
        <w:rPr>
          <w:rFonts w:hint="eastAsia" w:ascii="宋体" w:hAnsi="宋体" w:eastAsia="宋体" w:cs="宋体"/>
          <w:color w:val="auto"/>
          <w:szCs w:val="21"/>
          <w:highlight w:val="none"/>
        </w:rPr>
        <w:t xml:space="preserve"> </w:t>
      </w:r>
      <w:r>
        <w:rPr>
          <w:rFonts w:hint="eastAsia" w:ascii="宋体" w:hAnsi="宋体" w:eastAsia="宋体" w:cs="宋体"/>
          <w:b/>
          <w:bCs/>
          <w:color w:val="auto"/>
          <w:szCs w:val="21"/>
          <w:highlight w:val="none"/>
        </w:rPr>
        <w:t>磋商保证金</w:t>
      </w:r>
    </w:p>
    <w:p w14:paraId="51537ADA">
      <w:pPr>
        <w:pStyle w:val="9"/>
        <w:adjustRightInd w:val="0"/>
        <w:snapToGrid w:val="0"/>
        <w:spacing w:line="400" w:lineRule="exact"/>
        <w:ind w:firstLine="420" w:firstLineChars="200"/>
        <w:rPr>
          <w:rFonts w:hint="eastAsia" w:ascii="宋体" w:hAnsi="宋体" w:eastAsia="宋体" w:cs="宋体"/>
          <w:bCs/>
          <w:color w:val="auto"/>
          <w:sz w:val="21"/>
          <w:highlight w:val="none"/>
        </w:rPr>
      </w:pPr>
      <w:r>
        <w:rPr>
          <w:rFonts w:hint="eastAsia" w:ascii="宋体" w:hAnsi="宋体" w:eastAsia="宋体" w:cs="宋体"/>
          <w:color w:val="auto"/>
          <w:sz w:val="21"/>
          <w:highlight w:val="none"/>
        </w:rPr>
        <w:t>19.1</w:t>
      </w:r>
      <w:r>
        <w:rPr>
          <w:rFonts w:hint="eastAsia" w:ascii="宋体" w:hAnsi="宋体" w:eastAsia="宋体" w:cs="宋体"/>
          <w:b/>
          <w:color w:val="auto"/>
          <w:sz w:val="21"/>
          <w:highlight w:val="none"/>
        </w:rPr>
        <w:t>磋商须知前附表</w:t>
      </w:r>
      <w:r>
        <w:rPr>
          <w:rFonts w:hint="eastAsia" w:ascii="宋体" w:hAnsi="宋体" w:eastAsia="宋体" w:cs="宋体"/>
          <w:color w:val="auto"/>
          <w:sz w:val="21"/>
          <w:highlight w:val="none"/>
        </w:rPr>
        <w:t>规定交纳磋商</w:t>
      </w:r>
      <w:r>
        <w:rPr>
          <w:rFonts w:hint="eastAsia" w:ascii="宋体" w:hAnsi="宋体" w:eastAsia="宋体" w:cs="宋体"/>
          <w:bCs/>
          <w:color w:val="auto"/>
          <w:sz w:val="21"/>
          <w:highlight w:val="none"/>
        </w:rPr>
        <w:t>保证金的</w:t>
      </w:r>
      <w:r>
        <w:rPr>
          <w:rFonts w:hint="eastAsia" w:ascii="宋体" w:hAnsi="宋体" w:eastAsia="宋体" w:cs="宋体"/>
          <w:color w:val="auto"/>
          <w:sz w:val="21"/>
          <w:highlight w:val="none"/>
        </w:rPr>
        <w:t>，应按</w:t>
      </w:r>
      <w:r>
        <w:rPr>
          <w:rFonts w:hint="eastAsia" w:ascii="宋体" w:hAnsi="宋体" w:eastAsia="宋体" w:cs="宋体"/>
          <w:b/>
          <w:color w:val="auto"/>
          <w:sz w:val="21"/>
          <w:highlight w:val="none"/>
        </w:rPr>
        <w:t>磋商须知前附表</w:t>
      </w:r>
      <w:r>
        <w:rPr>
          <w:rFonts w:hint="eastAsia" w:ascii="宋体" w:hAnsi="宋体" w:eastAsia="宋体" w:cs="宋体"/>
          <w:color w:val="auto"/>
          <w:sz w:val="21"/>
          <w:highlight w:val="none"/>
        </w:rPr>
        <w:t>规定的磋商</w:t>
      </w:r>
      <w:r>
        <w:rPr>
          <w:rFonts w:hint="eastAsia" w:ascii="宋体" w:hAnsi="宋体" w:eastAsia="宋体" w:cs="宋体"/>
          <w:bCs/>
          <w:color w:val="auto"/>
          <w:sz w:val="21"/>
          <w:highlight w:val="none"/>
        </w:rPr>
        <w:t>保证金形式交纳，不得以现金方式交纳</w:t>
      </w:r>
      <w:r>
        <w:rPr>
          <w:rFonts w:hint="eastAsia" w:ascii="宋体" w:hAnsi="宋体" w:eastAsia="宋体" w:cs="宋体"/>
          <w:color w:val="auto"/>
          <w:sz w:val="21"/>
          <w:highlight w:val="none"/>
        </w:rPr>
        <w:t>，在提交首次响应文件截止时间前，</w:t>
      </w:r>
      <w:r>
        <w:rPr>
          <w:rFonts w:hint="eastAsia" w:ascii="宋体" w:hAnsi="宋体" w:eastAsia="宋体" w:cs="宋体"/>
          <w:bCs/>
          <w:color w:val="auto"/>
          <w:sz w:val="21"/>
          <w:highlight w:val="none"/>
        </w:rPr>
        <w:t>向郴州市公共资源交易中心交纳不超过</w:t>
      </w:r>
      <w:r>
        <w:rPr>
          <w:rFonts w:hint="eastAsia" w:ascii="宋体" w:hAnsi="宋体" w:eastAsia="宋体" w:cs="宋体"/>
          <w:color w:val="auto"/>
          <w:sz w:val="21"/>
          <w:highlight w:val="none"/>
          <w:lang w:val="zh-CN"/>
        </w:rPr>
        <w:t>采购项目预算2﹪</w:t>
      </w:r>
      <w:r>
        <w:rPr>
          <w:rFonts w:hint="eastAsia" w:ascii="宋体" w:hAnsi="宋体" w:eastAsia="宋体" w:cs="宋体"/>
          <w:bCs/>
          <w:color w:val="auto"/>
          <w:sz w:val="21"/>
          <w:highlight w:val="none"/>
        </w:rPr>
        <w:t>的磋商保证金(数额采用四舍五入，计算至元)</w:t>
      </w:r>
      <w:r>
        <w:rPr>
          <w:rFonts w:hint="eastAsia" w:ascii="宋体" w:hAnsi="宋体" w:eastAsia="宋体" w:cs="宋体"/>
          <w:color w:val="auto"/>
          <w:sz w:val="21"/>
          <w:highlight w:val="none"/>
        </w:rPr>
        <w:t>。磋商</w:t>
      </w:r>
      <w:r>
        <w:rPr>
          <w:rFonts w:hint="eastAsia" w:ascii="宋体" w:hAnsi="宋体" w:eastAsia="宋体" w:cs="宋体"/>
          <w:bCs/>
          <w:color w:val="auto"/>
          <w:sz w:val="21"/>
          <w:highlight w:val="none"/>
        </w:rPr>
        <w:t>保证金有效期应当与</w:t>
      </w:r>
      <w:r>
        <w:rPr>
          <w:rFonts w:hint="eastAsia" w:ascii="宋体" w:hAnsi="宋体" w:eastAsia="宋体" w:cs="宋体"/>
          <w:color w:val="auto"/>
          <w:sz w:val="21"/>
          <w:highlight w:val="none"/>
        </w:rPr>
        <w:t>本章第20.1</w:t>
      </w:r>
      <w:r>
        <w:rPr>
          <w:rFonts w:hint="eastAsia" w:ascii="宋体" w:hAnsi="宋体" w:eastAsia="宋体" w:cs="宋体"/>
          <w:color w:val="auto"/>
          <w:sz w:val="21"/>
          <w:highlight w:val="none"/>
          <w:lang w:val="zh-CN"/>
        </w:rPr>
        <w:t>款</w:t>
      </w:r>
      <w:r>
        <w:rPr>
          <w:rFonts w:hint="eastAsia" w:ascii="宋体" w:hAnsi="宋体" w:eastAsia="宋体" w:cs="宋体"/>
          <w:color w:val="auto"/>
          <w:sz w:val="21"/>
          <w:highlight w:val="none"/>
        </w:rPr>
        <w:t>规定的</w:t>
      </w:r>
      <w:r>
        <w:rPr>
          <w:rFonts w:hint="eastAsia" w:ascii="宋体" w:hAnsi="宋体" w:eastAsia="宋体" w:cs="宋体"/>
          <w:bCs/>
          <w:color w:val="auto"/>
          <w:sz w:val="21"/>
          <w:highlight w:val="none"/>
        </w:rPr>
        <w:t>响应文件有效期一致。</w:t>
      </w:r>
    </w:p>
    <w:p w14:paraId="402F58BD">
      <w:pPr>
        <w:adjustRightInd w:val="0"/>
        <w:snapToGrid w:val="0"/>
        <w:spacing w:line="4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19.2</w:t>
      </w:r>
      <w:r>
        <w:rPr>
          <w:rFonts w:hint="eastAsia" w:ascii="宋体" w:hAnsi="宋体" w:eastAsia="宋体" w:cs="宋体"/>
          <w:color w:val="auto"/>
          <w:kern w:val="0"/>
          <w:szCs w:val="21"/>
          <w:highlight w:val="none"/>
          <w:lang w:val="zh-CN"/>
        </w:rPr>
        <w:t>投标人为联合体的，可以由联合体中的一方或者共同交纳磋商保证金，其交纳的磋商保证金，对联合体各方均具有约束力。</w:t>
      </w:r>
    </w:p>
    <w:p w14:paraId="7222D5DA">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19.3投标人未按照磋商文件要求提交磋商保证金的，响应无效。</w:t>
      </w:r>
    </w:p>
    <w:p w14:paraId="50C7180F">
      <w:pPr>
        <w:pStyle w:val="9"/>
        <w:tabs>
          <w:tab w:val="left" w:pos="6300"/>
        </w:tabs>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19.4未成交投标人的磋商保证金在成交通知书发出后5个工作日内退还；成交人的磋商保证金在采购合同签定后5个工作日内退还，但因投标人自身原因导致无法及时退还的除外。</w:t>
      </w:r>
    </w:p>
    <w:p w14:paraId="0B8E2FA5">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19.5 有下列情形之一的，磋商保证金不予退还，并上缴本级财政国库：</w:t>
      </w:r>
    </w:p>
    <w:p w14:paraId="7715B208">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（1）投标人在提交首次响应文件截止时间后撤回响应文件的；</w:t>
      </w:r>
    </w:p>
    <w:p w14:paraId="4DDA51A0">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（2）投标人在响应文件中提供虚假资料的；</w:t>
      </w:r>
    </w:p>
    <w:p w14:paraId="62637C2F">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zCs w:val="21"/>
          <w:highlight w:val="none"/>
        </w:rPr>
        <w:t>确定成交结果后，无正当理由放弃成交资格的；</w:t>
      </w:r>
    </w:p>
    <w:p w14:paraId="530F9458">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（4）除因不可抗力或磋商文件认可的情形以外，成交投标人不与采购人签订合同的；</w:t>
      </w:r>
    </w:p>
    <w:p w14:paraId="0889F71F">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（5）投标人与采购人、其他投标人或者采购代理机构恶意串通的；</w:t>
      </w:r>
    </w:p>
    <w:p w14:paraId="491B0EDA">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（6）磋商文件规定的其他情形。</w:t>
      </w:r>
    </w:p>
    <w:p w14:paraId="3A63CCEC">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20.</w:t>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rPr>
        <w:t>响应文件有效期</w:t>
      </w:r>
    </w:p>
    <w:p w14:paraId="2162A103">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响应文件有效期见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，在此期间响应文件对投标人具有法律约束力，从</w:t>
      </w:r>
      <w:r>
        <w:rPr>
          <w:rFonts w:hint="eastAsia" w:ascii="宋体" w:hAnsi="宋体" w:eastAsia="宋体" w:cs="宋体"/>
          <w:color w:val="auto"/>
          <w:kern w:val="0"/>
          <w:szCs w:val="21"/>
          <w:highlight w:val="none"/>
        </w:rPr>
        <w:t>提交首次响应文件截止时间</w:t>
      </w:r>
      <w:r>
        <w:rPr>
          <w:rFonts w:hint="eastAsia" w:ascii="宋体" w:hAnsi="宋体" w:eastAsia="宋体" w:cs="宋体"/>
          <w:color w:val="auto"/>
          <w:szCs w:val="21"/>
          <w:highlight w:val="none"/>
        </w:rPr>
        <w:t>之日起计算。响应文件有效期不足的将被视为无效响应。</w:t>
      </w:r>
    </w:p>
    <w:p w14:paraId="12D43DEF">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21.响应文件的签署及规定</w:t>
      </w:r>
    </w:p>
    <w:p w14:paraId="56493F4A">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21.1投标人确认投标后，应当在郴州市公共资源交易政府采购电子化平台上认可的“投标文件制作工具软件下载”制作投标文件（ 含澄清、说明文件）并进行固化、加密；</w:t>
      </w:r>
      <w:r>
        <w:rPr>
          <w:rFonts w:hint="eastAsia" w:ascii="宋体" w:hAnsi="宋体" w:eastAsia="宋体" w:cs="宋体"/>
          <w:bCs/>
          <w:color w:val="auto"/>
          <w:szCs w:val="21"/>
          <w:highlight w:val="none"/>
        </w:rPr>
        <w:t>否则将可能影响电子投标文件的上传而导致投标无效。</w:t>
      </w:r>
    </w:p>
    <w:p w14:paraId="4A8AF5D5">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21.2投标人应按照电子招标文件格式及投标工具编制资格证明文件，不得将其编制上传到商务和技术文件中。否则，由于编制上传位置失误导致无法进行资格审查，由此所产生的后果和责任由投标人自行承担。</w:t>
      </w:r>
    </w:p>
    <w:p w14:paraId="2257DC93">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投标人应按照电子招标文件格式及投标工具编制商相关资料。必须按招标文件目录和节点对应位置上传或填写相应资料，否则，由于编制上传位置失误，系统将判断投标人未提交此项资料，由此造成的后果和责任由投标人自行承担。</w:t>
      </w:r>
    </w:p>
    <w:p w14:paraId="44223054">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投标人应注意压缩电子文件，上传的有关扫描件的尺寸和清晰度应该能够在电脑上被阅读、识别和判断。若投标人未按要求提供证明材料或提供的是部分证明材料或提供不清晰的扫描件复印件，无法阅读、识别和判断的，由此可能导致的不予计分、废标等后果由投标人自行承担。</w:t>
      </w:r>
    </w:p>
    <w:p w14:paraId="1F30A9BF">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21.5投标人应在电子投标文件指定签章处采用郴州市公共资源交易中心交易平台认可的CA数字证书（含电子印章）进行签章。</w:t>
      </w:r>
    </w:p>
    <w:p w14:paraId="1E4709E6">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21.6 电子招投标文件具有法律效力，若投标文件与招标文件要求不一致，其内容影响中标结果时，责任由投标人自行承担。</w:t>
      </w:r>
    </w:p>
    <w:p w14:paraId="46B50B65">
      <w:pPr>
        <w:adjustRightInd w:val="0"/>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四、响应文件的递交</w:t>
      </w:r>
    </w:p>
    <w:p w14:paraId="0BF616D8">
      <w:pPr>
        <w:spacing w:line="360" w:lineRule="exact"/>
        <w:ind w:firstLine="411" w:firstLineChars="19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1、投标人应按照招标文件和交易平台的要求编制数据电文形式的投标文件并通过数字证书进行加密后，</w:t>
      </w:r>
      <w:r>
        <w:rPr>
          <w:rFonts w:hint="eastAsia" w:ascii="宋体" w:hAnsi="宋体" w:eastAsia="宋体" w:cs="宋体"/>
          <w:bCs/>
          <w:color w:val="auto"/>
          <w:szCs w:val="21"/>
          <w:highlight w:val="none"/>
        </w:rPr>
        <w:t>在招标文件【投标须知前附表】规定的开标时间前将电子投标文件上传到交易平台的对应项目。</w:t>
      </w:r>
      <w:r>
        <w:rPr>
          <w:rFonts w:hint="eastAsia" w:ascii="宋体" w:hAnsi="宋体" w:eastAsia="宋体" w:cs="宋体"/>
          <w:color w:val="auto"/>
          <w:szCs w:val="21"/>
          <w:highlight w:val="none"/>
        </w:rPr>
        <w:t>未按要求加密或逾期上传提交的投标文件，交易平台将无法接受, 采购代理机构不予受理。</w:t>
      </w:r>
    </w:p>
    <w:p w14:paraId="76844FD6">
      <w:pPr>
        <w:spacing w:line="360" w:lineRule="exact"/>
        <w:ind w:firstLine="411" w:firstLineChars="196"/>
        <w:rPr>
          <w:rFonts w:hint="eastAsia" w:ascii="宋体" w:hAnsi="宋体" w:eastAsia="宋体" w:cs="宋体"/>
          <w:color w:val="auto"/>
          <w:highlight w:val="none"/>
        </w:rPr>
      </w:pPr>
      <w:r>
        <w:rPr>
          <w:rFonts w:hint="eastAsia" w:ascii="宋体" w:hAnsi="宋体" w:eastAsia="宋体" w:cs="宋体"/>
          <w:color w:val="auto"/>
          <w:highlight w:val="none"/>
        </w:rPr>
        <w:t>2、采购代理机构不接受投标截止时间后递交的电子、传真等所有形式的投标文件。</w:t>
      </w:r>
    </w:p>
    <w:p w14:paraId="76950A8F">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r>
        <w:rPr>
          <w:rFonts w:hint="eastAsia" w:ascii="宋体" w:hAnsi="宋体" w:eastAsia="宋体" w:cs="宋体"/>
          <w:color w:val="auto"/>
          <w:highlight w:val="none"/>
        </w:rPr>
        <w:t>建议投标人于开标前一个工作日完成投标文件的制作与上传，</w:t>
      </w:r>
      <w:r>
        <w:rPr>
          <w:rFonts w:hint="eastAsia" w:ascii="宋体" w:hAnsi="宋体" w:eastAsia="宋体" w:cs="宋体"/>
          <w:bCs/>
          <w:color w:val="auto"/>
          <w:szCs w:val="21"/>
          <w:highlight w:val="none"/>
        </w:rPr>
        <w:t>系统将显示“上传成功”。如遇系统提示“上传未成功”，投标人应及时重新提交文件或与系统运维机构联系。</w:t>
      </w:r>
      <w:r>
        <w:rPr>
          <w:rFonts w:hint="eastAsia" w:ascii="宋体" w:hAnsi="宋体" w:eastAsia="宋体" w:cs="宋体"/>
          <w:color w:val="auto"/>
          <w:highlight w:val="none"/>
        </w:rPr>
        <w:t>由于投标人对电子投标操作不熟悉或自身电脑、网络等原因导致不能在投标截止时间之前上传提交投标文件的，</w:t>
      </w:r>
      <w:r>
        <w:rPr>
          <w:rFonts w:hint="eastAsia" w:ascii="宋体" w:hAnsi="宋体" w:eastAsia="宋体" w:cs="宋体"/>
          <w:bCs/>
          <w:color w:val="auto"/>
          <w:szCs w:val="21"/>
          <w:highlight w:val="none"/>
        </w:rPr>
        <w:t>由此造成的后果和责任由投标人自行承担。</w:t>
      </w:r>
    </w:p>
    <w:p w14:paraId="2463C8A0">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23.响应文件的</w:t>
      </w:r>
      <w:r>
        <w:rPr>
          <w:rFonts w:hint="eastAsia" w:ascii="宋体" w:hAnsi="宋体" w:eastAsia="宋体" w:cs="宋体"/>
          <w:b/>
          <w:color w:val="auto"/>
          <w:kern w:val="0"/>
          <w:szCs w:val="21"/>
          <w:highlight w:val="none"/>
          <w:lang w:val="zh-CN"/>
        </w:rPr>
        <w:t>补充、修改或者撤回</w:t>
      </w:r>
    </w:p>
    <w:p w14:paraId="14CE7A9C">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23.1投标人在招标文件规定的投标截止时间前，可以撤回已上传的投标文件，也可以撤回并修改后再重新上传。</w:t>
      </w:r>
    </w:p>
    <w:p w14:paraId="08ECEB9D">
      <w:pPr>
        <w:adjustRightInd w:val="0"/>
        <w:snapToGrid w:val="0"/>
        <w:spacing w:before="156" w:beforeLines="50"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23.2采购人、采购代理机构发布了修改、澄清文件的，投标人应按照修改、澄清后的招标文件要求重新编制投标文件并上传至交易平台。</w:t>
      </w:r>
    </w:p>
    <w:p w14:paraId="04EE5847">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24.响应文件的递交与接收</w:t>
      </w:r>
    </w:p>
    <w:p w14:paraId="7412DDE0">
      <w:pPr>
        <w:adjustRightInd w:val="0"/>
        <w:snapToGrid w:val="0"/>
        <w:spacing w:line="400" w:lineRule="exact"/>
        <w:ind w:firstLine="420" w:firstLineChars="200"/>
        <w:rPr>
          <w:rFonts w:hint="eastAsia" w:ascii="宋体" w:hAnsi="宋体" w:eastAsia="宋体" w:cs="宋体"/>
          <w:b/>
          <w:color w:val="auto"/>
          <w:sz w:val="24"/>
          <w:highlight w:val="none"/>
        </w:rPr>
      </w:pPr>
      <w:r>
        <w:rPr>
          <w:rFonts w:hint="eastAsia" w:ascii="宋体" w:hAnsi="宋体" w:eastAsia="宋体" w:cs="宋体"/>
          <w:color w:val="auto"/>
          <w:szCs w:val="21"/>
          <w:highlight w:val="none"/>
        </w:rPr>
        <w:t>24.1 投标人应在</w:t>
      </w:r>
      <w:r>
        <w:rPr>
          <w:rFonts w:hint="eastAsia" w:ascii="宋体" w:hAnsi="宋体" w:eastAsia="宋体" w:cs="宋体"/>
          <w:color w:val="auto"/>
          <w:kern w:val="0"/>
          <w:szCs w:val="21"/>
          <w:highlight w:val="none"/>
        </w:rPr>
        <w:t>提交首次响应文件截止时间</w:t>
      </w:r>
      <w:r>
        <w:rPr>
          <w:rFonts w:hint="eastAsia" w:ascii="宋体" w:hAnsi="宋体" w:eastAsia="宋体" w:cs="宋体"/>
          <w:color w:val="auto"/>
          <w:szCs w:val="21"/>
          <w:highlight w:val="none"/>
        </w:rPr>
        <w:t>前，将响应文件送达</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中指定的地点。</w:t>
      </w:r>
      <w:r>
        <w:rPr>
          <w:rFonts w:hint="eastAsia" w:ascii="宋体" w:hAnsi="宋体" w:eastAsia="宋体" w:cs="宋体"/>
          <w:color w:val="auto"/>
          <w:kern w:val="0"/>
          <w:szCs w:val="21"/>
          <w:highlight w:val="none"/>
        </w:rPr>
        <w:t>在截止时间后送达的响应文件，采购人、采购代理机构或者磋商小组应当拒收。</w:t>
      </w:r>
    </w:p>
    <w:p w14:paraId="1062C5FD">
      <w:pPr>
        <w:adjustRightInd w:val="0"/>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五、响应文件的磋商与评审</w:t>
      </w:r>
    </w:p>
    <w:p w14:paraId="791BD4FE">
      <w:pPr>
        <w:tabs>
          <w:tab w:val="left" w:pos="0"/>
        </w:tabs>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25.磋商程序</w:t>
      </w:r>
    </w:p>
    <w:p w14:paraId="37A8D846">
      <w:pPr>
        <w:widowControl/>
        <w:adjustRightInd w:val="0"/>
        <w:snapToGrid w:val="0"/>
        <w:spacing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磋商程序：响应文件审查、磋商（包括澄清）、响应文件评审、</w:t>
      </w:r>
      <w:r>
        <w:rPr>
          <w:rFonts w:hint="eastAsia" w:ascii="宋体" w:hAnsi="宋体" w:eastAsia="宋体" w:cs="宋体"/>
          <w:bCs/>
          <w:color w:val="auto"/>
          <w:szCs w:val="21"/>
          <w:highlight w:val="none"/>
        </w:rPr>
        <w:t>提出成交投标人。其中，</w:t>
      </w:r>
      <w:r>
        <w:rPr>
          <w:rFonts w:hint="eastAsia" w:ascii="宋体" w:hAnsi="宋体" w:eastAsia="宋体" w:cs="宋体"/>
          <w:color w:val="auto"/>
          <w:kern w:val="0"/>
          <w:szCs w:val="21"/>
          <w:highlight w:val="none"/>
        </w:rPr>
        <w:t>磋商按</w:t>
      </w:r>
      <w:r>
        <w:rPr>
          <w:rFonts w:hint="eastAsia" w:ascii="宋体" w:hAnsi="宋体" w:eastAsia="宋体" w:cs="宋体"/>
          <w:color w:val="auto"/>
          <w:szCs w:val="21"/>
          <w:highlight w:val="none"/>
        </w:rPr>
        <w:t>本章第30.1</w:t>
      </w:r>
      <w:r>
        <w:rPr>
          <w:rFonts w:hint="eastAsia" w:ascii="宋体" w:hAnsi="宋体" w:eastAsia="宋体" w:cs="宋体"/>
          <w:color w:val="auto"/>
          <w:kern w:val="0"/>
          <w:szCs w:val="21"/>
          <w:highlight w:val="none"/>
          <w:lang w:val="zh-CN"/>
        </w:rPr>
        <w:t>款或者</w:t>
      </w:r>
      <w:r>
        <w:rPr>
          <w:rFonts w:hint="eastAsia" w:ascii="宋体" w:hAnsi="宋体" w:eastAsia="宋体" w:cs="宋体"/>
          <w:color w:val="auto"/>
          <w:szCs w:val="21"/>
          <w:highlight w:val="none"/>
        </w:rPr>
        <w:t>第30.2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情形</w:t>
      </w:r>
      <w:r>
        <w:rPr>
          <w:rFonts w:hint="eastAsia" w:ascii="宋体" w:hAnsi="宋体" w:eastAsia="宋体" w:cs="宋体"/>
          <w:bCs/>
          <w:color w:val="auto"/>
          <w:szCs w:val="21"/>
          <w:highlight w:val="none"/>
        </w:rPr>
        <w:t>进行。</w:t>
      </w:r>
    </w:p>
    <w:p w14:paraId="0E1FDCF4">
      <w:pPr>
        <w:widowControl/>
        <w:adjustRightInd w:val="0"/>
        <w:snapToGrid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kern w:val="0"/>
          <w:szCs w:val="21"/>
          <w:highlight w:val="none"/>
        </w:rPr>
        <w:t>26.</w:t>
      </w:r>
      <w:r>
        <w:rPr>
          <w:rFonts w:hint="eastAsia" w:ascii="宋体" w:hAnsi="宋体" w:eastAsia="宋体" w:cs="宋体"/>
          <w:color w:val="auto"/>
          <w:szCs w:val="21"/>
          <w:highlight w:val="none"/>
        </w:rPr>
        <w:t xml:space="preserve"> </w:t>
      </w:r>
      <w:r>
        <w:rPr>
          <w:rFonts w:hint="eastAsia" w:ascii="宋体" w:hAnsi="宋体" w:eastAsia="宋体" w:cs="宋体"/>
          <w:b/>
          <w:color w:val="auto"/>
          <w:kern w:val="0"/>
          <w:szCs w:val="21"/>
          <w:highlight w:val="none"/>
        </w:rPr>
        <w:t>响应文件审查</w:t>
      </w:r>
      <w:r>
        <w:rPr>
          <w:rFonts w:hint="eastAsia" w:ascii="宋体" w:hAnsi="宋体" w:eastAsia="宋体" w:cs="宋体"/>
          <w:b/>
          <w:color w:val="auto"/>
          <w:szCs w:val="21"/>
          <w:highlight w:val="none"/>
        </w:rPr>
        <w:t xml:space="preserve"> </w:t>
      </w:r>
    </w:p>
    <w:p w14:paraId="50EC4637">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26.1 资格性审查：根据本章第3.1项规定的投标人资格条件要求，对响应文件的资格证明等进行审查，以确定投标人是否具备磋商资格条件。</w:t>
      </w:r>
    </w:p>
    <w:p w14:paraId="26B84F30">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26.2符合性审查: 对响应文件(包括首次提交的响应文件、重新提交的响应文件)的有效性、完整性和响应程度进行审查，以确定是否对磋商文件的实质性要求作出响应。</w:t>
      </w:r>
    </w:p>
    <w:p w14:paraId="7C8E4712">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26.3响应文件审查结束后，磋商小组将根据项目情况可能给予所有参加磋商的投标人平等的磋商机会。投标人应派其法定代表人或委托代理人参加磋商。</w:t>
      </w:r>
    </w:p>
    <w:p w14:paraId="49773316">
      <w:pPr>
        <w:pStyle w:val="9"/>
        <w:adjustRightInd w:val="0"/>
        <w:snapToGrid w:val="0"/>
        <w:spacing w:line="400" w:lineRule="exact"/>
        <w:rPr>
          <w:rFonts w:hint="eastAsia" w:ascii="宋体" w:hAnsi="宋体" w:eastAsia="宋体" w:cs="宋体"/>
          <w:b/>
          <w:color w:val="auto"/>
          <w:sz w:val="21"/>
          <w:highlight w:val="none"/>
        </w:rPr>
      </w:pPr>
      <w:r>
        <w:rPr>
          <w:rFonts w:hint="eastAsia" w:ascii="宋体" w:hAnsi="宋体" w:eastAsia="宋体" w:cs="宋体"/>
          <w:b/>
          <w:color w:val="auto"/>
          <w:sz w:val="21"/>
          <w:highlight w:val="none"/>
        </w:rPr>
        <w:t>27.实质性响应</w:t>
      </w:r>
    </w:p>
    <w:p w14:paraId="64A697FD">
      <w:pPr>
        <w:pStyle w:val="9"/>
        <w:adjustRightInd w:val="0"/>
        <w:snapToGrid w:val="0"/>
        <w:spacing w:line="400" w:lineRule="exact"/>
        <w:ind w:firstLine="420" w:firstLineChars="200"/>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27.1实质性响应是指响应文件(包括首次响应文件、重新提交的响应文件)与磋商文件要求的所有条款、条件和规格相符，没有偏离。偏离指不满足、或不响应磋商文件的要求。</w:t>
      </w:r>
    </w:p>
    <w:p w14:paraId="417B4CCC">
      <w:pPr>
        <w:tabs>
          <w:tab w:val="left" w:pos="0"/>
          <w:tab w:val="left" w:pos="7560"/>
          <w:tab w:val="left" w:pos="7740"/>
          <w:tab w:val="left" w:pos="7920"/>
        </w:tabs>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27.2响应文件是否实质性响应磋商文件要求由磋商小组依据磋商文件规定认定。</w:t>
      </w:r>
      <w:r>
        <w:rPr>
          <w:rFonts w:hint="eastAsia" w:ascii="宋体" w:hAnsi="宋体" w:eastAsia="宋体" w:cs="宋体"/>
          <w:color w:val="auto"/>
          <w:kern w:val="0"/>
          <w:szCs w:val="21"/>
          <w:highlight w:val="none"/>
        </w:rPr>
        <w:t>磋商小组</w:t>
      </w:r>
      <w:r>
        <w:rPr>
          <w:rFonts w:hint="eastAsia" w:ascii="宋体" w:hAnsi="宋体" w:eastAsia="宋体" w:cs="宋体"/>
          <w:color w:val="auto"/>
          <w:szCs w:val="21"/>
          <w:highlight w:val="none"/>
        </w:rPr>
        <w:t>决定响应文件的响应性只根据响应文件本身的真实无误的内容，而不依据外部的证据。</w:t>
      </w:r>
    </w:p>
    <w:p w14:paraId="159D3EEB">
      <w:pPr>
        <w:pStyle w:val="9"/>
        <w:adjustRightInd w:val="0"/>
        <w:snapToGrid w:val="0"/>
        <w:spacing w:line="400" w:lineRule="exact"/>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28.无效响应 </w:t>
      </w:r>
    </w:p>
    <w:p w14:paraId="14DC9E75">
      <w:pPr>
        <w:pStyle w:val="9"/>
        <w:adjustRightInd w:val="0"/>
        <w:snapToGrid w:val="0"/>
        <w:spacing w:line="400" w:lineRule="exact"/>
        <w:ind w:firstLine="420" w:firstLineChars="200"/>
        <w:rPr>
          <w:rFonts w:hint="eastAsia" w:ascii="宋体" w:hAnsi="宋体" w:eastAsia="宋体" w:cs="宋体"/>
          <w:b/>
          <w:color w:val="auto"/>
          <w:sz w:val="21"/>
          <w:highlight w:val="none"/>
        </w:rPr>
      </w:pPr>
      <w:r>
        <w:rPr>
          <w:rFonts w:hint="eastAsia" w:ascii="宋体" w:hAnsi="宋体" w:eastAsia="宋体" w:cs="宋体"/>
          <w:color w:val="auto"/>
          <w:sz w:val="21"/>
          <w:highlight w:val="none"/>
        </w:rPr>
        <w:t>磋商小组在对资格性和符合性进行审查时，有下列情况之一的，属无效响应，磋商小组应当告知有关投标人：</w:t>
      </w:r>
    </w:p>
    <w:p w14:paraId="2E00D006">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（1）投标人不具备本章第3.1款规定的投标人资格条件要求，或存在本章第3.3款情形的；</w:t>
      </w:r>
    </w:p>
    <w:p w14:paraId="7190D52C">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（2）联合体不符合本章第3.2款规定的；</w:t>
      </w:r>
    </w:p>
    <w:p w14:paraId="2A67AEFB">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（3）应交未交磋商保证金或金额不足、磋商保证金缴纳形式不符合磋商文件要求的；</w:t>
      </w:r>
    </w:p>
    <w:p w14:paraId="6075C7E2">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（4）响应文件未按照磋商文件要求签署、盖章的；</w:t>
      </w:r>
    </w:p>
    <w:p w14:paraId="5C49D9B1">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（4）响应文件不满足本章第27.1款规定的实质性要求的；</w:t>
      </w:r>
    </w:p>
    <w:p w14:paraId="4E2031F5">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（5）报价超过采购项目预算的；</w:t>
      </w:r>
    </w:p>
    <w:p w14:paraId="49B17E0A">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（6）响应文件有效期不足的；</w:t>
      </w:r>
    </w:p>
    <w:p w14:paraId="7131E8C0">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（7）响应文件不符合法律、规章、规范性文件和磋商文件规定及要求的。</w:t>
      </w:r>
    </w:p>
    <w:p w14:paraId="2AD0F979">
      <w:pPr>
        <w:widowControl/>
        <w:adjustRightInd w:val="0"/>
        <w:snapToGrid w:val="0"/>
        <w:spacing w:line="40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29.澄清</w:t>
      </w:r>
    </w:p>
    <w:p w14:paraId="39077C54">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29.1 磋商小组在对响应文件的有效性、完整性和对磋商文件的响应程度进行审查时，可以要求投标人对响应文件中含义不明确、同类问题表述不一致或者有明显文字和计算错误的内容等作出必要的澄清、说明或者更正。该要求应当以书面形式作出。投标人的澄清、说明或者更正应当采用书面形式，由其法定代表人或其委托代理人签字或者加盖公章。投标人的澄清、说明或者更正不得超出响应文件的范围或者改变响应文件的实质性内容。</w:t>
      </w:r>
    </w:p>
    <w:p w14:paraId="6EFDC09A">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8CFCC7C">
      <w:pPr>
        <w:widowControl/>
        <w:adjustRightInd w:val="0"/>
        <w:snapToGrid w:val="0"/>
        <w:spacing w:line="40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30.磋商</w:t>
      </w:r>
    </w:p>
    <w:p w14:paraId="5D5A96B8">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30.1</w:t>
      </w:r>
      <w:r>
        <w:rPr>
          <w:rFonts w:hint="eastAsia" w:ascii="宋体" w:hAnsi="宋体" w:eastAsia="宋体" w:cs="宋体"/>
          <w:color w:val="auto"/>
          <w:szCs w:val="21"/>
          <w:highlight w:val="none"/>
        </w:rPr>
        <w:t>本章第10.2项</w:t>
      </w:r>
      <w:r>
        <w:rPr>
          <w:rFonts w:hint="eastAsia" w:ascii="宋体" w:hAnsi="宋体" w:eastAsia="宋体" w:cs="宋体"/>
          <w:color w:val="auto"/>
          <w:kern w:val="0"/>
          <w:szCs w:val="21"/>
          <w:highlight w:val="none"/>
        </w:rPr>
        <w:t>未明确磋商文件实质性变动内容的，或者磋商文件明确了可能发生实质性变动内容，但在磋商过程中，</w:t>
      </w:r>
      <w:r>
        <w:rPr>
          <w:rFonts w:hint="eastAsia" w:ascii="宋体" w:hAnsi="宋体" w:eastAsia="宋体" w:cs="宋体"/>
          <w:bCs/>
          <w:color w:val="auto"/>
          <w:szCs w:val="21"/>
          <w:highlight w:val="none"/>
        </w:rPr>
        <w:t>磋商小组</w:t>
      </w:r>
      <w:r>
        <w:rPr>
          <w:rFonts w:hint="eastAsia" w:ascii="宋体" w:hAnsi="宋体" w:eastAsia="宋体" w:cs="宋体"/>
          <w:color w:val="auto"/>
          <w:kern w:val="0"/>
          <w:szCs w:val="21"/>
          <w:highlight w:val="none"/>
        </w:rPr>
        <w:t>根据磋商情况</w:t>
      </w:r>
      <w:r>
        <w:rPr>
          <w:rFonts w:hint="eastAsia" w:ascii="宋体" w:hAnsi="宋体" w:eastAsia="宋体" w:cs="宋体"/>
          <w:bCs/>
          <w:color w:val="auto"/>
          <w:szCs w:val="21"/>
          <w:highlight w:val="none"/>
        </w:rPr>
        <w:t>认为</w:t>
      </w:r>
      <w:r>
        <w:rPr>
          <w:rFonts w:hint="eastAsia" w:ascii="宋体" w:hAnsi="宋体" w:eastAsia="宋体" w:cs="宋体"/>
          <w:color w:val="auto"/>
          <w:kern w:val="0"/>
          <w:szCs w:val="21"/>
          <w:highlight w:val="none"/>
        </w:rPr>
        <w:t>磋商文件无需发生实质性变动的，磋商小组应当直接与响应文件审查合格的投标人就价格组织多轮磋商。</w:t>
      </w:r>
    </w:p>
    <w:p w14:paraId="7E1C1787">
      <w:pPr>
        <w:widowControl/>
        <w:tabs>
          <w:tab w:val="left" w:pos="1080"/>
          <w:tab w:val="left" w:pos="1260"/>
        </w:tabs>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（1）磋商结束后，磋商小组应当要求所有继续参加磋商的投标人在磋商小组规定时间内提交最后报价。</w:t>
      </w:r>
    </w:p>
    <w:p w14:paraId="103E56AC">
      <w:pPr>
        <w:widowControl/>
        <w:tabs>
          <w:tab w:val="left" w:pos="1080"/>
          <w:tab w:val="left" w:pos="1260"/>
        </w:tabs>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（2）磋商文件明确可能发生实质性变动，但在磋商过程中</w:t>
      </w:r>
      <w:r>
        <w:rPr>
          <w:rFonts w:hint="eastAsia" w:ascii="宋体" w:hAnsi="宋体" w:eastAsia="宋体" w:cs="宋体"/>
          <w:bCs/>
          <w:color w:val="auto"/>
          <w:szCs w:val="21"/>
          <w:highlight w:val="none"/>
        </w:rPr>
        <w:t>磋商小组</w:t>
      </w:r>
      <w:r>
        <w:rPr>
          <w:rFonts w:hint="eastAsia" w:ascii="宋体" w:hAnsi="宋体" w:eastAsia="宋体" w:cs="宋体"/>
          <w:color w:val="auto"/>
          <w:kern w:val="0"/>
          <w:szCs w:val="21"/>
          <w:highlight w:val="none"/>
        </w:rPr>
        <w:t>根据磋商情况</w:t>
      </w:r>
      <w:r>
        <w:rPr>
          <w:rFonts w:hint="eastAsia" w:ascii="宋体" w:hAnsi="宋体" w:eastAsia="宋体" w:cs="宋体"/>
          <w:bCs/>
          <w:color w:val="auto"/>
          <w:szCs w:val="21"/>
          <w:highlight w:val="none"/>
        </w:rPr>
        <w:t>认为</w:t>
      </w:r>
      <w:r>
        <w:rPr>
          <w:rFonts w:hint="eastAsia" w:ascii="宋体" w:hAnsi="宋体" w:eastAsia="宋体" w:cs="宋体"/>
          <w:color w:val="auto"/>
          <w:kern w:val="0"/>
          <w:szCs w:val="21"/>
          <w:highlight w:val="none"/>
        </w:rPr>
        <w:t>磋商文件无需发生实质性变动的，磋商小组不另行通知。</w:t>
      </w:r>
    </w:p>
    <w:p w14:paraId="5A5D1BBA">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30.2</w:t>
      </w:r>
      <w:r>
        <w:rPr>
          <w:rFonts w:hint="eastAsia" w:ascii="宋体" w:hAnsi="宋体" w:eastAsia="宋体" w:cs="宋体"/>
          <w:color w:val="auto"/>
          <w:szCs w:val="21"/>
          <w:highlight w:val="none"/>
        </w:rPr>
        <w:t>本章第10.2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kern w:val="0"/>
          <w:szCs w:val="21"/>
          <w:highlight w:val="none"/>
        </w:rPr>
        <w:t>明确磋商文件实质性变动内容的，</w:t>
      </w:r>
      <w:r>
        <w:rPr>
          <w:rFonts w:hint="eastAsia" w:ascii="宋体" w:hAnsi="宋体" w:eastAsia="宋体" w:cs="宋体"/>
          <w:bCs/>
          <w:color w:val="auto"/>
          <w:szCs w:val="21"/>
          <w:highlight w:val="none"/>
        </w:rPr>
        <w:t>磋商小组</w:t>
      </w:r>
      <w:r>
        <w:rPr>
          <w:rFonts w:hint="eastAsia" w:ascii="宋体" w:hAnsi="宋体" w:eastAsia="宋体" w:cs="宋体"/>
          <w:color w:val="auto"/>
          <w:kern w:val="0"/>
          <w:szCs w:val="21"/>
          <w:highlight w:val="none"/>
        </w:rPr>
        <w:t>可以组织多轮磋商。</w:t>
      </w:r>
      <w:r>
        <w:rPr>
          <w:rFonts w:hint="eastAsia" w:ascii="宋体" w:hAnsi="宋体" w:eastAsia="宋体" w:cs="宋体"/>
          <w:bCs/>
          <w:color w:val="auto"/>
          <w:szCs w:val="21"/>
          <w:highlight w:val="none"/>
        </w:rPr>
        <w:t>在每一轮磋商中，磋商小组</w:t>
      </w:r>
      <w:r>
        <w:rPr>
          <w:rFonts w:hint="eastAsia" w:ascii="宋体" w:hAnsi="宋体" w:eastAsia="宋体" w:cs="宋体"/>
          <w:color w:val="auto"/>
          <w:kern w:val="0"/>
          <w:szCs w:val="21"/>
          <w:highlight w:val="none"/>
        </w:rPr>
        <w:t>可以根据磋商文件规定和磋商情况，</w:t>
      </w:r>
      <w:r>
        <w:rPr>
          <w:rFonts w:hint="eastAsia" w:ascii="宋体" w:hAnsi="宋体" w:eastAsia="宋体" w:cs="宋体"/>
          <w:bCs/>
          <w:color w:val="auto"/>
          <w:szCs w:val="21"/>
          <w:highlight w:val="none"/>
        </w:rPr>
        <w:t>对磋商文件的</w:t>
      </w:r>
      <w:r>
        <w:rPr>
          <w:rFonts w:hint="eastAsia" w:ascii="宋体" w:hAnsi="宋体" w:eastAsia="宋体" w:cs="宋体"/>
          <w:color w:val="auto"/>
          <w:kern w:val="0"/>
          <w:szCs w:val="21"/>
          <w:highlight w:val="none"/>
        </w:rPr>
        <w:t>采购需求中的技术、服务要求以及合同草案条款</w:t>
      </w:r>
      <w:r>
        <w:rPr>
          <w:rFonts w:hint="eastAsia" w:ascii="宋体" w:hAnsi="宋体" w:eastAsia="宋体" w:cs="宋体"/>
          <w:bCs/>
          <w:color w:val="auto"/>
          <w:szCs w:val="21"/>
          <w:highlight w:val="none"/>
        </w:rPr>
        <w:t>作实质性变动(磋商文件的实质性变动内容为磋商文件的组成部分)，并以书面形式要求</w:t>
      </w:r>
      <w:r>
        <w:rPr>
          <w:rFonts w:hint="eastAsia" w:ascii="宋体" w:hAnsi="宋体" w:eastAsia="宋体" w:cs="宋体"/>
          <w:color w:val="auto"/>
          <w:kern w:val="0"/>
          <w:szCs w:val="21"/>
          <w:highlight w:val="none"/>
        </w:rPr>
        <w:t>响应文件审查合格</w:t>
      </w:r>
      <w:r>
        <w:rPr>
          <w:rFonts w:hint="eastAsia" w:ascii="宋体" w:hAnsi="宋体" w:eastAsia="宋体" w:cs="宋体"/>
          <w:bCs/>
          <w:color w:val="auto"/>
          <w:szCs w:val="21"/>
          <w:highlight w:val="none"/>
        </w:rPr>
        <w:t>的投标人，在规定的</w:t>
      </w:r>
      <w:r>
        <w:rPr>
          <w:rFonts w:hint="eastAsia" w:ascii="宋体" w:hAnsi="宋体" w:eastAsia="宋体" w:cs="宋体"/>
          <w:color w:val="auto"/>
          <w:kern w:val="0"/>
          <w:szCs w:val="21"/>
          <w:highlight w:val="none"/>
        </w:rPr>
        <w:t>截止时间前</w:t>
      </w:r>
      <w:r>
        <w:rPr>
          <w:rFonts w:hint="eastAsia" w:ascii="宋体" w:hAnsi="宋体" w:eastAsia="宋体" w:cs="宋体"/>
          <w:bCs/>
          <w:color w:val="auto"/>
          <w:szCs w:val="21"/>
          <w:highlight w:val="none"/>
        </w:rPr>
        <w:t>重</w:t>
      </w:r>
      <w:r>
        <w:rPr>
          <w:rFonts w:hint="eastAsia" w:ascii="宋体" w:hAnsi="宋体" w:eastAsia="宋体" w:cs="宋体"/>
          <w:color w:val="auto"/>
          <w:kern w:val="0"/>
          <w:szCs w:val="21"/>
          <w:highlight w:val="none"/>
        </w:rPr>
        <w:t>新提交响应文件</w:t>
      </w:r>
      <w:r>
        <w:rPr>
          <w:rFonts w:hint="eastAsia" w:ascii="宋体" w:hAnsi="宋体" w:eastAsia="宋体" w:cs="宋体"/>
          <w:bCs/>
          <w:color w:val="auto"/>
          <w:szCs w:val="21"/>
          <w:highlight w:val="none"/>
        </w:rPr>
        <w:t>。</w:t>
      </w:r>
      <w:r>
        <w:rPr>
          <w:rFonts w:hint="eastAsia" w:ascii="宋体" w:hAnsi="宋体" w:eastAsia="宋体" w:cs="宋体"/>
          <w:color w:val="auto"/>
          <w:kern w:val="0"/>
          <w:szCs w:val="21"/>
          <w:highlight w:val="none"/>
        </w:rPr>
        <w:t>磋商小组应当</w:t>
      </w:r>
      <w:r>
        <w:rPr>
          <w:rFonts w:hint="eastAsia" w:ascii="宋体" w:hAnsi="宋体" w:eastAsia="宋体" w:cs="宋体"/>
          <w:color w:val="auto"/>
          <w:szCs w:val="21"/>
          <w:highlight w:val="none"/>
        </w:rPr>
        <w:t>根据本章第26.2</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w:t>
      </w:r>
      <w:r>
        <w:rPr>
          <w:rFonts w:hint="eastAsia" w:ascii="宋体" w:hAnsi="宋体" w:eastAsia="宋体" w:cs="宋体"/>
          <w:color w:val="auto"/>
          <w:kern w:val="0"/>
          <w:szCs w:val="21"/>
          <w:highlight w:val="none"/>
        </w:rPr>
        <w:t>对投标人重新提交的响应文件进行审查。投标人重新提交的响应文件审查不合格的，不得进入下一轮磋商，也不得要求提交最后报价。</w:t>
      </w:r>
    </w:p>
    <w:p w14:paraId="44586692">
      <w:pPr>
        <w:adjustRightInd w:val="0"/>
        <w:snapToGrid w:val="0"/>
        <w:spacing w:line="400" w:lineRule="exact"/>
        <w:ind w:firstLine="315" w:firstLineChars="1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（1）磋商文件能够详细列明采购需求的技术、服务要求的，磋商结束后，磋商小组应当要求所有继续参加磋商的投标人在规定时间内提交最后报价。</w:t>
      </w:r>
    </w:p>
    <w:p w14:paraId="2E44A9E6">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磋商文件不能详细列明采购需求的技术、服务要求，需经磋商由投标人提供最终设计方案或解决方案的，磋商结束后，磋商小组应当按照少数服从多数的原则投票推荐3家以上投标人的设计方案或者解决方案，并要求其在规定时间内提交最后报价。</w:t>
      </w:r>
    </w:p>
    <w:p w14:paraId="4F4FDA9C">
      <w:pPr>
        <w:widowControl/>
        <w:adjustRightInd w:val="0"/>
        <w:snapToGrid w:val="0"/>
        <w:spacing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30.3</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重</w:t>
      </w:r>
      <w:r>
        <w:rPr>
          <w:rFonts w:hint="eastAsia" w:ascii="宋体" w:hAnsi="宋体" w:eastAsia="宋体" w:cs="宋体"/>
          <w:color w:val="auto"/>
          <w:kern w:val="0"/>
          <w:szCs w:val="21"/>
          <w:highlight w:val="none"/>
        </w:rPr>
        <w:t>新提交的响应文件</w:t>
      </w:r>
      <w:r>
        <w:rPr>
          <w:rFonts w:hint="eastAsia" w:ascii="宋体" w:hAnsi="宋体" w:eastAsia="宋体" w:cs="宋体"/>
          <w:color w:val="auto"/>
          <w:szCs w:val="21"/>
          <w:highlight w:val="none"/>
        </w:rPr>
        <w:t>或者最后报价应按</w:t>
      </w:r>
      <w:r>
        <w:rPr>
          <w:rFonts w:hint="eastAsia" w:ascii="宋体" w:hAnsi="宋体" w:eastAsia="宋体" w:cs="宋体"/>
          <w:color w:val="auto"/>
          <w:kern w:val="0"/>
          <w:szCs w:val="21"/>
          <w:highlight w:val="none"/>
        </w:rPr>
        <w:t>本章第</w:t>
      </w:r>
      <w:r>
        <w:rPr>
          <w:rFonts w:hint="eastAsia" w:ascii="宋体" w:hAnsi="宋体" w:eastAsia="宋体" w:cs="宋体"/>
          <w:color w:val="auto"/>
          <w:szCs w:val="21"/>
          <w:highlight w:val="none"/>
        </w:rPr>
        <w:t>21.3</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w:t>
      </w:r>
      <w:r>
        <w:rPr>
          <w:rFonts w:hint="eastAsia" w:ascii="宋体" w:hAnsi="宋体" w:eastAsia="宋体" w:cs="宋体"/>
          <w:color w:val="auto"/>
          <w:kern w:val="0"/>
          <w:szCs w:val="21"/>
          <w:highlight w:val="none"/>
        </w:rPr>
        <w:t>由其法定代表人或其委托代理人签字或者加盖投标人公章，在规定时间内密封递交给磋商小组</w:t>
      </w:r>
      <w:r>
        <w:rPr>
          <w:rFonts w:hint="eastAsia" w:ascii="宋体" w:hAnsi="宋体" w:eastAsia="宋体" w:cs="宋体"/>
          <w:bCs/>
          <w:color w:val="auto"/>
          <w:szCs w:val="21"/>
          <w:highlight w:val="none"/>
        </w:rPr>
        <w:t>。</w:t>
      </w:r>
    </w:p>
    <w:p w14:paraId="252FC518">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30.4</w:t>
      </w:r>
      <w:r>
        <w:rPr>
          <w:rFonts w:hint="eastAsia" w:ascii="宋体" w:hAnsi="宋体" w:eastAsia="宋体" w:cs="宋体"/>
          <w:color w:val="auto"/>
          <w:kern w:val="0"/>
          <w:szCs w:val="21"/>
          <w:highlight w:val="none"/>
          <w:lang w:val="zh-CN"/>
        </w:rPr>
        <w:t>投标人的</w:t>
      </w:r>
      <w:r>
        <w:rPr>
          <w:rFonts w:hint="eastAsia" w:ascii="宋体" w:hAnsi="宋体" w:eastAsia="宋体" w:cs="宋体"/>
          <w:bCs/>
          <w:color w:val="auto"/>
          <w:szCs w:val="21"/>
          <w:highlight w:val="none"/>
        </w:rPr>
        <w:t>最</w:t>
      </w:r>
      <w:r>
        <w:rPr>
          <w:rFonts w:hint="eastAsia" w:ascii="宋体" w:hAnsi="宋体" w:eastAsia="宋体" w:cs="宋体"/>
          <w:color w:val="auto"/>
          <w:kern w:val="0"/>
          <w:szCs w:val="21"/>
          <w:highlight w:val="none"/>
          <w:lang w:val="zh-CN"/>
        </w:rPr>
        <w:t>后</w:t>
      </w:r>
      <w:r>
        <w:rPr>
          <w:rFonts w:hint="eastAsia" w:ascii="宋体" w:hAnsi="宋体" w:eastAsia="宋体" w:cs="宋体"/>
          <w:bCs/>
          <w:color w:val="auto"/>
          <w:szCs w:val="21"/>
          <w:highlight w:val="none"/>
        </w:rPr>
        <w:t>报价及</w:t>
      </w:r>
      <w:r>
        <w:rPr>
          <w:rFonts w:hint="eastAsia" w:ascii="宋体" w:hAnsi="宋体" w:eastAsia="宋体" w:cs="宋体"/>
          <w:color w:val="auto"/>
          <w:kern w:val="0"/>
          <w:szCs w:val="21"/>
          <w:highlight w:val="none"/>
        </w:rPr>
        <w:t>政府采购政策规定的价格扣除情况，磋商小组应召集所有参加最后报价的投标人当场开封</w:t>
      </w:r>
      <w:r>
        <w:rPr>
          <w:rFonts w:hint="eastAsia" w:ascii="宋体" w:hAnsi="宋体" w:eastAsia="宋体" w:cs="宋体"/>
          <w:bCs/>
          <w:color w:val="auto"/>
          <w:szCs w:val="21"/>
          <w:highlight w:val="none"/>
        </w:rPr>
        <w:t>公布，并由投标人代表签字确认。</w:t>
      </w:r>
    </w:p>
    <w:p w14:paraId="5F24D7B2">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30.5提交首次响应文件的投标人，在提交最后报价之前，可以根据磋商情况退出磋商，并书面通知采购代理机构或者磋商小组。</w:t>
      </w:r>
      <w:r>
        <w:rPr>
          <w:rFonts w:hint="eastAsia" w:ascii="宋体" w:hAnsi="宋体" w:eastAsia="宋体" w:cs="宋体"/>
          <w:color w:val="auto"/>
          <w:szCs w:val="21"/>
          <w:highlight w:val="none"/>
        </w:rPr>
        <w:t>该通知由投标人法定代表人或其委托代理人签字。</w:t>
      </w:r>
      <w:r>
        <w:rPr>
          <w:rFonts w:hint="eastAsia" w:ascii="宋体" w:hAnsi="宋体" w:eastAsia="宋体" w:cs="宋体"/>
          <w:color w:val="auto"/>
          <w:kern w:val="0"/>
          <w:szCs w:val="21"/>
          <w:highlight w:val="none"/>
        </w:rPr>
        <w:t>采购代理机构按本章第</w:t>
      </w:r>
      <w:r>
        <w:rPr>
          <w:rFonts w:hint="eastAsia" w:ascii="宋体" w:hAnsi="宋体" w:eastAsia="宋体" w:cs="宋体"/>
          <w:color w:val="auto"/>
          <w:szCs w:val="21"/>
          <w:highlight w:val="none"/>
        </w:rPr>
        <w:t>19.4</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w:t>
      </w:r>
      <w:r>
        <w:rPr>
          <w:rFonts w:hint="eastAsia" w:ascii="宋体" w:hAnsi="宋体" w:eastAsia="宋体" w:cs="宋体"/>
          <w:color w:val="auto"/>
          <w:kern w:val="0"/>
          <w:szCs w:val="21"/>
          <w:highlight w:val="none"/>
        </w:rPr>
        <w:t>退还退出磋商的投标人的磋商保证金。</w:t>
      </w:r>
    </w:p>
    <w:p w14:paraId="10ED0D36">
      <w:pPr>
        <w:adjustRightInd w:val="0"/>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bCs/>
          <w:color w:val="auto"/>
          <w:szCs w:val="21"/>
          <w:highlight w:val="none"/>
        </w:rPr>
        <w:t>30.6</w:t>
      </w:r>
      <w:r>
        <w:rPr>
          <w:rFonts w:hint="eastAsia" w:ascii="宋体" w:hAnsi="宋体" w:eastAsia="宋体" w:cs="宋体"/>
          <w:color w:val="auto"/>
          <w:kern w:val="0"/>
          <w:szCs w:val="21"/>
          <w:highlight w:val="none"/>
        </w:rPr>
        <w:t>提交首次响应文件的投标人，未按磋商文件规定及磋商小组要求提交最后报价(或者</w:t>
      </w:r>
      <w:r>
        <w:rPr>
          <w:rFonts w:hint="eastAsia" w:ascii="宋体" w:hAnsi="宋体" w:eastAsia="宋体" w:cs="宋体"/>
          <w:bCs/>
          <w:color w:val="auto"/>
          <w:szCs w:val="21"/>
          <w:highlight w:val="none"/>
        </w:rPr>
        <w:t>重</w:t>
      </w:r>
      <w:r>
        <w:rPr>
          <w:rFonts w:hint="eastAsia" w:ascii="宋体" w:hAnsi="宋体" w:eastAsia="宋体" w:cs="宋体"/>
          <w:color w:val="auto"/>
          <w:kern w:val="0"/>
          <w:szCs w:val="21"/>
          <w:highlight w:val="none"/>
        </w:rPr>
        <w:t>新提交的响应文件和最后报价)，且又未按本章第</w:t>
      </w:r>
      <w:r>
        <w:rPr>
          <w:rFonts w:hint="eastAsia" w:ascii="宋体" w:hAnsi="宋体" w:eastAsia="宋体" w:cs="宋体"/>
          <w:color w:val="auto"/>
          <w:szCs w:val="21"/>
          <w:highlight w:val="none"/>
        </w:rPr>
        <w:t>30.5</w:t>
      </w:r>
      <w:r>
        <w:rPr>
          <w:rFonts w:hint="eastAsia" w:ascii="宋体" w:hAnsi="宋体" w:eastAsia="宋体" w:cs="宋体"/>
          <w:color w:val="auto"/>
          <w:kern w:val="0"/>
          <w:szCs w:val="21"/>
          <w:highlight w:val="none"/>
          <w:lang w:val="zh-CN"/>
        </w:rPr>
        <w:t>款</w:t>
      </w:r>
      <w:r>
        <w:rPr>
          <w:rFonts w:hint="eastAsia" w:ascii="宋体" w:hAnsi="宋体" w:eastAsia="宋体" w:cs="宋体"/>
          <w:color w:val="auto"/>
          <w:szCs w:val="21"/>
          <w:highlight w:val="none"/>
        </w:rPr>
        <w:t>规定</w:t>
      </w:r>
      <w:r>
        <w:rPr>
          <w:rFonts w:hint="eastAsia" w:ascii="宋体" w:hAnsi="宋体" w:eastAsia="宋体" w:cs="宋体"/>
          <w:color w:val="auto"/>
          <w:kern w:val="0"/>
          <w:szCs w:val="21"/>
          <w:highlight w:val="none"/>
        </w:rPr>
        <w:t>退出磋商的，投标人的磋商保证金不予退还。</w:t>
      </w:r>
    </w:p>
    <w:p w14:paraId="6C46B2C0">
      <w:pPr>
        <w:adjustRightInd w:val="0"/>
        <w:snapToGrid w:val="0"/>
        <w:spacing w:line="40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30.7磋商文件在磋商过程中未发生实质性变动的，参加磋商投标人的次轮报价不得高于上轮报价，否则视为无效报价。</w:t>
      </w:r>
    </w:p>
    <w:p w14:paraId="048772D4">
      <w:pPr>
        <w:widowControl/>
        <w:adjustRightInd w:val="0"/>
        <w:snapToGrid w:val="0"/>
        <w:spacing w:line="400" w:lineRule="exact"/>
        <w:jc w:val="left"/>
        <w:rPr>
          <w:rFonts w:hint="eastAsia" w:ascii="宋体" w:hAnsi="宋体" w:eastAsia="宋体" w:cs="宋体"/>
          <w:b/>
          <w:bCs/>
          <w:color w:val="auto"/>
          <w:szCs w:val="21"/>
          <w:highlight w:val="none"/>
        </w:rPr>
      </w:pPr>
      <w:r>
        <w:rPr>
          <w:rFonts w:hint="eastAsia" w:ascii="宋体" w:hAnsi="宋体" w:eastAsia="宋体" w:cs="宋体"/>
          <w:b/>
          <w:color w:val="auto"/>
          <w:kern w:val="0"/>
          <w:szCs w:val="21"/>
          <w:highlight w:val="none"/>
        </w:rPr>
        <w:t>31.响应文件评审</w:t>
      </w:r>
    </w:p>
    <w:p w14:paraId="6BBF73EE">
      <w:pPr>
        <w:widowControl/>
        <w:adjustRightInd w:val="0"/>
        <w:snapToGrid w:val="0"/>
        <w:spacing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31.1经磋商确定最终采购需求和提交最后报价的投标人后，由磋商小组采用综合评分法对提交最后报价的投标人的响应文件和最后报价进行综合评价。</w:t>
      </w:r>
    </w:p>
    <w:p w14:paraId="39B96605">
      <w:pPr>
        <w:widowControl/>
        <w:adjustRightInd w:val="0"/>
        <w:snapToGrid w:val="0"/>
        <w:spacing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31.2</w:t>
      </w:r>
      <w:r>
        <w:rPr>
          <w:rFonts w:hint="eastAsia" w:ascii="宋体" w:hAnsi="宋体" w:eastAsia="宋体" w:cs="宋体"/>
          <w:bCs/>
          <w:color w:val="auto"/>
          <w:spacing w:val="-2"/>
          <w:szCs w:val="21"/>
          <w:highlight w:val="none"/>
        </w:rPr>
        <w:t>综合评分法，是指响应文件满足磋商文件全部实质性要求且按评审因素的评审得分最高的投标人为成交候选投标人的评审方法。本采购项目的评审因素和标准见</w:t>
      </w:r>
      <w:r>
        <w:rPr>
          <w:rFonts w:hint="eastAsia" w:ascii="宋体" w:hAnsi="宋体" w:eastAsia="宋体" w:cs="宋体"/>
          <w:b/>
          <w:bCs/>
          <w:color w:val="auto"/>
          <w:spacing w:val="-2"/>
          <w:szCs w:val="21"/>
          <w:highlight w:val="none"/>
        </w:rPr>
        <w:t>磋商须知前附表</w:t>
      </w:r>
      <w:r>
        <w:rPr>
          <w:rFonts w:hint="eastAsia" w:ascii="宋体" w:hAnsi="宋体" w:eastAsia="宋体" w:cs="宋体"/>
          <w:b/>
          <w:bCs/>
          <w:color w:val="auto"/>
          <w:szCs w:val="21"/>
          <w:highlight w:val="none"/>
        </w:rPr>
        <w:t>。</w:t>
      </w:r>
    </w:p>
    <w:p w14:paraId="1B14EA59">
      <w:pPr>
        <w:widowControl/>
        <w:adjustRightInd w:val="0"/>
        <w:snapToGrid w:val="0"/>
        <w:spacing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31.3</w:t>
      </w:r>
      <w:r>
        <w:rPr>
          <w:rFonts w:hint="eastAsia" w:ascii="宋体" w:hAnsi="宋体" w:eastAsia="宋体" w:cs="宋体"/>
          <w:color w:val="auto"/>
          <w:szCs w:val="21"/>
          <w:highlight w:val="none"/>
        </w:rPr>
        <w:t>最后报价调整。磋商小组以各投标人最后报价为基础，按照符合政府采购支持中小企业发展的相应条件，对投标人的最后报价进行价格扣除，用扣除后的最后报价计算价格得分，具体价格扣除比例见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w:t>
      </w:r>
    </w:p>
    <w:p w14:paraId="75F91562">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31.4综合评分法中的价格分采用低价优先法计算，即满足磋商文件要求且经调整后的最后报价最低的投标人的价格为磋商基准价，其价格分为满分。其他投标人的价格分按照下列公式计算：</w:t>
      </w:r>
    </w:p>
    <w:p w14:paraId="0B366B75">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磋商报价得分=（磋商基准价/最后磋商报价）×价格分值</w:t>
      </w:r>
    </w:p>
    <w:p w14:paraId="21A688CA">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项目评审过程中，不得去掉最后报价中的最高报价和最低报价。</w:t>
      </w:r>
    </w:p>
    <w:p w14:paraId="490C52CE">
      <w:pPr>
        <w:widowControl/>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31.5</w:t>
      </w:r>
      <w:r>
        <w:rPr>
          <w:rFonts w:hint="eastAsia" w:ascii="宋体" w:hAnsi="宋体" w:eastAsia="宋体" w:cs="宋体"/>
          <w:color w:val="auto"/>
          <w:szCs w:val="21"/>
          <w:highlight w:val="none"/>
        </w:rPr>
        <w:t>涉及政府采购政策优惠对投标人分值进行调整的，</w:t>
      </w:r>
      <w:r>
        <w:rPr>
          <w:rFonts w:hint="eastAsia" w:ascii="宋体" w:hAnsi="宋体" w:eastAsia="宋体" w:cs="宋体"/>
          <w:bCs/>
          <w:color w:val="auto"/>
          <w:szCs w:val="21"/>
          <w:highlight w:val="none"/>
        </w:rPr>
        <w:t>按</w:t>
      </w:r>
      <w:r>
        <w:rPr>
          <w:rFonts w:hint="eastAsia" w:ascii="宋体" w:hAnsi="宋体" w:eastAsia="宋体" w:cs="宋体"/>
          <w:b/>
          <w:color w:val="auto"/>
          <w:szCs w:val="21"/>
          <w:highlight w:val="none"/>
        </w:rPr>
        <w:t>磋商须知前附表</w:t>
      </w:r>
      <w:r>
        <w:rPr>
          <w:rFonts w:hint="eastAsia" w:ascii="宋体" w:hAnsi="宋体" w:eastAsia="宋体" w:cs="宋体"/>
          <w:bCs/>
          <w:color w:val="auto"/>
          <w:szCs w:val="21"/>
          <w:highlight w:val="none"/>
        </w:rPr>
        <w:t>规定</w:t>
      </w:r>
      <w:r>
        <w:rPr>
          <w:rFonts w:hint="eastAsia" w:ascii="宋体" w:hAnsi="宋体" w:eastAsia="宋体" w:cs="宋体"/>
          <w:color w:val="auto"/>
          <w:szCs w:val="21"/>
          <w:highlight w:val="none"/>
        </w:rPr>
        <w:t>调整投标人的技术、商务、价格</w:t>
      </w:r>
      <w:r>
        <w:rPr>
          <w:rFonts w:hint="eastAsia" w:ascii="宋体" w:hAnsi="宋体" w:eastAsia="宋体" w:cs="宋体"/>
          <w:color w:val="auto"/>
          <w:kern w:val="0"/>
          <w:szCs w:val="21"/>
          <w:highlight w:val="none"/>
        </w:rPr>
        <w:t>得分或总得分</w:t>
      </w:r>
      <w:r>
        <w:rPr>
          <w:rFonts w:hint="eastAsia" w:ascii="宋体" w:hAnsi="宋体" w:eastAsia="宋体" w:cs="宋体"/>
          <w:color w:val="auto"/>
          <w:szCs w:val="21"/>
          <w:highlight w:val="none"/>
        </w:rPr>
        <w:t>。</w:t>
      </w:r>
    </w:p>
    <w:p w14:paraId="1DBAF178">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31.6涉及多处或部分获得政府采购政策优惠的，其多处或部分享受政府采购优惠政策的计算方法见</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相关规定。</w:t>
      </w:r>
    </w:p>
    <w:p w14:paraId="5A797397">
      <w:pPr>
        <w:widowControl/>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31.7</w:t>
      </w:r>
      <w:r>
        <w:rPr>
          <w:rFonts w:hint="eastAsia" w:ascii="宋体" w:hAnsi="宋体" w:eastAsia="宋体" w:cs="宋体"/>
          <w:color w:val="auto"/>
          <w:szCs w:val="21"/>
          <w:highlight w:val="none"/>
        </w:rPr>
        <w:t>评审时，磋商小组各成员应当独立对每个投标人的</w:t>
      </w:r>
      <w:r>
        <w:rPr>
          <w:rFonts w:hint="eastAsia" w:ascii="宋体" w:hAnsi="宋体" w:eastAsia="宋体" w:cs="宋体"/>
          <w:bCs/>
          <w:color w:val="auto"/>
          <w:szCs w:val="21"/>
          <w:highlight w:val="none"/>
        </w:rPr>
        <w:t>响应文件</w:t>
      </w:r>
      <w:r>
        <w:rPr>
          <w:rFonts w:hint="eastAsia" w:ascii="宋体" w:hAnsi="宋体" w:eastAsia="宋体" w:cs="宋体"/>
          <w:color w:val="auto"/>
          <w:szCs w:val="21"/>
          <w:highlight w:val="none"/>
        </w:rPr>
        <w:t>进行评价、评分，并按照政府采购优惠政策对最后报价进行价格扣除和技术、商务、价格加分后，汇总各投标人的总得分。</w:t>
      </w:r>
    </w:p>
    <w:p w14:paraId="6B11820B">
      <w:pPr>
        <w:widowControl/>
        <w:adjustRightInd w:val="0"/>
        <w:snapToGrid w:val="0"/>
        <w:spacing w:line="400" w:lineRule="exact"/>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32</w:t>
      </w:r>
      <w:r>
        <w:rPr>
          <w:rFonts w:hint="eastAsia" w:ascii="宋体" w:hAnsi="宋体" w:eastAsia="宋体" w:cs="宋体"/>
          <w:b/>
          <w:color w:val="auto"/>
          <w:kern w:val="0"/>
          <w:szCs w:val="21"/>
          <w:highlight w:val="none"/>
        </w:rPr>
        <w:t>.</w:t>
      </w:r>
      <w:r>
        <w:rPr>
          <w:rFonts w:hint="eastAsia" w:ascii="宋体" w:hAnsi="宋体" w:eastAsia="宋体" w:cs="宋体"/>
          <w:b/>
          <w:bCs/>
          <w:color w:val="auto"/>
          <w:szCs w:val="21"/>
          <w:highlight w:val="none"/>
        </w:rPr>
        <w:t>提出成交人</w:t>
      </w:r>
    </w:p>
    <w:p w14:paraId="003C85BF">
      <w:pPr>
        <w:widowControl/>
        <w:spacing w:line="40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磋商小组应当根据综合评分情况，按照评审得分由高到低顺序推荐3名以上成交候选人，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eastAsia="宋体" w:cs="宋体"/>
          <w:color w:val="auto"/>
          <w:kern w:val="0"/>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eastAsia="宋体" w:cs="宋体"/>
          <w:bCs/>
          <w:color w:val="auto"/>
          <w:szCs w:val="21"/>
          <w:highlight w:val="none"/>
        </w:rPr>
        <w:t>可以推荐2家成交候选人。</w:t>
      </w:r>
    </w:p>
    <w:p w14:paraId="0A1D8806">
      <w:pPr>
        <w:tabs>
          <w:tab w:val="left" w:pos="0"/>
        </w:tabs>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33.确定成交人</w:t>
      </w:r>
    </w:p>
    <w:p w14:paraId="7ED571EC">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33.1采购代理机构应当在评审结束后2个工作日内将评审报告送采购人确认。</w:t>
      </w:r>
    </w:p>
    <w:p w14:paraId="05B9B473">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33.2采购人应当在收到评审报告后5个工作日内，从评审报告提出的成交候选人中，按照排序由高到低的原则确定成交人，也可以书面授权磋商小组直接确定成交人。</w:t>
      </w:r>
    </w:p>
    <w:p w14:paraId="2203B987">
      <w:pPr>
        <w:tabs>
          <w:tab w:val="left" w:pos="0"/>
        </w:tabs>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34.磋商终止</w:t>
      </w:r>
    </w:p>
    <w:p w14:paraId="5845E8A3">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出现下列情形之一的，采购人或者采购代理机构应当终止竞争性磋商采购活动，</w:t>
      </w:r>
      <w:r>
        <w:rPr>
          <w:rFonts w:hint="eastAsia" w:ascii="宋体" w:hAnsi="宋体" w:eastAsia="宋体" w:cs="宋体"/>
          <w:color w:val="auto"/>
          <w:szCs w:val="21"/>
          <w:highlight w:val="none"/>
        </w:rPr>
        <w:t>在本章第37.1款指定的媒体上</w:t>
      </w:r>
      <w:r>
        <w:rPr>
          <w:rFonts w:hint="eastAsia" w:ascii="宋体" w:hAnsi="宋体" w:eastAsia="宋体" w:cs="宋体"/>
          <w:color w:val="auto"/>
          <w:kern w:val="0"/>
          <w:szCs w:val="21"/>
          <w:highlight w:val="none"/>
        </w:rPr>
        <w:t xml:space="preserve">发布项目终止公告并说明原因，重新开展采购活动： </w:t>
      </w:r>
    </w:p>
    <w:p w14:paraId="2890F066">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（1）因情况变化，不再符合规定的竞争性磋商采购方式适用情形的；</w:t>
      </w:r>
    </w:p>
    <w:p w14:paraId="54FC8E16">
      <w:pPr>
        <w:widowControl/>
        <w:adjustRightInd w:val="0"/>
        <w:snapToGrid w:val="0"/>
        <w:spacing w:line="400" w:lineRule="exact"/>
        <w:ind w:firstLine="315" w:firstLineChars="15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（2）出现影响采购公正的违法、违规行为的；</w:t>
      </w:r>
    </w:p>
    <w:p w14:paraId="69736045">
      <w:pPr>
        <w:widowControl/>
        <w:adjustRightInd w:val="0"/>
        <w:snapToGrid w:val="0"/>
        <w:spacing w:line="400" w:lineRule="exact"/>
        <w:ind w:firstLine="315" w:firstLineChars="15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bCs/>
          <w:color w:val="auto"/>
          <w:szCs w:val="21"/>
          <w:highlight w:val="none"/>
        </w:rPr>
        <w:t>除《政府采购竞争性磋商采购方式管理暂行办法》(财库〔2014〕214号)</w:t>
      </w:r>
      <w:r>
        <w:rPr>
          <w:rFonts w:hint="eastAsia" w:ascii="宋体" w:hAnsi="宋体" w:eastAsia="宋体" w:cs="宋体"/>
          <w:color w:val="auto"/>
          <w:kern w:val="0"/>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eastAsia="宋体" w:cs="宋体"/>
          <w:bCs/>
          <w:color w:val="auto"/>
          <w:szCs w:val="21"/>
          <w:highlight w:val="none"/>
        </w:rPr>
        <w:t>情形外，在采购过程中符合要求的投标人或者报价未超过采购预算的投标人不足3家的；</w:t>
      </w:r>
    </w:p>
    <w:p w14:paraId="0BDFA24F">
      <w:pPr>
        <w:widowControl/>
        <w:adjustRightInd w:val="0"/>
        <w:snapToGrid w:val="0"/>
        <w:spacing w:line="400" w:lineRule="exact"/>
        <w:ind w:firstLine="315" w:firstLineChars="15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（4）因重大变故，采购任务取消的。</w:t>
      </w:r>
    </w:p>
    <w:p w14:paraId="271A5633">
      <w:pPr>
        <w:widowControl/>
        <w:adjustRightInd w:val="0"/>
        <w:snapToGrid w:val="0"/>
        <w:spacing w:line="40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35．重新评审</w:t>
      </w:r>
    </w:p>
    <w:p w14:paraId="1A3F3CAA">
      <w:pPr>
        <w:widowControl/>
        <w:adjustRightInd w:val="0"/>
        <w:snapToGrid w:val="0"/>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9133A16">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36.保密及串通行为</w:t>
      </w:r>
    </w:p>
    <w:p w14:paraId="21EB2C7A">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36.1磋商小组成员以及与评审工作有关的人员不得泄露评审情况以及评审过程中获悉的国家秘密、商业秘密。</w:t>
      </w:r>
    </w:p>
    <w:p w14:paraId="50784D12">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36.2</w:t>
      </w:r>
      <w:r>
        <w:rPr>
          <w:rFonts w:hint="eastAsia" w:ascii="宋体" w:hAnsi="宋体" w:eastAsia="宋体" w:cs="宋体"/>
          <w:color w:val="auto"/>
          <w:kern w:val="0"/>
          <w:szCs w:val="21"/>
          <w:highlight w:val="none"/>
        </w:rPr>
        <w:t>投标人</w:t>
      </w:r>
      <w:r>
        <w:rPr>
          <w:rFonts w:hint="eastAsia" w:ascii="宋体" w:hAnsi="宋体" w:eastAsia="宋体" w:cs="宋体"/>
          <w:color w:val="auto"/>
          <w:szCs w:val="21"/>
          <w:highlight w:val="none"/>
        </w:rPr>
        <w:t>不得与</w:t>
      </w:r>
      <w:r>
        <w:rPr>
          <w:rFonts w:hint="eastAsia" w:ascii="宋体" w:hAnsi="宋体" w:eastAsia="宋体" w:cs="宋体"/>
          <w:color w:val="auto"/>
          <w:kern w:val="0"/>
          <w:szCs w:val="21"/>
          <w:highlight w:val="none"/>
        </w:rPr>
        <w:t>采购人、采购代理机构、其他投标人恶意</w:t>
      </w:r>
      <w:r>
        <w:rPr>
          <w:rFonts w:hint="eastAsia" w:ascii="宋体" w:hAnsi="宋体" w:eastAsia="宋体" w:cs="宋体"/>
          <w:color w:val="auto"/>
          <w:szCs w:val="21"/>
          <w:highlight w:val="none"/>
        </w:rPr>
        <w:t>串通；不得向</w:t>
      </w:r>
      <w:r>
        <w:rPr>
          <w:rFonts w:hint="eastAsia" w:ascii="宋体" w:hAnsi="宋体" w:eastAsia="宋体" w:cs="宋体"/>
          <w:color w:val="auto"/>
          <w:kern w:val="0"/>
          <w:szCs w:val="21"/>
          <w:highlight w:val="none"/>
        </w:rPr>
        <w:t>采购人、采购代理机构</w:t>
      </w:r>
      <w:r>
        <w:rPr>
          <w:rFonts w:hint="eastAsia" w:ascii="宋体" w:hAnsi="宋体" w:eastAsia="宋体" w:cs="宋体"/>
          <w:color w:val="auto"/>
          <w:szCs w:val="21"/>
          <w:highlight w:val="none"/>
        </w:rPr>
        <w:t>或者磋商小组成员行贿或者提供其他不正当利益；不得提供虚假资料谋取成交；不得以任何方式干扰、影响采购工作。</w:t>
      </w:r>
    </w:p>
    <w:p w14:paraId="770F3652">
      <w:pPr>
        <w:pStyle w:val="16"/>
        <w:adjustRightInd w:val="0"/>
        <w:snapToGrid w:val="0"/>
        <w:spacing w:before="0" w:beforeAutospacing="0" w:after="0" w:afterAutospacing="0" w:line="40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36.3</w:t>
      </w:r>
      <w:r>
        <w:rPr>
          <w:rFonts w:hint="eastAsia" w:ascii="宋体" w:hAnsi="宋体" w:eastAsia="宋体" w:cs="宋体"/>
          <w:color w:val="auto"/>
          <w:sz w:val="21"/>
          <w:szCs w:val="21"/>
          <w:highlight w:val="none"/>
          <w:lang w:val="zh-CN"/>
        </w:rPr>
        <w:t>有下列情形之一的，属于恶意串通，对投标人依照政府采购法第七十七条第一款的规定追究法律责任：</w:t>
      </w:r>
    </w:p>
    <w:p w14:paraId="6C397204">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（1）投标人直接或者间接从采购人或者采购代理机构处获得其他投标人的相关情况并修改其响应文件；</w:t>
      </w:r>
    </w:p>
    <w:p w14:paraId="50F399F5">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（2）投标人按照采购人或者采购代理机构的授意撤换、修改响应文件；</w:t>
      </w:r>
    </w:p>
    <w:p w14:paraId="7B2EF440">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（3）投标人之间协商报价、技术方案等响应文件的实质性内容；</w:t>
      </w:r>
    </w:p>
    <w:p w14:paraId="2E41DEC2">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（4）属于同一集团、协会、商会等组织成员的投标人按照该组织要求协同参加政府采购活动；</w:t>
      </w:r>
    </w:p>
    <w:p w14:paraId="73EBFBEF">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（5）投标人之间事先约定由某一特定投标人中标、成交；</w:t>
      </w:r>
    </w:p>
    <w:p w14:paraId="6122B306">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（6）投标人之间商定部分投标人放弃参加政府采购活动或者放弃中标、成交；</w:t>
      </w:r>
    </w:p>
    <w:p w14:paraId="401F7624">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（7）投标人与采购人或者采购代理机构之间、投标人相互之间，为谋求特定投标人中标、成交或者排斥其他投标人的其他串通行为。</w:t>
      </w:r>
    </w:p>
    <w:p w14:paraId="06C2BD14">
      <w:pPr>
        <w:pStyle w:val="16"/>
        <w:adjustRightInd w:val="0"/>
        <w:snapToGrid w:val="0"/>
        <w:spacing w:before="0" w:beforeAutospacing="0" w:after="0" w:afterAutospacing="0" w:line="400" w:lineRule="exact"/>
        <w:ind w:firstLine="315" w:firstLineChars="150"/>
        <w:rPr>
          <w:rFonts w:hint="eastAsia" w:ascii="宋体" w:hAnsi="宋体" w:eastAsia="宋体" w:cs="宋体"/>
          <w:color w:val="auto"/>
          <w:sz w:val="21"/>
          <w:szCs w:val="21"/>
          <w:highlight w:val="none"/>
          <w:lang w:val="zh-CN"/>
        </w:rPr>
      </w:pPr>
    </w:p>
    <w:p w14:paraId="4351D996">
      <w:pPr>
        <w:adjustRightInd w:val="0"/>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六、成交结果信息公布与授予合同</w:t>
      </w:r>
    </w:p>
    <w:p w14:paraId="2755CB3E">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37.成交信息的公布</w:t>
      </w:r>
    </w:p>
    <w:p w14:paraId="0915696C">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成交人确定后2个工作日内，成交结果信息将在</w:t>
      </w:r>
      <w:r>
        <w:rPr>
          <w:rFonts w:hint="eastAsia" w:ascii="宋体" w:hAnsi="宋体" w:eastAsia="宋体" w:cs="宋体"/>
          <w:b/>
          <w:color w:val="auto"/>
          <w:sz w:val="21"/>
          <w:highlight w:val="none"/>
        </w:rPr>
        <w:t>磋商须知前附表</w:t>
      </w:r>
      <w:r>
        <w:rPr>
          <w:rFonts w:hint="eastAsia" w:ascii="宋体" w:hAnsi="宋体" w:eastAsia="宋体" w:cs="宋体"/>
          <w:color w:val="auto"/>
          <w:sz w:val="21"/>
          <w:highlight w:val="none"/>
        </w:rPr>
        <w:t>指定的媒体上公布。</w:t>
      </w:r>
    </w:p>
    <w:p w14:paraId="28CD2FFA">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38.询问及质疑</w:t>
      </w:r>
    </w:p>
    <w:p w14:paraId="6A5F190C">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38.1投标人对政府采购活动事项有疑问的，可以向采购人或采购代理机构提出询问。</w:t>
      </w:r>
    </w:p>
    <w:p w14:paraId="0713A30B">
      <w:pPr>
        <w:adjustRightInd w:val="0"/>
        <w:snapToGrid w:val="0"/>
        <w:spacing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38.2投标人若认为磋商文件、采购过程和成交结果使自己的权益受到损害，可以按法律、行政法规及湖南省财政厅规范性文件规定向采购人或采购代理机构提出质疑。</w:t>
      </w:r>
    </w:p>
    <w:p w14:paraId="615C69F3">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39.成交通知</w:t>
      </w:r>
    </w:p>
    <w:p w14:paraId="164CE3CB">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39.1成交人确定后，采购人或采购代理机构将以书面形式向成交人发出成交通知书。成交通知书对采购人和成交人具有同等法律效力。</w:t>
      </w:r>
    </w:p>
    <w:p w14:paraId="4577C6E7">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39.2 成交通知书是合同文件的组成部分。</w:t>
      </w:r>
    </w:p>
    <w:p w14:paraId="1579A883">
      <w:pPr>
        <w:tabs>
          <w:tab w:val="left" w:pos="7560"/>
          <w:tab w:val="left" w:pos="7740"/>
          <w:tab w:val="left" w:pos="7920"/>
        </w:tabs>
        <w:autoSpaceDN w:val="0"/>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 xml:space="preserve">39.3 </w:t>
      </w:r>
      <w:r>
        <w:rPr>
          <w:rFonts w:hint="eastAsia" w:ascii="宋体" w:hAnsi="宋体" w:eastAsia="宋体" w:cs="宋体"/>
          <w:color w:val="auto"/>
          <w:szCs w:val="21"/>
          <w:highlight w:val="none"/>
        </w:rPr>
        <w:t>成交人在收到采购代理机构的成交通知书后10日内，应按照</w:t>
      </w:r>
      <w:r>
        <w:rPr>
          <w:rFonts w:hint="eastAsia" w:ascii="宋体" w:hAnsi="宋体" w:eastAsia="宋体" w:cs="宋体"/>
          <w:b/>
          <w:color w:val="auto"/>
          <w:szCs w:val="21"/>
          <w:highlight w:val="none"/>
        </w:rPr>
        <w:t>磋商须知前附表</w:t>
      </w:r>
      <w:r>
        <w:rPr>
          <w:rFonts w:hint="eastAsia" w:ascii="宋体" w:hAnsi="宋体" w:eastAsia="宋体" w:cs="宋体"/>
          <w:color w:val="auto"/>
          <w:szCs w:val="21"/>
          <w:highlight w:val="none"/>
        </w:rPr>
        <w:t>的规定，向采购人提交履约担保。联合体成交的，履约担保由联合体各方或联合体中牵头人的名义提交。</w:t>
      </w:r>
    </w:p>
    <w:p w14:paraId="57CCE542">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39.4 成交人</w:t>
      </w:r>
      <w:r>
        <w:rPr>
          <w:rFonts w:hint="eastAsia" w:ascii="宋体" w:hAnsi="宋体" w:eastAsia="宋体" w:cs="宋体"/>
          <w:color w:val="auto"/>
          <w:spacing w:val="4"/>
          <w:sz w:val="21"/>
          <w:highlight w:val="none"/>
        </w:rPr>
        <w:t>没有按照本章第39.3</w:t>
      </w:r>
      <w:r>
        <w:rPr>
          <w:rFonts w:hint="eastAsia" w:ascii="宋体" w:hAnsi="宋体" w:eastAsia="宋体" w:cs="宋体"/>
          <w:color w:val="auto"/>
          <w:sz w:val="21"/>
          <w:highlight w:val="none"/>
          <w:lang w:val="zh-CN"/>
        </w:rPr>
        <w:t>款</w:t>
      </w:r>
      <w:r>
        <w:rPr>
          <w:rFonts w:hint="eastAsia" w:ascii="宋体" w:hAnsi="宋体" w:eastAsia="宋体" w:cs="宋体"/>
          <w:color w:val="auto"/>
          <w:spacing w:val="4"/>
          <w:sz w:val="21"/>
          <w:highlight w:val="none"/>
        </w:rPr>
        <w:t>规定</w:t>
      </w:r>
      <w:r>
        <w:rPr>
          <w:rFonts w:hint="eastAsia" w:ascii="宋体" w:hAnsi="宋体" w:eastAsia="宋体" w:cs="宋体"/>
          <w:color w:val="auto"/>
          <w:sz w:val="21"/>
          <w:highlight w:val="none"/>
        </w:rPr>
        <w:t>提交履约担保的</w:t>
      </w:r>
      <w:r>
        <w:rPr>
          <w:rFonts w:hint="eastAsia" w:ascii="宋体" w:hAnsi="宋体" w:eastAsia="宋体" w:cs="宋体"/>
          <w:color w:val="auto"/>
          <w:spacing w:val="4"/>
          <w:sz w:val="21"/>
          <w:highlight w:val="none"/>
        </w:rPr>
        <w:t>，视为放弃</w:t>
      </w:r>
      <w:r>
        <w:rPr>
          <w:rFonts w:hint="eastAsia" w:ascii="宋体" w:hAnsi="宋体" w:eastAsia="宋体" w:cs="宋体"/>
          <w:color w:val="auto"/>
          <w:sz w:val="21"/>
          <w:highlight w:val="none"/>
        </w:rPr>
        <w:t>成交资格</w:t>
      </w:r>
      <w:r>
        <w:rPr>
          <w:rFonts w:hint="eastAsia" w:ascii="宋体" w:hAnsi="宋体" w:eastAsia="宋体" w:cs="宋体"/>
          <w:color w:val="auto"/>
          <w:spacing w:val="4"/>
          <w:sz w:val="21"/>
          <w:highlight w:val="none"/>
        </w:rPr>
        <w:t>，</w:t>
      </w:r>
      <w:r>
        <w:rPr>
          <w:rFonts w:hint="eastAsia" w:ascii="宋体" w:hAnsi="宋体" w:eastAsia="宋体" w:cs="宋体"/>
          <w:color w:val="auto"/>
          <w:spacing w:val="2"/>
          <w:sz w:val="21"/>
          <w:highlight w:val="none"/>
        </w:rPr>
        <w:t>其保证金不予退还。</w:t>
      </w:r>
    </w:p>
    <w:p w14:paraId="01117535">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40.签订合同</w:t>
      </w:r>
    </w:p>
    <w:p w14:paraId="7EB7FE8A">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40.1成交人应当在成交通知书发出之日起30日内与采购人签订政府采购合同。</w:t>
      </w:r>
    </w:p>
    <w:p w14:paraId="1350D4E0">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40.2磋商文件、成交人的响应文件等均为签订政府采购合同的依据。</w:t>
      </w:r>
    </w:p>
    <w:p w14:paraId="0A0C3563">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40.3 成交人应当按照合同约定履行义务。成交人不得向他人转让成交项目，也不得将成交项目分包后分别向他人转让。</w:t>
      </w:r>
    </w:p>
    <w:p w14:paraId="54001A58">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40.4 成交人有下列情形之一的，责令限期改正，情节严重的，列入不良行为记录名单，在1至3年内禁止参加政府采购活动，并予以通报：</w:t>
      </w:r>
    </w:p>
    <w:p w14:paraId="7B70F363">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（1）成交后无正当理由不与采购人签订合同的；</w:t>
      </w:r>
    </w:p>
    <w:p w14:paraId="4362A860">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（2）未按照采购文件确定的事项签订政府采购合同，或者与采购人另行订立背离合同实质性内容的协议的；</w:t>
      </w:r>
    </w:p>
    <w:p w14:paraId="0AB1CA88">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（3）拒绝履行合同义务的；</w:t>
      </w:r>
    </w:p>
    <w:p w14:paraId="11AFF3E9">
      <w:pPr>
        <w:pStyle w:val="9"/>
        <w:adjustRightInd w:val="0"/>
        <w:snapToGrid w:val="0"/>
        <w:spacing w:line="400" w:lineRule="exact"/>
        <w:ind w:firstLine="315" w:firstLineChars="150"/>
        <w:rPr>
          <w:rFonts w:hint="eastAsia" w:ascii="宋体" w:hAnsi="宋体" w:eastAsia="宋体" w:cs="宋体"/>
          <w:color w:val="auto"/>
          <w:sz w:val="21"/>
          <w:highlight w:val="none"/>
        </w:rPr>
      </w:pPr>
      <w:r>
        <w:rPr>
          <w:rFonts w:hint="eastAsia" w:ascii="宋体" w:hAnsi="宋体" w:eastAsia="宋体" w:cs="宋体"/>
          <w:color w:val="auto"/>
          <w:sz w:val="21"/>
          <w:highlight w:val="none"/>
        </w:rPr>
        <w:t>（4）违反法律、规章、规范性文件规定的。</w:t>
      </w:r>
    </w:p>
    <w:p w14:paraId="52EAE9E1">
      <w:pPr>
        <w:pStyle w:val="9"/>
        <w:adjustRightInd w:val="0"/>
        <w:snapToGrid w:val="0"/>
        <w:spacing w:line="400" w:lineRule="exact"/>
        <w:ind w:firstLine="300" w:firstLineChars="150"/>
        <w:rPr>
          <w:rFonts w:hint="eastAsia" w:ascii="宋体" w:hAnsi="宋体" w:eastAsia="宋体" w:cs="宋体"/>
          <w:color w:val="auto"/>
          <w:highlight w:val="none"/>
        </w:rPr>
      </w:pPr>
    </w:p>
    <w:p w14:paraId="11268053">
      <w:pPr>
        <w:adjustRightInd w:val="0"/>
        <w:snapToGrid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 w:val="24"/>
          <w:highlight w:val="none"/>
        </w:rPr>
        <w:t>七、其他规定</w:t>
      </w:r>
    </w:p>
    <w:p w14:paraId="25A7AB34">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41验收的要求</w:t>
      </w:r>
    </w:p>
    <w:p w14:paraId="66A951AC">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41.1采购人应及时对采购项目进行验收。</w:t>
      </w:r>
    </w:p>
    <w:p w14:paraId="280AB0B5">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41.2验收由采购人主持、负责，可以邀请参加本项目的其他投标人或第三方机构参与验收。参与验收的投标人或第三方机构的意见将作为验收书的参考资料一并由采购人存档保存。</w:t>
      </w:r>
    </w:p>
    <w:p w14:paraId="0A7A113B">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42采购代理服务费</w:t>
      </w:r>
    </w:p>
    <w:p w14:paraId="245BD965">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42.1采购代理机构应按</w:t>
      </w:r>
      <w:r>
        <w:rPr>
          <w:rFonts w:hint="eastAsia" w:ascii="宋体" w:hAnsi="宋体" w:eastAsia="宋体" w:cs="宋体"/>
          <w:b/>
          <w:bCs/>
          <w:color w:val="auto"/>
          <w:sz w:val="21"/>
          <w:highlight w:val="none"/>
        </w:rPr>
        <w:t>磋商须知前附表</w:t>
      </w:r>
      <w:r>
        <w:rPr>
          <w:rFonts w:hint="eastAsia" w:ascii="宋体" w:hAnsi="宋体" w:eastAsia="宋体" w:cs="宋体"/>
          <w:color w:val="auto"/>
          <w:sz w:val="21"/>
          <w:highlight w:val="none"/>
        </w:rPr>
        <w:t>规定收取采购代理服务费。</w:t>
      </w:r>
    </w:p>
    <w:p w14:paraId="015C7862">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42.2集中采购机构不得收取采购代理服务费。</w:t>
      </w:r>
    </w:p>
    <w:p w14:paraId="27C19914">
      <w:pPr>
        <w:adjustRightInd w:val="0"/>
        <w:snapToGrid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43. 其他规定</w:t>
      </w:r>
    </w:p>
    <w:p w14:paraId="3285CC8F">
      <w:pPr>
        <w:pStyle w:val="9"/>
        <w:adjustRightInd w:val="0"/>
        <w:snapToGrid w:val="0"/>
        <w:spacing w:line="40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磋商文件的其他规定见</w:t>
      </w:r>
      <w:r>
        <w:rPr>
          <w:rFonts w:hint="eastAsia" w:ascii="宋体" w:hAnsi="宋体" w:eastAsia="宋体" w:cs="宋体"/>
          <w:b/>
          <w:bCs/>
          <w:color w:val="auto"/>
          <w:sz w:val="21"/>
          <w:highlight w:val="none"/>
        </w:rPr>
        <w:t>磋商须知前附表</w:t>
      </w:r>
      <w:r>
        <w:rPr>
          <w:rFonts w:hint="eastAsia" w:ascii="宋体" w:hAnsi="宋体" w:eastAsia="宋体" w:cs="宋体"/>
          <w:color w:val="auto"/>
          <w:sz w:val="21"/>
          <w:highlight w:val="none"/>
        </w:rPr>
        <w:t>。</w:t>
      </w:r>
      <w:bookmarkStart w:id="147" w:name="_Toc496459164"/>
      <w:bookmarkStart w:id="148" w:name="_Toc521048947"/>
      <w:bookmarkStart w:id="149" w:name="_Toc448765158"/>
      <w:bookmarkStart w:id="150" w:name="_Toc454206709"/>
      <w:bookmarkStart w:id="151" w:name="_Toc469593788"/>
      <w:bookmarkStart w:id="152" w:name="_Toc497049052"/>
      <w:bookmarkStart w:id="153" w:name="_Toc498186720"/>
      <w:bookmarkStart w:id="154" w:name="_Toc522285654"/>
      <w:bookmarkStart w:id="155" w:name="_Toc469505435"/>
      <w:bookmarkStart w:id="156" w:name="_Toc469347677"/>
      <w:bookmarkStart w:id="157" w:name="_Toc454824116"/>
    </w:p>
    <w:p w14:paraId="5504F069">
      <w:pPr>
        <w:pStyle w:val="9"/>
        <w:adjustRightInd w:val="0"/>
        <w:snapToGrid w:val="0"/>
        <w:spacing w:line="400" w:lineRule="exact"/>
        <w:jc w:val="center"/>
        <w:rPr>
          <w:rFonts w:hint="eastAsia" w:ascii="宋体" w:hAnsi="宋体" w:eastAsia="宋体" w:cs="宋体"/>
          <w:b/>
          <w:color w:val="auto"/>
          <w:sz w:val="28"/>
          <w:szCs w:val="28"/>
          <w:highlight w:val="none"/>
        </w:rPr>
      </w:pPr>
      <w:bookmarkStart w:id="158" w:name="_Toc2593135"/>
      <w:bookmarkStart w:id="159" w:name="_Toc2674899"/>
      <w:bookmarkStart w:id="160" w:name="_Toc2684032"/>
      <w:bookmarkStart w:id="161" w:name="_Toc4506122"/>
      <w:bookmarkStart w:id="162" w:name="_Toc2674694"/>
      <w:bookmarkStart w:id="163" w:name="_Toc2951773"/>
      <w:r>
        <w:rPr>
          <w:rFonts w:hint="eastAsia" w:ascii="宋体" w:hAnsi="宋体" w:eastAsia="宋体" w:cs="宋体"/>
          <w:b/>
          <w:color w:val="auto"/>
          <w:sz w:val="28"/>
          <w:szCs w:val="28"/>
          <w:highlight w:val="none"/>
        </w:rPr>
        <w:br w:type="page"/>
      </w:r>
      <w:r>
        <w:rPr>
          <w:rFonts w:hint="eastAsia" w:ascii="宋体" w:hAnsi="宋体" w:eastAsia="宋体" w:cs="宋体"/>
          <w:b/>
          <w:color w:val="auto"/>
          <w:sz w:val="28"/>
          <w:szCs w:val="28"/>
          <w:highlight w:val="none"/>
        </w:rPr>
        <w:t>附录1：评标方法细则</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9BFFBC1">
      <w:pPr>
        <w:adjustRightInd w:val="0"/>
        <w:snapToGrid w:val="0"/>
        <w:spacing w:line="400" w:lineRule="exact"/>
        <w:rPr>
          <w:rFonts w:hint="eastAsia" w:ascii="宋体" w:hAnsi="宋体" w:eastAsia="宋体" w:cs="宋体"/>
          <w:b/>
          <w:color w:val="auto"/>
          <w:sz w:val="24"/>
          <w:highlight w:val="none"/>
        </w:rPr>
      </w:pPr>
      <w:bookmarkStart w:id="164" w:name="_Toc369778597"/>
      <w:r>
        <w:rPr>
          <w:rFonts w:hint="eastAsia" w:ascii="宋体" w:hAnsi="宋体" w:eastAsia="宋体" w:cs="宋体"/>
          <w:b/>
          <w:color w:val="auto"/>
          <w:sz w:val="24"/>
          <w:highlight w:val="none"/>
        </w:rPr>
        <w:t>1、通则</w:t>
      </w:r>
      <w:bookmarkEnd w:id="164"/>
    </w:p>
    <w:p w14:paraId="25922195">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1.1评标根据本磋商文件第二章附录1“</w:t>
      </w:r>
      <w:bookmarkStart w:id="165" w:name="_Toc324196831"/>
      <w:r>
        <w:rPr>
          <w:rFonts w:hint="eastAsia" w:ascii="宋体" w:hAnsi="宋体" w:eastAsia="宋体" w:cs="宋体"/>
          <w:color w:val="auto"/>
          <w:highlight w:val="none"/>
        </w:rPr>
        <w:t>评标方法</w:t>
      </w:r>
      <w:bookmarkEnd w:id="165"/>
      <w:r>
        <w:rPr>
          <w:rFonts w:hint="eastAsia" w:ascii="宋体" w:hAnsi="宋体" w:eastAsia="宋体" w:cs="宋体"/>
          <w:color w:val="auto"/>
          <w:highlight w:val="none"/>
        </w:rPr>
        <w:t>细则”进行。</w:t>
      </w:r>
    </w:p>
    <w:p w14:paraId="523D46FE">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1.2参照《政府采购竞争性磋商采购方式管理暂行办法》（财库【2014】214号）制定。采用先磋商、后报价、再评分的评审方法。</w:t>
      </w:r>
    </w:p>
    <w:p w14:paraId="5C862869">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1.3评标因素：价格、技术、商务等，以及相应的比重或者权值等，但不包括《磋商文件前附表》第一章第3.1项规定的投标人资格条件。</w:t>
      </w:r>
      <w:bookmarkStart w:id="166" w:name="_Toc324196836"/>
      <w:bookmarkStart w:id="167" w:name="_Toc369778598"/>
    </w:p>
    <w:p w14:paraId="5D56D464">
      <w:pPr>
        <w:adjustRightInd w:val="0"/>
        <w:snapToGrid w:val="0"/>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2、磋商程序</w:t>
      </w:r>
      <w:bookmarkEnd w:id="166"/>
      <w:bookmarkEnd w:id="167"/>
    </w:p>
    <w:p w14:paraId="6E0366CA">
      <w:pPr>
        <w:adjustRightInd w:val="0"/>
        <w:snapToGrid w:val="0"/>
        <w:spacing w:line="400" w:lineRule="exact"/>
        <w:ind w:firstLine="420" w:firstLineChars="200"/>
        <w:rPr>
          <w:rFonts w:hint="eastAsia" w:ascii="宋体" w:hAnsi="宋体" w:eastAsia="宋体" w:cs="宋体"/>
          <w:b/>
          <w:color w:val="auto"/>
          <w:highlight w:val="none"/>
        </w:rPr>
      </w:pPr>
      <w:r>
        <w:rPr>
          <w:rFonts w:hint="eastAsia" w:ascii="宋体" w:hAnsi="宋体" w:eastAsia="宋体" w:cs="宋体"/>
          <w:color w:val="auto"/>
          <w:kern w:val="0"/>
          <w:highlight w:val="none"/>
        </w:rPr>
        <w:t>磋商程序</w:t>
      </w:r>
      <w:r>
        <w:rPr>
          <w:rFonts w:hint="eastAsia" w:ascii="宋体" w:hAnsi="宋体" w:eastAsia="宋体" w:cs="宋体"/>
          <w:color w:val="auto"/>
          <w:highlight w:val="none"/>
        </w:rPr>
        <w:t>分为响应文件审查、磋商（包括澄清）、响应文件评审、提出成交人、确定成交人。</w:t>
      </w:r>
    </w:p>
    <w:p w14:paraId="1863C3EE">
      <w:pPr>
        <w:adjustRightInd w:val="0"/>
        <w:snapToGrid w:val="0"/>
        <w:spacing w:line="400" w:lineRule="exact"/>
        <w:ind w:firstLine="420" w:firstLineChars="200"/>
        <w:rPr>
          <w:rFonts w:hint="eastAsia" w:ascii="宋体" w:hAnsi="宋体" w:eastAsia="宋体" w:cs="宋体"/>
          <w:b/>
          <w:color w:val="auto"/>
          <w:highlight w:val="none"/>
        </w:rPr>
      </w:pPr>
      <w:bookmarkStart w:id="168" w:name="_Toc324196837"/>
      <w:r>
        <w:rPr>
          <w:rFonts w:hint="eastAsia" w:ascii="宋体" w:hAnsi="宋体" w:eastAsia="宋体" w:cs="宋体"/>
          <w:b/>
          <w:color w:val="auto"/>
          <w:highlight w:val="none"/>
        </w:rPr>
        <w:t>2.1</w:t>
      </w:r>
      <w:bookmarkEnd w:id="168"/>
      <w:r>
        <w:rPr>
          <w:rFonts w:hint="eastAsia" w:ascii="宋体" w:hAnsi="宋体" w:eastAsia="宋体" w:cs="宋体"/>
          <w:b/>
          <w:color w:val="auto"/>
          <w:highlight w:val="none"/>
        </w:rPr>
        <w:t>响应文件审查</w:t>
      </w:r>
    </w:p>
    <w:p w14:paraId="5FB4D748">
      <w:pPr>
        <w:adjustRightInd w:val="0"/>
        <w:snapToGrid w:val="0"/>
        <w:spacing w:line="400" w:lineRule="exact"/>
        <w:ind w:firstLine="315" w:firstLineChars="150"/>
        <w:rPr>
          <w:rFonts w:hint="eastAsia" w:ascii="宋体" w:hAnsi="宋体" w:eastAsia="宋体" w:cs="宋体"/>
          <w:b/>
          <w:color w:val="auto"/>
          <w:highlight w:val="none"/>
        </w:rPr>
      </w:pPr>
      <w:r>
        <w:rPr>
          <w:rFonts w:hint="eastAsia" w:ascii="宋体" w:hAnsi="宋体" w:eastAsia="宋体" w:cs="宋体"/>
          <w:b/>
          <w:color w:val="auto"/>
          <w:highlight w:val="none"/>
        </w:rPr>
        <w:t>（1）资格性检查：</w:t>
      </w:r>
    </w:p>
    <w:p w14:paraId="2426F9CD">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根据法律法规和磋商文件的规定，对响应文件中的资格证明等进行审查，以确定投标人是否具备投标资格。</w:t>
      </w:r>
    </w:p>
    <w:p w14:paraId="76D41297">
      <w:pPr>
        <w:widowControl/>
        <w:spacing w:line="400" w:lineRule="exact"/>
        <w:ind w:firstLine="102" w:firstLineChars="49"/>
        <w:jc w:val="center"/>
        <w:rPr>
          <w:rFonts w:hint="eastAsia" w:ascii="宋体" w:hAnsi="宋体" w:eastAsia="宋体" w:cs="宋体"/>
          <w:b/>
          <w:color w:val="auto"/>
          <w:highlight w:val="none"/>
        </w:rPr>
      </w:pPr>
      <w:r>
        <w:rPr>
          <w:rFonts w:hint="eastAsia" w:ascii="宋体" w:hAnsi="宋体" w:eastAsia="宋体" w:cs="宋体"/>
          <w:b/>
          <w:color w:val="auto"/>
          <w:highlight w:val="none"/>
        </w:rPr>
        <w:t>表1  资格性检查表</w:t>
      </w:r>
    </w:p>
    <w:tbl>
      <w:tblPr>
        <w:tblStyle w:val="19"/>
        <w:tblW w:w="884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487"/>
        <w:gridCol w:w="6517"/>
        <w:gridCol w:w="614"/>
        <w:gridCol w:w="614"/>
        <w:gridCol w:w="615"/>
      </w:tblGrid>
      <w:tr w14:paraId="659E0D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Merge w:val="restart"/>
            <w:vAlign w:val="center"/>
          </w:tcPr>
          <w:p w14:paraId="47B72C8C">
            <w:pPr>
              <w:spacing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6517" w:type="dxa"/>
            <w:vMerge w:val="restart"/>
            <w:vAlign w:val="center"/>
          </w:tcPr>
          <w:p w14:paraId="334FDF71">
            <w:pPr>
              <w:spacing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证件名称</w:t>
            </w:r>
          </w:p>
        </w:tc>
        <w:tc>
          <w:tcPr>
            <w:tcW w:w="1843" w:type="dxa"/>
            <w:gridSpan w:val="3"/>
            <w:vAlign w:val="center"/>
          </w:tcPr>
          <w:p w14:paraId="380BCE4D">
            <w:pPr>
              <w:spacing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投标人</w:t>
            </w:r>
          </w:p>
        </w:tc>
      </w:tr>
      <w:tr w14:paraId="667FD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Merge w:val="continue"/>
            <w:vAlign w:val="center"/>
          </w:tcPr>
          <w:p w14:paraId="46113B7C">
            <w:pPr>
              <w:spacing w:line="320" w:lineRule="exact"/>
              <w:jc w:val="center"/>
              <w:rPr>
                <w:rFonts w:hint="eastAsia" w:ascii="宋体" w:hAnsi="宋体" w:eastAsia="宋体" w:cs="宋体"/>
                <w:color w:val="auto"/>
                <w:highlight w:val="none"/>
              </w:rPr>
            </w:pPr>
          </w:p>
        </w:tc>
        <w:tc>
          <w:tcPr>
            <w:tcW w:w="6517" w:type="dxa"/>
            <w:vMerge w:val="continue"/>
            <w:vAlign w:val="center"/>
          </w:tcPr>
          <w:p w14:paraId="77A49586">
            <w:pPr>
              <w:spacing w:line="320" w:lineRule="exact"/>
              <w:rPr>
                <w:rFonts w:hint="eastAsia" w:ascii="宋体" w:hAnsi="宋体" w:eastAsia="宋体" w:cs="宋体"/>
                <w:color w:val="auto"/>
                <w:highlight w:val="none"/>
              </w:rPr>
            </w:pPr>
          </w:p>
        </w:tc>
        <w:tc>
          <w:tcPr>
            <w:tcW w:w="614" w:type="dxa"/>
            <w:vAlign w:val="center"/>
          </w:tcPr>
          <w:p w14:paraId="1E07AA7D">
            <w:pPr>
              <w:spacing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614" w:type="dxa"/>
            <w:vAlign w:val="center"/>
          </w:tcPr>
          <w:p w14:paraId="30710D2D">
            <w:pPr>
              <w:spacing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615" w:type="dxa"/>
            <w:vAlign w:val="center"/>
          </w:tcPr>
          <w:p w14:paraId="7655AA7E">
            <w:pPr>
              <w:spacing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3</w:t>
            </w:r>
          </w:p>
        </w:tc>
      </w:tr>
      <w:tr w14:paraId="1D4FA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0659C3A2">
            <w:pPr>
              <w:numPr>
                <w:ilvl w:val="0"/>
                <w:numId w:val="3"/>
              </w:numPr>
              <w:ind w:left="0"/>
              <w:jc w:val="center"/>
              <w:rPr>
                <w:rFonts w:hint="eastAsia" w:ascii="宋体" w:hAnsi="宋体" w:eastAsia="宋体" w:cs="宋体"/>
                <w:color w:val="auto"/>
                <w:highlight w:val="none"/>
              </w:rPr>
            </w:pPr>
          </w:p>
        </w:tc>
        <w:tc>
          <w:tcPr>
            <w:tcW w:w="6517" w:type="dxa"/>
            <w:vAlign w:val="center"/>
          </w:tcPr>
          <w:p w14:paraId="53BEBE00">
            <w:pPr>
              <w:pStyle w:val="16"/>
              <w:spacing w:before="120" w:beforeAutospacing="0" w:after="0" w:afterAutospacing="0"/>
              <w:jc w:val="both"/>
              <w:rPr>
                <w:rFonts w:hint="eastAsia" w:ascii="宋体" w:hAnsi="宋体" w:eastAsia="宋体" w:cs="宋体"/>
                <w:color w:val="auto"/>
                <w:highlight w:val="none"/>
              </w:rPr>
            </w:pPr>
            <w:r>
              <w:rPr>
                <w:rFonts w:hint="eastAsia" w:ascii="宋体" w:hAnsi="宋体" w:eastAsia="宋体" w:cs="宋体"/>
                <w:color w:val="auto"/>
                <w:kern w:val="2"/>
                <w:sz w:val="21"/>
                <w:szCs w:val="21"/>
                <w:highlight w:val="none"/>
              </w:rPr>
              <w:t>要求供应商具有独立承担民事责任的能力，提供有效的具有统一社会信用代码的《营业执照》副本复印件；</w:t>
            </w:r>
          </w:p>
        </w:tc>
        <w:tc>
          <w:tcPr>
            <w:tcW w:w="614" w:type="dxa"/>
            <w:vAlign w:val="center"/>
          </w:tcPr>
          <w:p w14:paraId="1C8850EE">
            <w:pPr>
              <w:spacing w:line="320" w:lineRule="exact"/>
              <w:rPr>
                <w:rFonts w:hint="eastAsia" w:ascii="宋体" w:hAnsi="宋体" w:eastAsia="宋体" w:cs="宋体"/>
                <w:color w:val="auto"/>
                <w:highlight w:val="none"/>
              </w:rPr>
            </w:pPr>
          </w:p>
        </w:tc>
        <w:tc>
          <w:tcPr>
            <w:tcW w:w="614" w:type="dxa"/>
            <w:vAlign w:val="center"/>
          </w:tcPr>
          <w:p w14:paraId="18538BAC">
            <w:pPr>
              <w:spacing w:line="320" w:lineRule="exact"/>
              <w:rPr>
                <w:rFonts w:hint="eastAsia" w:ascii="宋体" w:hAnsi="宋体" w:eastAsia="宋体" w:cs="宋体"/>
                <w:color w:val="auto"/>
                <w:highlight w:val="none"/>
              </w:rPr>
            </w:pPr>
          </w:p>
        </w:tc>
        <w:tc>
          <w:tcPr>
            <w:tcW w:w="615" w:type="dxa"/>
            <w:vAlign w:val="center"/>
          </w:tcPr>
          <w:p w14:paraId="07BE782C">
            <w:pPr>
              <w:spacing w:line="320" w:lineRule="exact"/>
              <w:rPr>
                <w:rFonts w:hint="eastAsia" w:ascii="宋体" w:hAnsi="宋体" w:eastAsia="宋体" w:cs="宋体"/>
                <w:color w:val="auto"/>
                <w:highlight w:val="none"/>
              </w:rPr>
            </w:pPr>
          </w:p>
        </w:tc>
      </w:tr>
      <w:tr w14:paraId="460C25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0BDA860C">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122EDD6C">
            <w:pPr>
              <w:spacing w:line="340" w:lineRule="exact"/>
              <w:rPr>
                <w:rFonts w:hint="eastAsia" w:ascii="宋体" w:hAnsi="宋体" w:eastAsia="宋体" w:cs="宋体"/>
                <w:color w:val="auto"/>
                <w:highlight w:val="none"/>
              </w:rPr>
            </w:pPr>
            <w:r>
              <w:rPr>
                <w:rFonts w:hint="eastAsia" w:ascii="宋体" w:hAnsi="宋体" w:eastAsia="宋体" w:cs="宋体"/>
                <w:color w:val="auto"/>
                <w:kern w:val="0"/>
                <w:szCs w:val="21"/>
                <w:highlight w:val="none"/>
                <w:lang w:bidi="ar"/>
              </w:rPr>
              <w:t>要求投标人提供《湖南省政府采购供应商资格承诺函》</w:t>
            </w:r>
          </w:p>
        </w:tc>
        <w:tc>
          <w:tcPr>
            <w:tcW w:w="614" w:type="dxa"/>
            <w:vAlign w:val="center"/>
          </w:tcPr>
          <w:p w14:paraId="4AA79E3C">
            <w:pPr>
              <w:spacing w:line="320" w:lineRule="exact"/>
              <w:rPr>
                <w:rFonts w:hint="eastAsia" w:ascii="宋体" w:hAnsi="宋体" w:eastAsia="宋体" w:cs="宋体"/>
                <w:color w:val="auto"/>
                <w:highlight w:val="none"/>
              </w:rPr>
            </w:pPr>
          </w:p>
        </w:tc>
        <w:tc>
          <w:tcPr>
            <w:tcW w:w="614" w:type="dxa"/>
            <w:vAlign w:val="center"/>
          </w:tcPr>
          <w:p w14:paraId="3D221A7D">
            <w:pPr>
              <w:spacing w:line="320" w:lineRule="exact"/>
              <w:rPr>
                <w:rFonts w:hint="eastAsia" w:ascii="宋体" w:hAnsi="宋体" w:eastAsia="宋体" w:cs="宋体"/>
                <w:color w:val="auto"/>
                <w:highlight w:val="none"/>
              </w:rPr>
            </w:pPr>
          </w:p>
        </w:tc>
        <w:tc>
          <w:tcPr>
            <w:tcW w:w="615" w:type="dxa"/>
            <w:vAlign w:val="center"/>
          </w:tcPr>
          <w:p w14:paraId="31C6A056">
            <w:pPr>
              <w:spacing w:line="320" w:lineRule="exact"/>
              <w:rPr>
                <w:rFonts w:hint="eastAsia" w:ascii="宋体" w:hAnsi="宋体" w:eastAsia="宋体" w:cs="宋体"/>
                <w:color w:val="auto"/>
                <w:highlight w:val="none"/>
              </w:rPr>
            </w:pPr>
          </w:p>
        </w:tc>
      </w:tr>
      <w:tr w14:paraId="5BB9C9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2CEF12C0">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18791DE1">
            <w:pPr>
              <w:spacing w:line="340" w:lineRule="exac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具有良好的商业信誉和健全的财务会计制度；提供《供应商资格声明》</w:t>
            </w:r>
          </w:p>
        </w:tc>
        <w:tc>
          <w:tcPr>
            <w:tcW w:w="614" w:type="dxa"/>
            <w:vAlign w:val="center"/>
          </w:tcPr>
          <w:p w14:paraId="2DFC7C98">
            <w:pPr>
              <w:spacing w:line="320" w:lineRule="exact"/>
              <w:rPr>
                <w:rFonts w:hint="eastAsia" w:ascii="宋体" w:hAnsi="宋体" w:eastAsia="宋体" w:cs="宋体"/>
                <w:color w:val="auto"/>
                <w:highlight w:val="none"/>
              </w:rPr>
            </w:pPr>
          </w:p>
        </w:tc>
        <w:tc>
          <w:tcPr>
            <w:tcW w:w="614" w:type="dxa"/>
            <w:vAlign w:val="center"/>
          </w:tcPr>
          <w:p w14:paraId="120867E1">
            <w:pPr>
              <w:spacing w:line="320" w:lineRule="exact"/>
              <w:rPr>
                <w:rFonts w:hint="eastAsia" w:ascii="宋体" w:hAnsi="宋体" w:eastAsia="宋体" w:cs="宋体"/>
                <w:color w:val="auto"/>
                <w:highlight w:val="none"/>
              </w:rPr>
            </w:pPr>
          </w:p>
        </w:tc>
        <w:tc>
          <w:tcPr>
            <w:tcW w:w="615" w:type="dxa"/>
            <w:vAlign w:val="center"/>
          </w:tcPr>
          <w:p w14:paraId="3849841D">
            <w:pPr>
              <w:spacing w:line="320" w:lineRule="exact"/>
              <w:rPr>
                <w:rFonts w:hint="eastAsia" w:ascii="宋体" w:hAnsi="宋体" w:eastAsia="宋体" w:cs="宋体"/>
                <w:color w:val="auto"/>
                <w:highlight w:val="none"/>
              </w:rPr>
            </w:pPr>
          </w:p>
        </w:tc>
      </w:tr>
      <w:tr w14:paraId="6E3010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504141E1">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73CB3AB3">
            <w:pPr>
              <w:spacing w:line="340" w:lineRule="exac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具有履行合同所必需的设备和专业技术能力；提供《供应商资格声明》</w:t>
            </w:r>
          </w:p>
        </w:tc>
        <w:tc>
          <w:tcPr>
            <w:tcW w:w="614" w:type="dxa"/>
            <w:vAlign w:val="center"/>
          </w:tcPr>
          <w:p w14:paraId="7869EB49">
            <w:pPr>
              <w:spacing w:line="320" w:lineRule="exact"/>
              <w:rPr>
                <w:rFonts w:hint="eastAsia" w:ascii="宋体" w:hAnsi="宋体" w:eastAsia="宋体" w:cs="宋体"/>
                <w:color w:val="auto"/>
                <w:highlight w:val="none"/>
              </w:rPr>
            </w:pPr>
          </w:p>
        </w:tc>
        <w:tc>
          <w:tcPr>
            <w:tcW w:w="614" w:type="dxa"/>
            <w:vAlign w:val="center"/>
          </w:tcPr>
          <w:p w14:paraId="0EA24D4B">
            <w:pPr>
              <w:spacing w:line="320" w:lineRule="exact"/>
              <w:rPr>
                <w:rFonts w:hint="eastAsia" w:ascii="宋体" w:hAnsi="宋体" w:eastAsia="宋体" w:cs="宋体"/>
                <w:color w:val="auto"/>
                <w:highlight w:val="none"/>
              </w:rPr>
            </w:pPr>
          </w:p>
        </w:tc>
        <w:tc>
          <w:tcPr>
            <w:tcW w:w="615" w:type="dxa"/>
            <w:vAlign w:val="center"/>
          </w:tcPr>
          <w:p w14:paraId="7CECACB5">
            <w:pPr>
              <w:spacing w:line="320" w:lineRule="exact"/>
              <w:rPr>
                <w:rFonts w:hint="eastAsia" w:ascii="宋体" w:hAnsi="宋体" w:eastAsia="宋体" w:cs="宋体"/>
                <w:color w:val="auto"/>
                <w:highlight w:val="none"/>
              </w:rPr>
            </w:pPr>
          </w:p>
        </w:tc>
      </w:tr>
      <w:tr w14:paraId="5FB51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5FB893A7">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497D037A">
            <w:pPr>
              <w:spacing w:line="340" w:lineRule="exac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有依法缴纳税收和社会保障资金的良好记录；提供《供应商资格声明》</w:t>
            </w:r>
          </w:p>
        </w:tc>
        <w:tc>
          <w:tcPr>
            <w:tcW w:w="614" w:type="dxa"/>
            <w:vAlign w:val="center"/>
          </w:tcPr>
          <w:p w14:paraId="49B9B779">
            <w:pPr>
              <w:spacing w:line="320" w:lineRule="exact"/>
              <w:rPr>
                <w:rFonts w:hint="eastAsia" w:ascii="宋体" w:hAnsi="宋体" w:eastAsia="宋体" w:cs="宋体"/>
                <w:color w:val="auto"/>
                <w:highlight w:val="none"/>
              </w:rPr>
            </w:pPr>
          </w:p>
        </w:tc>
        <w:tc>
          <w:tcPr>
            <w:tcW w:w="614" w:type="dxa"/>
            <w:vAlign w:val="center"/>
          </w:tcPr>
          <w:p w14:paraId="291A103E">
            <w:pPr>
              <w:spacing w:line="320" w:lineRule="exact"/>
              <w:rPr>
                <w:rFonts w:hint="eastAsia" w:ascii="宋体" w:hAnsi="宋体" w:eastAsia="宋体" w:cs="宋体"/>
                <w:color w:val="auto"/>
                <w:highlight w:val="none"/>
              </w:rPr>
            </w:pPr>
          </w:p>
        </w:tc>
        <w:tc>
          <w:tcPr>
            <w:tcW w:w="615" w:type="dxa"/>
            <w:vAlign w:val="center"/>
          </w:tcPr>
          <w:p w14:paraId="5DCCE400">
            <w:pPr>
              <w:spacing w:line="320" w:lineRule="exact"/>
              <w:rPr>
                <w:rFonts w:hint="eastAsia" w:ascii="宋体" w:hAnsi="宋体" w:eastAsia="宋体" w:cs="宋体"/>
                <w:color w:val="auto"/>
                <w:highlight w:val="none"/>
              </w:rPr>
            </w:pPr>
          </w:p>
        </w:tc>
      </w:tr>
      <w:tr w14:paraId="3EE39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2209DE58">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2444FDF2">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参加政府采购活动前三年内，在经营活动中没有重大违法记录的声明</w:t>
            </w:r>
          </w:p>
        </w:tc>
        <w:tc>
          <w:tcPr>
            <w:tcW w:w="614" w:type="dxa"/>
            <w:vAlign w:val="center"/>
          </w:tcPr>
          <w:p w14:paraId="0599AD90">
            <w:pPr>
              <w:spacing w:line="320" w:lineRule="exact"/>
              <w:rPr>
                <w:rFonts w:hint="eastAsia" w:ascii="宋体" w:hAnsi="宋体" w:eastAsia="宋体" w:cs="宋体"/>
                <w:color w:val="auto"/>
                <w:highlight w:val="none"/>
              </w:rPr>
            </w:pPr>
          </w:p>
        </w:tc>
        <w:tc>
          <w:tcPr>
            <w:tcW w:w="614" w:type="dxa"/>
            <w:vAlign w:val="center"/>
          </w:tcPr>
          <w:p w14:paraId="6549450B">
            <w:pPr>
              <w:spacing w:line="320" w:lineRule="exact"/>
              <w:rPr>
                <w:rFonts w:hint="eastAsia" w:ascii="宋体" w:hAnsi="宋体" w:eastAsia="宋体" w:cs="宋体"/>
                <w:color w:val="auto"/>
                <w:highlight w:val="none"/>
              </w:rPr>
            </w:pPr>
          </w:p>
        </w:tc>
        <w:tc>
          <w:tcPr>
            <w:tcW w:w="615" w:type="dxa"/>
            <w:vAlign w:val="center"/>
          </w:tcPr>
          <w:p w14:paraId="28737969">
            <w:pPr>
              <w:spacing w:line="320" w:lineRule="exact"/>
              <w:rPr>
                <w:rFonts w:hint="eastAsia" w:ascii="宋体" w:hAnsi="宋体" w:eastAsia="宋体" w:cs="宋体"/>
                <w:color w:val="auto"/>
                <w:highlight w:val="none"/>
              </w:rPr>
            </w:pPr>
          </w:p>
        </w:tc>
      </w:tr>
      <w:tr w14:paraId="53254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1EC95321">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323EABCF">
            <w:pPr>
              <w:spacing w:line="320" w:lineRule="exac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供应商代表可为供应商法定代表人，应提供法定代表人身份证明；供应商代表不是供应商的法定代表人的，应提供法定代表人授权委托书及法定代表人身份证明，签署、盖章符合要求。</w:t>
            </w:r>
          </w:p>
        </w:tc>
        <w:tc>
          <w:tcPr>
            <w:tcW w:w="614" w:type="dxa"/>
            <w:vAlign w:val="center"/>
          </w:tcPr>
          <w:p w14:paraId="36097718">
            <w:pPr>
              <w:spacing w:line="320" w:lineRule="exact"/>
              <w:rPr>
                <w:rFonts w:hint="eastAsia" w:ascii="宋体" w:hAnsi="宋体" w:eastAsia="宋体" w:cs="宋体"/>
                <w:color w:val="auto"/>
                <w:highlight w:val="none"/>
              </w:rPr>
            </w:pPr>
          </w:p>
        </w:tc>
        <w:tc>
          <w:tcPr>
            <w:tcW w:w="614" w:type="dxa"/>
            <w:vAlign w:val="center"/>
          </w:tcPr>
          <w:p w14:paraId="7FB4B043">
            <w:pPr>
              <w:spacing w:line="320" w:lineRule="exact"/>
              <w:rPr>
                <w:rFonts w:hint="eastAsia" w:ascii="宋体" w:hAnsi="宋体" w:eastAsia="宋体" w:cs="宋体"/>
                <w:color w:val="auto"/>
                <w:highlight w:val="none"/>
              </w:rPr>
            </w:pPr>
          </w:p>
        </w:tc>
        <w:tc>
          <w:tcPr>
            <w:tcW w:w="615" w:type="dxa"/>
            <w:vAlign w:val="center"/>
          </w:tcPr>
          <w:p w14:paraId="74127B44">
            <w:pPr>
              <w:spacing w:line="320" w:lineRule="exact"/>
              <w:rPr>
                <w:rFonts w:hint="eastAsia" w:ascii="宋体" w:hAnsi="宋体" w:eastAsia="宋体" w:cs="宋体"/>
                <w:color w:val="auto"/>
                <w:highlight w:val="none"/>
              </w:rPr>
            </w:pPr>
          </w:p>
        </w:tc>
      </w:tr>
      <w:tr w14:paraId="6327D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47EB467A">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15A9DFF4">
            <w:pPr>
              <w:pStyle w:val="7"/>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被“信用中国”“信用湖南”“信用郴州”网站列入失信被执行人和重大税收违法案件当事人名单的、被“中国政府采购网”“湖南省政府采购网”网站列入政府采购严重违法失信行为记录名单(处罚期限尚未届满的)，不得参与本项目的政府采购活动。</w:t>
            </w:r>
          </w:p>
        </w:tc>
        <w:tc>
          <w:tcPr>
            <w:tcW w:w="614" w:type="dxa"/>
            <w:vAlign w:val="center"/>
          </w:tcPr>
          <w:p w14:paraId="08D89144">
            <w:pPr>
              <w:spacing w:line="320" w:lineRule="exact"/>
              <w:rPr>
                <w:rFonts w:hint="eastAsia" w:ascii="宋体" w:hAnsi="宋体" w:eastAsia="宋体" w:cs="宋体"/>
                <w:color w:val="auto"/>
                <w:highlight w:val="none"/>
              </w:rPr>
            </w:pPr>
          </w:p>
        </w:tc>
        <w:tc>
          <w:tcPr>
            <w:tcW w:w="614" w:type="dxa"/>
            <w:vAlign w:val="center"/>
          </w:tcPr>
          <w:p w14:paraId="680391C0">
            <w:pPr>
              <w:spacing w:line="320" w:lineRule="exact"/>
              <w:rPr>
                <w:rFonts w:hint="eastAsia" w:ascii="宋体" w:hAnsi="宋体" w:eastAsia="宋体" w:cs="宋体"/>
                <w:color w:val="auto"/>
                <w:highlight w:val="none"/>
              </w:rPr>
            </w:pPr>
          </w:p>
        </w:tc>
        <w:tc>
          <w:tcPr>
            <w:tcW w:w="615" w:type="dxa"/>
            <w:vAlign w:val="center"/>
          </w:tcPr>
          <w:p w14:paraId="1D35C6EF">
            <w:pPr>
              <w:spacing w:line="320" w:lineRule="exact"/>
              <w:rPr>
                <w:rFonts w:hint="eastAsia" w:ascii="宋体" w:hAnsi="宋体" w:eastAsia="宋体" w:cs="宋体"/>
                <w:color w:val="auto"/>
                <w:highlight w:val="none"/>
              </w:rPr>
            </w:pPr>
          </w:p>
        </w:tc>
      </w:tr>
      <w:tr w14:paraId="7BBEC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50" w:hRule="atLeast"/>
          <w:jc w:val="center"/>
        </w:trPr>
        <w:tc>
          <w:tcPr>
            <w:tcW w:w="487" w:type="dxa"/>
            <w:vAlign w:val="center"/>
          </w:tcPr>
          <w:p w14:paraId="6E7F2A50">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669D4480">
            <w:pPr>
              <w:spacing w:line="320" w:lineRule="exact"/>
              <w:rPr>
                <w:rFonts w:hint="eastAsia" w:ascii="宋体" w:hAnsi="宋体" w:eastAsia="宋体" w:cs="宋体"/>
                <w:color w:val="auto"/>
                <w:szCs w:val="21"/>
                <w:highlight w:val="none"/>
              </w:rPr>
            </w:pPr>
            <w:r>
              <w:rPr>
                <w:rFonts w:hint="eastAsia" w:ascii="宋体" w:hAnsi="宋体" w:eastAsia="宋体" w:cs="宋体"/>
                <w:b w:val="0"/>
                <w:color w:val="auto"/>
                <w:sz w:val="21"/>
                <w:szCs w:val="21"/>
                <w:highlight w:val="none"/>
              </w:rPr>
              <w:t>投标人须具备住房城乡建设主管部门颁发的</w:t>
            </w:r>
            <w:r>
              <w:rPr>
                <w:rFonts w:hint="eastAsia" w:ascii="宋体" w:hAnsi="宋体" w:eastAsia="宋体" w:cs="宋体"/>
                <w:b/>
                <w:bCs w:val="0"/>
                <w:color w:val="auto"/>
                <w:sz w:val="21"/>
                <w:szCs w:val="21"/>
                <w:highlight w:val="none"/>
              </w:rPr>
              <w:t>建筑装修装饰工程专业承包贰级（含）以上资质</w:t>
            </w:r>
            <w:r>
              <w:rPr>
                <w:rFonts w:hint="eastAsia" w:ascii="宋体" w:hAnsi="宋体" w:eastAsia="宋体" w:cs="宋体"/>
                <w:b w:val="0"/>
                <w:color w:val="auto"/>
                <w:sz w:val="21"/>
                <w:szCs w:val="21"/>
                <w:highlight w:val="none"/>
              </w:rPr>
              <w:t>；且安全生产许可证处于有效期。</w:t>
            </w:r>
          </w:p>
        </w:tc>
        <w:tc>
          <w:tcPr>
            <w:tcW w:w="614" w:type="dxa"/>
            <w:vAlign w:val="center"/>
          </w:tcPr>
          <w:p w14:paraId="35D14B86">
            <w:pPr>
              <w:spacing w:line="320" w:lineRule="exact"/>
              <w:rPr>
                <w:rFonts w:hint="eastAsia" w:ascii="宋体" w:hAnsi="宋体" w:eastAsia="宋体" w:cs="宋体"/>
                <w:color w:val="auto"/>
                <w:highlight w:val="none"/>
              </w:rPr>
            </w:pPr>
          </w:p>
        </w:tc>
        <w:tc>
          <w:tcPr>
            <w:tcW w:w="614" w:type="dxa"/>
            <w:vAlign w:val="center"/>
          </w:tcPr>
          <w:p w14:paraId="19A501A5">
            <w:pPr>
              <w:spacing w:line="320" w:lineRule="exact"/>
              <w:rPr>
                <w:rFonts w:hint="eastAsia" w:ascii="宋体" w:hAnsi="宋体" w:eastAsia="宋体" w:cs="宋体"/>
                <w:color w:val="auto"/>
                <w:highlight w:val="none"/>
              </w:rPr>
            </w:pPr>
          </w:p>
        </w:tc>
        <w:tc>
          <w:tcPr>
            <w:tcW w:w="615" w:type="dxa"/>
            <w:vAlign w:val="center"/>
          </w:tcPr>
          <w:p w14:paraId="71837EB4">
            <w:pPr>
              <w:spacing w:line="320" w:lineRule="exact"/>
              <w:rPr>
                <w:rFonts w:hint="eastAsia" w:ascii="宋体" w:hAnsi="宋体" w:eastAsia="宋体" w:cs="宋体"/>
                <w:color w:val="auto"/>
                <w:highlight w:val="none"/>
              </w:rPr>
            </w:pPr>
          </w:p>
        </w:tc>
      </w:tr>
      <w:tr w14:paraId="48739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00" w:hRule="atLeast"/>
          <w:jc w:val="center"/>
        </w:trPr>
        <w:tc>
          <w:tcPr>
            <w:tcW w:w="487" w:type="dxa"/>
            <w:vAlign w:val="center"/>
          </w:tcPr>
          <w:p w14:paraId="062421D7">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1F724B86">
            <w:pPr>
              <w:spacing w:line="320" w:lineRule="exact"/>
              <w:rPr>
                <w:rFonts w:hint="eastAsia" w:ascii="宋体" w:hAnsi="宋体" w:eastAsia="宋体" w:cs="宋体"/>
                <w:color w:val="auto"/>
                <w:szCs w:val="21"/>
                <w:highlight w:val="none"/>
              </w:rPr>
            </w:pPr>
            <w:r>
              <w:rPr>
                <w:rFonts w:hint="eastAsia" w:ascii="宋体" w:hAnsi="宋体" w:eastAsia="宋体" w:cs="宋体"/>
                <w:b w:val="0"/>
                <w:color w:val="auto"/>
                <w:sz w:val="21"/>
                <w:szCs w:val="21"/>
                <w:highlight w:val="none"/>
              </w:rPr>
              <w:t>拟任项目负责人（项目经理）须具有</w:t>
            </w:r>
            <w:r>
              <w:rPr>
                <w:rFonts w:hint="eastAsia" w:ascii="宋体" w:hAnsi="宋体" w:eastAsia="宋体" w:cs="宋体"/>
                <w:b/>
                <w:bCs w:val="0"/>
                <w:color w:val="auto"/>
                <w:sz w:val="21"/>
                <w:szCs w:val="21"/>
                <w:highlight w:val="none"/>
              </w:rPr>
              <w:t>建筑工程专业贰级及以上</w:t>
            </w:r>
            <w:r>
              <w:rPr>
                <w:rFonts w:hint="eastAsia" w:ascii="宋体" w:hAnsi="宋体" w:eastAsia="宋体" w:cs="宋体"/>
                <w:b w:val="0"/>
                <w:color w:val="auto"/>
                <w:sz w:val="21"/>
                <w:szCs w:val="21"/>
                <w:highlight w:val="none"/>
              </w:rPr>
              <w:t>注册建造师执业资格，并且</w:t>
            </w:r>
            <w:r>
              <w:rPr>
                <w:rFonts w:hint="eastAsia" w:ascii="宋体" w:hAnsi="宋体" w:eastAsia="宋体" w:cs="宋体"/>
                <w:b/>
                <w:bCs w:val="0"/>
                <w:color w:val="auto"/>
                <w:sz w:val="21"/>
                <w:szCs w:val="21"/>
                <w:highlight w:val="none"/>
              </w:rPr>
              <w:t>具备有效的B类安全生产考核合格证</w:t>
            </w:r>
            <w:r>
              <w:rPr>
                <w:rFonts w:hint="eastAsia" w:ascii="宋体" w:hAnsi="宋体" w:cs="宋体"/>
                <w:b/>
                <w:bCs w:val="0"/>
                <w:color w:val="auto"/>
                <w:sz w:val="21"/>
                <w:szCs w:val="21"/>
                <w:highlight w:val="none"/>
                <w:lang w:eastAsia="zh-CN"/>
              </w:rPr>
              <w:t>，</w:t>
            </w:r>
            <w:r>
              <w:rPr>
                <w:rFonts w:hint="eastAsia" w:ascii="宋体" w:hAnsi="宋体" w:cs="宋体"/>
                <w:b/>
                <w:bCs w:val="0"/>
                <w:color w:val="auto"/>
                <w:sz w:val="21"/>
                <w:szCs w:val="21"/>
                <w:highlight w:val="none"/>
                <w:lang w:val="en-US" w:eastAsia="zh-CN"/>
              </w:rPr>
              <w:t>须为本单位正式职工且无在建工程项目</w:t>
            </w:r>
            <w:r>
              <w:rPr>
                <w:rFonts w:hint="eastAsia" w:ascii="宋体" w:hAnsi="宋体" w:eastAsia="宋体" w:cs="宋体"/>
                <w:b w:val="0"/>
                <w:color w:val="auto"/>
                <w:sz w:val="21"/>
                <w:szCs w:val="21"/>
                <w:highlight w:val="none"/>
              </w:rPr>
              <w:t>；提供本企业为其依法缴纳的近3个月（指202</w:t>
            </w:r>
            <w:r>
              <w:rPr>
                <w:rFonts w:hint="eastAsia" w:ascii="宋体" w:hAnsi="宋体" w:cs="宋体"/>
                <w:b w:val="0"/>
                <w:color w:val="auto"/>
                <w:sz w:val="21"/>
                <w:szCs w:val="21"/>
                <w:highlight w:val="none"/>
                <w:lang w:val="en-US" w:eastAsia="zh-CN"/>
              </w:rPr>
              <w:t>5</w:t>
            </w:r>
            <w:r>
              <w:rPr>
                <w:rFonts w:hint="eastAsia" w:ascii="宋体" w:hAnsi="宋体" w:eastAsia="宋体" w:cs="宋体"/>
                <w:b w:val="0"/>
                <w:color w:val="auto"/>
                <w:sz w:val="21"/>
                <w:szCs w:val="21"/>
                <w:highlight w:val="none"/>
              </w:rPr>
              <w:t>年</w:t>
            </w:r>
            <w:r>
              <w:rPr>
                <w:rFonts w:hint="eastAsia" w:ascii="宋体" w:hAnsi="宋体" w:cs="宋体"/>
                <w:b w:val="0"/>
                <w:color w:val="auto"/>
                <w:sz w:val="21"/>
                <w:szCs w:val="21"/>
                <w:highlight w:val="none"/>
                <w:lang w:val="en-US" w:eastAsia="zh-CN"/>
              </w:rPr>
              <w:t>8</w:t>
            </w:r>
            <w:r>
              <w:rPr>
                <w:rFonts w:hint="eastAsia" w:ascii="宋体" w:hAnsi="宋体" w:eastAsia="宋体" w:cs="宋体"/>
                <w:b w:val="0"/>
                <w:color w:val="auto"/>
                <w:sz w:val="21"/>
                <w:szCs w:val="21"/>
                <w:highlight w:val="none"/>
              </w:rPr>
              <w:t>月至202</w:t>
            </w:r>
            <w:r>
              <w:rPr>
                <w:rFonts w:hint="eastAsia" w:ascii="宋体" w:hAnsi="宋体" w:cs="宋体"/>
                <w:b w:val="0"/>
                <w:color w:val="auto"/>
                <w:sz w:val="21"/>
                <w:szCs w:val="21"/>
                <w:highlight w:val="none"/>
                <w:lang w:val="en-US" w:eastAsia="zh-CN"/>
              </w:rPr>
              <w:t>5</w:t>
            </w:r>
            <w:r>
              <w:rPr>
                <w:rFonts w:hint="eastAsia" w:ascii="宋体" w:hAnsi="宋体" w:eastAsia="宋体" w:cs="宋体"/>
                <w:b w:val="0"/>
                <w:color w:val="auto"/>
                <w:sz w:val="21"/>
                <w:szCs w:val="21"/>
                <w:highlight w:val="none"/>
              </w:rPr>
              <w:t>年</w:t>
            </w:r>
            <w:r>
              <w:rPr>
                <w:rFonts w:hint="eastAsia" w:ascii="宋体" w:hAnsi="宋体" w:cs="宋体"/>
                <w:b w:val="0"/>
                <w:color w:val="auto"/>
                <w:sz w:val="21"/>
                <w:szCs w:val="21"/>
                <w:highlight w:val="none"/>
                <w:lang w:val="en-US" w:eastAsia="zh-CN"/>
              </w:rPr>
              <w:t>10</w:t>
            </w:r>
            <w:r>
              <w:rPr>
                <w:rFonts w:hint="eastAsia" w:ascii="宋体" w:hAnsi="宋体" w:eastAsia="宋体" w:cs="宋体"/>
                <w:b w:val="0"/>
                <w:color w:val="auto"/>
                <w:sz w:val="21"/>
                <w:szCs w:val="21"/>
                <w:highlight w:val="none"/>
              </w:rPr>
              <w:t>月）的社保证明。</w:t>
            </w:r>
          </w:p>
        </w:tc>
        <w:tc>
          <w:tcPr>
            <w:tcW w:w="614" w:type="dxa"/>
            <w:vAlign w:val="center"/>
          </w:tcPr>
          <w:p w14:paraId="1CB6F678">
            <w:pPr>
              <w:spacing w:line="320" w:lineRule="exact"/>
              <w:rPr>
                <w:rFonts w:hint="eastAsia" w:ascii="宋体" w:hAnsi="宋体" w:eastAsia="宋体" w:cs="宋体"/>
                <w:color w:val="auto"/>
                <w:highlight w:val="none"/>
              </w:rPr>
            </w:pPr>
          </w:p>
        </w:tc>
        <w:tc>
          <w:tcPr>
            <w:tcW w:w="614" w:type="dxa"/>
            <w:vAlign w:val="center"/>
          </w:tcPr>
          <w:p w14:paraId="44537DD0">
            <w:pPr>
              <w:spacing w:line="320" w:lineRule="exact"/>
              <w:rPr>
                <w:rFonts w:hint="eastAsia" w:ascii="宋体" w:hAnsi="宋体" w:eastAsia="宋体" w:cs="宋体"/>
                <w:color w:val="auto"/>
                <w:highlight w:val="none"/>
              </w:rPr>
            </w:pPr>
          </w:p>
        </w:tc>
        <w:tc>
          <w:tcPr>
            <w:tcW w:w="615" w:type="dxa"/>
            <w:vAlign w:val="center"/>
          </w:tcPr>
          <w:p w14:paraId="2011DA6E">
            <w:pPr>
              <w:spacing w:line="320" w:lineRule="exact"/>
              <w:rPr>
                <w:rFonts w:hint="eastAsia" w:ascii="宋体" w:hAnsi="宋体" w:eastAsia="宋体" w:cs="宋体"/>
                <w:color w:val="auto"/>
                <w:highlight w:val="none"/>
              </w:rPr>
            </w:pPr>
          </w:p>
        </w:tc>
      </w:tr>
      <w:tr w14:paraId="55E962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68B669EA">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7986D190">
            <w:pPr>
              <w:spacing w:line="320" w:lineRule="exac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施工项目部关键岗位人员数量不得低于湘建建[2020]208号文件规定的最低配备标准（即：项目负责人1人、技术负责人1人、施工员1人、安全员1人、质量员1人），并且提供关键岗位人员202</w:t>
            </w:r>
            <w:r>
              <w:rPr>
                <w:rFonts w:hint="eastAsia" w:ascii="宋体" w:hAnsi="宋体" w:cs="宋体"/>
                <w:color w:val="auto"/>
                <w:kern w:val="0"/>
                <w:szCs w:val="21"/>
                <w:highlight w:val="none"/>
                <w:lang w:val="en-US" w:eastAsia="zh-CN" w:bidi="ar"/>
              </w:rPr>
              <w:t>5</w:t>
            </w:r>
            <w:r>
              <w:rPr>
                <w:rFonts w:hint="eastAsia" w:ascii="宋体" w:hAnsi="宋体" w:eastAsia="宋体" w:cs="宋体"/>
                <w:color w:val="auto"/>
                <w:kern w:val="0"/>
                <w:szCs w:val="21"/>
                <w:highlight w:val="none"/>
                <w:lang w:bidi="ar"/>
              </w:rPr>
              <w:t>年</w:t>
            </w:r>
            <w:r>
              <w:rPr>
                <w:rFonts w:hint="eastAsia" w:ascii="宋体" w:hAnsi="宋体" w:cs="宋体"/>
                <w:color w:val="auto"/>
                <w:kern w:val="0"/>
                <w:szCs w:val="21"/>
                <w:highlight w:val="none"/>
                <w:lang w:val="en-US" w:eastAsia="zh-CN" w:bidi="ar"/>
              </w:rPr>
              <w:t>8</w:t>
            </w:r>
            <w:r>
              <w:rPr>
                <w:rFonts w:hint="eastAsia" w:ascii="宋体" w:hAnsi="宋体" w:eastAsia="宋体" w:cs="宋体"/>
                <w:color w:val="auto"/>
                <w:kern w:val="0"/>
                <w:szCs w:val="21"/>
                <w:highlight w:val="none"/>
                <w:lang w:bidi="ar"/>
              </w:rPr>
              <w:t>月至202</w:t>
            </w:r>
            <w:r>
              <w:rPr>
                <w:rFonts w:hint="eastAsia" w:ascii="宋体" w:hAnsi="宋体" w:cs="宋体"/>
                <w:color w:val="auto"/>
                <w:kern w:val="0"/>
                <w:szCs w:val="21"/>
                <w:highlight w:val="none"/>
                <w:lang w:val="en-US" w:eastAsia="zh-CN" w:bidi="ar"/>
              </w:rPr>
              <w:t>5</w:t>
            </w:r>
            <w:r>
              <w:rPr>
                <w:rFonts w:hint="eastAsia" w:ascii="宋体" w:hAnsi="宋体" w:eastAsia="宋体" w:cs="宋体"/>
                <w:color w:val="auto"/>
                <w:kern w:val="0"/>
                <w:szCs w:val="21"/>
                <w:highlight w:val="none"/>
                <w:lang w:bidi="ar"/>
              </w:rPr>
              <w:t>年</w:t>
            </w:r>
            <w:r>
              <w:rPr>
                <w:rFonts w:hint="eastAsia" w:ascii="宋体" w:hAnsi="宋体" w:cs="宋体"/>
                <w:color w:val="auto"/>
                <w:kern w:val="0"/>
                <w:szCs w:val="21"/>
                <w:highlight w:val="none"/>
                <w:lang w:val="en-US" w:eastAsia="zh-CN" w:bidi="ar"/>
              </w:rPr>
              <w:t>10</w:t>
            </w:r>
            <w:r>
              <w:rPr>
                <w:rFonts w:hint="eastAsia" w:ascii="宋体" w:hAnsi="宋体" w:eastAsia="宋体" w:cs="宋体"/>
                <w:color w:val="auto"/>
                <w:kern w:val="0"/>
                <w:szCs w:val="21"/>
                <w:highlight w:val="none"/>
                <w:lang w:bidi="ar"/>
              </w:rPr>
              <w:t>月社保证明，提供关键岗位人员无在建项目承诺书。</w:t>
            </w:r>
          </w:p>
        </w:tc>
        <w:tc>
          <w:tcPr>
            <w:tcW w:w="614" w:type="dxa"/>
            <w:vAlign w:val="center"/>
          </w:tcPr>
          <w:p w14:paraId="12FDFC6E">
            <w:pPr>
              <w:spacing w:line="320" w:lineRule="exact"/>
              <w:rPr>
                <w:rFonts w:hint="eastAsia" w:ascii="宋体" w:hAnsi="宋体" w:eastAsia="宋体" w:cs="宋体"/>
                <w:color w:val="auto"/>
                <w:highlight w:val="none"/>
              </w:rPr>
            </w:pPr>
          </w:p>
        </w:tc>
        <w:tc>
          <w:tcPr>
            <w:tcW w:w="614" w:type="dxa"/>
            <w:vAlign w:val="center"/>
          </w:tcPr>
          <w:p w14:paraId="2B1F0E5F">
            <w:pPr>
              <w:spacing w:line="320" w:lineRule="exact"/>
              <w:rPr>
                <w:rFonts w:hint="eastAsia" w:ascii="宋体" w:hAnsi="宋体" w:eastAsia="宋体" w:cs="宋体"/>
                <w:color w:val="auto"/>
                <w:highlight w:val="none"/>
              </w:rPr>
            </w:pPr>
          </w:p>
        </w:tc>
        <w:tc>
          <w:tcPr>
            <w:tcW w:w="615" w:type="dxa"/>
            <w:vAlign w:val="center"/>
          </w:tcPr>
          <w:p w14:paraId="4EEBC1BC">
            <w:pPr>
              <w:spacing w:line="320" w:lineRule="exact"/>
              <w:rPr>
                <w:rFonts w:hint="eastAsia" w:ascii="宋体" w:hAnsi="宋体" w:eastAsia="宋体" w:cs="宋体"/>
                <w:color w:val="auto"/>
                <w:highlight w:val="none"/>
              </w:rPr>
            </w:pPr>
          </w:p>
        </w:tc>
      </w:tr>
      <w:tr w14:paraId="02D734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27908123">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5CFFFD2E">
            <w:pPr>
              <w:spacing w:line="320" w:lineRule="exact"/>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单位负责人为同一人或者存在直接控股、管理关系的不同投标人，不得参加本项目同一合同项下的政府采购活动。</w:t>
            </w:r>
          </w:p>
        </w:tc>
        <w:tc>
          <w:tcPr>
            <w:tcW w:w="614" w:type="dxa"/>
            <w:vAlign w:val="center"/>
          </w:tcPr>
          <w:p w14:paraId="501D79DB">
            <w:pPr>
              <w:spacing w:line="320" w:lineRule="exact"/>
              <w:rPr>
                <w:rFonts w:hint="eastAsia" w:ascii="宋体" w:hAnsi="宋体" w:eastAsia="宋体" w:cs="宋体"/>
                <w:color w:val="auto"/>
                <w:highlight w:val="none"/>
              </w:rPr>
            </w:pPr>
          </w:p>
        </w:tc>
        <w:tc>
          <w:tcPr>
            <w:tcW w:w="614" w:type="dxa"/>
            <w:vAlign w:val="center"/>
          </w:tcPr>
          <w:p w14:paraId="2B699251">
            <w:pPr>
              <w:spacing w:line="320" w:lineRule="exact"/>
              <w:rPr>
                <w:rFonts w:hint="eastAsia" w:ascii="宋体" w:hAnsi="宋体" w:eastAsia="宋体" w:cs="宋体"/>
                <w:color w:val="auto"/>
                <w:highlight w:val="none"/>
              </w:rPr>
            </w:pPr>
          </w:p>
        </w:tc>
        <w:tc>
          <w:tcPr>
            <w:tcW w:w="615" w:type="dxa"/>
            <w:vAlign w:val="center"/>
          </w:tcPr>
          <w:p w14:paraId="1B9BA829">
            <w:pPr>
              <w:spacing w:line="320" w:lineRule="exact"/>
              <w:rPr>
                <w:rFonts w:hint="eastAsia" w:ascii="宋体" w:hAnsi="宋体" w:eastAsia="宋体" w:cs="宋体"/>
                <w:color w:val="auto"/>
                <w:highlight w:val="none"/>
              </w:rPr>
            </w:pPr>
          </w:p>
        </w:tc>
      </w:tr>
      <w:tr w14:paraId="1D7C92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7D9BA193">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098B4994">
            <w:pPr>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为本采购项目提供整体设计、规范编制或者项目管理、监理、检测等服务的，不得再参加本项目的其他招标采购活动。</w:t>
            </w:r>
          </w:p>
        </w:tc>
        <w:tc>
          <w:tcPr>
            <w:tcW w:w="614" w:type="dxa"/>
            <w:vAlign w:val="center"/>
          </w:tcPr>
          <w:p w14:paraId="5A5F1AB1">
            <w:pPr>
              <w:spacing w:line="320" w:lineRule="exact"/>
              <w:rPr>
                <w:rFonts w:hint="eastAsia" w:ascii="宋体" w:hAnsi="宋体" w:eastAsia="宋体" w:cs="宋体"/>
                <w:color w:val="auto"/>
                <w:highlight w:val="none"/>
              </w:rPr>
            </w:pPr>
          </w:p>
        </w:tc>
        <w:tc>
          <w:tcPr>
            <w:tcW w:w="614" w:type="dxa"/>
            <w:vAlign w:val="center"/>
          </w:tcPr>
          <w:p w14:paraId="1136368C">
            <w:pPr>
              <w:spacing w:line="320" w:lineRule="exact"/>
              <w:rPr>
                <w:rFonts w:hint="eastAsia" w:ascii="宋体" w:hAnsi="宋体" w:eastAsia="宋体" w:cs="宋体"/>
                <w:color w:val="auto"/>
                <w:highlight w:val="none"/>
              </w:rPr>
            </w:pPr>
          </w:p>
        </w:tc>
        <w:tc>
          <w:tcPr>
            <w:tcW w:w="615" w:type="dxa"/>
            <w:vAlign w:val="center"/>
          </w:tcPr>
          <w:p w14:paraId="0B61EF8D">
            <w:pPr>
              <w:spacing w:line="320" w:lineRule="exact"/>
              <w:rPr>
                <w:rFonts w:hint="eastAsia" w:ascii="宋体" w:hAnsi="宋体" w:eastAsia="宋体" w:cs="宋体"/>
                <w:color w:val="auto"/>
                <w:highlight w:val="none"/>
              </w:rPr>
            </w:pPr>
          </w:p>
        </w:tc>
      </w:tr>
      <w:tr w14:paraId="6CD79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3A908E1F">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0A99D1BC">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未被列入失信被执行人、重大税收违法案件当事人名单，未被列入政府采购严重违法失信行为记录名单。</w:t>
            </w:r>
          </w:p>
        </w:tc>
        <w:tc>
          <w:tcPr>
            <w:tcW w:w="614" w:type="dxa"/>
            <w:vAlign w:val="center"/>
          </w:tcPr>
          <w:p w14:paraId="1647B446">
            <w:pPr>
              <w:spacing w:line="320" w:lineRule="exact"/>
              <w:rPr>
                <w:rFonts w:hint="eastAsia" w:ascii="宋体" w:hAnsi="宋体" w:eastAsia="宋体" w:cs="宋体"/>
                <w:color w:val="auto"/>
                <w:highlight w:val="none"/>
              </w:rPr>
            </w:pPr>
          </w:p>
        </w:tc>
        <w:tc>
          <w:tcPr>
            <w:tcW w:w="614" w:type="dxa"/>
            <w:vAlign w:val="center"/>
          </w:tcPr>
          <w:p w14:paraId="108A3126">
            <w:pPr>
              <w:spacing w:line="320" w:lineRule="exact"/>
              <w:rPr>
                <w:rFonts w:hint="eastAsia" w:ascii="宋体" w:hAnsi="宋体" w:eastAsia="宋体" w:cs="宋体"/>
                <w:color w:val="auto"/>
                <w:highlight w:val="none"/>
              </w:rPr>
            </w:pPr>
          </w:p>
        </w:tc>
        <w:tc>
          <w:tcPr>
            <w:tcW w:w="615" w:type="dxa"/>
            <w:vAlign w:val="center"/>
          </w:tcPr>
          <w:p w14:paraId="3EAFAAB0">
            <w:pPr>
              <w:spacing w:line="320" w:lineRule="exact"/>
              <w:rPr>
                <w:rFonts w:hint="eastAsia" w:ascii="宋体" w:hAnsi="宋体" w:eastAsia="宋体" w:cs="宋体"/>
                <w:color w:val="auto"/>
                <w:highlight w:val="none"/>
              </w:rPr>
            </w:pPr>
          </w:p>
        </w:tc>
      </w:tr>
      <w:tr w14:paraId="08A132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487" w:type="dxa"/>
            <w:vAlign w:val="center"/>
          </w:tcPr>
          <w:p w14:paraId="75770AF3">
            <w:pPr>
              <w:numPr>
                <w:ilvl w:val="0"/>
                <w:numId w:val="3"/>
              </w:numPr>
              <w:spacing w:line="320" w:lineRule="exact"/>
              <w:ind w:left="0"/>
              <w:jc w:val="center"/>
              <w:rPr>
                <w:rFonts w:hint="eastAsia" w:ascii="宋体" w:hAnsi="宋体" w:eastAsia="宋体" w:cs="宋体"/>
                <w:color w:val="auto"/>
                <w:highlight w:val="none"/>
              </w:rPr>
            </w:pPr>
          </w:p>
        </w:tc>
        <w:tc>
          <w:tcPr>
            <w:tcW w:w="6517" w:type="dxa"/>
            <w:vAlign w:val="center"/>
          </w:tcPr>
          <w:p w14:paraId="13E6EDFE">
            <w:pP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本次采购不接受联合体投标。</w:t>
            </w:r>
          </w:p>
        </w:tc>
        <w:tc>
          <w:tcPr>
            <w:tcW w:w="614" w:type="dxa"/>
            <w:vAlign w:val="center"/>
          </w:tcPr>
          <w:p w14:paraId="4EEFBB57">
            <w:pPr>
              <w:spacing w:line="320" w:lineRule="exact"/>
              <w:rPr>
                <w:rFonts w:hint="eastAsia" w:ascii="宋体" w:hAnsi="宋体" w:eastAsia="宋体" w:cs="宋体"/>
                <w:color w:val="auto"/>
                <w:highlight w:val="none"/>
              </w:rPr>
            </w:pPr>
          </w:p>
        </w:tc>
        <w:tc>
          <w:tcPr>
            <w:tcW w:w="614" w:type="dxa"/>
            <w:vAlign w:val="center"/>
          </w:tcPr>
          <w:p w14:paraId="590C89AA">
            <w:pPr>
              <w:spacing w:line="320" w:lineRule="exact"/>
              <w:rPr>
                <w:rFonts w:hint="eastAsia" w:ascii="宋体" w:hAnsi="宋体" w:eastAsia="宋体" w:cs="宋体"/>
                <w:color w:val="auto"/>
                <w:highlight w:val="none"/>
              </w:rPr>
            </w:pPr>
          </w:p>
        </w:tc>
        <w:tc>
          <w:tcPr>
            <w:tcW w:w="615" w:type="dxa"/>
            <w:vAlign w:val="center"/>
          </w:tcPr>
          <w:p w14:paraId="657B5679">
            <w:pPr>
              <w:spacing w:line="320" w:lineRule="exact"/>
              <w:rPr>
                <w:rFonts w:hint="eastAsia" w:ascii="宋体" w:hAnsi="宋体" w:eastAsia="宋体" w:cs="宋体"/>
                <w:color w:val="auto"/>
                <w:highlight w:val="none"/>
              </w:rPr>
            </w:pPr>
          </w:p>
        </w:tc>
      </w:tr>
      <w:tr w14:paraId="1997BB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7004" w:type="dxa"/>
            <w:gridSpan w:val="2"/>
            <w:vAlign w:val="center"/>
          </w:tcPr>
          <w:p w14:paraId="2F986C29">
            <w:pPr>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结论（合格或不合格）</w:t>
            </w:r>
          </w:p>
        </w:tc>
        <w:tc>
          <w:tcPr>
            <w:tcW w:w="614" w:type="dxa"/>
            <w:vAlign w:val="center"/>
          </w:tcPr>
          <w:p w14:paraId="3EACE76C">
            <w:pPr>
              <w:spacing w:line="320" w:lineRule="exact"/>
              <w:rPr>
                <w:rFonts w:hint="eastAsia" w:ascii="宋体" w:hAnsi="宋体" w:eastAsia="宋体" w:cs="宋体"/>
                <w:color w:val="auto"/>
                <w:highlight w:val="none"/>
              </w:rPr>
            </w:pPr>
          </w:p>
        </w:tc>
        <w:tc>
          <w:tcPr>
            <w:tcW w:w="614" w:type="dxa"/>
            <w:vAlign w:val="center"/>
          </w:tcPr>
          <w:p w14:paraId="29574558">
            <w:pPr>
              <w:spacing w:line="320" w:lineRule="exact"/>
              <w:rPr>
                <w:rFonts w:hint="eastAsia" w:ascii="宋体" w:hAnsi="宋体" w:eastAsia="宋体" w:cs="宋体"/>
                <w:color w:val="auto"/>
                <w:highlight w:val="none"/>
              </w:rPr>
            </w:pPr>
          </w:p>
        </w:tc>
        <w:tc>
          <w:tcPr>
            <w:tcW w:w="615" w:type="dxa"/>
            <w:vAlign w:val="center"/>
          </w:tcPr>
          <w:p w14:paraId="05B3E646">
            <w:pPr>
              <w:spacing w:line="320" w:lineRule="exact"/>
              <w:rPr>
                <w:rFonts w:hint="eastAsia" w:ascii="宋体" w:hAnsi="宋体" w:eastAsia="宋体" w:cs="宋体"/>
                <w:color w:val="auto"/>
                <w:highlight w:val="none"/>
              </w:rPr>
            </w:pPr>
          </w:p>
        </w:tc>
      </w:tr>
    </w:tbl>
    <w:p w14:paraId="4A43CFF3">
      <w:pPr>
        <w:adjustRightInd w:val="0"/>
        <w:snapToGrid w:val="0"/>
        <w:spacing w:line="400" w:lineRule="exact"/>
        <w:ind w:firstLine="840" w:firstLineChars="400"/>
        <w:rPr>
          <w:rFonts w:hint="eastAsia" w:ascii="宋体" w:hAnsi="宋体" w:eastAsia="宋体" w:cs="宋体"/>
          <w:bCs/>
          <w:color w:val="auto"/>
          <w:szCs w:val="21"/>
          <w:highlight w:val="none"/>
        </w:rPr>
      </w:pPr>
      <w:r>
        <w:rPr>
          <w:rFonts w:hint="eastAsia" w:ascii="宋体" w:hAnsi="宋体" w:eastAsia="宋体" w:cs="宋体"/>
          <w:color w:val="auto"/>
          <w:highlight w:val="none"/>
        </w:rPr>
        <w:t>注：1、</w:t>
      </w:r>
      <w:r>
        <w:rPr>
          <w:rFonts w:hint="eastAsia" w:ascii="宋体" w:hAnsi="宋体" w:eastAsia="宋体" w:cs="宋体"/>
          <w:bCs/>
          <w:color w:val="auto"/>
          <w:szCs w:val="21"/>
          <w:highlight w:val="none"/>
        </w:rPr>
        <w:t>上述内容合格用“√”表示，不合格用“×”表示；</w:t>
      </w:r>
    </w:p>
    <w:p w14:paraId="6A98C6E0">
      <w:pPr>
        <w:numPr>
          <w:ilvl w:val="0"/>
          <w:numId w:val="4"/>
        </w:numPr>
        <w:adjustRightInd w:val="0"/>
        <w:snapToGrid w:val="0"/>
        <w:spacing w:line="400" w:lineRule="exact"/>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以上内容有一项不合格的，则初步评审的综合评定结果为不合格。</w:t>
      </w:r>
    </w:p>
    <w:p w14:paraId="4A4EC317">
      <w:pPr>
        <w:adjustRightInd w:val="0"/>
        <w:snapToGrid w:val="0"/>
        <w:spacing w:line="400" w:lineRule="exact"/>
        <w:rPr>
          <w:rFonts w:hint="eastAsia" w:ascii="宋体" w:hAnsi="宋体" w:eastAsia="宋体" w:cs="宋体"/>
          <w:b/>
          <w:color w:val="auto"/>
          <w:highlight w:val="none"/>
        </w:rPr>
      </w:pPr>
    </w:p>
    <w:p w14:paraId="4F2E8EF8">
      <w:pPr>
        <w:adjustRightInd w:val="0"/>
        <w:snapToGrid w:val="0"/>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（2）符合性检查：</w:t>
      </w:r>
    </w:p>
    <w:p w14:paraId="4F61423E">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依据磋商文件的规定，从响应文件的有效性、完整性和对磋商文件的响应程度进行审查，以确定是否对磋商文件的实质性要求作出响应。</w:t>
      </w:r>
    </w:p>
    <w:p w14:paraId="5893DF20">
      <w:pPr>
        <w:widowControl/>
        <w:spacing w:line="4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表2  符合性检查表</w:t>
      </w:r>
    </w:p>
    <w:tbl>
      <w:tblPr>
        <w:tblStyle w:val="19"/>
        <w:tblW w:w="84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6"/>
        <w:gridCol w:w="5504"/>
        <w:gridCol w:w="736"/>
        <w:gridCol w:w="736"/>
        <w:gridCol w:w="736"/>
      </w:tblGrid>
      <w:tr w14:paraId="7F0F99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Merge w:val="restart"/>
            <w:vAlign w:val="center"/>
          </w:tcPr>
          <w:p w14:paraId="7DF82251">
            <w:pPr>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b/>
                <w:color w:val="auto"/>
                <w:highlight w:val="none"/>
              </w:rPr>
              <w:t>序号</w:t>
            </w:r>
          </w:p>
        </w:tc>
        <w:tc>
          <w:tcPr>
            <w:tcW w:w="5504" w:type="dxa"/>
            <w:vMerge w:val="restart"/>
            <w:vAlign w:val="center"/>
          </w:tcPr>
          <w:p w14:paraId="730405A6">
            <w:pPr>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b/>
                <w:color w:val="auto"/>
                <w:highlight w:val="none"/>
              </w:rPr>
              <w:t>检查项目</w:t>
            </w:r>
          </w:p>
        </w:tc>
        <w:tc>
          <w:tcPr>
            <w:tcW w:w="2208" w:type="dxa"/>
            <w:gridSpan w:val="3"/>
            <w:vAlign w:val="center"/>
          </w:tcPr>
          <w:p w14:paraId="251AB4A5">
            <w:pPr>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b/>
                <w:color w:val="auto"/>
                <w:highlight w:val="none"/>
              </w:rPr>
              <w:t>投标人</w:t>
            </w:r>
          </w:p>
        </w:tc>
      </w:tr>
      <w:tr w14:paraId="7197D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4" w:hRule="atLeast"/>
          <w:jc w:val="center"/>
        </w:trPr>
        <w:tc>
          <w:tcPr>
            <w:tcW w:w="726" w:type="dxa"/>
            <w:vMerge w:val="continue"/>
            <w:vAlign w:val="center"/>
          </w:tcPr>
          <w:p w14:paraId="5D22396F">
            <w:pPr>
              <w:widowControl/>
              <w:spacing w:before="31" w:beforeLines="10" w:after="31" w:afterLines="10" w:line="320" w:lineRule="exact"/>
              <w:rPr>
                <w:rFonts w:hint="eastAsia" w:ascii="宋体" w:hAnsi="宋体" w:eastAsia="宋体" w:cs="宋体"/>
                <w:color w:val="auto"/>
                <w:highlight w:val="none"/>
              </w:rPr>
            </w:pPr>
          </w:p>
        </w:tc>
        <w:tc>
          <w:tcPr>
            <w:tcW w:w="5504" w:type="dxa"/>
            <w:vMerge w:val="continue"/>
            <w:vAlign w:val="center"/>
          </w:tcPr>
          <w:p w14:paraId="47BA1B38">
            <w:pPr>
              <w:widowControl/>
              <w:spacing w:before="31" w:beforeLines="10" w:after="31" w:afterLines="10" w:line="320" w:lineRule="exact"/>
              <w:rPr>
                <w:rFonts w:hint="eastAsia" w:ascii="宋体" w:hAnsi="宋体" w:eastAsia="宋体" w:cs="宋体"/>
                <w:color w:val="auto"/>
                <w:highlight w:val="none"/>
              </w:rPr>
            </w:pPr>
          </w:p>
        </w:tc>
        <w:tc>
          <w:tcPr>
            <w:tcW w:w="736" w:type="dxa"/>
            <w:vAlign w:val="center"/>
          </w:tcPr>
          <w:p w14:paraId="2ABBE4BE">
            <w:pPr>
              <w:widowControl/>
              <w:spacing w:before="31" w:beforeLines="10" w:after="31" w:afterLines="10"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736" w:type="dxa"/>
            <w:vAlign w:val="center"/>
          </w:tcPr>
          <w:p w14:paraId="716879A7">
            <w:pPr>
              <w:widowControl/>
              <w:spacing w:before="31" w:beforeLines="10" w:after="31" w:afterLines="10"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736" w:type="dxa"/>
            <w:vAlign w:val="center"/>
          </w:tcPr>
          <w:p w14:paraId="1C64B069">
            <w:pPr>
              <w:widowControl/>
              <w:spacing w:before="31" w:beforeLines="10" w:after="31" w:afterLines="10" w:line="32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3</w:t>
            </w:r>
          </w:p>
        </w:tc>
      </w:tr>
      <w:tr w14:paraId="3CB208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Align w:val="center"/>
          </w:tcPr>
          <w:p w14:paraId="08E8F44A">
            <w:pPr>
              <w:widowControl/>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5504" w:type="dxa"/>
            <w:vAlign w:val="center"/>
          </w:tcPr>
          <w:p w14:paraId="30E18D91">
            <w:pPr>
              <w:widowControl/>
              <w:spacing w:before="31" w:beforeLines="10" w:after="31" w:afterLines="10" w:line="320" w:lineRule="exact"/>
              <w:rPr>
                <w:rFonts w:hint="eastAsia" w:ascii="宋体" w:hAnsi="宋体" w:eastAsia="宋体" w:cs="宋体"/>
                <w:color w:val="auto"/>
                <w:highlight w:val="none"/>
              </w:rPr>
            </w:pPr>
            <w:r>
              <w:rPr>
                <w:rFonts w:hint="eastAsia" w:ascii="宋体" w:hAnsi="宋体" w:eastAsia="宋体" w:cs="宋体"/>
                <w:color w:val="auto"/>
                <w:highlight w:val="none"/>
              </w:rPr>
              <w:t>投标有效期满足磋商文件的要求</w:t>
            </w:r>
          </w:p>
        </w:tc>
        <w:tc>
          <w:tcPr>
            <w:tcW w:w="736" w:type="dxa"/>
            <w:vAlign w:val="center"/>
          </w:tcPr>
          <w:p w14:paraId="06C59C19">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70FA55E1">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37B0E54C">
            <w:pPr>
              <w:widowControl/>
              <w:spacing w:before="31" w:beforeLines="10" w:after="31" w:afterLines="10" w:line="320" w:lineRule="exact"/>
              <w:jc w:val="center"/>
              <w:rPr>
                <w:rFonts w:hint="eastAsia" w:ascii="宋体" w:hAnsi="宋体" w:eastAsia="宋体" w:cs="宋体"/>
                <w:color w:val="auto"/>
                <w:highlight w:val="none"/>
              </w:rPr>
            </w:pPr>
          </w:p>
        </w:tc>
      </w:tr>
      <w:tr w14:paraId="1F371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Align w:val="center"/>
          </w:tcPr>
          <w:p w14:paraId="5AAF62A4">
            <w:pPr>
              <w:widowControl/>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5504" w:type="dxa"/>
            <w:vAlign w:val="center"/>
          </w:tcPr>
          <w:p w14:paraId="693336DB">
            <w:pPr>
              <w:widowControl/>
              <w:spacing w:before="31" w:beforeLines="10" w:after="31" w:afterLines="10" w:line="320" w:lineRule="exact"/>
              <w:rPr>
                <w:rFonts w:hint="eastAsia" w:ascii="宋体" w:hAnsi="宋体" w:eastAsia="宋体" w:cs="宋体"/>
                <w:color w:val="auto"/>
                <w:highlight w:val="none"/>
              </w:rPr>
            </w:pPr>
            <w:r>
              <w:rPr>
                <w:rFonts w:hint="eastAsia" w:ascii="宋体" w:hAnsi="宋体" w:eastAsia="宋体" w:cs="宋体"/>
                <w:color w:val="auto"/>
                <w:highlight w:val="none"/>
              </w:rPr>
              <w:t>按照磋商文件规定要求签署、盖章</w:t>
            </w:r>
          </w:p>
        </w:tc>
        <w:tc>
          <w:tcPr>
            <w:tcW w:w="736" w:type="dxa"/>
            <w:vAlign w:val="center"/>
          </w:tcPr>
          <w:p w14:paraId="1DDA5302">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54055897">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3F69D09D">
            <w:pPr>
              <w:widowControl/>
              <w:spacing w:before="31" w:beforeLines="10" w:after="31" w:afterLines="10" w:line="320" w:lineRule="exact"/>
              <w:jc w:val="center"/>
              <w:rPr>
                <w:rFonts w:hint="eastAsia" w:ascii="宋体" w:hAnsi="宋体" w:eastAsia="宋体" w:cs="宋体"/>
                <w:color w:val="auto"/>
                <w:highlight w:val="none"/>
              </w:rPr>
            </w:pPr>
          </w:p>
        </w:tc>
      </w:tr>
      <w:tr w14:paraId="5E1CF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Align w:val="center"/>
          </w:tcPr>
          <w:p w14:paraId="2E45D077">
            <w:pPr>
              <w:widowControl/>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5504" w:type="dxa"/>
            <w:vAlign w:val="center"/>
          </w:tcPr>
          <w:p w14:paraId="1A26C524">
            <w:pPr>
              <w:widowControl/>
              <w:spacing w:before="31" w:beforeLines="10" w:after="31" w:afterLines="10" w:line="320" w:lineRule="exact"/>
              <w:rPr>
                <w:rFonts w:hint="eastAsia" w:ascii="宋体" w:hAnsi="宋体" w:eastAsia="宋体" w:cs="宋体"/>
                <w:color w:val="auto"/>
                <w:highlight w:val="none"/>
              </w:rPr>
            </w:pPr>
            <w:r>
              <w:rPr>
                <w:rFonts w:hint="eastAsia" w:ascii="宋体" w:hAnsi="宋体" w:eastAsia="宋体" w:cs="宋体"/>
                <w:color w:val="auto"/>
                <w:highlight w:val="none"/>
              </w:rPr>
              <w:t>工期满足磋商文件的要求</w:t>
            </w:r>
          </w:p>
        </w:tc>
        <w:tc>
          <w:tcPr>
            <w:tcW w:w="736" w:type="dxa"/>
            <w:vAlign w:val="center"/>
          </w:tcPr>
          <w:p w14:paraId="53F57320">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78031339">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7158939E">
            <w:pPr>
              <w:widowControl/>
              <w:spacing w:before="31" w:beforeLines="10" w:after="31" w:afterLines="10" w:line="320" w:lineRule="exact"/>
              <w:jc w:val="center"/>
              <w:rPr>
                <w:rFonts w:hint="eastAsia" w:ascii="宋体" w:hAnsi="宋体" w:eastAsia="宋体" w:cs="宋体"/>
                <w:color w:val="auto"/>
                <w:highlight w:val="none"/>
              </w:rPr>
            </w:pPr>
          </w:p>
        </w:tc>
      </w:tr>
      <w:tr w14:paraId="24CBE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Align w:val="center"/>
          </w:tcPr>
          <w:p w14:paraId="5A772E32">
            <w:pPr>
              <w:widowControl/>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5504" w:type="dxa"/>
            <w:vAlign w:val="center"/>
          </w:tcPr>
          <w:p w14:paraId="5806BCB0">
            <w:pPr>
              <w:widowControl/>
              <w:spacing w:before="31" w:beforeLines="10" w:after="31" w:afterLines="10" w:line="320" w:lineRule="exact"/>
              <w:rPr>
                <w:rFonts w:hint="eastAsia" w:ascii="宋体" w:hAnsi="宋体" w:eastAsia="宋体" w:cs="宋体"/>
                <w:color w:val="auto"/>
                <w:highlight w:val="none"/>
              </w:rPr>
            </w:pPr>
            <w:r>
              <w:rPr>
                <w:rFonts w:hint="eastAsia" w:ascii="宋体" w:hAnsi="宋体" w:eastAsia="宋体" w:cs="宋体"/>
                <w:color w:val="auto"/>
                <w:highlight w:val="none"/>
              </w:rPr>
              <w:t>投标报价未超过采购项目最高限价的</w:t>
            </w:r>
          </w:p>
        </w:tc>
        <w:tc>
          <w:tcPr>
            <w:tcW w:w="736" w:type="dxa"/>
            <w:vAlign w:val="center"/>
          </w:tcPr>
          <w:p w14:paraId="582DEE27">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5D165189">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6FC12B26">
            <w:pPr>
              <w:widowControl/>
              <w:spacing w:before="31" w:beforeLines="10" w:after="31" w:afterLines="10" w:line="320" w:lineRule="exact"/>
              <w:jc w:val="center"/>
              <w:rPr>
                <w:rFonts w:hint="eastAsia" w:ascii="宋体" w:hAnsi="宋体" w:eastAsia="宋体" w:cs="宋体"/>
                <w:color w:val="auto"/>
                <w:highlight w:val="none"/>
              </w:rPr>
            </w:pPr>
          </w:p>
        </w:tc>
      </w:tr>
      <w:tr w14:paraId="6D145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6" w:type="dxa"/>
            <w:vAlign w:val="center"/>
          </w:tcPr>
          <w:p w14:paraId="63EF8F21">
            <w:pPr>
              <w:widowControl/>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5504" w:type="dxa"/>
            <w:vAlign w:val="center"/>
          </w:tcPr>
          <w:p w14:paraId="7D6DA16B">
            <w:pPr>
              <w:widowControl/>
              <w:spacing w:before="31" w:beforeLines="10" w:after="31" w:afterLines="10" w:line="320" w:lineRule="exact"/>
              <w:rPr>
                <w:rFonts w:hint="eastAsia" w:ascii="宋体" w:hAnsi="宋体" w:eastAsia="宋体" w:cs="宋体"/>
                <w:color w:val="auto"/>
                <w:highlight w:val="none"/>
              </w:rPr>
            </w:pPr>
            <w:r>
              <w:rPr>
                <w:rFonts w:hint="eastAsia" w:ascii="宋体" w:hAnsi="宋体" w:eastAsia="宋体" w:cs="宋体"/>
                <w:color w:val="auto"/>
                <w:highlight w:val="none"/>
              </w:rPr>
              <w:t>响应文件中没有不符合法律、法规和磋商文件其他实质性规定的</w:t>
            </w:r>
          </w:p>
        </w:tc>
        <w:tc>
          <w:tcPr>
            <w:tcW w:w="736" w:type="dxa"/>
            <w:vAlign w:val="center"/>
          </w:tcPr>
          <w:p w14:paraId="2B7D6857">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71EE5CE5">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7FAB1576">
            <w:pPr>
              <w:widowControl/>
              <w:spacing w:before="31" w:beforeLines="10" w:after="31" w:afterLines="10" w:line="320" w:lineRule="exact"/>
              <w:jc w:val="center"/>
              <w:rPr>
                <w:rFonts w:hint="eastAsia" w:ascii="宋体" w:hAnsi="宋体" w:eastAsia="宋体" w:cs="宋体"/>
                <w:color w:val="auto"/>
                <w:highlight w:val="none"/>
              </w:rPr>
            </w:pPr>
          </w:p>
        </w:tc>
      </w:tr>
      <w:tr w14:paraId="279E9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0" w:type="dxa"/>
            <w:gridSpan w:val="2"/>
            <w:vAlign w:val="center"/>
          </w:tcPr>
          <w:p w14:paraId="24393C63">
            <w:pPr>
              <w:widowControl/>
              <w:spacing w:before="31" w:beforeLines="10" w:after="31" w:afterLines="10"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结论（合格或不合格）</w:t>
            </w:r>
          </w:p>
        </w:tc>
        <w:tc>
          <w:tcPr>
            <w:tcW w:w="736" w:type="dxa"/>
            <w:vAlign w:val="center"/>
          </w:tcPr>
          <w:p w14:paraId="68ADEE43">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271A7A3B">
            <w:pPr>
              <w:widowControl/>
              <w:spacing w:before="31" w:beforeLines="10" w:after="31" w:afterLines="10" w:line="320" w:lineRule="exact"/>
              <w:jc w:val="center"/>
              <w:rPr>
                <w:rFonts w:hint="eastAsia" w:ascii="宋体" w:hAnsi="宋体" w:eastAsia="宋体" w:cs="宋体"/>
                <w:color w:val="auto"/>
                <w:highlight w:val="none"/>
              </w:rPr>
            </w:pPr>
          </w:p>
        </w:tc>
        <w:tc>
          <w:tcPr>
            <w:tcW w:w="736" w:type="dxa"/>
            <w:vAlign w:val="center"/>
          </w:tcPr>
          <w:p w14:paraId="2C455289">
            <w:pPr>
              <w:widowControl/>
              <w:spacing w:before="31" w:beforeLines="10" w:after="31" w:afterLines="10" w:line="320" w:lineRule="exact"/>
              <w:jc w:val="center"/>
              <w:rPr>
                <w:rFonts w:hint="eastAsia" w:ascii="宋体" w:hAnsi="宋体" w:eastAsia="宋体" w:cs="宋体"/>
                <w:color w:val="auto"/>
                <w:highlight w:val="none"/>
              </w:rPr>
            </w:pPr>
          </w:p>
        </w:tc>
      </w:tr>
    </w:tbl>
    <w:p w14:paraId="630F3A4E">
      <w:pPr>
        <w:adjustRightInd w:val="0"/>
        <w:snapToGrid w:val="0"/>
        <w:spacing w:line="400" w:lineRule="exact"/>
        <w:ind w:left="42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注：1、上述内容合格用“√”表示，不合格用“×”表示。</w:t>
      </w:r>
    </w:p>
    <w:p w14:paraId="49A119F1">
      <w:pPr>
        <w:adjustRightInd w:val="0"/>
        <w:snapToGrid w:val="0"/>
        <w:spacing w:line="400" w:lineRule="exact"/>
        <w:ind w:left="424" w:leftChars="202"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2、以上内容有一项不合格的，则初步评审的综合评定结果为不合格。</w:t>
      </w:r>
    </w:p>
    <w:p w14:paraId="113FD7B4">
      <w:pPr>
        <w:adjustRightInd w:val="0"/>
        <w:snapToGrid w:val="0"/>
        <w:spacing w:line="400" w:lineRule="exact"/>
        <w:ind w:firstLine="420" w:firstLineChars="200"/>
        <w:rPr>
          <w:rFonts w:hint="eastAsia" w:ascii="宋体" w:hAnsi="宋体" w:eastAsia="宋体" w:cs="宋体"/>
          <w:b/>
          <w:color w:val="auto"/>
          <w:highlight w:val="none"/>
        </w:rPr>
      </w:pPr>
      <w:bookmarkStart w:id="169" w:name="_Toc324196838"/>
      <w:r>
        <w:rPr>
          <w:rFonts w:hint="eastAsia" w:ascii="宋体" w:hAnsi="宋体" w:eastAsia="宋体" w:cs="宋体"/>
          <w:b/>
          <w:color w:val="auto"/>
          <w:highlight w:val="none"/>
        </w:rPr>
        <w:t>2.2</w:t>
      </w:r>
      <w:bookmarkEnd w:id="169"/>
      <w:r>
        <w:rPr>
          <w:rFonts w:hint="eastAsia" w:ascii="宋体" w:hAnsi="宋体" w:eastAsia="宋体" w:cs="宋体"/>
          <w:b/>
          <w:color w:val="auto"/>
          <w:highlight w:val="none"/>
        </w:rPr>
        <w:t xml:space="preserve"> 磋商</w:t>
      </w:r>
    </w:p>
    <w:p w14:paraId="338AD57F">
      <w:pPr>
        <w:adjustRightInd w:val="0"/>
        <w:snapToGrid w:val="0"/>
        <w:spacing w:line="400" w:lineRule="exact"/>
        <w:ind w:firstLine="315" w:firstLineChars="150"/>
        <w:rPr>
          <w:rFonts w:hint="eastAsia" w:ascii="宋体" w:hAnsi="宋体" w:eastAsia="宋体" w:cs="宋体"/>
          <w:b/>
          <w:color w:val="auto"/>
          <w:highlight w:val="none"/>
        </w:rPr>
      </w:pPr>
      <w:r>
        <w:rPr>
          <w:rFonts w:hint="eastAsia" w:ascii="宋体" w:hAnsi="宋体" w:eastAsia="宋体" w:cs="宋体"/>
          <w:b/>
          <w:color w:val="auto"/>
          <w:highlight w:val="none"/>
        </w:rPr>
        <w:t>（1）澄清有关问题：</w:t>
      </w:r>
    </w:p>
    <w:p w14:paraId="520BC630">
      <w:pPr>
        <w:tabs>
          <w:tab w:val="left" w:pos="5565"/>
        </w:tabs>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根据本磋商文件第二章附录1“评标方法细则”进行。</w:t>
      </w:r>
    </w:p>
    <w:p w14:paraId="227207BF">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磋商小组要求投标人澄清、说明或者更正响应文件应当以书面形式做出。投标人的澄清、说明或者更正的文件应当由法定代表人或其授权代表签字或者加盖公章。</w:t>
      </w:r>
    </w:p>
    <w:p w14:paraId="69A7FDA7">
      <w:pPr>
        <w:widowControl/>
        <w:spacing w:line="400" w:lineRule="exact"/>
        <w:jc w:val="center"/>
        <w:rPr>
          <w:rFonts w:hint="eastAsia" w:ascii="宋体" w:hAnsi="宋体" w:eastAsia="宋体" w:cs="宋体"/>
          <w:b/>
          <w:color w:val="auto"/>
          <w:highlight w:val="none"/>
        </w:rPr>
      </w:pPr>
    </w:p>
    <w:p w14:paraId="538C4A65">
      <w:pPr>
        <w:widowControl/>
        <w:spacing w:line="400" w:lineRule="exact"/>
        <w:jc w:val="center"/>
        <w:rPr>
          <w:rFonts w:hint="eastAsia" w:ascii="宋体" w:hAnsi="宋体" w:eastAsia="宋体" w:cs="宋体"/>
          <w:b/>
          <w:color w:val="auto"/>
          <w:highlight w:val="none"/>
        </w:rPr>
      </w:pPr>
      <w:r>
        <w:rPr>
          <w:rFonts w:hint="eastAsia" w:ascii="宋体" w:hAnsi="宋体" w:eastAsia="宋体" w:cs="宋体"/>
          <w:b/>
          <w:color w:val="auto"/>
          <w:highlight w:val="none"/>
        </w:rPr>
        <w:t>表3  澄清、说明、补正事项纪要表</w:t>
      </w:r>
    </w:p>
    <w:tbl>
      <w:tblPr>
        <w:tblStyle w:val="19"/>
        <w:tblW w:w="872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4"/>
        <w:gridCol w:w="1981"/>
        <w:gridCol w:w="1620"/>
        <w:gridCol w:w="1596"/>
        <w:gridCol w:w="1329"/>
        <w:gridCol w:w="1478"/>
      </w:tblGrid>
      <w:tr w14:paraId="1D976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4" w:type="dxa"/>
            <w:vAlign w:val="center"/>
          </w:tcPr>
          <w:p w14:paraId="57A15652">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981" w:type="dxa"/>
            <w:vAlign w:val="center"/>
          </w:tcPr>
          <w:p w14:paraId="425C1E8B">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投标人</w:t>
            </w:r>
          </w:p>
        </w:tc>
        <w:tc>
          <w:tcPr>
            <w:tcW w:w="1620" w:type="dxa"/>
            <w:vAlign w:val="center"/>
          </w:tcPr>
          <w:p w14:paraId="019A0F83">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磋商文件中需要澄清的页次</w:t>
            </w:r>
          </w:p>
        </w:tc>
        <w:tc>
          <w:tcPr>
            <w:tcW w:w="1596" w:type="dxa"/>
            <w:vAlign w:val="center"/>
          </w:tcPr>
          <w:p w14:paraId="53CB6DF8">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对响应文件中含义不明确</w:t>
            </w:r>
          </w:p>
        </w:tc>
        <w:tc>
          <w:tcPr>
            <w:tcW w:w="1329" w:type="dxa"/>
            <w:vAlign w:val="center"/>
          </w:tcPr>
          <w:p w14:paraId="3BA1C613">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对同类问题表述不一致</w:t>
            </w:r>
          </w:p>
        </w:tc>
        <w:tc>
          <w:tcPr>
            <w:tcW w:w="1478" w:type="dxa"/>
            <w:vAlign w:val="center"/>
          </w:tcPr>
          <w:p w14:paraId="6A8E948B">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明显文字和计算错误的内容</w:t>
            </w:r>
          </w:p>
        </w:tc>
      </w:tr>
      <w:tr w14:paraId="1A6C45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4" w:type="dxa"/>
            <w:vAlign w:val="center"/>
          </w:tcPr>
          <w:p w14:paraId="48F6563D">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981" w:type="dxa"/>
            <w:vAlign w:val="center"/>
          </w:tcPr>
          <w:p w14:paraId="38A77DFB">
            <w:pPr>
              <w:widowControl/>
              <w:spacing w:line="320" w:lineRule="exact"/>
              <w:rPr>
                <w:rFonts w:hint="eastAsia" w:ascii="宋体" w:hAnsi="宋体" w:eastAsia="宋体" w:cs="宋体"/>
                <w:color w:val="auto"/>
                <w:highlight w:val="none"/>
              </w:rPr>
            </w:pPr>
          </w:p>
        </w:tc>
        <w:tc>
          <w:tcPr>
            <w:tcW w:w="1620" w:type="dxa"/>
            <w:vAlign w:val="center"/>
          </w:tcPr>
          <w:p w14:paraId="3B3BAEDD">
            <w:pPr>
              <w:widowControl/>
              <w:spacing w:line="320" w:lineRule="exact"/>
              <w:rPr>
                <w:rFonts w:hint="eastAsia" w:ascii="宋体" w:hAnsi="宋体" w:eastAsia="宋体" w:cs="宋体"/>
                <w:color w:val="auto"/>
                <w:highlight w:val="none"/>
              </w:rPr>
            </w:pPr>
          </w:p>
        </w:tc>
        <w:tc>
          <w:tcPr>
            <w:tcW w:w="1596" w:type="dxa"/>
            <w:vAlign w:val="center"/>
          </w:tcPr>
          <w:p w14:paraId="5F76F3D2">
            <w:pPr>
              <w:widowControl/>
              <w:spacing w:line="320" w:lineRule="exact"/>
              <w:rPr>
                <w:rFonts w:hint="eastAsia" w:ascii="宋体" w:hAnsi="宋体" w:eastAsia="宋体" w:cs="宋体"/>
                <w:color w:val="auto"/>
                <w:highlight w:val="none"/>
              </w:rPr>
            </w:pPr>
          </w:p>
        </w:tc>
        <w:tc>
          <w:tcPr>
            <w:tcW w:w="1329" w:type="dxa"/>
            <w:vAlign w:val="center"/>
          </w:tcPr>
          <w:p w14:paraId="61F1D485">
            <w:pPr>
              <w:widowControl/>
              <w:spacing w:line="320" w:lineRule="exact"/>
              <w:rPr>
                <w:rFonts w:hint="eastAsia" w:ascii="宋体" w:hAnsi="宋体" w:eastAsia="宋体" w:cs="宋体"/>
                <w:color w:val="auto"/>
                <w:highlight w:val="none"/>
              </w:rPr>
            </w:pPr>
          </w:p>
        </w:tc>
        <w:tc>
          <w:tcPr>
            <w:tcW w:w="1478" w:type="dxa"/>
            <w:vAlign w:val="center"/>
          </w:tcPr>
          <w:p w14:paraId="5D073250">
            <w:pPr>
              <w:widowControl/>
              <w:spacing w:line="320" w:lineRule="exact"/>
              <w:rPr>
                <w:rFonts w:hint="eastAsia" w:ascii="宋体" w:hAnsi="宋体" w:eastAsia="宋体" w:cs="宋体"/>
                <w:color w:val="auto"/>
                <w:highlight w:val="none"/>
              </w:rPr>
            </w:pPr>
          </w:p>
        </w:tc>
      </w:tr>
      <w:tr w14:paraId="3882B7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4" w:type="dxa"/>
            <w:vAlign w:val="center"/>
          </w:tcPr>
          <w:p w14:paraId="21CA4102">
            <w:pPr>
              <w:widowControl/>
              <w:spacing w:line="32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981" w:type="dxa"/>
            <w:vAlign w:val="center"/>
          </w:tcPr>
          <w:p w14:paraId="2374B194">
            <w:pPr>
              <w:widowControl/>
              <w:spacing w:line="320" w:lineRule="exact"/>
              <w:rPr>
                <w:rFonts w:hint="eastAsia" w:ascii="宋体" w:hAnsi="宋体" w:eastAsia="宋体" w:cs="宋体"/>
                <w:color w:val="auto"/>
                <w:highlight w:val="none"/>
              </w:rPr>
            </w:pPr>
          </w:p>
        </w:tc>
        <w:tc>
          <w:tcPr>
            <w:tcW w:w="1620" w:type="dxa"/>
            <w:vAlign w:val="center"/>
          </w:tcPr>
          <w:p w14:paraId="369144A0">
            <w:pPr>
              <w:widowControl/>
              <w:spacing w:line="320" w:lineRule="exact"/>
              <w:rPr>
                <w:rFonts w:hint="eastAsia" w:ascii="宋体" w:hAnsi="宋体" w:eastAsia="宋体" w:cs="宋体"/>
                <w:color w:val="auto"/>
                <w:highlight w:val="none"/>
              </w:rPr>
            </w:pPr>
          </w:p>
        </w:tc>
        <w:tc>
          <w:tcPr>
            <w:tcW w:w="1596" w:type="dxa"/>
            <w:vAlign w:val="center"/>
          </w:tcPr>
          <w:p w14:paraId="0D52D5A9">
            <w:pPr>
              <w:widowControl/>
              <w:spacing w:line="320" w:lineRule="exact"/>
              <w:rPr>
                <w:rFonts w:hint="eastAsia" w:ascii="宋体" w:hAnsi="宋体" w:eastAsia="宋体" w:cs="宋体"/>
                <w:color w:val="auto"/>
                <w:highlight w:val="none"/>
              </w:rPr>
            </w:pPr>
          </w:p>
        </w:tc>
        <w:tc>
          <w:tcPr>
            <w:tcW w:w="1329" w:type="dxa"/>
            <w:vAlign w:val="center"/>
          </w:tcPr>
          <w:p w14:paraId="7EDA9ADA">
            <w:pPr>
              <w:widowControl/>
              <w:spacing w:line="320" w:lineRule="exact"/>
              <w:rPr>
                <w:rFonts w:hint="eastAsia" w:ascii="宋体" w:hAnsi="宋体" w:eastAsia="宋体" w:cs="宋体"/>
                <w:color w:val="auto"/>
                <w:highlight w:val="none"/>
              </w:rPr>
            </w:pPr>
          </w:p>
        </w:tc>
        <w:tc>
          <w:tcPr>
            <w:tcW w:w="1478" w:type="dxa"/>
            <w:vAlign w:val="center"/>
          </w:tcPr>
          <w:p w14:paraId="4C78778C">
            <w:pPr>
              <w:widowControl/>
              <w:spacing w:line="320" w:lineRule="exact"/>
              <w:rPr>
                <w:rFonts w:hint="eastAsia" w:ascii="宋体" w:hAnsi="宋体" w:eastAsia="宋体" w:cs="宋体"/>
                <w:color w:val="auto"/>
                <w:highlight w:val="none"/>
              </w:rPr>
            </w:pPr>
          </w:p>
        </w:tc>
      </w:tr>
    </w:tbl>
    <w:p w14:paraId="11658324">
      <w:pPr>
        <w:adjustRightInd w:val="0"/>
        <w:snapToGrid w:val="0"/>
        <w:spacing w:line="400" w:lineRule="exact"/>
        <w:ind w:firstLine="315" w:firstLineChars="150"/>
        <w:rPr>
          <w:rFonts w:hint="eastAsia" w:ascii="宋体" w:hAnsi="宋体" w:eastAsia="宋体" w:cs="宋体"/>
          <w:b/>
          <w:color w:val="auto"/>
          <w:highlight w:val="none"/>
        </w:rPr>
      </w:pPr>
      <w:bookmarkStart w:id="170" w:name="_Toc324196839"/>
      <w:r>
        <w:rPr>
          <w:rFonts w:hint="eastAsia" w:ascii="宋体" w:hAnsi="宋体" w:eastAsia="宋体" w:cs="宋体"/>
          <w:b/>
          <w:color w:val="auto"/>
          <w:highlight w:val="none"/>
        </w:rPr>
        <w:t>（2）磋商：</w:t>
      </w:r>
    </w:p>
    <w:p w14:paraId="3B0CE089">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所有成员集中与单一投标人分别进行磋商。在磋商过程中，磋商小组可以根据磋商文件和磋商情况实质性变动采购需求中的技术、服务要求以及合同草案条款，但不得变动磋商文件中的其他内容。实质性变动的内容，须经采购人代表确认。</w:t>
      </w:r>
    </w:p>
    <w:p w14:paraId="25F5FA29">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对磋商文件做出的实质性变动是磋商文件的有效组成部分，磋商小组应当及时以书面形式同时通知所有参加磋商的投标人。</w:t>
      </w:r>
    </w:p>
    <w:p w14:paraId="2553CAE3">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磋商文件的变动情况和磋商小组的要求重新提交响应文件，并由其法定代表人或授权代表签字或者加盖公章。（注：要求投标人重新提交的响应文件，不必按照首次提交的响应文件内容格式提交，只需投标人就变动的内容提交相应的响应文件）； </w:t>
      </w:r>
    </w:p>
    <w:p w14:paraId="190CA100">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未实质性响应磋商文件的响应文件按无效响应处理，磋商小组应当告知提交响应文件的投标人。</w:t>
      </w:r>
    </w:p>
    <w:p w14:paraId="274C40B4">
      <w:pPr>
        <w:adjustRightInd w:val="0"/>
        <w:snapToGrid w:val="0"/>
        <w:spacing w:line="400" w:lineRule="exact"/>
        <w:ind w:firstLine="315" w:firstLineChars="150"/>
        <w:rPr>
          <w:rFonts w:hint="eastAsia" w:ascii="宋体" w:hAnsi="宋体" w:eastAsia="宋体" w:cs="宋体"/>
          <w:b/>
          <w:color w:val="auto"/>
          <w:highlight w:val="none"/>
        </w:rPr>
      </w:pPr>
      <w:r>
        <w:rPr>
          <w:rFonts w:hint="eastAsia" w:ascii="宋体" w:hAnsi="宋体" w:eastAsia="宋体" w:cs="宋体"/>
          <w:b/>
          <w:color w:val="auto"/>
          <w:highlight w:val="none"/>
        </w:rPr>
        <w:t>（3）提交最后报价：</w:t>
      </w:r>
    </w:p>
    <w:p w14:paraId="526A1C1A">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磋商文件能够详细列明采购标的的技术、服务要求的，磋商结束后，磋商小组应当要求所有实质性响应的投标人在规定时间内提交最后报价（即第二阶段响应文件）。</w:t>
      </w:r>
    </w:p>
    <w:p w14:paraId="2A1DE855">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磋商文件不能详细列明采购标的的技术、服务要求，需经磋商由投标人提供最终设计方案或解决方案的，磋商结束后，磋商小组应当按照少数服从多数的原则投票推荐3家以上投标人的设计方案或者解决方案，并要求其在规定时间内提交最后报价（即第二阶段响应文件）。</w:t>
      </w:r>
    </w:p>
    <w:p w14:paraId="25874F2F">
      <w:pPr>
        <w:adjustRightInd w:val="0"/>
        <w:snapToGrid w:val="0"/>
        <w:spacing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未能按规定的时间内提交最终报价的投标人按无效响应处理，磋商小组应当告知提交响应文件的投标人。</w:t>
      </w:r>
    </w:p>
    <w:p w14:paraId="52A1BC13">
      <w:pPr>
        <w:adjustRightInd w:val="0"/>
        <w:snapToGrid w:val="0"/>
        <w:spacing w:line="400" w:lineRule="exact"/>
        <w:ind w:firstLine="420" w:firstLineChars="200"/>
        <w:rPr>
          <w:rFonts w:hint="eastAsia" w:ascii="宋体" w:hAnsi="宋体" w:eastAsia="宋体" w:cs="宋体"/>
          <w:b/>
          <w:color w:val="auto"/>
          <w:highlight w:val="none"/>
        </w:rPr>
      </w:pPr>
      <w:r>
        <w:rPr>
          <w:rFonts w:hint="eastAsia" w:ascii="宋体" w:hAnsi="宋体" w:eastAsia="宋体" w:cs="宋体"/>
          <w:b/>
          <w:color w:val="auto"/>
          <w:highlight w:val="none"/>
        </w:rPr>
        <w:t>2.3</w:t>
      </w:r>
      <w:bookmarkEnd w:id="170"/>
      <w:r>
        <w:rPr>
          <w:rFonts w:hint="eastAsia" w:ascii="宋体" w:hAnsi="宋体" w:eastAsia="宋体" w:cs="宋体"/>
          <w:b/>
          <w:color w:val="auto"/>
          <w:highlight w:val="none"/>
        </w:rPr>
        <w:t>响应文件评审</w:t>
      </w:r>
    </w:p>
    <w:p w14:paraId="72E7A739">
      <w:pPr>
        <w:adjustRightInd w:val="0"/>
        <w:snapToGrid w:val="0"/>
        <w:spacing w:line="400" w:lineRule="exact"/>
        <w:ind w:firstLine="315" w:firstLineChars="150"/>
        <w:rPr>
          <w:rFonts w:hint="eastAsia" w:ascii="宋体" w:hAnsi="宋体" w:eastAsia="宋体" w:cs="宋体"/>
          <w:color w:val="auto"/>
          <w:szCs w:val="21"/>
          <w:highlight w:val="none"/>
        </w:rPr>
      </w:pPr>
      <w:bookmarkStart w:id="171" w:name="_Toc237242326"/>
      <w:bookmarkStart w:id="172" w:name="_Toc204232501"/>
      <w:bookmarkStart w:id="173" w:name="_Toc219807342"/>
      <w:bookmarkStart w:id="174" w:name="_Toc204428143"/>
      <w:bookmarkStart w:id="175" w:name="_Toc277625818"/>
      <w:r>
        <w:rPr>
          <w:rFonts w:hint="eastAsia" w:ascii="宋体" w:hAnsi="宋体" w:eastAsia="宋体" w:cs="宋体"/>
          <w:color w:val="auto"/>
          <w:szCs w:val="21"/>
          <w:highlight w:val="none"/>
        </w:rPr>
        <w:t>（1）经磋商确定最终采购需求和提交最后报价的投标人后，由磋商小组采用综合评分法对提交最后报价的投标人的响应文件和最后报价进行综合评分。</w:t>
      </w:r>
    </w:p>
    <w:p w14:paraId="1D88DB17">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bCs/>
          <w:color w:val="auto"/>
          <w:szCs w:val="21"/>
          <w:highlight w:val="none"/>
        </w:rPr>
        <w:t>综合评分法，是指响应文件满足磋商文件全部实质性要求且按评审因素的量化指标评审得分最</w:t>
      </w:r>
      <w:r>
        <w:rPr>
          <w:rFonts w:hint="eastAsia" w:ascii="宋体" w:hAnsi="宋体" w:eastAsia="宋体" w:cs="宋体"/>
          <w:color w:val="auto"/>
          <w:szCs w:val="21"/>
          <w:highlight w:val="none"/>
        </w:rPr>
        <w:t>高的投标人为成交候选人的评审方法。</w:t>
      </w:r>
    </w:p>
    <w:p w14:paraId="4F95C190">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（3）综合评分法中的价格分采用低价优先法计算，即满足磋商文件要求且</w:t>
      </w:r>
      <w:r>
        <w:rPr>
          <w:rFonts w:hint="eastAsia" w:ascii="宋体" w:hAnsi="宋体" w:eastAsia="宋体" w:cs="宋体"/>
          <w:b/>
          <w:bCs/>
          <w:color w:val="auto"/>
          <w:szCs w:val="21"/>
          <w:highlight w:val="none"/>
        </w:rPr>
        <w:t>最后报价最低的投标人的价格为磋商基准价，其价格分为满分。</w:t>
      </w:r>
      <w:r>
        <w:rPr>
          <w:rFonts w:hint="eastAsia" w:ascii="宋体" w:hAnsi="宋体" w:eastAsia="宋体" w:cs="宋体"/>
          <w:color w:val="auto"/>
          <w:szCs w:val="21"/>
          <w:highlight w:val="none"/>
        </w:rPr>
        <w:t>其他投标人的价格分按照下列公式计算：</w:t>
      </w:r>
    </w:p>
    <w:p w14:paraId="7A4BD791">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磋商报价得分=（磋商基准价/最后磋商报价）×价格分值</w:t>
      </w:r>
    </w:p>
    <w:p w14:paraId="16770CC6">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项目评审过程中，不得去掉最后报价中的最高报价和最低报价。</w:t>
      </w:r>
    </w:p>
    <w:p w14:paraId="72E73E99">
      <w:pPr>
        <w:adjustRightInd w:val="0"/>
        <w:snapToGrid w:val="0"/>
        <w:spacing w:line="400" w:lineRule="exact"/>
        <w:ind w:firstLine="315" w:firstLineChars="150"/>
        <w:rPr>
          <w:rFonts w:hint="eastAsia" w:ascii="宋体" w:hAnsi="宋体" w:eastAsia="宋体" w:cs="宋体"/>
          <w:b/>
          <w:color w:val="auto"/>
          <w:szCs w:val="21"/>
          <w:highlight w:val="none"/>
          <w:u w:val="dottedHeavy"/>
        </w:rPr>
      </w:pPr>
      <w:r>
        <w:rPr>
          <w:rFonts w:hint="eastAsia" w:ascii="宋体" w:hAnsi="宋体" w:eastAsia="宋体" w:cs="宋体"/>
          <w:b/>
          <w:color w:val="auto"/>
          <w:szCs w:val="21"/>
          <w:highlight w:val="none"/>
          <w:u w:val="dottedHeavy"/>
        </w:rPr>
        <w:t>如果某个投标人的最后报价明显低于其他投标人的最后报价，磋商小组认为有可能影响产品质量或者不能诚信履约的，磋商小组有权要求其在评审现场在合理的时间内提供书面说明，必要时提交相关证明材料；投标人不能证明其最后报价合理性的，磋商小组应当将其作为无效响应处理。</w:t>
      </w:r>
    </w:p>
    <w:p w14:paraId="2792D7F5">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（4）评审时，磋商小组各成员应当独立对每个投标人的响应文件进行评价、评分，汇总各投标人的总得分。</w:t>
      </w:r>
    </w:p>
    <w:p w14:paraId="1203E1E6">
      <w:pPr>
        <w:adjustRightInd w:val="0"/>
        <w:snapToGrid w:val="0"/>
        <w:spacing w:line="4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2.4 提出成交人</w:t>
      </w:r>
    </w:p>
    <w:p w14:paraId="03D2BA58">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磋商小组各成员应当独立对每个有效投标人的技术响应文件进行评价打分，各供应商的技术分为平均得分，保留小数点后两位。然后汇总每个投标人每项评分因素的得分。评标总得分计算汇总后，磋商小组不得重新打分。否则，本次评标结果无效。</w:t>
      </w:r>
    </w:p>
    <w:p w14:paraId="3B25B87E">
      <w:pPr>
        <w:adjustRightInd w:val="0"/>
        <w:snapToGrid w:val="0"/>
        <w:spacing w:line="400" w:lineRule="exact"/>
        <w:ind w:firstLine="315" w:firstLineChars="15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（2）专家打完分后，招标代理机构应该复核统计并进行排名，排名按得分由高到低顺序排列。</w:t>
      </w:r>
    </w:p>
    <w:p w14:paraId="5CB1D04A">
      <w:pPr>
        <w:adjustRightInd w:val="0"/>
        <w:snapToGrid w:val="0"/>
        <w:spacing w:line="400" w:lineRule="exact"/>
        <w:ind w:left="420"/>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2.5</w:t>
      </w:r>
      <w:r>
        <w:rPr>
          <w:rFonts w:hint="eastAsia" w:ascii="宋体" w:hAnsi="宋体" w:eastAsia="宋体" w:cs="宋体"/>
          <w:b/>
          <w:bCs/>
          <w:color w:val="auto"/>
          <w:szCs w:val="21"/>
          <w:highlight w:val="none"/>
        </w:rPr>
        <w:t>推荐中标候选人名单</w:t>
      </w:r>
    </w:p>
    <w:bookmarkEnd w:id="171"/>
    <w:bookmarkEnd w:id="172"/>
    <w:bookmarkEnd w:id="173"/>
    <w:bookmarkEnd w:id="174"/>
    <w:bookmarkEnd w:id="175"/>
    <w:p w14:paraId="744EB119">
      <w:pPr>
        <w:adjustRightInd w:val="0"/>
        <w:snapToGrid w:val="0"/>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评审后得分由高到低顺序排列。得分相同的，按最后报价由低到高顺序排列。得分且最后报价相同的，按提供的施工组织设计方案优劣顺序排列。响应文件满足磋商文件全部实质性要求，且按照评审因素的评审得分最高的投标人为排名第一的中标候选人。</w:t>
      </w:r>
    </w:p>
    <w:p w14:paraId="0E5C14D8">
      <w:pPr>
        <w:tabs>
          <w:tab w:val="left" w:pos="420"/>
          <w:tab w:val="left" w:pos="7560"/>
          <w:tab w:val="left" w:pos="7740"/>
          <w:tab w:val="left" w:pos="7920"/>
        </w:tabs>
        <w:adjustRightInd w:val="0"/>
        <w:snapToGrid w:val="0"/>
        <w:spacing w:line="400" w:lineRule="exact"/>
        <w:jc w:val="both"/>
        <w:rPr>
          <w:rFonts w:hint="eastAsia" w:ascii="宋体" w:hAnsi="宋体" w:eastAsia="宋体" w:cs="宋体"/>
          <w:b/>
          <w:bCs/>
          <w:color w:val="auto"/>
          <w:sz w:val="24"/>
          <w:highlight w:val="none"/>
        </w:rPr>
      </w:pPr>
    </w:p>
    <w:p w14:paraId="78192F19">
      <w:pPr>
        <w:tabs>
          <w:tab w:val="left" w:pos="420"/>
          <w:tab w:val="left" w:pos="7560"/>
          <w:tab w:val="left" w:pos="7740"/>
          <w:tab w:val="left" w:pos="7920"/>
        </w:tabs>
        <w:adjustRightInd w:val="0"/>
        <w:snapToGrid w:val="0"/>
        <w:spacing w:line="400" w:lineRule="exact"/>
        <w:jc w:val="center"/>
        <w:rPr>
          <w:rFonts w:hint="eastAsia" w:ascii="宋体" w:hAnsi="宋体" w:eastAsia="宋体" w:cs="宋体"/>
          <w:b/>
          <w:bCs/>
          <w:color w:val="auto"/>
          <w:sz w:val="24"/>
          <w:highlight w:val="none"/>
        </w:rPr>
      </w:pPr>
    </w:p>
    <w:p w14:paraId="423EB3BA">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40B1AB5A">
      <w:pPr>
        <w:tabs>
          <w:tab w:val="left" w:pos="420"/>
          <w:tab w:val="left" w:pos="7560"/>
          <w:tab w:val="left" w:pos="7740"/>
          <w:tab w:val="left" w:pos="7920"/>
        </w:tabs>
        <w:adjustRightInd w:val="0"/>
        <w:snapToGrid w:val="0"/>
        <w:spacing w:line="4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附表1   投标报价评分表K1（</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0分）</w:t>
      </w:r>
    </w:p>
    <w:p w14:paraId="7269A90C">
      <w:pPr>
        <w:spacing w:line="360" w:lineRule="exact"/>
        <w:ind w:firstLine="210" w:firstLineChars="1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基本分：</w:t>
      </w: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0分。                                                   单位：元</w:t>
      </w:r>
    </w:p>
    <w:tbl>
      <w:tblPr>
        <w:tblStyle w:val="19"/>
        <w:tblW w:w="90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4"/>
        <w:gridCol w:w="1693"/>
        <w:gridCol w:w="1509"/>
        <w:gridCol w:w="1304"/>
        <w:gridCol w:w="1304"/>
        <w:gridCol w:w="1304"/>
        <w:gridCol w:w="1305"/>
      </w:tblGrid>
      <w:tr w14:paraId="17679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1" w:hRule="atLeast"/>
          <w:jc w:val="center"/>
        </w:trPr>
        <w:tc>
          <w:tcPr>
            <w:tcW w:w="654" w:type="dxa"/>
            <w:vMerge w:val="restart"/>
            <w:vAlign w:val="center"/>
          </w:tcPr>
          <w:p w14:paraId="614494DE">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93" w:type="dxa"/>
            <w:vAlign w:val="center"/>
          </w:tcPr>
          <w:p w14:paraId="1AFF8153">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经评审合格的投标人名称</w:t>
            </w:r>
          </w:p>
        </w:tc>
        <w:tc>
          <w:tcPr>
            <w:tcW w:w="1509" w:type="dxa"/>
            <w:vAlign w:val="center"/>
          </w:tcPr>
          <w:p w14:paraId="1E4C3617">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投标人A</w:t>
            </w:r>
          </w:p>
        </w:tc>
        <w:tc>
          <w:tcPr>
            <w:tcW w:w="1304" w:type="dxa"/>
            <w:vAlign w:val="center"/>
          </w:tcPr>
          <w:p w14:paraId="0B1F5BDB">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投标人B</w:t>
            </w:r>
          </w:p>
        </w:tc>
        <w:tc>
          <w:tcPr>
            <w:tcW w:w="1304" w:type="dxa"/>
            <w:vAlign w:val="center"/>
          </w:tcPr>
          <w:p w14:paraId="62A6C624">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投标人C</w:t>
            </w:r>
          </w:p>
        </w:tc>
        <w:tc>
          <w:tcPr>
            <w:tcW w:w="1304" w:type="dxa"/>
            <w:vAlign w:val="center"/>
          </w:tcPr>
          <w:p w14:paraId="73905B03">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投标人D</w:t>
            </w:r>
          </w:p>
        </w:tc>
        <w:tc>
          <w:tcPr>
            <w:tcW w:w="1305" w:type="dxa"/>
            <w:vAlign w:val="center"/>
          </w:tcPr>
          <w:p w14:paraId="5ADB4E37">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投标人E</w:t>
            </w:r>
          </w:p>
        </w:tc>
      </w:tr>
      <w:tr w14:paraId="7BF05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2" w:hRule="atLeast"/>
          <w:jc w:val="center"/>
        </w:trPr>
        <w:tc>
          <w:tcPr>
            <w:tcW w:w="654" w:type="dxa"/>
            <w:vMerge w:val="continue"/>
            <w:vAlign w:val="center"/>
          </w:tcPr>
          <w:p w14:paraId="737F3FDF">
            <w:pPr>
              <w:spacing w:line="360" w:lineRule="exact"/>
              <w:jc w:val="center"/>
              <w:rPr>
                <w:rFonts w:hint="eastAsia" w:ascii="宋体" w:hAnsi="宋体" w:eastAsia="宋体" w:cs="宋体"/>
                <w:color w:val="auto"/>
                <w:szCs w:val="21"/>
                <w:highlight w:val="none"/>
              </w:rPr>
            </w:pPr>
          </w:p>
        </w:tc>
        <w:tc>
          <w:tcPr>
            <w:tcW w:w="1693" w:type="dxa"/>
            <w:vAlign w:val="center"/>
          </w:tcPr>
          <w:p w14:paraId="09E2D39D">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投标人最后报价</w:t>
            </w:r>
          </w:p>
        </w:tc>
        <w:tc>
          <w:tcPr>
            <w:tcW w:w="1509" w:type="dxa"/>
            <w:vAlign w:val="center"/>
          </w:tcPr>
          <w:p w14:paraId="0EF4D74A">
            <w:pPr>
              <w:spacing w:line="360" w:lineRule="exact"/>
              <w:jc w:val="center"/>
              <w:rPr>
                <w:rFonts w:hint="eastAsia" w:ascii="宋体" w:hAnsi="宋体" w:eastAsia="宋体" w:cs="宋体"/>
                <w:color w:val="auto"/>
                <w:szCs w:val="21"/>
                <w:highlight w:val="none"/>
              </w:rPr>
            </w:pPr>
          </w:p>
        </w:tc>
        <w:tc>
          <w:tcPr>
            <w:tcW w:w="1304" w:type="dxa"/>
            <w:vAlign w:val="center"/>
          </w:tcPr>
          <w:p w14:paraId="3B3BA51D">
            <w:pPr>
              <w:spacing w:line="360" w:lineRule="exact"/>
              <w:jc w:val="center"/>
              <w:rPr>
                <w:rFonts w:hint="eastAsia" w:ascii="宋体" w:hAnsi="宋体" w:eastAsia="宋体" w:cs="宋体"/>
                <w:color w:val="auto"/>
                <w:szCs w:val="21"/>
                <w:highlight w:val="none"/>
              </w:rPr>
            </w:pPr>
          </w:p>
        </w:tc>
        <w:tc>
          <w:tcPr>
            <w:tcW w:w="1304" w:type="dxa"/>
            <w:vAlign w:val="center"/>
          </w:tcPr>
          <w:p w14:paraId="4175E8C1">
            <w:pPr>
              <w:spacing w:line="360" w:lineRule="exact"/>
              <w:jc w:val="center"/>
              <w:rPr>
                <w:rFonts w:hint="eastAsia" w:ascii="宋体" w:hAnsi="宋体" w:eastAsia="宋体" w:cs="宋体"/>
                <w:color w:val="auto"/>
                <w:szCs w:val="21"/>
                <w:highlight w:val="none"/>
              </w:rPr>
            </w:pPr>
          </w:p>
        </w:tc>
        <w:tc>
          <w:tcPr>
            <w:tcW w:w="1304" w:type="dxa"/>
            <w:vAlign w:val="center"/>
          </w:tcPr>
          <w:p w14:paraId="7E385AF7">
            <w:pPr>
              <w:spacing w:line="360" w:lineRule="exact"/>
              <w:jc w:val="center"/>
              <w:rPr>
                <w:rFonts w:hint="eastAsia" w:ascii="宋体" w:hAnsi="宋体" w:eastAsia="宋体" w:cs="宋体"/>
                <w:color w:val="auto"/>
                <w:szCs w:val="21"/>
                <w:highlight w:val="none"/>
              </w:rPr>
            </w:pPr>
          </w:p>
        </w:tc>
        <w:tc>
          <w:tcPr>
            <w:tcW w:w="1305" w:type="dxa"/>
            <w:vAlign w:val="center"/>
          </w:tcPr>
          <w:p w14:paraId="457D140A">
            <w:pPr>
              <w:spacing w:line="360" w:lineRule="exact"/>
              <w:jc w:val="center"/>
              <w:rPr>
                <w:rFonts w:hint="eastAsia" w:ascii="宋体" w:hAnsi="宋体" w:eastAsia="宋体" w:cs="宋体"/>
                <w:color w:val="auto"/>
                <w:szCs w:val="21"/>
                <w:highlight w:val="none"/>
              </w:rPr>
            </w:pPr>
          </w:p>
        </w:tc>
      </w:tr>
      <w:tr w14:paraId="59CECB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2" w:hRule="atLeast"/>
          <w:jc w:val="center"/>
        </w:trPr>
        <w:tc>
          <w:tcPr>
            <w:tcW w:w="654" w:type="dxa"/>
            <w:vAlign w:val="center"/>
          </w:tcPr>
          <w:p w14:paraId="5456A06C">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693" w:type="dxa"/>
            <w:vAlign w:val="center"/>
          </w:tcPr>
          <w:p w14:paraId="20513E73">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政策功能折扣后评审价</w:t>
            </w:r>
          </w:p>
        </w:tc>
        <w:tc>
          <w:tcPr>
            <w:tcW w:w="1509" w:type="dxa"/>
            <w:vAlign w:val="center"/>
          </w:tcPr>
          <w:p w14:paraId="72EED51F">
            <w:pPr>
              <w:spacing w:line="360" w:lineRule="exact"/>
              <w:jc w:val="center"/>
              <w:rPr>
                <w:rFonts w:hint="eastAsia" w:ascii="宋体" w:hAnsi="宋体" w:eastAsia="宋体" w:cs="宋体"/>
                <w:color w:val="auto"/>
                <w:szCs w:val="21"/>
                <w:highlight w:val="none"/>
              </w:rPr>
            </w:pPr>
          </w:p>
        </w:tc>
        <w:tc>
          <w:tcPr>
            <w:tcW w:w="1304" w:type="dxa"/>
            <w:vAlign w:val="center"/>
          </w:tcPr>
          <w:p w14:paraId="1295D788">
            <w:pPr>
              <w:spacing w:line="360" w:lineRule="exact"/>
              <w:jc w:val="center"/>
              <w:rPr>
                <w:rFonts w:hint="eastAsia" w:ascii="宋体" w:hAnsi="宋体" w:eastAsia="宋体" w:cs="宋体"/>
                <w:color w:val="auto"/>
                <w:szCs w:val="21"/>
                <w:highlight w:val="none"/>
              </w:rPr>
            </w:pPr>
          </w:p>
        </w:tc>
        <w:tc>
          <w:tcPr>
            <w:tcW w:w="1304" w:type="dxa"/>
            <w:vAlign w:val="center"/>
          </w:tcPr>
          <w:p w14:paraId="20E26185">
            <w:pPr>
              <w:spacing w:line="360" w:lineRule="exact"/>
              <w:jc w:val="center"/>
              <w:rPr>
                <w:rFonts w:hint="eastAsia" w:ascii="宋体" w:hAnsi="宋体" w:eastAsia="宋体" w:cs="宋体"/>
                <w:color w:val="auto"/>
                <w:szCs w:val="21"/>
                <w:highlight w:val="none"/>
              </w:rPr>
            </w:pPr>
          </w:p>
        </w:tc>
        <w:tc>
          <w:tcPr>
            <w:tcW w:w="1304" w:type="dxa"/>
            <w:vAlign w:val="center"/>
          </w:tcPr>
          <w:p w14:paraId="74987BA8">
            <w:pPr>
              <w:spacing w:line="360" w:lineRule="exact"/>
              <w:jc w:val="center"/>
              <w:rPr>
                <w:rFonts w:hint="eastAsia" w:ascii="宋体" w:hAnsi="宋体" w:eastAsia="宋体" w:cs="宋体"/>
                <w:color w:val="auto"/>
                <w:szCs w:val="21"/>
                <w:highlight w:val="none"/>
              </w:rPr>
            </w:pPr>
          </w:p>
        </w:tc>
        <w:tc>
          <w:tcPr>
            <w:tcW w:w="1305" w:type="dxa"/>
            <w:vAlign w:val="center"/>
          </w:tcPr>
          <w:p w14:paraId="4B077792">
            <w:pPr>
              <w:spacing w:line="360" w:lineRule="exact"/>
              <w:jc w:val="center"/>
              <w:rPr>
                <w:rFonts w:hint="eastAsia" w:ascii="宋体" w:hAnsi="宋体" w:eastAsia="宋体" w:cs="宋体"/>
                <w:color w:val="auto"/>
                <w:szCs w:val="21"/>
                <w:highlight w:val="none"/>
              </w:rPr>
            </w:pPr>
          </w:p>
        </w:tc>
      </w:tr>
      <w:tr w14:paraId="267A45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57" w:hRule="atLeast"/>
          <w:jc w:val="center"/>
        </w:trPr>
        <w:tc>
          <w:tcPr>
            <w:tcW w:w="654" w:type="dxa"/>
            <w:vMerge w:val="restart"/>
            <w:vAlign w:val="center"/>
          </w:tcPr>
          <w:p w14:paraId="055675D8">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93" w:type="dxa"/>
            <w:vMerge w:val="restart"/>
            <w:vAlign w:val="center"/>
          </w:tcPr>
          <w:p w14:paraId="4AC4769C">
            <w:pPr>
              <w:spacing w:line="360" w:lineRule="exact"/>
              <w:ind w:left="42"/>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磋商基准价</w:t>
            </w:r>
          </w:p>
        </w:tc>
        <w:tc>
          <w:tcPr>
            <w:tcW w:w="1509" w:type="dxa"/>
            <w:vAlign w:val="center"/>
          </w:tcPr>
          <w:p w14:paraId="054EF1A7">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磋商基准价的确定方法</w:t>
            </w:r>
          </w:p>
        </w:tc>
        <w:tc>
          <w:tcPr>
            <w:tcW w:w="5217" w:type="dxa"/>
            <w:gridSpan w:val="4"/>
            <w:vAlign w:val="center"/>
          </w:tcPr>
          <w:p w14:paraId="3D442E45">
            <w:pPr>
              <w:spacing w:line="3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采用综合评分法的价格分统一采用“低价优先法计算”，即在满足磋商文件要求且</w:t>
            </w:r>
            <w:r>
              <w:rPr>
                <w:rFonts w:hint="eastAsia" w:ascii="宋体" w:hAnsi="宋体" w:eastAsia="宋体" w:cs="宋体"/>
                <w:b/>
                <w:bCs/>
                <w:color w:val="auto"/>
                <w:szCs w:val="21"/>
                <w:highlight w:val="none"/>
              </w:rPr>
              <w:t>最后报价最低的投标人的价格为磋商基准价，其价格分为满分</w:t>
            </w: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u w:val="dottedHeavy"/>
              </w:rPr>
              <w:t>如果某个投标人的最后报价明显低于其他投标人的最后报价，磋商小组认为有可能影响产品质量或者不能诚信履约的，磋商小组有权要求其在评审现场在合理的时间内提供书面说明，必要时提交相关证明材料；投标人不能证明其最后报价合理性的，磋商小组应当将其作为无效响应处理</w:t>
            </w:r>
            <w:r>
              <w:rPr>
                <w:rFonts w:hint="eastAsia" w:ascii="宋体" w:hAnsi="宋体" w:eastAsia="宋体" w:cs="宋体"/>
                <w:b w:val="0"/>
                <w:bCs w:val="0"/>
                <w:color w:val="auto"/>
                <w:szCs w:val="21"/>
                <w:highlight w:val="none"/>
              </w:rPr>
              <w:t>）</w:t>
            </w:r>
            <w:r>
              <w:rPr>
                <w:rFonts w:hint="eastAsia" w:ascii="宋体" w:hAnsi="宋体" w:eastAsia="宋体" w:cs="宋体"/>
                <w:color w:val="auto"/>
                <w:szCs w:val="21"/>
                <w:highlight w:val="none"/>
              </w:rPr>
              <w:t>。</w:t>
            </w:r>
          </w:p>
        </w:tc>
      </w:tr>
      <w:tr w14:paraId="34B122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94" w:hRule="atLeast"/>
          <w:jc w:val="center"/>
        </w:trPr>
        <w:tc>
          <w:tcPr>
            <w:tcW w:w="654" w:type="dxa"/>
            <w:vMerge w:val="continue"/>
            <w:vAlign w:val="center"/>
          </w:tcPr>
          <w:p w14:paraId="1AA559BD">
            <w:pPr>
              <w:spacing w:line="360" w:lineRule="exact"/>
              <w:jc w:val="center"/>
              <w:rPr>
                <w:rFonts w:hint="eastAsia" w:ascii="宋体" w:hAnsi="宋体" w:eastAsia="宋体" w:cs="宋体"/>
                <w:color w:val="auto"/>
                <w:szCs w:val="21"/>
                <w:highlight w:val="none"/>
              </w:rPr>
            </w:pPr>
          </w:p>
        </w:tc>
        <w:tc>
          <w:tcPr>
            <w:tcW w:w="1693" w:type="dxa"/>
            <w:vMerge w:val="continue"/>
            <w:vAlign w:val="center"/>
          </w:tcPr>
          <w:p w14:paraId="242A749A">
            <w:pPr>
              <w:spacing w:line="360" w:lineRule="exact"/>
              <w:jc w:val="center"/>
              <w:rPr>
                <w:rFonts w:hint="eastAsia" w:ascii="宋体" w:hAnsi="宋体" w:eastAsia="宋体" w:cs="宋体"/>
                <w:color w:val="auto"/>
                <w:szCs w:val="21"/>
                <w:highlight w:val="none"/>
              </w:rPr>
            </w:pPr>
          </w:p>
        </w:tc>
        <w:tc>
          <w:tcPr>
            <w:tcW w:w="1509" w:type="dxa"/>
            <w:vAlign w:val="center"/>
          </w:tcPr>
          <w:p w14:paraId="45607C31">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被确定为磋商基准价的投标人</w:t>
            </w:r>
          </w:p>
        </w:tc>
        <w:tc>
          <w:tcPr>
            <w:tcW w:w="5217" w:type="dxa"/>
            <w:gridSpan w:val="4"/>
            <w:vAlign w:val="center"/>
          </w:tcPr>
          <w:p w14:paraId="702DC28C">
            <w:pPr>
              <w:spacing w:line="360" w:lineRule="exact"/>
              <w:jc w:val="center"/>
              <w:rPr>
                <w:rFonts w:hint="eastAsia" w:ascii="宋体" w:hAnsi="宋体" w:eastAsia="宋体" w:cs="宋体"/>
                <w:color w:val="auto"/>
                <w:szCs w:val="21"/>
                <w:highlight w:val="none"/>
              </w:rPr>
            </w:pPr>
          </w:p>
        </w:tc>
      </w:tr>
      <w:tr w14:paraId="78EC3E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94" w:hRule="atLeast"/>
          <w:jc w:val="center"/>
        </w:trPr>
        <w:tc>
          <w:tcPr>
            <w:tcW w:w="654" w:type="dxa"/>
            <w:vMerge w:val="continue"/>
            <w:vAlign w:val="center"/>
          </w:tcPr>
          <w:p w14:paraId="0A41FA45">
            <w:pPr>
              <w:spacing w:line="360" w:lineRule="exact"/>
              <w:jc w:val="center"/>
              <w:rPr>
                <w:rFonts w:hint="eastAsia" w:ascii="宋体" w:hAnsi="宋体" w:eastAsia="宋体" w:cs="宋体"/>
                <w:color w:val="auto"/>
                <w:szCs w:val="21"/>
                <w:highlight w:val="none"/>
              </w:rPr>
            </w:pPr>
          </w:p>
        </w:tc>
        <w:tc>
          <w:tcPr>
            <w:tcW w:w="1693" w:type="dxa"/>
            <w:vMerge w:val="continue"/>
            <w:vAlign w:val="center"/>
          </w:tcPr>
          <w:p w14:paraId="23364770">
            <w:pPr>
              <w:spacing w:line="360" w:lineRule="exact"/>
              <w:jc w:val="center"/>
              <w:rPr>
                <w:rFonts w:hint="eastAsia" w:ascii="宋体" w:hAnsi="宋体" w:eastAsia="宋体" w:cs="宋体"/>
                <w:color w:val="auto"/>
                <w:szCs w:val="21"/>
                <w:highlight w:val="none"/>
              </w:rPr>
            </w:pPr>
          </w:p>
        </w:tc>
        <w:tc>
          <w:tcPr>
            <w:tcW w:w="1509" w:type="dxa"/>
            <w:vAlign w:val="center"/>
          </w:tcPr>
          <w:p w14:paraId="13051EF2">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被确定为磋商基准价的价格</w:t>
            </w:r>
          </w:p>
        </w:tc>
        <w:tc>
          <w:tcPr>
            <w:tcW w:w="5217" w:type="dxa"/>
            <w:gridSpan w:val="4"/>
            <w:vAlign w:val="center"/>
          </w:tcPr>
          <w:p w14:paraId="1D24CE91">
            <w:pPr>
              <w:spacing w:line="360" w:lineRule="exact"/>
              <w:jc w:val="center"/>
              <w:rPr>
                <w:rFonts w:hint="eastAsia" w:ascii="宋体" w:hAnsi="宋体" w:eastAsia="宋体" w:cs="宋体"/>
                <w:color w:val="auto"/>
                <w:szCs w:val="21"/>
                <w:highlight w:val="none"/>
              </w:rPr>
            </w:pPr>
          </w:p>
        </w:tc>
      </w:tr>
      <w:tr w14:paraId="65FDE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67" w:hRule="atLeast"/>
          <w:jc w:val="center"/>
        </w:trPr>
        <w:tc>
          <w:tcPr>
            <w:tcW w:w="654" w:type="dxa"/>
            <w:vMerge w:val="continue"/>
            <w:vAlign w:val="center"/>
          </w:tcPr>
          <w:p w14:paraId="0D642AA3">
            <w:pPr>
              <w:spacing w:line="360" w:lineRule="exact"/>
              <w:jc w:val="center"/>
              <w:rPr>
                <w:rFonts w:hint="eastAsia" w:ascii="宋体" w:hAnsi="宋体" w:eastAsia="宋体" w:cs="宋体"/>
                <w:color w:val="auto"/>
                <w:szCs w:val="21"/>
                <w:highlight w:val="none"/>
              </w:rPr>
            </w:pPr>
          </w:p>
        </w:tc>
        <w:tc>
          <w:tcPr>
            <w:tcW w:w="1693" w:type="dxa"/>
            <w:vMerge w:val="continue"/>
            <w:vAlign w:val="center"/>
          </w:tcPr>
          <w:p w14:paraId="265F5BAB">
            <w:pPr>
              <w:spacing w:line="360" w:lineRule="exact"/>
              <w:jc w:val="center"/>
              <w:rPr>
                <w:rFonts w:hint="eastAsia" w:ascii="宋体" w:hAnsi="宋体" w:eastAsia="宋体" w:cs="宋体"/>
                <w:color w:val="auto"/>
                <w:szCs w:val="21"/>
                <w:highlight w:val="none"/>
              </w:rPr>
            </w:pPr>
          </w:p>
        </w:tc>
        <w:tc>
          <w:tcPr>
            <w:tcW w:w="1509" w:type="dxa"/>
            <w:vAlign w:val="center"/>
          </w:tcPr>
          <w:p w14:paraId="75D709D7">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被确定为磋商基准价的得分</w:t>
            </w:r>
          </w:p>
        </w:tc>
        <w:tc>
          <w:tcPr>
            <w:tcW w:w="5217" w:type="dxa"/>
            <w:gridSpan w:val="4"/>
            <w:vAlign w:val="center"/>
          </w:tcPr>
          <w:p w14:paraId="1CEB76DF">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0分</w:t>
            </w:r>
          </w:p>
        </w:tc>
      </w:tr>
      <w:tr w14:paraId="02BCE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3" w:hRule="atLeast"/>
          <w:jc w:val="center"/>
        </w:trPr>
        <w:tc>
          <w:tcPr>
            <w:tcW w:w="654" w:type="dxa"/>
            <w:vAlign w:val="center"/>
          </w:tcPr>
          <w:p w14:paraId="709F1924">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693" w:type="dxa"/>
            <w:vAlign w:val="center"/>
          </w:tcPr>
          <w:p w14:paraId="7888F36B">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低价优先法计算公式</w:t>
            </w:r>
          </w:p>
        </w:tc>
        <w:tc>
          <w:tcPr>
            <w:tcW w:w="6726" w:type="dxa"/>
            <w:gridSpan w:val="5"/>
            <w:vAlign w:val="center"/>
          </w:tcPr>
          <w:p w14:paraId="35ABF546">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除磋商基准价得满分的投标人外，其他合格投标人报价得分的计算公式为：磋商报价得分=（磋商基准价/最后磋商报价）×价格分值</w:t>
            </w:r>
          </w:p>
        </w:tc>
      </w:tr>
      <w:tr w14:paraId="156B1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7" w:hRule="atLeast"/>
          <w:jc w:val="center"/>
        </w:trPr>
        <w:tc>
          <w:tcPr>
            <w:tcW w:w="654" w:type="dxa"/>
            <w:vAlign w:val="center"/>
          </w:tcPr>
          <w:p w14:paraId="0B98D432">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693" w:type="dxa"/>
            <w:vAlign w:val="center"/>
          </w:tcPr>
          <w:p w14:paraId="1960FF3D">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最终得分</w:t>
            </w:r>
          </w:p>
        </w:tc>
        <w:tc>
          <w:tcPr>
            <w:tcW w:w="1509" w:type="dxa"/>
            <w:vAlign w:val="center"/>
          </w:tcPr>
          <w:p w14:paraId="14B52E97">
            <w:pPr>
              <w:spacing w:line="360" w:lineRule="exact"/>
              <w:jc w:val="center"/>
              <w:rPr>
                <w:rFonts w:hint="eastAsia" w:ascii="宋体" w:hAnsi="宋体" w:eastAsia="宋体" w:cs="宋体"/>
                <w:color w:val="auto"/>
                <w:szCs w:val="21"/>
                <w:highlight w:val="none"/>
              </w:rPr>
            </w:pPr>
          </w:p>
        </w:tc>
        <w:tc>
          <w:tcPr>
            <w:tcW w:w="1304" w:type="dxa"/>
            <w:vAlign w:val="center"/>
          </w:tcPr>
          <w:p w14:paraId="48F022E6">
            <w:pPr>
              <w:spacing w:line="360" w:lineRule="exact"/>
              <w:jc w:val="center"/>
              <w:rPr>
                <w:rFonts w:hint="eastAsia" w:ascii="宋体" w:hAnsi="宋体" w:eastAsia="宋体" w:cs="宋体"/>
                <w:color w:val="auto"/>
                <w:szCs w:val="21"/>
                <w:highlight w:val="none"/>
              </w:rPr>
            </w:pPr>
          </w:p>
        </w:tc>
        <w:tc>
          <w:tcPr>
            <w:tcW w:w="1304" w:type="dxa"/>
            <w:vAlign w:val="center"/>
          </w:tcPr>
          <w:p w14:paraId="705D47EC">
            <w:pPr>
              <w:spacing w:line="360" w:lineRule="exact"/>
              <w:jc w:val="center"/>
              <w:rPr>
                <w:rFonts w:hint="eastAsia" w:ascii="宋体" w:hAnsi="宋体" w:eastAsia="宋体" w:cs="宋体"/>
                <w:color w:val="auto"/>
                <w:szCs w:val="21"/>
                <w:highlight w:val="none"/>
              </w:rPr>
            </w:pPr>
          </w:p>
        </w:tc>
        <w:tc>
          <w:tcPr>
            <w:tcW w:w="1304" w:type="dxa"/>
            <w:vAlign w:val="center"/>
          </w:tcPr>
          <w:p w14:paraId="4B7C9E89">
            <w:pPr>
              <w:spacing w:line="360" w:lineRule="exact"/>
              <w:jc w:val="center"/>
              <w:rPr>
                <w:rFonts w:hint="eastAsia" w:ascii="宋体" w:hAnsi="宋体" w:eastAsia="宋体" w:cs="宋体"/>
                <w:color w:val="auto"/>
                <w:szCs w:val="21"/>
                <w:highlight w:val="none"/>
              </w:rPr>
            </w:pPr>
          </w:p>
        </w:tc>
        <w:tc>
          <w:tcPr>
            <w:tcW w:w="1305" w:type="dxa"/>
            <w:vAlign w:val="center"/>
          </w:tcPr>
          <w:p w14:paraId="04E6352A">
            <w:pPr>
              <w:spacing w:line="360" w:lineRule="exact"/>
              <w:jc w:val="center"/>
              <w:rPr>
                <w:rFonts w:hint="eastAsia" w:ascii="宋体" w:hAnsi="宋体" w:eastAsia="宋体" w:cs="宋体"/>
                <w:color w:val="auto"/>
                <w:szCs w:val="21"/>
                <w:highlight w:val="none"/>
              </w:rPr>
            </w:pPr>
          </w:p>
        </w:tc>
      </w:tr>
      <w:tr w14:paraId="6454FE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57" w:hRule="atLeast"/>
          <w:jc w:val="center"/>
        </w:trPr>
        <w:tc>
          <w:tcPr>
            <w:tcW w:w="9073" w:type="dxa"/>
            <w:gridSpan w:val="7"/>
          </w:tcPr>
          <w:p w14:paraId="10AA3F0C">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磋商小组全体签字：</w:t>
            </w:r>
          </w:p>
          <w:p w14:paraId="332ECDB7">
            <w:pPr>
              <w:spacing w:line="360" w:lineRule="exact"/>
              <w:rPr>
                <w:rFonts w:hint="eastAsia" w:ascii="宋体" w:hAnsi="宋体" w:eastAsia="宋体" w:cs="宋体"/>
                <w:color w:val="auto"/>
                <w:szCs w:val="21"/>
                <w:highlight w:val="none"/>
              </w:rPr>
            </w:pPr>
          </w:p>
          <w:p w14:paraId="47F38EC9">
            <w:pPr>
              <w:spacing w:line="360" w:lineRule="exact"/>
              <w:rPr>
                <w:rFonts w:hint="eastAsia" w:ascii="宋体" w:hAnsi="宋体" w:eastAsia="宋体" w:cs="宋体"/>
                <w:color w:val="auto"/>
                <w:szCs w:val="21"/>
                <w:highlight w:val="none"/>
              </w:rPr>
            </w:pPr>
          </w:p>
          <w:p w14:paraId="27B22B7B">
            <w:pPr>
              <w:spacing w:line="360" w:lineRule="exact"/>
              <w:rPr>
                <w:rFonts w:hint="eastAsia" w:ascii="宋体" w:hAnsi="宋体" w:eastAsia="宋体" w:cs="宋体"/>
                <w:color w:val="auto"/>
                <w:szCs w:val="21"/>
                <w:highlight w:val="none"/>
              </w:rPr>
            </w:pPr>
          </w:p>
          <w:p w14:paraId="2167A598">
            <w:pPr>
              <w:spacing w:line="360" w:lineRule="exact"/>
              <w:ind w:firstLine="1050" w:firstLineChars="5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时间：</w:t>
            </w:r>
          </w:p>
        </w:tc>
      </w:tr>
    </w:tbl>
    <w:p w14:paraId="498421AE">
      <w:pPr>
        <w:spacing w:line="440" w:lineRule="exact"/>
        <w:jc w:val="center"/>
        <w:rPr>
          <w:rFonts w:hint="eastAsia" w:ascii="宋体" w:hAnsi="宋体" w:eastAsia="宋体" w:cs="宋体"/>
          <w:b/>
          <w:bCs/>
          <w:color w:val="auto"/>
          <w:sz w:val="24"/>
          <w:highlight w:val="none"/>
        </w:rPr>
      </w:pPr>
    </w:p>
    <w:p w14:paraId="1384E4C1">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p>
    <w:p w14:paraId="4E88A3EA">
      <w:pPr>
        <w:spacing w:line="44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附表2  技术标评审评分表K2（</w:t>
      </w: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rPr>
        <w:t>0分）</w:t>
      </w:r>
    </w:p>
    <w:p w14:paraId="6DEA7094">
      <w:pPr>
        <w:spacing w:line="400" w:lineRule="exact"/>
        <w:ind w:firstLine="412" w:firstLineChars="200"/>
        <w:rPr>
          <w:rFonts w:hint="eastAsia" w:ascii="宋体" w:hAnsi="宋体" w:eastAsia="宋体" w:cs="宋体"/>
          <w:color w:val="auto"/>
          <w:spacing w:val="-2"/>
          <w:highlight w:val="none"/>
        </w:rPr>
      </w:pPr>
      <w:r>
        <w:rPr>
          <w:rFonts w:hint="eastAsia" w:ascii="宋体" w:hAnsi="宋体" w:eastAsia="宋体" w:cs="宋体"/>
          <w:color w:val="auto"/>
          <w:spacing w:val="-2"/>
          <w:highlight w:val="none"/>
        </w:rPr>
        <w:t>该部分基本分为</w:t>
      </w:r>
      <w:r>
        <w:rPr>
          <w:rFonts w:hint="eastAsia" w:ascii="宋体" w:hAnsi="宋体" w:cs="宋体"/>
          <w:color w:val="auto"/>
          <w:spacing w:val="-2"/>
          <w:highlight w:val="none"/>
          <w:lang w:val="en-US" w:eastAsia="zh-CN"/>
        </w:rPr>
        <w:t>5</w:t>
      </w:r>
      <w:r>
        <w:rPr>
          <w:rFonts w:hint="eastAsia" w:ascii="宋体" w:hAnsi="宋体" w:eastAsia="宋体" w:cs="宋体"/>
          <w:color w:val="auto"/>
          <w:spacing w:val="-2"/>
          <w:highlight w:val="none"/>
        </w:rPr>
        <w:t>0分，磋商小组根据以下标准</w:t>
      </w:r>
      <w:r>
        <w:rPr>
          <w:rFonts w:hint="eastAsia" w:ascii="宋体" w:hAnsi="宋体" w:eastAsia="宋体" w:cs="宋体"/>
          <w:color w:val="auto"/>
          <w:spacing w:val="-2"/>
          <w:highlight w:val="none"/>
          <w:em w:val="dot"/>
        </w:rPr>
        <w:t>独立</w:t>
      </w:r>
      <w:r>
        <w:rPr>
          <w:rFonts w:hint="eastAsia" w:ascii="宋体" w:hAnsi="宋体" w:eastAsia="宋体" w:cs="宋体"/>
          <w:color w:val="auto"/>
          <w:spacing w:val="-2"/>
          <w:highlight w:val="none"/>
        </w:rPr>
        <w:t>对每个有效投标人进行评价、打分。</w:t>
      </w:r>
    </w:p>
    <w:tbl>
      <w:tblPr>
        <w:tblStyle w:val="19"/>
        <w:tblW w:w="9519" w:type="dxa"/>
        <w:tblInd w:w="-19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254"/>
        <w:gridCol w:w="1545"/>
        <w:gridCol w:w="6720"/>
      </w:tblGrid>
      <w:tr w14:paraId="565534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97" w:hRule="atLeast"/>
        </w:trPr>
        <w:tc>
          <w:tcPr>
            <w:tcW w:w="2799" w:type="dxa"/>
            <w:gridSpan w:val="2"/>
            <w:tcBorders>
              <w:top w:val="single" w:color="000000" w:sz="8" w:space="0"/>
              <w:left w:val="single" w:color="000000" w:sz="8" w:space="0"/>
              <w:bottom w:val="single" w:color="000000" w:sz="8" w:space="0"/>
              <w:right w:val="single" w:color="000000" w:sz="8" w:space="0"/>
            </w:tcBorders>
          </w:tcPr>
          <w:p w14:paraId="0FA4314B">
            <w:pPr>
              <w:pStyle w:val="37"/>
              <w:spacing w:before="106"/>
              <w:ind w:right="1065"/>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       评分因素</w:t>
            </w:r>
          </w:p>
        </w:tc>
        <w:tc>
          <w:tcPr>
            <w:tcW w:w="6720" w:type="dxa"/>
            <w:tcBorders>
              <w:top w:val="single" w:color="000000" w:sz="8" w:space="0"/>
              <w:left w:val="nil"/>
              <w:bottom w:val="single" w:color="000000" w:sz="8" w:space="0"/>
              <w:right w:val="single" w:color="000000" w:sz="8" w:space="0"/>
            </w:tcBorders>
          </w:tcPr>
          <w:p w14:paraId="4FAFC936">
            <w:pPr>
              <w:pStyle w:val="37"/>
              <w:spacing w:before="106"/>
              <w:ind w:right="567"/>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     评分标准</w:t>
            </w:r>
          </w:p>
        </w:tc>
      </w:tr>
      <w:tr w14:paraId="32C4D9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55" w:hRule="atLeast"/>
        </w:trPr>
        <w:tc>
          <w:tcPr>
            <w:tcW w:w="1254" w:type="dxa"/>
            <w:vMerge w:val="restart"/>
            <w:tcBorders>
              <w:top w:val="nil"/>
              <w:left w:val="single" w:color="000000" w:sz="8" w:space="0"/>
              <w:right w:val="single" w:color="000000" w:sz="8" w:space="0"/>
            </w:tcBorders>
            <w:vAlign w:val="center"/>
          </w:tcPr>
          <w:p w14:paraId="0B630E0C">
            <w:pPr>
              <w:pStyle w:val="37"/>
              <w:spacing w:line="360" w:lineRule="auto"/>
              <w:ind w:left="250" w:right="145" w:hanging="27"/>
              <w:jc w:val="center"/>
              <w:rPr>
                <w:rFonts w:hint="eastAsia" w:ascii="宋体" w:hAnsi="宋体" w:eastAsia="宋体" w:cs="宋体"/>
                <w:b/>
                <w:color w:val="auto"/>
                <w:highlight w:val="none"/>
              </w:rPr>
            </w:pPr>
            <w:r>
              <w:rPr>
                <w:rFonts w:hint="eastAsia" w:ascii="宋体" w:hAnsi="宋体" w:eastAsia="宋体" w:cs="宋体"/>
                <w:b/>
                <w:color w:val="auto"/>
                <w:highlight w:val="none"/>
              </w:rPr>
              <w:t>技术部分</w:t>
            </w:r>
          </w:p>
        </w:tc>
        <w:tc>
          <w:tcPr>
            <w:tcW w:w="1545" w:type="dxa"/>
            <w:tcBorders>
              <w:top w:val="single" w:color="000000" w:sz="8" w:space="0"/>
              <w:left w:val="nil"/>
              <w:bottom w:val="single" w:color="000000" w:sz="8" w:space="0"/>
              <w:right w:val="single" w:color="000000" w:sz="8" w:space="0"/>
            </w:tcBorders>
            <w:vAlign w:val="center"/>
          </w:tcPr>
          <w:p w14:paraId="58566EE4">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施工方案与技术</w:t>
            </w:r>
          </w:p>
          <w:p w14:paraId="357D6931">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措施（</w:t>
            </w: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rPr>
              <w:t>分）</w:t>
            </w:r>
          </w:p>
        </w:tc>
        <w:tc>
          <w:tcPr>
            <w:tcW w:w="6720" w:type="dxa"/>
            <w:tcBorders>
              <w:top w:val="single" w:color="000000" w:sz="8" w:space="0"/>
              <w:left w:val="nil"/>
              <w:bottom w:val="single" w:color="000000" w:sz="8" w:space="0"/>
              <w:right w:val="single" w:color="000000" w:sz="8" w:space="0"/>
            </w:tcBorders>
          </w:tcPr>
          <w:p w14:paraId="7E71A90C">
            <w:pPr>
              <w:jc w:val="left"/>
              <w:rPr>
                <w:rFonts w:hint="eastAsia" w:ascii="Times New Roman" w:hAnsi="Times New Roman" w:cs="Times New Roman"/>
              </w:rPr>
            </w:pPr>
            <w:r>
              <w:rPr>
                <w:rFonts w:hint="eastAsia"/>
              </w:rPr>
              <w:t>供应商应对本项目提供详细的施工方案与技术措施,包括①项目总体概况描述；②重点、难点工程施工方案；③施工准备方案。以上内容符合实际，阐述详实，</w:t>
            </w:r>
            <w:r>
              <w:rPr>
                <w:rFonts w:hint="eastAsia"/>
                <w:lang w:val="en-US"/>
              </w:rPr>
              <w:t>可操作性强方案科学合理、针对性强、技术先进、满足本项目要求</w:t>
            </w:r>
            <w:r>
              <w:rPr>
                <w:rFonts w:hint="eastAsia"/>
              </w:rPr>
              <w:t>每分项计</w:t>
            </w:r>
            <w:r>
              <w:rPr>
                <w:rFonts w:hint="eastAsia"/>
                <w:lang w:val="en-US" w:eastAsia="zh-CN"/>
              </w:rPr>
              <w:t>3</w:t>
            </w:r>
            <w:r>
              <w:rPr>
                <w:rFonts w:hint="eastAsia"/>
              </w:rPr>
              <w:t>分，合计</w:t>
            </w:r>
            <w:r>
              <w:rPr>
                <w:rFonts w:hint="eastAsia"/>
                <w:lang w:val="en-US" w:eastAsia="zh-CN"/>
              </w:rPr>
              <w:t>9</w:t>
            </w:r>
            <w:r>
              <w:rPr>
                <w:rFonts w:hint="eastAsia"/>
              </w:rPr>
              <w:t>分；内容欠清晰</w:t>
            </w:r>
            <w:r>
              <w:rPr>
                <w:rFonts w:hint="eastAsia" w:ascii="Times New Roman" w:hAnsi="Times New Roman" w:cs="Times New Roman"/>
              </w:rPr>
              <w:t>合理，阐述不详实，不符合实际，操作性不强的每项扣</w:t>
            </w:r>
            <w:r>
              <w:rPr>
                <w:rFonts w:hint="eastAsia" w:ascii="Times New Roman" w:hAnsi="Times New Roman" w:cs="Times New Roman"/>
                <w:lang w:val="en-US" w:eastAsia="zh-CN"/>
              </w:rPr>
              <w:t>1</w:t>
            </w:r>
            <w:r>
              <w:rPr>
                <w:rFonts w:hint="eastAsia" w:ascii="Times New Roman" w:hAnsi="Times New Roman" w:cs="Times New Roman"/>
              </w:rPr>
              <w:t>分；缺项每项扣</w:t>
            </w:r>
            <w:r>
              <w:rPr>
                <w:rFonts w:hint="eastAsia" w:ascii="Times New Roman" w:hAnsi="Times New Roman" w:cs="Times New Roman"/>
                <w:lang w:val="en-US" w:eastAsia="zh-CN"/>
              </w:rPr>
              <w:t>3</w:t>
            </w:r>
            <w:r>
              <w:rPr>
                <w:rFonts w:hint="eastAsia" w:ascii="Times New Roman" w:hAnsi="Times New Roman" w:cs="Times New Roman"/>
              </w:rPr>
              <w:t>分，扣完为止。未提供施工组织方案的不得分。</w:t>
            </w:r>
          </w:p>
          <w:p w14:paraId="51D35E8E">
            <w:pPr>
              <w:jc w:val="left"/>
              <w:rPr>
                <w:rFonts w:hint="eastAsia"/>
              </w:rPr>
            </w:pPr>
            <w:r>
              <w:rPr>
                <w:rFonts w:hint="eastAsia" w:ascii="Times New Roman" w:hAnsi="Times New Roman" w:cs="Times New Roman"/>
                <w:lang w:val="en-US" w:eastAsia="zh-CN"/>
              </w:rPr>
              <w:t>注：</w:t>
            </w:r>
            <w:r>
              <w:rPr>
                <w:rFonts w:hint="eastAsia" w:ascii="Times New Roman" w:hAnsi="Times New Roman" w:cs="Times New Roman"/>
                <w:lang w:val="en-US" w:eastAsia="en-US"/>
              </w:rPr>
              <w:t>1、方案</w:t>
            </w:r>
            <w:r>
              <w:rPr>
                <w:rFonts w:hint="eastAsia"/>
              </w:rPr>
              <w:t>欠清晰</w:t>
            </w:r>
            <w:r>
              <w:rPr>
                <w:rFonts w:hint="eastAsia" w:ascii="Times New Roman" w:hAnsi="Times New Roman" w:cs="Times New Roman"/>
              </w:rPr>
              <w:t>合理，阐述不详实，不符合实际，操作性不强</w:t>
            </w:r>
            <w:r>
              <w:rPr>
                <w:rFonts w:hint="eastAsia" w:ascii="Times New Roman" w:hAnsi="Times New Roman" w:cs="Times New Roman"/>
                <w:lang w:val="en-US" w:eastAsia="en-US"/>
              </w:rPr>
              <w:t>是指项目名称不符、未贴合</w:t>
            </w:r>
            <w:r>
              <w:rPr>
                <w:rFonts w:hint="eastAsia" w:ascii="Times New Roman" w:hAnsi="Times New Roman" w:cs="Times New Roman"/>
                <w:lang w:val="en-US" w:eastAsia="zh-CN"/>
              </w:rPr>
              <w:t>采</w:t>
            </w:r>
            <w:r>
              <w:rPr>
                <w:rFonts w:hint="eastAsia" w:ascii="Times New Roman" w:hAnsi="Times New Roman" w:cs="Times New Roman"/>
                <w:lang w:val="en-US" w:eastAsia="en-US"/>
              </w:rPr>
              <w:t>购需求、方案内容与项目需求不一致或没有关联性、涉及的技术规范标准等与国家标准或行业标准或</w:t>
            </w:r>
            <w:r>
              <w:rPr>
                <w:rFonts w:hint="eastAsia" w:ascii="Times New Roman" w:hAnsi="Times New Roman" w:cs="Times New Roman"/>
                <w:lang w:val="en-US" w:eastAsia="zh-CN"/>
              </w:rPr>
              <w:t>与</w:t>
            </w:r>
            <w:r>
              <w:rPr>
                <w:rFonts w:hint="eastAsia" w:ascii="Times New Roman" w:hAnsi="Times New Roman" w:cs="Times New Roman"/>
                <w:lang w:val="en-US" w:eastAsia="en-US"/>
              </w:rPr>
              <w:t>采购文件要求不一致，相关评审具体实施方案内容与实际实施时存在差异性，计划安排无条理性、方案内容空洞、语义表述不清，存在歧义、逻辑混乱、有错别字，内容不完善前后矛盾、表述错误</w:t>
            </w:r>
            <w:r>
              <w:rPr>
                <w:rFonts w:hint="eastAsia" w:ascii="Times New Roman" w:hAnsi="Times New Roman" w:cs="Times New Roman"/>
                <w:lang w:val="en-US" w:eastAsia="zh-CN"/>
              </w:rPr>
              <w:t>等</w:t>
            </w:r>
            <w:r>
              <w:rPr>
                <w:rFonts w:hint="eastAsia" w:ascii="Times New Roman" w:hAnsi="Times New Roman" w:cs="Times New Roman"/>
                <w:lang w:val="en-US" w:eastAsia="en-US"/>
              </w:rPr>
              <w:t>。</w:t>
            </w:r>
          </w:p>
        </w:tc>
      </w:tr>
      <w:tr w14:paraId="223910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55" w:hRule="atLeast"/>
        </w:trPr>
        <w:tc>
          <w:tcPr>
            <w:tcW w:w="1254" w:type="dxa"/>
            <w:vMerge w:val="continue"/>
            <w:tcBorders>
              <w:left w:val="single" w:color="000000" w:sz="8" w:space="0"/>
              <w:right w:val="single" w:color="000000" w:sz="8" w:space="0"/>
            </w:tcBorders>
            <w:vAlign w:val="center"/>
          </w:tcPr>
          <w:p w14:paraId="2BB2BDBA">
            <w:pPr>
              <w:pStyle w:val="37"/>
              <w:spacing w:line="360" w:lineRule="auto"/>
              <w:ind w:left="250" w:right="145" w:hanging="27"/>
              <w:jc w:val="center"/>
              <w:rPr>
                <w:rFonts w:hint="eastAsia" w:ascii="宋体" w:hAnsi="宋体" w:eastAsia="宋体" w:cs="宋体"/>
                <w:b/>
                <w:color w:val="auto"/>
                <w:highlight w:val="none"/>
              </w:rPr>
            </w:pPr>
          </w:p>
        </w:tc>
        <w:tc>
          <w:tcPr>
            <w:tcW w:w="1545" w:type="dxa"/>
            <w:tcBorders>
              <w:top w:val="single" w:color="000000" w:sz="8" w:space="0"/>
              <w:left w:val="nil"/>
              <w:bottom w:val="single" w:color="000000" w:sz="8" w:space="0"/>
              <w:right w:val="single" w:color="000000" w:sz="8" w:space="0"/>
            </w:tcBorders>
            <w:vAlign w:val="center"/>
          </w:tcPr>
          <w:p w14:paraId="646465CF">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工程进度计划与</w:t>
            </w:r>
          </w:p>
          <w:p w14:paraId="118ED005">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措施（</w:t>
            </w:r>
            <w:r>
              <w:rPr>
                <w:rFonts w:hint="eastAsia" w:ascii="宋体" w:hAnsi="宋体" w:eastAsia="宋体" w:cs="宋体"/>
                <w:bCs/>
                <w:color w:val="auto"/>
                <w:sz w:val="21"/>
                <w:szCs w:val="21"/>
                <w:highlight w:val="none"/>
                <w:lang w:val="en-US" w:eastAsia="zh-CN"/>
              </w:rPr>
              <w:t>9</w:t>
            </w:r>
            <w:r>
              <w:rPr>
                <w:rFonts w:hint="eastAsia" w:ascii="宋体" w:hAnsi="宋体" w:eastAsia="宋体" w:cs="宋体"/>
                <w:bCs/>
                <w:color w:val="auto"/>
                <w:sz w:val="21"/>
                <w:szCs w:val="21"/>
                <w:highlight w:val="none"/>
              </w:rPr>
              <w:t>分）</w:t>
            </w:r>
          </w:p>
        </w:tc>
        <w:tc>
          <w:tcPr>
            <w:tcW w:w="6720" w:type="dxa"/>
            <w:tcBorders>
              <w:top w:val="single" w:color="000000" w:sz="8" w:space="0"/>
              <w:left w:val="nil"/>
              <w:bottom w:val="single" w:color="000000" w:sz="8" w:space="0"/>
              <w:right w:val="single" w:color="000000" w:sz="8" w:space="0"/>
            </w:tcBorders>
            <w:vAlign w:val="top"/>
          </w:tcPr>
          <w:p w14:paraId="25CA1342">
            <w:pPr>
              <w:jc w:val="left"/>
              <w:rPr>
                <w:rFonts w:hint="eastAsia" w:ascii="Times New Roman" w:hAnsi="Times New Roman" w:cs="Times New Roman"/>
              </w:rPr>
            </w:pPr>
            <w:r>
              <w:rPr>
                <w:rFonts w:hint="eastAsia"/>
              </w:rPr>
              <w:t>供应商根据本项目施工内容及要求，提供详细的工程进度计划及保证措施，包括①项目施工进度计划方案(含工期计划图)；②施工技术对进度保证措施；③施工环境影响工期的措施。以上内容符合实际，阐述详实，</w:t>
            </w:r>
            <w:r>
              <w:rPr>
                <w:rFonts w:hint="eastAsia"/>
                <w:lang w:val="en-US"/>
              </w:rPr>
              <w:t>可操作性强方案科学合理、针对性强、技术先进、满足本项目要求</w:t>
            </w:r>
            <w:r>
              <w:rPr>
                <w:rFonts w:hint="eastAsia"/>
              </w:rPr>
              <w:t>每分项计</w:t>
            </w:r>
            <w:r>
              <w:rPr>
                <w:rFonts w:hint="eastAsia"/>
                <w:lang w:val="en-US" w:eastAsia="zh-CN"/>
              </w:rPr>
              <w:t>3</w:t>
            </w:r>
            <w:r>
              <w:rPr>
                <w:rFonts w:hint="eastAsia"/>
              </w:rPr>
              <w:t>分，合计</w:t>
            </w:r>
            <w:r>
              <w:rPr>
                <w:rFonts w:hint="eastAsia"/>
                <w:lang w:val="en-US" w:eastAsia="zh-CN"/>
              </w:rPr>
              <w:t>9</w:t>
            </w:r>
            <w:r>
              <w:rPr>
                <w:rFonts w:hint="eastAsia"/>
              </w:rPr>
              <w:t>分；内容欠清晰合理，阐述不详实，不符合实际，操作性不强的每项扣</w:t>
            </w:r>
            <w:r>
              <w:rPr>
                <w:rFonts w:hint="eastAsia"/>
                <w:lang w:val="en-US" w:eastAsia="zh-CN"/>
              </w:rPr>
              <w:t>1</w:t>
            </w:r>
            <w:r>
              <w:rPr>
                <w:rFonts w:hint="eastAsia"/>
              </w:rPr>
              <w:t>分；缺项每项扣</w:t>
            </w:r>
            <w:r>
              <w:rPr>
                <w:rFonts w:hint="eastAsia"/>
                <w:lang w:val="en-US" w:eastAsia="zh-CN"/>
              </w:rPr>
              <w:t>3</w:t>
            </w:r>
            <w:r>
              <w:rPr>
                <w:rFonts w:hint="eastAsia"/>
              </w:rPr>
              <w:t>分，扣完为止。未提供工程进度计划与措</w:t>
            </w:r>
            <w:r>
              <w:rPr>
                <w:rFonts w:hint="eastAsia" w:ascii="Times New Roman" w:hAnsi="Times New Roman" w:cs="Times New Roman"/>
              </w:rPr>
              <w:t>施的不得分。</w:t>
            </w:r>
          </w:p>
          <w:p w14:paraId="519E76BF">
            <w:pPr>
              <w:jc w:val="left"/>
              <w:rPr>
                <w:rFonts w:hint="eastAsia"/>
              </w:rPr>
            </w:pPr>
            <w:r>
              <w:rPr>
                <w:rFonts w:hint="eastAsia" w:ascii="Times New Roman" w:hAnsi="Times New Roman" w:cs="Times New Roman"/>
                <w:lang w:val="en-US" w:eastAsia="zh-CN"/>
              </w:rPr>
              <w:t>注：</w:t>
            </w:r>
            <w:r>
              <w:rPr>
                <w:rFonts w:hint="eastAsia" w:ascii="Times New Roman" w:hAnsi="Times New Roman" w:cs="Times New Roman"/>
                <w:lang w:val="en-US" w:eastAsia="en-US"/>
              </w:rPr>
              <w:t>1、方案</w:t>
            </w:r>
            <w:r>
              <w:rPr>
                <w:rFonts w:hint="eastAsia" w:ascii="Times New Roman" w:hAnsi="Times New Roman" w:cs="Times New Roman"/>
              </w:rPr>
              <w:t>欠清晰合理，阐述不详实，不符合实际，操作性不强</w:t>
            </w:r>
            <w:r>
              <w:rPr>
                <w:rFonts w:hint="eastAsia" w:ascii="Times New Roman" w:hAnsi="Times New Roman" w:cs="Times New Roman"/>
                <w:lang w:val="en-US" w:eastAsia="en-US"/>
              </w:rPr>
              <w:t>是指项目名称不符、未贴合</w:t>
            </w:r>
            <w:r>
              <w:rPr>
                <w:rFonts w:hint="eastAsia" w:ascii="Times New Roman" w:hAnsi="Times New Roman" w:cs="Times New Roman"/>
                <w:lang w:val="en-US" w:eastAsia="zh-CN"/>
              </w:rPr>
              <w:t>采</w:t>
            </w:r>
            <w:r>
              <w:rPr>
                <w:rFonts w:hint="eastAsia" w:ascii="Times New Roman" w:hAnsi="Times New Roman" w:cs="Times New Roman"/>
                <w:lang w:val="en-US" w:eastAsia="en-US"/>
              </w:rPr>
              <w:t>购需求、方案内容与项目需求不一致或没有关联性、涉及的技术规范标准等与国家标准或行业标准或</w:t>
            </w:r>
            <w:r>
              <w:rPr>
                <w:rFonts w:hint="eastAsia" w:ascii="Times New Roman" w:hAnsi="Times New Roman" w:cs="Times New Roman"/>
                <w:lang w:val="en-US" w:eastAsia="zh-CN"/>
              </w:rPr>
              <w:t>与</w:t>
            </w:r>
            <w:r>
              <w:rPr>
                <w:rFonts w:hint="eastAsia" w:ascii="Times New Roman" w:hAnsi="Times New Roman" w:cs="Times New Roman"/>
                <w:lang w:val="en-US" w:eastAsia="en-US"/>
              </w:rPr>
              <w:t>采购文件要求不一致，相关评审具体实施方案内容与实际实施时存在差异性，计划安排无条理性、方案内容空洞、语义表述不清，存在歧义、逻辑混乱、有错别字，内容不完善前后矛盾、表述错误</w:t>
            </w:r>
            <w:r>
              <w:rPr>
                <w:rFonts w:hint="eastAsia" w:ascii="Times New Roman" w:hAnsi="Times New Roman" w:cs="Times New Roman"/>
                <w:lang w:val="en-US" w:eastAsia="zh-CN"/>
              </w:rPr>
              <w:t>等</w:t>
            </w:r>
            <w:r>
              <w:rPr>
                <w:rFonts w:hint="eastAsia" w:ascii="Times New Roman" w:hAnsi="Times New Roman" w:cs="Times New Roman"/>
                <w:lang w:val="en-US" w:eastAsia="en-US"/>
              </w:rPr>
              <w:t>。</w:t>
            </w:r>
          </w:p>
        </w:tc>
      </w:tr>
      <w:tr w14:paraId="0AC2DD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23" w:hRule="atLeast"/>
        </w:trPr>
        <w:tc>
          <w:tcPr>
            <w:tcW w:w="1254" w:type="dxa"/>
            <w:vMerge w:val="continue"/>
            <w:tcBorders>
              <w:left w:val="single" w:color="000000" w:sz="8" w:space="0"/>
              <w:right w:val="single" w:color="000000" w:sz="8" w:space="0"/>
            </w:tcBorders>
            <w:vAlign w:val="center"/>
          </w:tcPr>
          <w:p w14:paraId="3535A4B9">
            <w:pPr>
              <w:widowControl/>
              <w:spacing w:line="360" w:lineRule="auto"/>
              <w:jc w:val="left"/>
              <w:rPr>
                <w:rFonts w:hint="eastAsia" w:ascii="宋体" w:hAnsi="宋体" w:eastAsia="宋体" w:cs="宋体"/>
                <w:b/>
                <w:color w:val="auto"/>
                <w:highlight w:val="none"/>
              </w:rPr>
            </w:pPr>
          </w:p>
        </w:tc>
        <w:tc>
          <w:tcPr>
            <w:tcW w:w="1545" w:type="dxa"/>
            <w:tcBorders>
              <w:top w:val="single" w:color="000000" w:sz="8" w:space="0"/>
              <w:left w:val="nil"/>
              <w:bottom w:val="single" w:color="000000" w:sz="8" w:space="0"/>
              <w:right w:val="single" w:color="000000" w:sz="8" w:space="0"/>
            </w:tcBorders>
            <w:vAlign w:val="center"/>
          </w:tcPr>
          <w:p w14:paraId="032B76F6">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质量管理</w:t>
            </w:r>
            <w:r>
              <w:rPr>
                <w:rFonts w:hint="eastAsia" w:ascii="宋体" w:hAnsi="宋体" w:eastAsia="宋体" w:cs="宋体"/>
                <w:color w:val="auto"/>
                <w:sz w:val="22"/>
                <w:szCs w:val="22"/>
                <w:highlight w:val="none"/>
              </w:rPr>
              <w:t>体系</w:t>
            </w:r>
            <w:r>
              <w:rPr>
                <w:rFonts w:hint="eastAsia" w:ascii="宋体" w:hAnsi="宋体" w:eastAsia="宋体" w:cs="宋体"/>
                <w:bCs/>
                <w:color w:val="auto"/>
                <w:sz w:val="21"/>
                <w:szCs w:val="21"/>
                <w:highlight w:val="none"/>
              </w:rPr>
              <w:t>措施（</w:t>
            </w:r>
            <w:r>
              <w:rPr>
                <w:rFonts w:hint="eastAsia" w:ascii="宋体" w:hAnsi="宋体" w:cs="宋体"/>
                <w:bCs/>
                <w:color w:val="auto"/>
                <w:sz w:val="21"/>
                <w:szCs w:val="21"/>
                <w:highlight w:val="none"/>
                <w:lang w:val="en-US" w:eastAsia="zh-CN"/>
              </w:rPr>
              <w:t>9</w:t>
            </w:r>
            <w:r>
              <w:rPr>
                <w:rFonts w:hint="eastAsia" w:ascii="宋体" w:hAnsi="宋体" w:eastAsia="宋体" w:cs="宋体"/>
                <w:bCs/>
                <w:color w:val="auto"/>
                <w:sz w:val="21"/>
                <w:szCs w:val="21"/>
                <w:highlight w:val="none"/>
              </w:rPr>
              <w:t>分）</w:t>
            </w:r>
          </w:p>
        </w:tc>
        <w:tc>
          <w:tcPr>
            <w:tcW w:w="6720" w:type="dxa"/>
            <w:tcBorders>
              <w:top w:val="single" w:color="000000" w:sz="8" w:space="0"/>
              <w:left w:val="nil"/>
              <w:bottom w:val="single" w:color="000000" w:sz="8" w:space="0"/>
              <w:right w:val="single" w:color="000000" w:sz="8" w:space="0"/>
            </w:tcBorders>
          </w:tcPr>
          <w:p w14:paraId="3648C3D4">
            <w:pPr>
              <w:jc w:val="left"/>
              <w:rPr>
                <w:rFonts w:hint="eastAsia" w:ascii="Times New Roman" w:hAnsi="Times New Roman" w:cs="Times New Roman"/>
              </w:rPr>
            </w:pPr>
            <w:r>
              <w:rPr>
                <w:rFonts w:hint="eastAsia"/>
              </w:rPr>
              <w:t>供应商根据本项目施工内容及要求，提供详细的项目质量保障措施，包括①项目质量管理目标；②质量管理制度；③质量保障措施。以上内容符合实际，阐述详实，</w:t>
            </w:r>
            <w:r>
              <w:rPr>
                <w:rFonts w:hint="eastAsia" w:ascii="Times New Roman"/>
                <w:lang w:val="en-US"/>
              </w:rPr>
              <w:t>可操作性强方案科学合理、针对性强、技术先进、满足本项目要求</w:t>
            </w:r>
            <w:r>
              <w:rPr>
                <w:rFonts w:hint="eastAsia"/>
              </w:rPr>
              <w:t>每分项计</w:t>
            </w:r>
            <w:r>
              <w:rPr>
                <w:rFonts w:hint="eastAsia" w:ascii="Times New Roman" w:eastAsia="宋体"/>
                <w:lang w:val="en-US" w:eastAsia="zh-CN"/>
              </w:rPr>
              <w:t>3</w:t>
            </w:r>
            <w:r>
              <w:rPr>
                <w:rFonts w:hint="eastAsia"/>
              </w:rPr>
              <w:t>分，合计</w:t>
            </w:r>
            <w:r>
              <w:rPr>
                <w:rFonts w:hint="eastAsia" w:ascii="Times New Roman" w:eastAsia="宋体"/>
                <w:lang w:val="en-US" w:eastAsia="zh-CN"/>
              </w:rPr>
              <w:t>9</w:t>
            </w:r>
            <w:r>
              <w:rPr>
                <w:rFonts w:hint="eastAsia"/>
              </w:rPr>
              <w:t>分；内容欠清晰合理，阐述不详实，不符合实际，操作性不强的每项扣</w:t>
            </w:r>
            <w:r>
              <w:rPr>
                <w:rFonts w:hint="eastAsia" w:ascii="Times New Roman" w:eastAsia="宋体"/>
                <w:lang w:val="en-US" w:eastAsia="zh-CN"/>
              </w:rPr>
              <w:t>1</w:t>
            </w:r>
            <w:r>
              <w:rPr>
                <w:rFonts w:hint="eastAsia"/>
              </w:rPr>
              <w:t>分；缺项每项扣</w:t>
            </w:r>
            <w:r>
              <w:rPr>
                <w:rFonts w:hint="eastAsia" w:ascii="Times New Roman" w:eastAsia="宋体"/>
                <w:lang w:val="en-US" w:eastAsia="zh-CN"/>
              </w:rPr>
              <w:t>3</w:t>
            </w:r>
            <w:r>
              <w:rPr>
                <w:rFonts w:hint="eastAsia"/>
              </w:rPr>
              <w:t>分，扣完为止</w:t>
            </w:r>
            <w:r>
              <w:rPr>
                <w:rFonts w:hint="eastAsia" w:ascii="Times New Roman" w:hAnsi="Times New Roman" w:cs="Times New Roman"/>
              </w:rPr>
              <w:t>。未提供质量管理措施的不得分。</w:t>
            </w:r>
          </w:p>
          <w:p w14:paraId="46FBED4B">
            <w:pPr>
              <w:jc w:val="left"/>
              <w:rPr>
                <w:rFonts w:hint="eastAsia"/>
              </w:rPr>
            </w:pPr>
            <w:r>
              <w:rPr>
                <w:rFonts w:hint="eastAsia" w:ascii="Times New Roman" w:hAnsi="Times New Roman" w:cs="Times New Roman"/>
                <w:lang w:val="en-US" w:eastAsia="zh-CN"/>
              </w:rPr>
              <w:t>注：</w:t>
            </w:r>
            <w:r>
              <w:rPr>
                <w:rFonts w:hint="eastAsia" w:ascii="Times New Roman" w:hAnsi="Times New Roman" w:cs="Times New Roman"/>
                <w:lang w:val="en-US" w:eastAsia="en-US"/>
              </w:rPr>
              <w:t>1、方案</w:t>
            </w:r>
            <w:r>
              <w:rPr>
                <w:rFonts w:hint="eastAsia" w:ascii="Times New Roman" w:hAnsi="Times New Roman" w:cs="Times New Roman"/>
              </w:rPr>
              <w:t>欠清晰合理，阐述不详实，不符合实际，操作性不强</w:t>
            </w:r>
            <w:r>
              <w:rPr>
                <w:rFonts w:hint="eastAsia" w:ascii="Times New Roman" w:hAnsi="Times New Roman" w:cs="Times New Roman"/>
                <w:lang w:val="en-US" w:eastAsia="en-US"/>
              </w:rPr>
              <w:t>是指项目名称不符、未贴合</w:t>
            </w:r>
            <w:r>
              <w:rPr>
                <w:rFonts w:hint="eastAsia" w:ascii="Times New Roman" w:hAnsi="Times New Roman" w:cs="Times New Roman"/>
                <w:lang w:val="en-US" w:eastAsia="zh-CN"/>
              </w:rPr>
              <w:t>采</w:t>
            </w:r>
            <w:r>
              <w:rPr>
                <w:rFonts w:hint="eastAsia" w:ascii="Times New Roman" w:hAnsi="Times New Roman" w:cs="Times New Roman"/>
                <w:lang w:val="en-US" w:eastAsia="en-US"/>
              </w:rPr>
              <w:t>购需求、方案内容与项目需求不一致或没有关联性、涉及的技术规范标准等与国家标准或行业标准或</w:t>
            </w:r>
            <w:r>
              <w:rPr>
                <w:rFonts w:hint="eastAsia" w:ascii="Times New Roman" w:hAnsi="Times New Roman" w:cs="Times New Roman"/>
                <w:lang w:val="en-US" w:eastAsia="zh-CN"/>
              </w:rPr>
              <w:t>与</w:t>
            </w:r>
            <w:r>
              <w:rPr>
                <w:rFonts w:hint="eastAsia" w:ascii="Times New Roman" w:hAnsi="Times New Roman" w:cs="Times New Roman"/>
                <w:lang w:val="en-US" w:eastAsia="en-US"/>
              </w:rPr>
              <w:t>采购文件要求不一致，相关评审具体实施方案内容与实际实施时存在差异性，计划安排无条理性、方案内容空洞、语义表述不清，存在歧义、逻辑混乱、有错别字，内容不完善前后矛盾、表述错误</w:t>
            </w:r>
            <w:r>
              <w:rPr>
                <w:rFonts w:hint="eastAsia" w:ascii="Times New Roman" w:hAnsi="Times New Roman" w:cs="Times New Roman"/>
                <w:lang w:val="en-US" w:eastAsia="zh-CN"/>
              </w:rPr>
              <w:t>等</w:t>
            </w:r>
            <w:r>
              <w:rPr>
                <w:rFonts w:hint="eastAsia" w:ascii="Times New Roman" w:hAnsi="Times New Roman" w:cs="Times New Roman"/>
                <w:lang w:val="en-US" w:eastAsia="en-US"/>
              </w:rPr>
              <w:t>。</w:t>
            </w:r>
          </w:p>
        </w:tc>
      </w:tr>
      <w:tr w14:paraId="4396E7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489" w:hRule="atLeast"/>
        </w:trPr>
        <w:tc>
          <w:tcPr>
            <w:tcW w:w="1254" w:type="dxa"/>
            <w:vMerge w:val="continue"/>
            <w:tcBorders>
              <w:left w:val="single" w:color="000000" w:sz="8" w:space="0"/>
              <w:right w:val="single" w:color="000000" w:sz="8" w:space="0"/>
            </w:tcBorders>
            <w:vAlign w:val="center"/>
          </w:tcPr>
          <w:p w14:paraId="033F6095">
            <w:pPr>
              <w:widowControl/>
              <w:spacing w:line="360" w:lineRule="auto"/>
              <w:jc w:val="left"/>
              <w:rPr>
                <w:rFonts w:hint="eastAsia" w:ascii="宋体" w:hAnsi="宋体" w:eastAsia="宋体" w:cs="宋体"/>
                <w:b/>
                <w:color w:val="auto"/>
                <w:highlight w:val="none"/>
              </w:rPr>
            </w:pPr>
          </w:p>
        </w:tc>
        <w:tc>
          <w:tcPr>
            <w:tcW w:w="1545" w:type="dxa"/>
            <w:tcBorders>
              <w:top w:val="single" w:color="000000" w:sz="8" w:space="0"/>
              <w:left w:val="nil"/>
              <w:bottom w:val="single" w:color="auto" w:sz="4" w:space="0"/>
              <w:right w:val="single" w:color="000000" w:sz="8" w:space="0"/>
            </w:tcBorders>
            <w:vAlign w:val="center"/>
          </w:tcPr>
          <w:p w14:paraId="72FB904F">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安全管理</w:t>
            </w:r>
            <w:r>
              <w:rPr>
                <w:rFonts w:hint="eastAsia" w:ascii="宋体" w:hAnsi="宋体" w:eastAsia="宋体" w:cs="宋体"/>
                <w:color w:val="auto"/>
                <w:sz w:val="22"/>
                <w:szCs w:val="22"/>
                <w:highlight w:val="none"/>
              </w:rPr>
              <w:t>体系</w:t>
            </w:r>
            <w:r>
              <w:rPr>
                <w:rFonts w:hint="eastAsia" w:ascii="宋体" w:hAnsi="宋体" w:eastAsia="宋体" w:cs="宋体"/>
                <w:bCs/>
                <w:color w:val="auto"/>
                <w:sz w:val="21"/>
                <w:szCs w:val="21"/>
                <w:highlight w:val="none"/>
              </w:rPr>
              <w:t>措施（</w:t>
            </w:r>
            <w:r>
              <w:rPr>
                <w:rFonts w:hint="eastAsia" w:ascii="宋体" w:hAnsi="宋体" w:cs="宋体"/>
                <w:bCs/>
                <w:color w:val="auto"/>
                <w:sz w:val="21"/>
                <w:szCs w:val="21"/>
                <w:highlight w:val="none"/>
                <w:lang w:val="en-US" w:eastAsia="zh-CN"/>
              </w:rPr>
              <w:t>9</w:t>
            </w:r>
            <w:r>
              <w:rPr>
                <w:rFonts w:hint="eastAsia" w:ascii="宋体" w:hAnsi="宋体" w:eastAsia="宋体" w:cs="宋体"/>
                <w:bCs/>
                <w:color w:val="auto"/>
                <w:sz w:val="21"/>
                <w:szCs w:val="21"/>
                <w:highlight w:val="none"/>
              </w:rPr>
              <w:t>分）</w:t>
            </w:r>
          </w:p>
        </w:tc>
        <w:tc>
          <w:tcPr>
            <w:tcW w:w="6720" w:type="dxa"/>
            <w:tcBorders>
              <w:top w:val="single" w:color="000000" w:sz="8" w:space="0"/>
              <w:left w:val="nil"/>
              <w:bottom w:val="single" w:color="000000" w:sz="8" w:space="0"/>
              <w:right w:val="single" w:color="000000" w:sz="8" w:space="0"/>
            </w:tcBorders>
          </w:tcPr>
          <w:p w14:paraId="3A76ECDE">
            <w:pPr>
              <w:jc w:val="left"/>
              <w:rPr>
                <w:rFonts w:hint="eastAsia" w:ascii="Times New Roman" w:hAnsi="Times New Roman" w:cs="Times New Roman"/>
              </w:rPr>
            </w:pPr>
            <w:r>
              <w:rPr>
                <w:rFonts w:hint="eastAsia"/>
              </w:rPr>
              <w:t>供应商根据本项目施工内容及要求，提供详细的安全施工管理目标方案,包括①安全管理目标和制度；②现场施工安全防范措施；③安全应急预案措施。以上内容符合实际，阐述详实，</w:t>
            </w:r>
            <w:r>
              <w:rPr>
                <w:rFonts w:hint="eastAsia"/>
                <w:lang w:val="en-US"/>
              </w:rPr>
              <w:t>可操作性强方案科学合理、针对性强、技术先进、满足本项目要求</w:t>
            </w:r>
            <w:r>
              <w:rPr>
                <w:rFonts w:hint="eastAsia"/>
              </w:rPr>
              <w:t>每分项计</w:t>
            </w:r>
            <w:r>
              <w:rPr>
                <w:rFonts w:hint="eastAsia"/>
                <w:lang w:val="en-US" w:eastAsia="zh-CN"/>
              </w:rPr>
              <w:t>3</w:t>
            </w:r>
            <w:r>
              <w:rPr>
                <w:rFonts w:hint="eastAsia"/>
              </w:rPr>
              <w:t>分，合计</w:t>
            </w:r>
            <w:r>
              <w:rPr>
                <w:rFonts w:hint="eastAsia"/>
                <w:lang w:val="en-US" w:eastAsia="zh-CN"/>
              </w:rPr>
              <w:t>9</w:t>
            </w:r>
            <w:r>
              <w:rPr>
                <w:rFonts w:hint="eastAsia"/>
              </w:rPr>
              <w:t>分；内容欠清晰合理，阐述不详实，不符合实际，操作性不强的每项扣</w:t>
            </w:r>
            <w:r>
              <w:rPr>
                <w:rFonts w:hint="eastAsia"/>
                <w:lang w:val="en-US" w:eastAsia="zh-CN"/>
              </w:rPr>
              <w:t>1</w:t>
            </w:r>
            <w:r>
              <w:rPr>
                <w:rFonts w:hint="eastAsia"/>
              </w:rPr>
              <w:t>分；缺项每项扣</w:t>
            </w:r>
            <w:r>
              <w:rPr>
                <w:rFonts w:hint="eastAsia"/>
                <w:lang w:val="en-US" w:eastAsia="zh-CN"/>
              </w:rPr>
              <w:t>3</w:t>
            </w:r>
            <w:r>
              <w:rPr>
                <w:rFonts w:hint="eastAsia" w:ascii="Times New Roman" w:hAnsi="Times New Roman" w:cs="Times New Roman"/>
              </w:rPr>
              <w:t>分，扣完为止。未提供安全管理措施的不得分。</w:t>
            </w:r>
          </w:p>
          <w:p w14:paraId="24D71EB9">
            <w:pPr>
              <w:jc w:val="left"/>
              <w:rPr>
                <w:rFonts w:hint="eastAsia"/>
              </w:rPr>
            </w:pPr>
            <w:r>
              <w:rPr>
                <w:rFonts w:hint="eastAsia" w:ascii="Times New Roman" w:hAnsi="Times New Roman" w:cs="Times New Roman"/>
                <w:lang w:val="en-US" w:eastAsia="zh-CN"/>
              </w:rPr>
              <w:t>注：</w:t>
            </w:r>
            <w:r>
              <w:rPr>
                <w:rFonts w:hint="eastAsia" w:ascii="Times New Roman" w:hAnsi="Times New Roman" w:cs="Times New Roman"/>
                <w:lang w:val="en-US" w:eastAsia="en-US"/>
              </w:rPr>
              <w:t>1、方案</w:t>
            </w:r>
            <w:r>
              <w:rPr>
                <w:rFonts w:hint="eastAsia" w:ascii="Times New Roman" w:hAnsi="Times New Roman" w:cs="Times New Roman"/>
                <w:lang w:val="en-US" w:eastAsia="zh-CN"/>
              </w:rPr>
              <w:t>欠清晰合理，阐述不详实，不符合实际，操作性不强</w:t>
            </w:r>
            <w:r>
              <w:rPr>
                <w:rFonts w:hint="eastAsia" w:ascii="Times New Roman" w:hAnsi="Times New Roman" w:cs="Times New Roman"/>
                <w:lang w:val="en-US" w:eastAsia="en-US"/>
              </w:rPr>
              <w:t>是指项目名称不符、未贴合</w:t>
            </w:r>
            <w:r>
              <w:rPr>
                <w:rFonts w:hint="eastAsia" w:ascii="Times New Roman" w:hAnsi="Times New Roman" w:cs="Times New Roman"/>
                <w:lang w:val="en-US" w:eastAsia="zh-CN"/>
              </w:rPr>
              <w:t>采</w:t>
            </w:r>
            <w:r>
              <w:rPr>
                <w:rFonts w:hint="eastAsia" w:ascii="Times New Roman" w:hAnsi="Times New Roman" w:cs="Times New Roman"/>
                <w:lang w:val="en-US" w:eastAsia="en-US"/>
              </w:rPr>
              <w:t>购需求、方案内容与项目需求不一致或没有关联性、涉及的技术规范标准等与国家标准或行业标准或</w:t>
            </w:r>
            <w:r>
              <w:rPr>
                <w:rFonts w:hint="eastAsia" w:ascii="Times New Roman" w:hAnsi="Times New Roman" w:cs="Times New Roman"/>
                <w:lang w:val="en-US" w:eastAsia="zh-CN"/>
              </w:rPr>
              <w:t>与</w:t>
            </w:r>
            <w:r>
              <w:rPr>
                <w:rFonts w:hint="eastAsia" w:ascii="Times New Roman" w:hAnsi="Times New Roman" w:cs="Times New Roman"/>
                <w:lang w:val="en-US" w:eastAsia="en-US"/>
              </w:rPr>
              <w:t>采购文件要求不一致，相关评审具体实施方案内容与实际实施时存在差异性，计划安排无条理性、方案内容空洞、语义表述不清，存在歧义、逻辑混乱、有错别字，内容不完善前后矛盾、表述错误</w:t>
            </w:r>
            <w:r>
              <w:rPr>
                <w:rFonts w:hint="eastAsia" w:ascii="Times New Roman" w:hAnsi="Times New Roman" w:cs="Times New Roman"/>
                <w:lang w:val="en-US" w:eastAsia="zh-CN"/>
              </w:rPr>
              <w:t>等</w:t>
            </w:r>
            <w:r>
              <w:rPr>
                <w:rFonts w:hint="eastAsia" w:ascii="Times New Roman" w:hAnsi="Times New Roman" w:cs="Times New Roman"/>
                <w:lang w:val="en-US" w:eastAsia="en-US"/>
              </w:rPr>
              <w:t>。</w:t>
            </w:r>
          </w:p>
        </w:tc>
      </w:tr>
      <w:tr w14:paraId="08FAEF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64" w:hRule="atLeast"/>
        </w:trPr>
        <w:tc>
          <w:tcPr>
            <w:tcW w:w="1254" w:type="dxa"/>
            <w:vMerge w:val="continue"/>
            <w:tcBorders>
              <w:left w:val="single" w:color="000000" w:sz="8" w:space="0"/>
              <w:right w:val="single" w:color="000000" w:sz="8" w:space="0"/>
            </w:tcBorders>
            <w:vAlign w:val="center"/>
          </w:tcPr>
          <w:p w14:paraId="41B8F917">
            <w:pPr>
              <w:widowControl/>
              <w:spacing w:line="360" w:lineRule="auto"/>
              <w:jc w:val="left"/>
              <w:rPr>
                <w:rFonts w:hint="eastAsia" w:ascii="宋体" w:hAnsi="宋体" w:eastAsia="宋体" w:cs="宋体"/>
                <w:b/>
                <w:color w:val="auto"/>
                <w:highlight w:val="none"/>
              </w:rPr>
            </w:pPr>
          </w:p>
        </w:tc>
        <w:tc>
          <w:tcPr>
            <w:tcW w:w="1545" w:type="dxa"/>
            <w:tcBorders>
              <w:top w:val="single" w:color="auto" w:sz="4" w:space="0"/>
              <w:left w:val="nil"/>
              <w:bottom w:val="single" w:color="000000" w:sz="8" w:space="0"/>
              <w:right w:val="single" w:color="000000" w:sz="8" w:space="0"/>
            </w:tcBorders>
            <w:vAlign w:val="center"/>
          </w:tcPr>
          <w:p w14:paraId="757FE31D">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环境保护措施</w:t>
            </w:r>
          </w:p>
          <w:p w14:paraId="14741A06">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分）</w:t>
            </w:r>
          </w:p>
        </w:tc>
        <w:tc>
          <w:tcPr>
            <w:tcW w:w="6720" w:type="dxa"/>
            <w:tcBorders>
              <w:top w:val="single" w:color="000000" w:sz="8" w:space="0"/>
              <w:left w:val="nil"/>
              <w:bottom w:val="single" w:color="000000" w:sz="8" w:space="0"/>
              <w:right w:val="single" w:color="000000" w:sz="8" w:space="0"/>
            </w:tcBorders>
            <w:vAlign w:val="top"/>
          </w:tcPr>
          <w:p w14:paraId="016B15D1">
            <w:pPr>
              <w:jc w:val="left"/>
              <w:rPr>
                <w:rFonts w:hint="eastAsia" w:ascii="Times New Roman" w:hAnsi="Times New Roman" w:cs="Times New Roman"/>
              </w:rPr>
            </w:pPr>
            <w:r>
              <w:rPr>
                <w:rFonts w:hint="eastAsia"/>
              </w:rPr>
              <w:t>供应商根据本项目施工内容及要求，提供详细的项目环境保护管理，包括①项目环境保护管理目标和制度；②环境保障措施。以上内容符合实际，阐述详实，</w:t>
            </w:r>
            <w:r>
              <w:rPr>
                <w:rFonts w:hint="eastAsia"/>
                <w:lang w:val="en-US"/>
              </w:rPr>
              <w:t>可操作性强方案科学合理、针对性强、技术先进、满足本项目要求</w:t>
            </w:r>
            <w:r>
              <w:rPr>
                <w:rFonts w:hint="eastAsia"/>
              </w:rPr>
              <w:t>每分项计</w:t>
            </w:r>
            <w:r>
              <w:rPr>
                <w:rFonts w:hint="eastAsia"/>
                <w:lang w:val="en-US" w:eastAsia="zh-CN"/>
              </w:rPr>
              <w:t>3.5</w:t>
            </w:r>
            <w:r>
              <w:rPr>
                <w:rFonts w:hint="eastAsia"/>
              </w:rPr>
              <w:t>分，合计</w:t>
            </w:r>
            <w:r>
              <w:rPr>
                <w:rFonts w:hint="eastAsia"/>
                <w:lang w:val="en-US" w:eastAsia="zh-CN"/>
              </w:rPr>
              <w:t>7</w:t>
            </w:r>
            <w:r>
              <w:rPr>
                <w:rFonts w:hint="eastAsia"/>
              </w:rPr>
              <w:t>分；内容欠清晰合理，阐述不详实，不符合实际，操作性不强的每项扣</w:t>
            </w:r>
            <w:r>
              <w:rPr>
                <w:rFonts w:hint="eastAsia"/>
                <w:lang w:val="en-US" w:eastAsia="zh-CN"/>
              </w:rPr>
              <w:t>1</w:t>
            </w:r>
            <w:r>
              <w:rPr>
                <w:rFonts w:hint="eastAsia"/>
              </w:rPr>
              <w:t>分；缺项每项扣</w:t>
            </w:r>
            <w:r>
              <w:rPr>
                <w:rFonts w:hint="eastAsia"/>
                <w:lang w:val="en-US" w:eastAsia="zh-CN"/>
              </w:rPr>
              <w:t>3.5</w:t>
            </w:r>
            <w:r>
              <w:rPr>
                <w:rFonts w:hint="eastAsia"/>
              </w:rPr>
              <w:t>分，扣完为止。未提环境</w:t>
            </w:r>
            <w:r>
              <w:rPr>
                <w:rFonts w:hint="eastAsia" w:ascii="Times New Roman" w:hAnsi="Times New Roman" w:cs="Times New Roman"/>
              </w:rPr>
              <w:t>保护措施的不得分。</w:t>
            </w:r>
          </w:p>
          <w:p w14:paraId="4C0E181F">
            <w:pPr>
              <w:jc w:val="left"/>
              <w:rPr>
                <w:rFonts w:hint="eastAsia"/>
              </w:rPr>
            </w:pPr>
            <w:r>
              <w:rPr>
                <w:rFonts w:hint="eastAsia" w:ascii="Times New Roman" w:hAnsi="Times New Roman" w:cs="Times New Roman"/>
                <w:lang w:val="en-US" w:eastAsia="zh-CN"/>
              </w:rPr>
              <w:t>注：</w:t>
            </w:r>
            <w:r>
              <w:rPr>
                <w:rFonts w:hint="eastAsia" w:ascii="Times New Roman" w:hAnsi="Times New Roman" w:cs="Times New Roman"/>
                <w:lang w:val="en-US" w:eastAsia="en-US"/>
              </w:rPr>
              <w:t>1、方案</w:t>
            </w:r>
            <w:r>
              <w:rPr>
                <w:rFonts w:hint="eastAsia" w:ascii="Times New Roman" w:hAnsi="Times New Roman" w:cs="Times New Roman"/>
                <w:lang w:val="en-US" w:eastAsia="zh-CN"/>
              </w:rPr>
              <w:t>欠清晰合理，阐述不详实，不符合实际，操作性不强</w:t>
            </w:r>
            <w:r>
              <w:rPr>
                <w:rFonts w:hint="eastAsia" w:ascii="Times New Roman" w:hAnsi="Times New Roman" w:cs="Times New Roman"/>
                <w:lang w:val="en-US" w:eastAsia="en-US"/>
              </w:rPr>
              <w:t>是指项目名称不符、未贴合</w:t>
            </w:r>
            <w:r>
              <w:rPr>
                <w:rFonts w:hint="eastAsia" w:ascii="Times New Roman" w:hAnsi="Times New Roman" w:cs="Times New Roman"/>
                <w:lang w:val="en-US" w:eastAsia="zh-CN"/>
              </w:rPr>
              <w:t>采</w:t>
            </w:r>
            <w:r>
              <w:rPr>
                <w:rFonts w:hint="eastAsia" w:ascii="Times New Roman" w:hAnsi="Times New Roman" w:cs="Times New Roman"/>
                <w:lang w:val="en-US" w:eastAsia="en-US"/>
              </w:rPr>
              <w:t>购需求、方案内容与项目需求不一致或没有关联性、涉及的技术规范标准等与国家标准或行业标准或</w:t>
            </w:r>
            <w:r>
              <w:rPr>
                <w:rFonts w:hint="eastAsia" w:ascii="Times New Roman" w:hAnsi="Times New Roman" w:cs="Times New Roman"/>
                <w:lang w:val="en-US" w:eastAsia="zh-CN"/>
              </w:rPr>
              <w:t>与</w:t>
            </w:r>
            <w:r>
              <w:rPr>
                <w:rFonts w:hint="eastAsia" w:ascii="Times New Roman" w:hAnsi="Times New Roman" w:cs="Times New Roman"/>
                <w:lang w:val="en-US" w:eastAsia="en-US"/>
              </w:rPr>
              <w:t>采购文件要求不一致，相关评审具体实施方案内容与实际实施时存在差异性，计划安排无条理性、方案内容空洞、语义表述不清，存在歧义、逻辑混乱、有错别字，内容不完善前后矛盾、表述错误</w:t>
            </w:r>
            <w:r>
              <w:rPr>
                <w:rFonts w:hint="eastAsia" w:ascii="Times New Roman" w:hAnsi="Times New Roman" w:cs="Times New Roman"/>
                <w:lang w:val="en-US" w:eastAsia="zh-CN"/>
              </w:rPr>
              <w:t>等</w:t>
            </w:r>
            <w:r>
              <w:rPr>
                <w:rFonts w:hint="eastAsia" w:ascii="Times New Roman" w:hAnsi="Times New Roman" w:cs="Times New Roman"/>
                <w:lang w:val="en-US" w:eastAsia="en-US"/>
              </w:rPr>
              <w:t>。</w:t>
            </w:r>
          </w:p>
        </w:tc>
      </w:tr>
      <w:tr w14:paraId="39F259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64" w:hRule="atLeast"/>
        </w:trPr>
        <w:tc>
          <w:tcPr>
            <w:tcW w:w="1254" w:type="dxa"/>
            <w:vMerge w:val="continue"/>
            <w:tcBorders>
              <w:left w:val="single" w:color="000000" w:sz="8" w:space="0"/>
              <w:right w:val="single" w:color="000000" w:sz="8" w:space="0"/>
            </w:tcBorders>
            <w:vAlign w:val="center"/>
          </w:tcPr>
          <w:p w14:paraId="700968C2">
            <w:pPr>
              <w:widowControl/>
              <w:spacing w:line="360" w:lineRule="auto"/>
              <w:jc w:val="left"/>
              <w:rPr>
                <w:rFonts w:hint="eastAsia" w:ascii="宋体" w:hAnsi="宋体" w:eastAsia="宋体" w:cs="宋体"/>
                <w:b/>
                <w:color w:val="auto"/>
                <w:highlight w:val="none"/>
              </w:rPr>
            </w:pPr>
          </w:p>
        </w:tc>
        <w:tc>
          <w:tcPr>
            <w:tcW w:w="1545" w:type="dxa"/>
            <w:tcBorders>
              <w:top w:val="single" w:color="000000" w:sz="8" w:space="0"/>
              <w:left w:val="nil"/>
              <w:bottom w:val="single" w:color="000000" w:sz="8" w:space="0"/>
              <w:right w:val="single" w:color="000000" w:sz="8" w:space="0"/>
            </w:tcBorders>
            <w:vAlign w:val="center"/>
          </w:tcPr>
          <w:p w14:paraId="23B1B979">
            <w:pPr>
              <w:pStyle w:val="37"/>
              <w:spacing w:before="43"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资源配备计划</w:t>
            </w:r>
          </w:p>
          <w:p w14:paraId="55A8B596">
            <w:pPr>
              <w:pStyle w:val="37"/>
              <w:spacing w:before="43" w:line="360" w:lineRule="auto"/>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分）</w:t>
            </w:r>
          </w:p>
        </w:tc>
        <w:tc>
          <w:tcPr>
            <w:tcW w:w="6720" w:type="dxa"/>
            <w:tcBorders>
              <w:top w:val="single" w:color="000000" w:sz="8" w:space="0"/>
              <w:left w:val="nil"/>
              <w:bottom w:val="single" w:color="000000" w:sz="8" w:space="0"/>
              <w:right w:val="single" w:color="000000" w:sz="8" w:space="0"/>
            </w:tcBorders>
            <w:vAlign w:val="top"/>
          </w:tcPr>
          <w:p w14:paraId="17ACAFD2">
            <w:pPr>
              <w:jc w:val="left"/>
              <w:rPr>
                <w:rFonts w:hint="eastAsia" w:ascii="Times New Roman" w:hAnsi="Times New Roman" w:cs="Times New Roman"/>
              </w:rPr>
            </w:pPr>
            <w:r>
              <w:rPr>
                <w:rFonts w:hint="eastAsia"/>
              </w:rPr>
              <w:t>供应商根据本项目施工内容及要求，提供详细的资源配置方案，包括①设备配置；②人员配置。以上内容符合实际，阐述详实，</w:t>
            </w:r>
            <w:r>
              <w:rPr>
                <w:rFonts w:hint="eastAsia"/>
                <w:lang w:val="en-US"/>
              </w:rPr>
              <w:t>可操作性强方案科学合理、针对性强、技术先进、满足本项目要求</w:t>
            </w:r>
            <w:r>
              <w:rPr>
                <w:rFonts w:hint="eastAsia"/>
              </w:rPr>
              <w:t>每分项计</w:t>
            </w:r>
            <w:r>
              <w:rPr>
                <w:rFonts w:hint="eastAsia"/>
                <w:lang w:val="en-US" w:eastAsia="zh-CN"/>
              </w:rPr>
              <w:t>3.5</w:t>
            </w:r>
            <w:r>
              <w:rPr>
                <w:rFonts w:hint="eastAsia"/>
              </w:rPr>
              <w:t>分，合计</w:t>
            </w:r>
            <w:r>
              <w:rPr>
                <w:rFonts w:hint="eastAsia"/>
                <w:lang w:val="en-US" w:eastAsia="zh-CN"/>
              </w:rPr>
              <w:t>7</w:t>
            </w:r>
            <w:r>
              <w:rPr>
                <w:rFonts w:hint="eastAsia"/>
              </w:rPr>
              <w:t>分；内容欠清晰合理，阐述不详实，不符合实际，操作性不强的每项扣</w:t>
            </w:r>
            <w:r>
              <w:rPr>
                <w:rFonts w:hint="eastAsia"/>
                <w:lang w:val="en-US" w:eastAsia="zh-CN"/>
              </w:rPr>
              <w:t>1</w:t>
            </w:r>
            <w:r>
              <w:rPr>
                <w:rFonts w:hint="eastAsia" w:ascii="Times New Roman" w:hAnsi="Times New Roman" w:cs="Times New Roman"/>
              </w:rPr>
              <w:t>分；缺项每项扣</w:t>
            </w:r>
            <w:r>
              <w:rPr>
                <w:rFonts w:hint="eastAsia" w:ascii="Times New Roman" w:hAnsi="Times New Roman" w:cs="Times New Roman"/>
                <w:lang w:val="en-US" w:eastAsia="zh-CN"/>
              </w:rPr>
              <w:t>3.5</w:t>
            </w:r>
            <w:r>
              <w:rPr>
                <w:rFonts w:hint="eastAsia" w:ascii="Times New Roman" w:hAnsi="Times New Roman" w:cs="Times New Roman"/>
              </w:rPr>
              <w:t>分，扣完为止。未提供资源配备计划的不得分。</w:t>
            </w:r>
          </w:p>
          <w:p w14:paraId="2770A6D4">
            <w:pPr>
              <w:jc w:val="left"/>
              <w:rPr>
                <w:rFonts w:hint="eastAsia"/>
                <w:lang w:val="en-US" w:eastAsia="zh-CN"/>
              </w:rPr>
            </w:pPr>
            <w:r>
              <w:rPr>
                <w:rFonts w:hint="eastAsia" w:ascii="Times New Roman" w:hAnsi="Times New Roman" w:cs="Times New Roman"/>
                <w:lang w:val="en-US" w:eastAsia="zh-CN"/>
              </w:rPr>
              <w:t>注：</w:t>
            </w:r>
            <w:r>
              <w:rPr>
                <w:rFonts w:hint="eastAsia" w:ascii="Times New Roman" w:hAnsi="Times New Roman" w:cs="Times New Roman"/>
                <w:lang w:val="en-US" w:eastAsia="en-US"/>
              </w:rPr>
              <w:t>1、方案</w:t>
            </w:r>
            <w:r>
              <w:rPr>
                <w:rFonts w:hint="eastAsia" w:ascii="Times New Roman" w:hAnsi="Times New Roman" w:cs="Times New Roman"/>
                <w:lang w:val="en-US" w:eastAsia="zh-CN"/>
              </w:rPr>
              <w:t>欠清晰合理，阐述不详实，不符合实际，操作性不强</w:t>
            </w:r>
            <w:r>
              <w:rPr>
                <w:rFonts w:hint="eastAsia" w:ascii="Times New Roman" w:hAnsi="Times New Roman" w:cs="Times New Roman"/>
                <w:lang w:val="en-US" w:eastAsia="en-US"/>
              </w:rPr>
              <w:t>是指项目名称不符、未贴合</w:t>
            </w:r>
            <w:r>
              <w:rPr>
                <w:rFonts w:hint="eastAsia" w:ascii="Times New Roman" w:hAnsi="Times New Roman" w:cs="Times New Roman"/>
                <w:lang w:val="en-US" w:eastAsia="zh-CN"/>
              </w:rPr>
              <w:t>采</w:t>
            </w:r>
            <w:r>
              <w:rPr>
                <w:rFonts w:hint="eastAsia" w:ascii="Times New Roman" w:hAnsi="Times New Roman" w:cs="Times New Roman"/>
                <w:lang w:val="en-US" w:eastAsia="en-US"/>
              </w:rPr>
              <w:t>购需求、方案内容与项目需求不一致或没有关联性、涉及的技术规范标准等与国家标准或行业标准或</w:t>
            </w:r>
            <w:r>
              <w:rPr>
                <w:rFonts w:hint="eastAsia" w:ascii="Times New Roman" w:hAnsi="Times New Roman" w:cs="Times New Roman"/>
                <w:lang w:val="en-US" w:eastAsia="zh-CN"/>
              </w:rPr>
              <w:t>与</w:t>
            </w:r>
            <w:r>
              <w:rPr>
                <w:rFonts w:hint="eastAsia" w:ascii="Times New Roman" w:hAnsi="Times New Roman" w:cs="Times New Roman"/>
                <w:lang w:val="en-US" w:eastAsia="en-US"/>
              </w:rPr>
              <w:t>采购文件要求不一致，相关评审具体实施方案内容与实际实施时存在差异性，计划安排无条理性、方案内容空洞、语义表述不清，存在歧义、逻辑混乱、有错别字，内容不完善前后矛盾、表述错误</w:t>
            </w:r>
            <w:r>
              <w:rPr>
                <w:rFonts w:hint="eastAsia" w:ascii="Times New Roman" w:hAnsi="Times New Roman" w:cs="Times New Roman"/>
                <w:lang w:val="en-US" w:eastAsia="zh-CN"/>
              </w:rPr>
              <w:t>等</w:t>
            </w:r>
            <w:r>
              <w:rPr>
                <w:rFonts w:hint="eastAsia" w:ascii="Times New Roman" w:hAnsi="Times New Roman" w:cs="Times New Roman"/>
                <w:lang w:val="en-US" w:eastAsia="en-US"/>
              </w:rPr>
              <w:t>。</w:t>
            </w:r>
          </w:p>
        </w:tc>
      </w:tr>
    </w:tbl>
    <w:p w14:paraId="15B8DFCA">
      <w:pPr>
        <w:spacing w:line="440" w:lineRule="exact"/>
        <w:rPr>
          <w:rFonts w:hint="eastAsia" w:ascii="宋体" w:hAnsi="宋体" w:eastAsia="宋体" w:cs="宋体"/>
          <w:b/>
          <w:bCs/>
          <w:color w:val="auto"/>
          <w:sz w:val="24"/>
          <w:highlight w:val="none"/>
        </w:rPr>
      </w:pPr>
    </w:p>
    <w:p w14:paraId="48E27384">
      <w:pPr>
        <w:spacing w:line="44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附表3  商务评分表K3（</w:t>
      </w: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rPr>
        <w:t>0分）</w:t>
      </w:r>
    </w:p>
    <w:p w14:paraId="3F582B17">
      <w:pPr>
        <w:spacing w:line="320" w:lineRule="exact"/>
        <w:jc w:val="left"/>
        <w:rPr>
          <w:rFonts w:hint="eastAsia" w:ascii="宋体" w:hAnsi="宋体" w:eastAsia="宋体" w:cs="宋体"/>
          <w:b/>
          <w:bCs/>
          <w:color w:val="auto"/>
          <w:highlight w:val="none"/>
        </w:rPr>
      </w:pPr>
    </w:p>
    <w:p w14:paraId="70A78493">
      <w:pPr>
        <w:spacing w:line="320" w:lineRule="exact"/>
        <w:jc w:val="left"/>
        <w:rPr>
          <w:rFonts w:hint="eastAsia" w:ascii="宋体" w:hAnsi="宋体" w:eastAsia="宋体" w:cs="宋体"/>
          <w:color w:val="auto"/>
          <w:spacing w:val="-2"/>
          <w:highlight w:val="none"/>
        </w:rPr>
      </w:pPr>
      <w:r>
        <w:rPr>
          <w:rFonts w:hint="eastAsia" w:ascii="宋体" w:hAnsi="宋体" w:eastAsia="宋体" w:cs="宋体"/>
          <w:b/>
          <w:bCs/>
          <w:color w:val="auto"/>
          <w:highlight w:val="none"/>
        </w:rPr>
        <w:t>该部分基本分为：</w:t>
      </w:r>
      <w:r>
        <w:rPr>
          <w:rFonts w:hint="eastAsia" w:ascii="宋体" w:hAnsi="宋体" w:cs="宋体"/>
          <w:color w:val="auto"/>
          <w:highlight w:val="none"/>
          <w:lang w:val="en-US" w:eastAsia="zh-CN"/>
        </w:rPr>
        <w:t>2</w:t>
      </w:r>
      <w:r>
        <w:rPr>
          <w:rFonts w:hint="eastAsia" w:ascii="宋体" w:hAnsi="宋体" w:eastAsia="宋体" w:cs="宋体"/>
          <w:color w:val="auto"/>
          <w:highlight w:val="none"/>
        </w:rPr>
        <w:t>0分，</w:t>
      </w:r>
      <w:r>
        <w:rPr>
          <w:rFonts w:hint="eastAsia" w:ascii="宋体" w:hAnsi="宋体" w:eastAsia="宋体" w:cs="宋体"/>
          <w:color w:val="auto"/>
          <w:spacing w:val="-2"/>
          <w:highlight w:val="none"/>
        </w:rPr>
        <w:t>磋商小组根据以下标准</w:t>
      </w:r>
      <w:r>
        <w:rPr>
          <w:rFonts w:hint="eastAsia" w:ascii="宋体" w:hAnsi="宋体" w:eastAsia="宋体" w:cs="宋体"/>
          <w:color w:val="auto"/>
          <w:spacing w:val="-2"/>
          <w:highlight w:val="none"/>
          <w:em w:val="dot"/>
          <w:lang w:eastAsia="zh-CN"/>
        </w:rPr>
        <w:t>集体</w:t>
      </w:r>
      <w:r>
        <w:rPr>
          <w:rFonts w:hint="eastAsia" w:ascii="宋体" w:hAnsi="宋体" w:eastAsia="宋体" w:cs="宋体"/>
          <w:color w:val="auto"/>
          <w:spacing w:val="-2"/>
          <w:highlight w:val="none"/>
        </w:rPr>
        <w:t>对每个有效投标人进行评价、打分。</w:t>
      </w:r>
    </w:p>
    <w:p w14:paraId="01D3A12B">
      <w:pPr>
        <w:spacing w:line="440" w:lineRule="exact"/>
        <w:jc w:val="center"/>
        <w:rPr>
          <w:rFonts w:hint="eastAsia" w:ascii="宋体" w:hAnsi="宋体" w:eastAsia="宋体" w:cs="宋体"/>
          <w:color w:val="auto"/>
          <w:sz w:val="24"/>
          <w:highlight w:val="none"/>
        </w:rPr>
      </w:pPr>
    </w:p>
    <w:tbl>
      <w:tblPr>
        <w:tblStyle w:val="19"/>
        <w:tblW w:w="888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91"/>
        <w:gridCol w:w="1595"/>
        <w:gridCol w:w="6196"/>
      </w:tblGrid>
      <w:tr w14:paraId="370EA9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5" w:hRule="atLeast"/>
          <w:jc w:val="center"/>
        </w:trPr>
        <w:tc>
          <w:tcPr>
            <w:tcW w:w="2686" w:type="dxa"/>
            <w:gridSpan w:val="2"/>
            <w:tcBorders>
              <w:top w:val="single" w:color="auto" w:sz="8" w:space="0"/>
              <w:left w:val="single" w:color="auto" w:sz="8" w:space="0"/>
              <w:bottom w:val="single" w:color="auto" w:sz="8" w:space="0"/>
              <w:right w:val="single" w:color="auto" w:sz="8" w:space="0"/>
            </w:tcBorders>
            <w:vAlign w:val="center"/>
          </w:tcPr>
          <w:p w14:paraId="72220810">
            <w:pPr>
              <w:spacing w:line="240" w:lineRule="exact"/>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评分因素</w:t>
            </w:r>
          </w:p>
        </w:tc>
        <w:tc>
          <w:tcPr>
            <w:tcW w:w="6196" w:type="dxa"/>
            <w:tcBorders>
              <w:top w:val="single" w:color="auto" w:sz="8" w:space="0"/>
              <w:left w:val="single" w:color="auto" w:sz="8" w:space="0"/>
              <w:bottom w:val="single" w:color="auto" w:sz="8" w:space="0"/>
              <w:right w:val="single" w:color="auto" w:sz="8" w:space="0"/>
            </w:tcBorders>
            <w:vAlign w:val="center"/>
          </w:tcPr>
          <w:p w14:paraId="1F116459">
            <w:pPr>
              <w:spacing w:line="360" w:lineRule="auto"/>
              <w:ind w:right="-212"/>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   分   标   准</w:t>
            </w:r>
          </w:p>
        </w:tc>
      </w:tr>
      <w:tr w14:paraId="589770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68" w:hRule="atLeast"/>
          <w:jc w:val="center"/>
        </w:trPr>
        <w:tc>
          <w:tcPr>
            <w:tcW w:w="1091" w:type="dxa"/>
            <w:vMerge w:val="restart"/>
            <w:tcBorders>
              <w:left w:val="single" w:color="auto" w:sz="8" w:space="0"/>
              <w:right w:val="single" w:color="auto" w:sz="8" w:space="0"/>
            </w:tcBorders>
            <w:vAlign w:val="center"/>
          </w:tcPr>
          <w:p w14:paraId="7B54B8A1">
            <w:pPr>
              <w:spacing w:line="360" w:lineRule="auto"/>
              <w:jc w:val="center"/>
              <w:rPr>
                <w:rFonts w:hint="eastAsia" w:ascii="宋体" w:hAnsi="宋体" w:eastAsia="宋体" w:cs="宋体"/>
                <w:b/>
                <w:bCs/>
                <w:color w:val="auto"/>
                <w:highlight w:val="none"/>
              </w:rPr>
            </w:pPr>
          </w:p>
        </w:tc>
        <w:tc>
          <w:tcPr>
            <w:tcW w:w="1595" w:type="dxa"/>
            <w:tcBorders>
              <w:top w:val="single" w:color="auto" w:sz="8" w:space="0"/>
              <w:left w:val="single" w:color="auto" w:sz="8" w:space="0"/>
              <w:bottom w:val="single" w:color="auto" w:sz="8" w:space="0"/>
              <w:right w:val="single" w:color="auto" w:sz="8" w:space="0"/>
            </w:tcBorders>
            <w:vAlign w:val="center"/>
          </w:tcPr>
          <w:p w14:paraId="62A3C8B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类似业绩</w:t>
            </w:r>
          </w:p>
          <w:p w14:paraId="3F59CD4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1</w:t>
            </w:r>
            <w:r>
              <w:rPr>
                <w:rFonts w:hint="eastAsia" w:ascii="宋体" w:hAnsi="宋体" w:cs="宋体"/>
                <w:color w:val="auto"/>
                <w:szCs w:val="21"/>
                <w:highlight w:val="none"/>
                <w:lang w:val="en-US" w:eastAsia="zh-CN"/>
              </w:rPr>
              <w:t>0</w:t>
            </w:r>
            <w:r>
              <w:rPr>
                <w:rFonts w:hint="eastAsia" w:ascii="宋体" w:hAnsi="宋体" w:eastAsia="宋体" w:cs="宋体"/>
                <w:color w:val="auto"/>
                <w:szCs w:val="21"/>
                <w:highlight w:val="none"/>
              </w:rPr>
              <w:t>分）</w:t>
            </w:r>
          </w:p>
        </w:tc>
        <w:tc>
          <w:tcPr>
            <w:tcW w:w="6196" w:type="dxa"/>
            <w:tcBorders>
              <w:top w:val="single" w:color="auto" w:sz="8" w:space="0"/>
              <w:left w:val="single" w:color="auto" w:sz="8" w:space="0"/>
              <w:bottom w:val="single" w:color="auto" w:sz="8" w:space="0"/>
              <w:right w:val="single" w:color="auto" w:sz="8" w:space="0"/>
            </w:tcBorders>
            <w:vAlign w:val="center"/>
          </w:tcPr>
          <w:p w14:paraId="31BE483E">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投标人近三年来（202</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1</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月-202</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1</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月）完成</w:t>
            </w:r>
            <w:r>
              <w:rPr>
                <w:rFonts w:hint="eastAsia" w:ascii="宋体" w:hAnsi="宋体" w:eastAsia="宋体" w:cs="宋体"/>
                <w:color w:val="auto"/>
                <w:highlight w:val="none"/>
              </w:rPr>
              <w:t>类似</w:t>
            </w:r>
            <w:r>
              <w:rPr>
                <w:rFonts w:hint="eastAsia" w:ascii="宋体" w:hAnsi="宋体" w:cs="宋体"/>
                <w:color w:val="auto"/>
                <w:highlight w:val="none"/>
                <w:lang w:val="en-US" w:eastAsia="zh-CN"/>
              </w:rPr>
              <w:t>装修装饰工程</w:t>
            </w:r>
            <w:r>
              <w:rPr>
                <w:rFonts w:hint="eastAsia" w:ascii="宋体" w:hAnsi="宋体" w:eastAsia="宋体" w:cs="宋体"/>
                <w:color w:val="auto"/>
                <w:highlight w:val="none"/>
              </w:rPr>
              <w:t>业绩</w:t>
            </w:r>
            <w:r>
              <w:rPr>
                <w:rFonts w:hint="eastAsia" w:ascii="宋体" w:hAnsi="宋体" w:eastAsia="宋体" w:cs="宋体"/>
                <w:color w:val="auto"/>
                <w:szCs w:val="21"/>
                <w:highlight w:val="none"/>
              </w:rPr>
              <w:t>的每提供1个计</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分，最多计</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p w14:paraId="43C6DA15">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注：提供中标通知书</w:t>
            </w:r>
            <w:r>
              <w:rPr>
                <w:rFonts w:hint="eastAsia" w:ascii="宋体" w:hAnsi="宋体" w:cs="宋体"/>
                <w:color w:val="auto"/>
                <w:szCs w:val="21"/>
                <w:highlight w:val="none"/>
                <w:lang w:val="en-US" w:eastAsia="zh-CN"/>
              </w:rPr>
              <w:t>和</w:t>
            </w:r>
            <w:r>
              <w:rPr>
                <w:rFonts w:hint="eastAsia" w:ascii="宋体" w:hAnsi="宋体" w:eastAsia="宋体" w:cs="宋体"/>
                <w:color w:val="auto"/>
                <w:szCs w:val="21"/>
                <w:highlight w:val="none"/>
              </w:rPr>
              <w:t>合同复印件加盖公章，否则不计分。</w:t>
            </w:r>
          </w:p>
        </w:tc>
      </w:tr>
      <w:tr w14:paraId="5EA399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24" w:hRule="atLeast"/>
          <w:jc w:val="center"/>
        </w:trPr>
        <w:tc>
          <w:tcPr>
            <w:tcW w:w="1091" w:type="dxa"/>
            <w:vMerge w:val="continue"/>
            <w:tcBorders>
              <w:left w:val="single" w:color="auto" w:sz="8" w:space="0"/>
              <w:right w:val="single" w:color="auto" w:sz="8" w:space="0"/>
            </w:tcBorders>
            <w:vAlign w:val="center"/>
          </w:tcPr>
          <w:p w14:paraId="1EAF4958">
            <w:pPr>
              <w:spacing w:line="360" w:lineRule="auto"/>
              <w:jc w:val="center"/>
              <w:rPr>
                <w:rFonts w:hint="eastAsia" w:ascii="宋体" w:hAnsi="宋体" w:eastAsia="宋体" w:cs="宋体"/>
                <w:b/>
                <w:bCs/>
                <w:color w:val="auto"/>
                <w:highlight w:val="none"/>
              </w:rPr>
            </w:pPr>
          </w:p>
        </w:tc>
        <w:tc>
          <w:tcPr>
            <w:tcW w:w="1595" w:type="dxa"/>
            <w:tcBorders>
              <w:top w:val="single" w:color="auto" w:sz="8" w:space="0"/>
              <w:left w:val="single" w:color="auto" w:sz="8" w:space="0"/>
              <w:bottom w:val="single" w:color="auto" w:sz="8" w:space="0"/>
              <w:right w:val="single" w:color="auto" w:sz="8" w:space="0"/>
            </w:tcBorders>
            <w:vAlign w:val="center"/>
          </w:tcPr>
          <w:p w14:paraId="3D263FB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企业实力（</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6196" w:type="dxa"/>
            <w:tcBorders>
              <w:top w:val="single" w:color="auto" w:sz="8" w:space="0"/>
              <w:left w:val="single" w:color="auto" w:sz="8" w:space="0"/>
              <w:bottom w:val="single" w:color="auto" w:sz="8" w:space="0"/>
              <w:right w:val="single" w:color="auto" w:sz="8" w:space="0"/>
            </w:tcBorders>
            <w:shd w:val="clear" w:color="auto" w:fill="auto"/>
            <w:vAlign w:val="center"/>
          </w:tcPr>
          <w:p w14:paraId="69E5E196">
            <w:pPr>
              <w:pStyle w:val="29"/>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投标人及拟任项目负责人不良行为记录情况，投标人应在响应文件中如实反映其单位及拟任项目负责人不良行为记录，无不良行为记录计</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分，发生一次不良行为记录该项不计分。无不良行为记录的供应商，提交无不良行为记录承诺函即可。一且发现有弄虚作假，取消投标资格或成交资格。</w:t>
            </w:r>
          </w:p>
          <w:p w14:paraId="720C8489">
            <w:pPr>
              <w:pStyle w:val="29"/>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说明:1、企业不良行为记录扣分有效期为 180 天(在本省行政区域内发生不良行为的，以开标时省住房和城乡建设厅已发的文件为准，自公布发文之日起计算)，拟任项目负责人不良行为记录扣分有效期为 720 天(在本省行政区域内发生不良行为的，以开标时省住房和城乡建设厅已发的文件为准，自公布发文之日起计算。</w:t>
            </w:r>
          </w:p>
        </w:tc>
      </w:tr>
    </w:tbl>
    <w:p w14:paraId="72560D19">
      <w:pPr>
        <w:spacing w:line="440" w:lineRule="exact"/>
        <w:jc w:val="center"/>
        <w:rPr>
          <w:rFonts w:hint="eastAsia" w:ascii="宋体" w:hAnsi="宋体" w:eastAsia="宋体" w:cs="宋体"/>
          <w:color w:val="auto"/>
          <w:sz w:val="24"/>
          <w:highlight w:val="none"/>
        </w:rPr>
      </w:pPr>
    </w:p>
    <w:p w14:paraId="39BCC9E9">
      <w:pPr>
        <w:spacing w:line="440" w:lineRule="exact"/>
        <w:jc w:val="cente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rPr>
        <w:br w:type="page"/>
      </w:r>
      <w:r>
        <w:rPr>
          <w:rFonts w:hint="eastAsia" w:ascii="宋体" w:hAnsi="宋体" w:eastAsia="宋体" w:cs="宋体"/>
          <w:b/>
          <w:bCs/>
          <w:color w:val="auto"/>
          <w:sz w:val="24"/>
          <w:highlight w:val="none"/>
        </w:rPr>
        <w:t>附表4  技术标部分得分汇总表</w:t>
      </w:r>
    </w:p>
    <w:tbl>
      <w:tblPr>
        <w:tblStyle w:val="19"/>
        <w:tblW w:w="9015" w:type="dxa"/>
        <w:tblInd w:w="15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95"/>
        <w:gridCol w:w="1644"/>
        <w:gridCol w:w="1645"/>
        <w:gridCol w:w="1644"/>
        <w:gridCol w:w="1987"/>
      </w:tblGrid>
      <w:tr w14:paraId="0279B5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atLeast"/>
        </w:trPr>
        <w:tc>
          <w:tcPr>
            <w:tcW w:w="2095" w:type="dxa"/>
            <w:tcBorders>
              <w:tl2br w:val="single" w:color="auto" w:sz="4" w:space="0"/>
            </w:tcBorders>
          </w:tcPr>
          <w:p w14:paraId="3D4082BE">
            <w:pPr>
              <w:spacing w:line="44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             投标单位</w:t>
            </w:r>
          </w:p>
          <w:p w14:paraId="5F9E7F9A">
            <w:pPr>
              <w:spacing w:line="440" w:lineRule="exact"/>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评委姓名</w:t>
            </w:r>
          </w:p>
        </w:tc>
        <w:tc>
          <w:tcPr>
            <w:tcW w:w="1644" w:type="dxa"/>
            <w:vAlign w:val="center"/>
          </w:tcPr>
          <w:p w14:paraId="51306DA8">
            <w:pPr>
              <w:spacing w:line="4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投标人1</w:t>
            </w:r>
          </w:p>
        </w:tc>
        <w:tc>
          <w:tcPr>
            <w:tcW w:w="1645" w:type="dxa"/>
            <w:vAlign w:val="center"/>
          </w:tcPr>
          <w:p w14:paraId="454251CD">
            <w:pPr>
              <w:spacing w:line="4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投标人2</w:t>
            </w:r>
          </w:p>
        </w:tc>
        <w:tc>
          <w:tcPr>
            <w:tcW w:w="1644" w:type="dxa"/>
            <w:vAlign w:val="center"/>
          </w:tcPr>
          <w:p w14:paraId="6E82264C">
            <w:pPr>
              <w:spacing w:line="4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投标人3</w:t>
            </w:r>
          </w:p>
        </w:tc>
        <w:tc>
          <w:tcPr>
            <w:tcW w:w="1987" w:type="dxa"/>
            <w:vAlign w:val="center"/>
          </w:tcPr>
          <w:p w14:paraId="2C6CB71F">
            <w:pPr>
              <w:spacing w:line="4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706823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095" w:type="dxa"/>
            <w:vAlign w:val="center"/>
          </w:tcPr>
          <w:p w14:paraId="0A116642">
            <w:pPr>
              <w:spacing w:line="440" w:lineRule="exact"/>
              <w:jc w:val="center"/>
              <w:rPr>
                <w:rFonts w:hint="eastAsia" w:ascii="宋体" w:hAnsi="宋体" w:eastAsia="宋体" w:cs="宋体"/>
                <w:bCs/>
                <w:color w:val="auto"/>
                <w:sz w:val="18"/>
                <w:szCs w:val="18"/>
                <w:highlight w:val="none"/>
              </w:rPr>
            </w:pPr>
          </w:p>
        </w:tc>
        <w:tc>
          <w:tcPr>
            <w:tcW w:w="1644" w:type="dxa"/>
            <w:vAlign w:val="center"/>
          </w:tcPr>
          <w:p w14:paraId="12540A29">
            <w:pPr>
              <w:spacing w:line="440" w:lineRule="exact"/>
              <w:jc w:val="center"/>
              <w:rPr>
                <w:rFonts w:hint="eastAsia" w:ascii="宋体" w:hAnsi="宋体" w:eastAsia="宋体" w:cs="宋体"/>
                <w:color w:val="auto"/>
                <w:sz w:val="18"/>
                <w:szCs w:val="18"/>
                <w:highlight w:val="none"/>
              </w:rPr>
            </w:pPr>
          </w:p>
        </w:tc>
        <w:tc>
          <w:tcPr>
            <w:tcW w:w="1645" w:type="dxa"/>
            <w:vAlign w:val="center"/>
          </w:tcPr>
          <w:p w14:paraId="57E34A73">
            <w:pPr>
              <w:spacing w:line="440" w:lineRule="exact"/>
              <w:jc w:val="center"/>
              <w:rPr>
                <w:rFonts w:hint="eastAsia" w:ascii="宋体" w:hAnsi="宋体" w:eastAsia="宋体" w:cs="宋体"/>
                <w:color w:val="auto"/>
                <w:sz w:val="18"/>
                <w:szCs w:val="18"/>
                <w:highlight w:val="none"/>
              </w:rPr>
            </w:pPr>
          </w:p>
        </w:tc>
        <w:tc>
          <w:tcPr>
            <w:tcW w:w="1644" w:type="dxa"/>
            <w:vAlign w:val="center"/>
          </w:tcPr>
          <w:p w14:paraId="7D829C2A">
            <w:pPr>
              <w:spacing w:line="440" w:lineRule="exact"/>
              <w:jc w:val="center"/>
              <w:rPr>
                <w:rFonts w:hint="eastAsia" w:ascii="宋体" w:hAnsi="宋体" w:eastAsia="宋体" w:cs="宋体"/>
                <w:color w:val="auto"/>
                <w:sz w:val="18"/>
                <w:szCs w:val="18"/>
                <w:highlight w:val="none"/>
              </w:rPr>
            </w:pPr>
          </w:p>
        </w:tc>
        <w:tc>
          <w:tcPr>
            <w:tcW w:w="1987" w:type="dxa"/>
            <w:vAlign w:val="center"/>
          </w:tcPr>
          <w:p w14:paraId="21F05294">
            <w:pPr>
              <w:spacing w:line="440" w:lineRule="exact"/>
              <w:jc w:val="center"/>
              <w:rPr>
                <w:rFonts w:hint="eastAsia" w:ascii="宋体" w:hAnsi="宋体" w:eastAsia="宋体" w:cs="宋体"/>
                <w:color w:val="auto"/>
                <w:sz w:val="18"/>
                <w:szCs w:val="18"/>
                <w:highlight w:val="none"/>
              </w:rPr>
            </w:pPr>
          </w:p>
        </w:tc>
      </w:tr>
      <w:tr w14:paraId="2AC365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095" w:type="dxa"/>
            <w:vAlign w:val="center"/>
          </w:tcPr>
          <w:p w14:paraId="39FC09C8">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644" w:type="dxa"/>
            <w:vAlign w:val="center"/>
          </w:tcPr>
          <w:p w14:paraId="1B35036D">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645" w:type="dxa"/>
            <w:vAlign w:val="center"/>
          </w:tcPr>
          <w:p w14:paraId="7AFD5D6E">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644" w:type="dxa"/>
            <w:vAlign w:val="center"/>
          </w:tcPr>
          <w:p w14:paraId="3CD92FF8">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987" w:type="dxa"/>
            <w:vAlign w:val="center"/>
          </w:tcPr>
          <w:p w14:paraId="4FE69B0D">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r w14:paraId="7D772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095" w:type="dxa"/>
            <w:vAlign w:val="center"/>
          </w:tcPr>
          <w:p w14:paraId="2F419E91">
            <w:pPr>
              <w:spacing w:line="4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平均得分</w:t>
            </w:r>
          </w:p>
        </w:tc>
        <w:tc>
          <w:tcPr>
            <w:tcW w:w="1644" w:type="dxa"/>
            <w:vAlign w:val="center"/>
          </w:tcPr>
          <w:p w14:paraId="5B00820F">
            <w:pPr>
              <w:spacing w:line="440" w:lineRule="exact"/>
              <w:jc w:val="center"/>
              <w:rPr>
                <w:rFonts w:hint="eastAsia" w:ascii="宋体" w:hAnsi="宋体" w:eastAsia="宋体" w:cs="宋体"/>
                <w:color w:val="auto"/>
                <w:sz w:val="18"/>
                <w:szCs w:val="18"/>
                <w:highlight w:val="none"/>
              </w:rPr>
            </w:pPr>
          </w:p>
        </w:tc>
        <w:tc>
          <w:tcPr>
            <w:tcW w:w="1645" w:type="dxa"/>
            <w:vAlign w:val="center"/>
          </w:tcPr>
          <w:p w14:paraId="716D17F5">
            <w:pPr>
              <w:spacing w:line="440" w:lineRule="exact"/>
              <w:jc w:val="center"/>
              <w:rPr>
                <w:rFonts w:hint="eastAsia" w:ascii="宋体" w:hAnsi="宋体" w:eastAsia="宋体" w:cs="宋体"/>
                <w:color w:val="auto"/>
                <w:sz w:val="18"/>
                <w:szCs w:val="18"/>
                <w:highlight w:val="none"/>
              </w:rPr>
            </w:pPr>
          </w:p>
        </w:tc>
        <w:tc>
          <w:tcPr>
            <w:tcW w:w="1644" w:type="dxa"/>
            <w:vAlign w:val="center"/>
          </w:tcPr>
          <w:p w14:paraId="4F0563F1">
            <w:pPr>
              <w:spacing w:line="440" w:lineRule="exact"/>
              <w:jc w:val="center"/>
              <w:rPr>
                <w:rFonts w:hint="eastAsia" w:ascii="宋体" w:hAnsi="宋体" w:eastAsia="宋体" w:cs="宋体"/>
                <w:color w:val="auto"/>
                <w:sz w:val="18"/>
                <w:szCs w:val="18"/>
                <w:highlight w:val="none"/>
              </w:rPr>
            </w:pPr>
          </w:p>
        </w:tc>
        <w:tc>
          <w:tcPr>
            <w:tcW w:w="1987" w:type="dxa"/>
            <w:vAlign w:val="center"/>
          </w:tcPr>
          <w:p w14:paraId="7E5801B9">
            <w:pPr>
              <w:spacing w:line="440" w:lineRule="exact"/>
              <w:jc w:val="center"/>
              <w:rPr>
                <w:rFonts w:hint="eastAsia" w:ascii="宋体" w:hAnsi="宋体" w:eastAsia="宋体" w:cs="宋体"/>
                <w:color w:val="auto"/>
                <w:sz w:val="18"/>
                <w:szCs w:val="18"/>
                <w:highlight w:val="none"/>
              </w:rPr>
            </w:pPr>
          </w:p>
        </w:tc>
      </w:tr>
    </w:tbl>
    <w:p w14:paraId="21A0B840">
      <w:pPr>
        <w:adjustRightInd w:val="0"/>
        <w:snapToGrid w:val="0"/>
        <w:spacing w:line="440" w:lineRule="exact"/>
        <w:rPr>
          <w:rFonts w:hint="eastAsia" w:ascii="宋体" w:hAnsi="宋体" w:eastAsia="宋体" w:cs="宋体"/>
          <w:b/>
          <w:color w:val="auto"/>
          <w:sz w:val="24"/>
          <w:highlight w:val="none"/>
        </w:rPr>
      </w:pPr>
      <w:r>
        <w:rPr>
          <w:rFonts w:hint="eastAsia" w:ascii="宋体" w:hAnsi="宋体" w:eastAsia="宋体" w:cs="宋体"/>
          <w:b/>
          <w:bCs/>
          <w:color w:val="auto"/>
          <w:szCs w:val="21"/>
          <w:highlight w:val="none"/>
        </w:rPr>
        <w:t>磋商小组全体签字：                                                评标时间：</w:t>
      </w:r>
    </w:p>
    <w:p w14:paraId="279B2DF9">
      <w:pPr>
        <w:adjustRightInd w:val="0"/>
        <w:snapToGrid w:val="0"/>
        <w:spacing w:line="440" w:lineRule="exact"/>
        <w:rPr>
          <w:rFonts w:hint="eastAsia" w:ascii="宋体" w:hAnsi="宋体" w:eastAsia="宋体" w:cs="宋体"/>
          <w:b/>
          <w:color w:val="auto"/>
          <w:sz w:val="24"/>
          <w:highlight w:val="none"/>
        </w:rPr>
      </w:pPr>
    </w:p>
    <w:p w14:paraId="4646F5B9">
      <w:pPr>
        <w:adjustRightInd w:val="0"/>
        <w:snapToGrid w:val="0"/>
        <w:spacing w:line="440" w:lineRule="exact"/>
        <w:rPr>
          <w:rFonts w:hint="eastAsia" w:ascii="宋体" w:hAnsi="宋体" w:eastAsia="宋体" w:cs="宋体"/>
          <w:b/>
          <w:color w:val="auto"/>
          <w:sz w:val="24"/>
          <w:highlight w:val="none"/>
        </w:rPr>
      </w:pPr>
    </w:p>
    <w:p w14:paraId="5184E1B6">
      <w:pPr>
        <w:ind w:firstLine="120" w:firstLineChars="5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附表5   经评标的投标人得分排序表</w:t>
      </w:r>
    </w:p>
    <w:tbl>
      <w:tblPr>
        <w:tblStyle w:val="19"/>
        <w:tblW w:w="9060" w:type="dxa"/>
        <w:tblInd w:w="13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139"/>
        <w:gridCol w:w="1583"/>
        <w:gridCol w:w="1583"/>
        <w:gridCol w:w="1583"/>
        <w:gridCol w:w="900"/>
        <w:gridCol w:w="1272"/>
      </w:tblGrid>
      <w:tr w14:paraId="65D62F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6" w:hRule="atLeast"/>
        </w:trPr>
        <w:tc>
          <w:tcPr>
            <w:tcW w:w="2139" w:type="dxa"/>
            <w:tcBorders>
              <w:tl2br w:val="single" w:color="auto" w:sz="4" w:space="0"/>
            </w:tcBorders>
            <w:vAlign w:val="center"/>
          </w:tcPr>
          <w:p w14:paraId="3A1C1D87">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           项目得分</w:t>
            </w:r>
          </w:p>
          <w:p w14:paraId="4791A945">
            <w:pPr>
              <w:rPr>
                <w:rFonts w:hint="eastAsia" w:ascii="宋体" w:hAnsi="宋体" w:eastAsia="宋体" w:cs="宋体"/>
                <w:b/>
                <w:bCs/>
                <w:color w:val="auto"/>
                <w:sz w:val="18"/>
                <w:szCs w:val="18"/>
                <w:highlight w:val="none"/>
              </w:rPr>
            </w:pPr>
          </w:p>
          <w:p w14:paraId="20913818">
            <w:pP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投标人</w:t>
            </w:r>
          </w:p>
        </w:tc>
        <w:tc>
          <w:tcPr>
            <w:tcW w:w="1583" w:type="dxa"/>
            <w:vAlign w:val="center"/>
          </w:tcPr>
          <w:p w14:paraId="6BB27E5A">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价格的评分（K1）</w:t>
            </w:r>
          </w:p>
        </w:tc>
        <w:tc>
          <w:tcPr>
            <w:tcW w:w="1583" w:type="dxa"/>
            <w:vAlign w:val="center"/>
          </w:tcPr>
          <w:p w14:paraId="005C9366">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技术的评分（K2）</w:t>
            </w:r>
          </w:p>
        </w:tc>
        <w:tc>
          <w:tcPr>
            <w:tcW w:w="1583" w:type="dxa"/>
            <w:vAlign w:val="center"/>
          </w:tcPr>
          <w:p w14:paraId="3FE3B193">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商务的评分（K3）</w:t>
            </w:r>
          </w:p>
        </w:tc>
        <w:tc>
          <w:tcPr>
            <w:tcW w:w="900" w:type="dxa"/>
            <w:vAlign w:val="center"/>
          </w:tcPr>
          <w:p w14:paraId="6A8234DE">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总分</w:t>
            </w:r>
          </w:p>
        </w:tc>
        <w:tc>
          <w:tcPr>
            <w:tcW w:w="1272" w:type="dxa"/>
            <w:vAlign w:val="center"/>
          </w:tcPr>
          <w:p w14:paraId="43ECE3E1">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排名</w:t>
            </w:r>
          </w:p>
        </w:tc>
      </w:tr>
      <w:tr w14:paraId="3C7DEE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7" w:hRule="atLeast"/>
        </w:trPr>
        <w:tc>
          <w:tcPr>
            <w:tcW w:w="2139" w:type="dxa"/>
            <w:vAlign w:val="center"/>
          </w:tcPr>
          <w:p w14:paraId="5EC6B486">
            <w:pPr>
              <w:jc w:val="center"/>
              <w:rPr>
                <w:rFonts w:hint="eastAsia" w:ascii="宋体" w:hAnsi="宋体" w:eastAsia="宋体" w:cs="宋体"/>
                <w:b/>
                <w:bCs/>
                <w:color w:val="auto"/>
                <w:sz w:val="18"/>
                <w:szCs w:val="18"/>
                <w:highlight w:val="none"/>
              </w:rPr>
            </w:pPr>
          </w:p>
        </w:tc>
        <w:tc>
          <w:tcPr>
            <w:tcW w:w="1583" w:type="dxa"/>
            <w:vAlign w:val="center"/>
          </w:tcPr>
          <w:p w14:paraId="60F28745">
            <w:pPr>
              <w:jc w:val="center"/>
              <w:rPr>
                <w:rFonts w:hint="eastAsia" w:ascii="宋体" w:hAnsi="宋体" w:eastAsia="宋体" w:cs="宋体"/>
                <w:b/>
                <w:bCs/>
                <w:color w:val="auto"/>
                <w:sz w:val="18"/>
                <w:szCs w:val="18"/>
                <w:highlight w:val="none"/>
              </w:rPr>
            </w:pPr>
          </w:p>
        </w:tc>
        <w:tc>
          <w:tcPr>
            <w:tcW w:w="1583" w:type="dxa"/>
            <w:vAlign w:val="center"/>
          </w:tcPr>
          <w:p w14:paraId="6118E249">
            <w:pPr>
              <w:jc w:val="center"/>
              <w:rPr>
                <w:rFonts w:hint="eastAsia" w:ascii="宋体" w:hAnsi="宋体" w:eastAsia="宋体" w:cs="宋体"/>
                <w:b/>
                <w:bCs/>
                <w:color w:val="auto"/>
                <w:sz w:val="18"/>
                <w:szCs w:val="18"/>
                <w:highlight w:val="none"/>
              </w:rPr>
            </w:pPr>
          </w:p>
        </w:tc>
        <w:tc>
          <w:tcPr>
            <w:tcW w:w="1583" w:type="dxa"/>
            <w:vAlign w:val="center"/>
          </w:tcPr>
          <w:p w14:paraId="1639D3A3">
            <w:pPr>
              <w:jc w:val="center"/>
              <w:rPr>
                <w:rFonts w:hint="eastAsia" w:ascii="宋体" w:hAnsi="宋体" w:eastAsia="宋体" w:cs="宋体"/>
                <w:b/>
                <w:bCs/>
                <w:color w:val="auto"/>
                <w:sz w:val="18"/>
                <w:szCs w:val="18"/>
                <w:highlight w:val="none"/>
              </w:rPr>
            </w:pPr>
          </w:p>
        </w:tc>
        <w:tc>
          <w:tcPr>
            <w:tcW w:w="900" w:type="dxa"/>
            <w:vAlign w:val="center"/>
          </w:tcPr>
          <w:p w14:paraId="2B95C9CB">
            <w:pPr>
              <w:jc w:val="center"/>
              <w:rPr>
                <w:rFonts w:hint="eastAsia" w:ascii="宋体" w:hAnsi="宋体" w:eastAsia="宋体" w:cs="宋体"/>
                <w:b/>
                <w:bCs/>
                <w:color w:val="auto"/>
                <w:sz w:val="18"/>
                <w:szCs w:val="18"/>
                <w:highlight w:val="none"/>
              </w:rPr>
            </w:pPr>
          </w:p>
        </w:tc>
        <w:tc>
          <w:tcPr>
            <w:tcW w:w="1272" w:type="dxa"/>
            <w:vAlign w:val="center"/>
          </w:tcPr>
          <w:p w14:paraId="0C7DDE56">
            <w:pPr>
              <w:jc w:val="center"/>
              <w:rPr>
                <w:rFonts w:hint="eastAsia" w:ascii="宋体" w:hAnsi="宋体" w:eastAsia="宋体" w:cs="宋体"/>
                <w:b/>
                <w:bCs/>
                <w:color w:val="auto"/>
                <w:sz w:val="18"/>
                <w:szCs w:val="18"/>
                <w:highlight w:val="none"/>
              </w:rPr>
            </w:pPr>
          </w:p>
        </w:tc>
      </w:tr>
      <w:tr w14:paraId="3F46D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2139" w:type="dxa"/>
            <w:vAlign w:val="center"/>
          </w:tcPr>
          <w:p w14:paraId="7B882B7F">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583" w:type="dxa"/>
            <w:vAlign w:val="center"/>
          </w:tcPr>
          <w:p w14:paraId="06286B91">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583" w:type="dxa"/>
            <w:vAlign w:val="center"/>
          </w:tcPr>
          <w:p w14:paraId="6342E209">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583" w:type="dxa"/>
            <w:vAlign w:val="center"/>
          </w:tcPr>
          <w:p w14:paraId="7CE58DFE">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900" w:type="dxa"/>
            <w:vAlign w:val="center"/>
          </w:tcPr>
          <w:p w14:paraId="4826546E">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c>
          <w:tcPr>
            <w:tcW w:w="1272" w:type="dxa"/>
            <w:vAlign w:val="center"/>
          </w:tcPr>
          <w:p w14:paraId="2C7239AE">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w:t>
            </w:r>
          </w:p>
        </w:tc>
      </w:tr>
    </w:tbl>
    <w:p w14:paraId="2BDDEA7D">
      <w:pPr>
        <w:adjustRightInd w:val="0"/>
        <w:snapToGrid w:val="0"/>
        <w:spacing w:line="440" w:lineRule="exact"/>
        <w:rPr>
          <w:rFonts w:hint="eastAsia" w:ascii="宋体" w:hAnsi="宋体" w:eastAsia="宋体" w:cs="宋体"/>
          <w:b/>
          <w:color w:val="auto"/>
          <w:sz w:val="24"/>
          <w:highlight w:val="none"/>
        </w:rPr>
      </w:pPr>
      <w:r>
        <w:rPr>
          <w:rFonts w:hint="eastAsia" w:ascii="宋体" w:hAnsi="宋体" w:eastAsia="宋体" w:cs="宋体"/>
          <w:b/>
          <w:bCs/>
          <w:color w:val="auto"/>
          <w:szCs w:val="21"/>
          <w:highlight w:val="none"/>
        </w:rPr>
        <w:t>磋商小组全体签字：                                               评标时间：</w:t>
      </w:r>
    </w:p>
    <w:p w14:paraId="071E4F41">
      <w:pPr>
        <w:spacing w:line="500" w:lineRule="exact"/>
        <w:jc w:val="center"/>
        <w:rPr>
          <w:rFonts w:hint="eastAsia" w:ascii="宋体" w:hAnsi="宋体" w:eastAsia="宋体" w:cs="宋体"/>
          <w:b/>
          <w:bCs/>
          <w:color w:val="auto"/>
          <w:sz w:val="24"/>
          <w:highlight w:val="none"/>
        </w:rPr>
      </w:pPr>
    </w:p>
    <w:p w14:paraId="3B728579">
      <w:pPr>
        <w:spacing w:line="500" w:lineRule="exact"/>
        <w:jc w:val="center"/>
        <w:rPr>
          <w:rFonts w:hint="eastAsia" w:ascii="宋体" w:hAnsi="宋体" w:eastAsia="宋体" w:cs="宋体"/>
          <w:b/>
          <w:bCs/>
          <w:color w:val="auto"/>
          <w:sz w:val="24"/>
          <w:highlight w:val="none"/>
        </w:rPr>
      </w:pPr>
    </w:p>
    <w:p w14:paraId="60634BD4">
      <w:pPr>
        <w:spacing w:line="500" w:lineRule="exact"/>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附表6  中标候选人排序表</w:t>
      </w:r>
    </w:p>
    <w:tbl>
      <w:tblPr>
        <w:tblStyle w:val="19"/>
        <w:tblW w:w="9075" w:type="dxa"/>
        <w:tblInd w:w="121"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33"/>
        <w:gridCol w:w="4190"/>
        <w:gridCol w:w="1609"/>
        <w:gridCol w:w="1643"/>
      </w:tblGrid>
      <w:tr w14:paraId="05B07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12" w:space="0"/>
              <w:left w:val="single" w:color="auto" w:sz="12" w:space="0"/>
              <w:bottom w:val="single" w:color="auto" w:sz="6" w:space="0"/>
              <w:right w:val="single" w:color="auto" w:sz="6" w:space="0"/>
            </w:tcBorders>
            <w:vAlign w:val="center"/>
          </w:tcPr>
          <w:p w14:paraId="1F673704">
            <w:pPr>
              <w:spacing w:line="50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排序</w:t>
            </w:r>
          </w:p>
        </w:tc>
        <w:tc>
          <w:tcPr>
            <w:tcW w:w="4190" w:type="dxa"/>
            <w:tcBorders>
              <w:top w:val="single" w:color="auto" w:sz="12" w:space="0"/>
              <w:left w:val="single" w:color="auto" w:sz="6" w:space="0"/>
              <w:bottom w:val="single" w:color="auto" w:sz="6" w:space="0"/>
              <w:right w:val="single" w:color="auto" w:sz="6" w:space="0"/>
            </w:tcBorders>
            <w:vAlign w:val="center"/>
          </w:tcPr>
          <w:p w14:paraId="1AC79CD5">
            <w:pPr>
              <w:spacing w:line="50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中标候选人</w:t>
            </w:r>
          </w:p>
        </w:tc>
        <w:tc>
          <w:tcPr>
            <w:tcW w:w="1609" w:type="dxa"/>
            <w:tcBorders>
              <w:top w:val="single" w:color="auto" w:sz="12" w:space="0"/>
              <w:left w:val="single" w:color="auto" w:sz="6" w:space="0"/>
              <w:bottom w:val="single" w:color="auto" w:sz="6" w:space="0"/>
              <w:right w:val="single" w:color="auto" w:sz="4" w:space="0"/>
            </w:tcBorders>
            <w:vAlign w:val="center"/>
          </w:tcPr>
          <w:p w14:paraId="670A69C1">
            <w:pPr>
              <w:spacing w:line="50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投标报价</w:t>
            </w:r>
          </w:p>
        </w:tc>
        <w:tc>
          <w:tcPr>
            <w:tcW w:w="1643" w:type="dxa"/>
            <w:tcBorders>
              <w:top w:val="single" w:color="auto" w:sz="12" w:space="0"/>
              <w:left w:val="single" w:color="auto" w:sz="4" w:space="0"/>
              <w:bottom w:val="single" w:color="auto" w:sz="6" w:space="0"/>
              <w:right w:val="single" w:color="auto" w:sz="12" w:space="0"/>
            </w:tcBorders>
            <w:vAlign w:val="center"/>
          </w:tcPr>
          <w:p w14:paraId="6AA691A2">
            <w:pPr>
              <w:spacing w:line="50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得分</w:t>
            </w:r>
          </w:p>
        </w:tc>
      </w:tr>
      <w:tr w14:paraId="14E88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6" w:space="0"/>
              <w:left w:val="single" w:color="auto" w:sz="12" w:space="0"/>
              <w:bottom w:val="single" w:color="auto" w:sz="6" w:space="0"/>
              <w:right w:val="single" w:color="auto" w:sz="6" w:space="0"/>
            </w:tcBorders>
            <w:vAlign w:val="center"/>
          </w:tcPr>
          <w:p w14:paraId="31D9F3D4">
            <w:pPr>
              <w:spacing w:line="5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第一名</w:t>
            </w:r>
          </w:p>
        </w:tc>
        <w:tc>
          <w:tcPr>
            <w:tcW w:w="4190" w:type="dxa"/>
            <w:tcBorders>
              <w:top w:val="single" w:color="auto" w:sz="6" w:space="0"/>
              <w:left w:val="single" w:color="auto" w:sz="6" w:space="0"/>
              <w:bottom w:val="single" w:color="auto" w:sz="6" w:space="0"/>
              <w:right w:val="single" w:color="auto" w:sz="6" w:space="0"/>
            </w:tcBorders>
            <w:vAlign w:val="center"/>
          </w:tcPr>
          <w:p w14:paraId="6ADFF9D2">
            <w:pPr>
              <w:spacing w:line="500" w:lineRule="exact"/>
              <w:jc w:val="center"/>
              <w:rPr>
                <w:rFonts w:hint="eastAsia" w:ascii="宋体" w:hAnsi="宋体" w:eastAsia="宋体" w:cs="宋体"/>
                <w:color w:val="auto"/>
                <w:sz w:val="18"/>
                <w:szCs w:val="18"/>
                <w:highlight w:val="none"/>
              </w:rPr>
            </w:pPr>
          </w:p>
        </w:tc>
        <w:tc>
          <w:tcPr>
            <w:tcW w:w="1609" w:type="dxa"/>
            <w:tcBorders>
              <w:top w:val="single" w:color="auto" w:sz="6" w:space="0"/>
              <w:left w:val="single" w:color="auto" w:sz="6" w:space="0"/>
              <w:bottom w:val="single" w:color="auto" w:sz="6" w:space="0"/>
              <w:right w:val="single" w:color="auto" w:sz="4" w:space="0"/>
            </w:tcBorders>
            <w:vAlign w:val="center"/>
          </w:tcPr>
          <w:p w14:paraId="5CCC590B">
            <w:pPr>
              <w:spacing w:line="500" w:lineRule="exact"/>
              <w:jc w:val="center"/>
              <w:rPr>
                <w:rFonts w:hint="eastAsia" w:ascii="宋体" w:hAnsi="宋体" w:eastAsia="宋体" w:cs="宋体"/>
                <w:color w:val="auto"/>
                <w:sz w:val="18"/>
                <w:szCs w:val="18"/>
                <w:highlight w:val="none"/>
              </w:rPr>
            </w:pPr>
          </w:p>
        </w:tc>
        <w:tc>
          <w:tcPr>
            <w:tcW w:w="1643" w:type="dxa"/>
            <w:tcBorders>
              <w:top w:val="single" w:color="auto" w:sz="6" w:space="0"/>
              <w:left w:val="single" w:color="auto" w:sz="4" w:space="0"/>
              <w:bottom w:val="single" w:color="auto" w:sz="6" w:space="0"/>
              <w:right w:val="single" w:color="auto" w:sz="12" w:space="0"/>
            </w:tcBorders>
            <w:vAlign w:val="center"/>
          </w:tcPr>
          <w:p w14:paraId="115204DF">
            <w:pPr>
              <w:spacing w:line="500" w:lineRule="exact"/>
              <w:jc w:val="center"/>
              <w:rPr>
                <w:rFonts w:hint="eastAsia" w:ascii="宋体" w:hAnsi="宋体" w:eastAsia="宋体" w:cs="宋体"/>
                <w:color w:val="auto"/>
                <w:sz w:val="18"/>
                <w:szCs w:val="18"/>
                <w:highlight w:val="none"/>
              </w:rPr>
            </w:pPr>
          </w:p>
        </w:tc>
      </w:tr>
      <w:tr w14:paraId="4933F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6" w:space="0"/>
              <w:left w:val="single" w:color="auto" w:sz="12" w:space="0"/>
              <w:bottom w:val="single" w:color="auto" w:sz="6" w:space="0"/>
              <w:right w:val="single" w:color="auto" w:sz="6" w:space="0"/>
            </w:tcBorders>
            <w:vAlign w:val="center"/>
          </w:tcPr>
          <w:p w14:paraId="597A185E">
            <w:pPr>
              <w:spacing w:line="5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第二名</w:t>
            </w:r>
          </w:p>
        </w:tc>
        <w:tc>
          <w:tcPr>
            <w:tcW w:w="4190" w:type="dxa"/>
            <w:tcBorders>
              <w:top w:val="single" w:color="auto" w:sz="6" w:space="0"/>
              <w:left w:val="single" w:color="auto" w:sz="6" w:space="0"/>
              <w:bottom w:val="single" w:color="auto" w:sz="6" w:space="0"/>
              <w:right w:val="single" w:color="auto" w:sz="6" w:space="0"/>
            </w:tcBorders>
            <w:vAlign w:val="center"/>
          </w:tcPr>
          <w:p w14:paraId="46AF9E73">
            <w:pPr>
              <w:spacing w:line="500" w:lineRule="exact"/>
              <w:jc w:val="center"/>
              <w:rPr>
                <w:rFonts w:hint="eastAsia" w:ascii="宋体" w:hAnsi="宋体" w:eastAsia="宋体" w:cs="宋体"/>
                <w:color w:val="auto"/>
                <w:sz w:val="18"/>
                <w:szCs w:val="18"/>
                <w:highlight w:val="none"/>
              </w:rPr>
            </w:pPr>
          </w:p>
        </w:tc>
        <w:tc>
          <w:tcPr>
            <w:tcW w:w="1609" w:type="dxa"/>
            <w:tcBorders>
              <w:top w:val="single" w:color="auto" w:sz="6" w:space="0"/>
              <w:left w:val="single" w:color="auto" w:sz="6" w:space="0"/>
              <w:bottom w:val="single" w:color="auto" w:sz="6" w:space="0"/>
              <w:right w:val="single" w:color="auto" w:sz="4" w:space="0"/>
            </w:tcBorders>
            <w:vAlign w:val="center"/>
          </w:tcPr>
          <w:p w14:paraId="77468644">
            <w:pPr>
              <w:spacing w:line="500" w:lineRule="exact"/>
              <w:jc w:val="center"/>
              <w:rPr>
                <w:rFonts w:hint="eastAsia" w:ascii="宋体" w:hAnsi="宋体" w:eastAsia="宋体" w:cs="宋体"/>
                <w:color w:val="auto"/>
                <w:sz w:val="18"/>
                <w:szCs w:val="18"/>
                <w:highlight w:val="none"/>
              </w:rPr>
            </w:pPr>
          </w:p>
        </w:tc>
        <w:tc>
          <w:tcPr>
            <w:tcW w:w="1643" w:type="dxa"/>
            <w:tcBorders>
              <w:top w:val="single" w:color="auto" w:sz="6" w:space="0"/>
              <w:left w:val="single" w:color="auto" w:sz="4" w:space="0"/>
              <w:bottom w:val="single" w:color="auto" w:sz="6" w:space="0"/>
              <w:right w:val="single" w:color="auto" w:sz="12" w:space="0"/>
            </w:tcBorders>
            <w:vAlign w:val="center"/>
          </w:tcPr>
          <w:p w14:paraId="196874AB">
            <w:pPr>
              <w:spacing w:line="500" w:lineRule="exact"/>
              <w:jc w:val="center"/>
              <w:rPr>
                <w:rFonts w:hint="eastAsia" w:ascii="宋体" w:hAnsi="宋体" w:eastAsia="宋体" w:cs="宋体"/>
                <w:color w:val="auto"/>
                <w:sz w:val="18"/>
                <w:szCs w:val="18"/>
                <w:highlight w:val="none"/>
              </w:rPr>
            </w:pPr>
          </w:p>
        </w:tc>
      </w:tr>
      <w:tr w14:paraId="06A88D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633" w:type="dxa"/>
            <w:tcBorders>
              <w:top w:val="single" w:color="auto" w:sz="6" w:space="0"/>
              <w:left w:val="single" w:color="auto" w:sz="12" w:space="0"/>
              <w:bottom w:val="single" w:color="auto" w:sz="12" w:space="0"/>
              <w:right w:val="single" w:color="auto" w:sz="6" w:space="0"/>
            </w:tcBorders>
            <w:vAlign w:val="center"/>
          </w:tcPr>
          <w:p w14:paraId="60873F60">
            <w:pPr>
              <w:spacing w:line="5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第三名</w:t>
            </w:r>
          </w:p>
        </w:tc>
        <w:tc>
          <w:tcPr>
            <w:tcW w:w="4190" w:type="dxa"/>
            <w:tcBorders>
              <w:top w:val="single" w:color="auto" w:sz="6" w:space="0"/>
              <w:left w:val="single" w:color="auto" w:sz="6" w:space="0"/>
              <w:bottom w:val="single" w:color="auto" w:sz="12" w:space="0"/>
              <w:right w:val="single" w:color="auto" w:sz="6" w:space="0"/>
            </w:tcBorders>
            <w:vAlign w:val="center"/>
          </w:tcPr>
          <w:p w14:paraId="2B6C67D7">
            <w:pPr>
              <w:spacing w:line="500" w:lineRule="exact"/>
              <w:jc w:val="center"/>
              <w:rPr>
                <w:rFonts w:hint="eastAsia" w:ascii="宋体" w:hAnsi="宋体" w:eastAsia="宋体" w:cs="宋体"/>
                <w:color w:val="auto"/>
                <w:sz w:val="18"/>
                <w:szCs w:val="18"/>
                <w:highlight w:val="none"/>
              </w:rPr>
            </w:pPr>
          </w:p>
        </w:tc>
        <w:tc>
          <w:tcPr>
            <w:tcW w:w="1609" w:type="dxa"/>
            <w:tcBorders>
              <w:top w:val="single" w:color="auto" w:sz="6" w:space="0"/>
              <w:left w:val="single" w:color="auto" w:sz="6" w:space="0"/>
              <w:bottom w:val="single" w:color="auto" w:sz="12" w:space="0"/>
              <w:right w:val="single" w:color="auto" w:sz="4" w:space="0"/>
            </w:tcBorders>
            <w:vAlign w:val="center"/>
          </w:tcPr>
          <w:p w14:paraId="1D950349">
            <w:pPr>
              <w:spacing w:line="500" w:lineRule="exact"/>
              <w:jc w:val="center"/>
              <w:rPr>
                <w:rFonts w:hint="eastAsia" w:ascii="宋体" w:hAnsi="宋体" w:eastAsia="宋体" w:cs="宋体"/>
                <w:color w:val="auto"/>
                <w:sz w:val="18"/>
                <w:szCs w:val="18"/>
                <w:highlight w:val="none"/>
              </w:rPr>
            </w:pPr>
          </w:p>
        </w:tc>
        <w:tc>
          <w:tcPr>
            <w:tcW w:w="1643" w:type="dxa"/>
            <w:tcBorders>
              <w:top w:val="single" w:color="auto" w:sz="6" w:space="0"/>
              <w:left w:val="single" w:color="auto" w:sz="4" w:space="0"/>
              <w:bottom w:val="single" w:color="auto" w:sz="12" w:space="0"/>
              <w:right w:val="single" w:color="auto" w:sz="12" w:space="0"/>
            </w:tcBorders>
            <w:vAlign w:val="center"/>
          </w:tcPr>
          <w:p w14:paraId="69B501E4">
            <w:pPr>
              <w:spacing w:line="500" w:lineRule="exact"/>
              <w:jc w:val="center"/>
              <w:rPr>
                <w:rFonts w:hint="eastAsia" w:ascii="宋体" w:hAnsi="宋体" w:eastAsia="宋体" w:cs="宋体"/>
                <w:color w:val="auto"/>
                <w:sz w:val="18"/>
                <w:szCs w:val="18"/>
                <w:highlight w:val="none"/>
              </w:rPr>
            </w:pPr>
          </w:p>
        </w:tc>
      </w:tr>
    </w:tbl>
    <w:p w14:paraId="29F664B2">
      <w:pPr>
        <w:adjustRightInd w:val="0"/>
        <w:snapToGrid w:val="0"/>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磋商小组全体签字：                                                评标时间：</w:t>
      </w:r>
    </w:p>
    <w:p w14:paraId="02638193">
      <w:pPr>
        <w:adjustRightInd w:val="0"/>
        <w:snapToGrid w:val="0"/>
        <w:spacing w:line="440" w:lineRule="exact"/>
        <w:rPr>
          <w:rFonts w:hint="eastAsia" w:ascii="宋体" w:hAnsi="宋体" w:eastAsia="宋体" w:cs="宋体"/>
          <w:b/>
          <w:color w:val="auto"/>
          <w:sz w:val="24"/>
          <w:highlight w:val="none"/>
        </w:rPr>
      </w:pPr>
    </w:p>
    <w:p w14:paraId="357BCF82">
      <w:pPr>
        <w:adjustRightInd w:val="0"/>
        <w:snapToGrid w:val="0"/>
        <w:spacing w:line="440" w:lineRule="exact"/>
        <w:rPr>
          <w:rFonts w:hint="eastAsia" w:ascii="宋体" w:hAnsi="宋体" w:eastAsia="宋体" w:cs="宋体"/>
          <w:b/>
          <w:color w:val="auto"/>
          <w:sz w:val="24"/>
          <w:highlight w:val="none"/>
        </w:rPr>
      </w:pPr>
    </w:p>
    <w:p w14:paraId="2B500FB4">
      <w:pPr>
        <w:spacing w:line="440" w:lineRule="exact"/>
        <w:jc w:val="center"/>
        <w:rPr>
          <w:rFonts w:hint="eastAsia" w:ascii="宋体" w:hAnsi="宋体" w:eastAsia="宋体" w:cs="宋体"/>
          <w:b/>
          <w:bCs/>
          <w:color w:val="auto"/>
          <w:sz w:val="24"/>
          <w:highlight w:val="none"/>
        </w:rPr>
      </w:pPr>
    </w:p>
    <w:p w14:paraId="076A3283">
      <w:pPr>
        <w:spacing w:line="440" w:lineRule="exact"/>
        <w:jc w:val="center"/>
        <w:rPr>
          <w:rFonts w:hint="eastAsia" w:ascii="宋体" w:hAnsi="宋体" w:eastAsia="宋体" w:cs="宋体"/>
          <w:b/>
          <w:color w:val="auto"/>
          <w:szCs w:val="21"/>
          <w:highlight w:val="none"/>
        </w:rPr>
      </w:pPr>
      <w:r>
        <w:rPr>
          <w:rFonts w:hint="eastAsia" w:ascii="宋体" w:hAnsi="宋体" w:eastAsia="宋体" w:cs="宋体"/>
          <w:b/>
          <w:bCs/>
          <w:color w:val="auto"/>
          <w:sz w:val="24"/>
          <w:highlight w:val="none"/>
        </w:rPr>
        <w:t>附表7   授标建议</w:t>
      </w:r>
    </w:p>
    <w:p w14:paraId="31F1F5B7">
      <w:pPr>
        <w:pStyle w:val="16"/>
        <w:spacing w:before="75" w:beforeAutospacing="0" w:after="0" w:afterAutospacing="0" w:line="360" w:lineRule="auto"/>
        <w:ind w:left="75" w:firstLine="508" w:firstLineChars="242"/>
        <w:rPr>
          <w:rFonts w:hint="eastAsia" w:ascii="宋体" w:hAnsi="宋体" w:eastAsia="宋体" w:cs="宋体"/>
          <w:color w:val="auto"/>
          <w:sz w:val="21"/>
          <w:highlight w:val="none"/>
        </w:rPr>
      </w:pPr>
      <w:r>
        <w:rPr>
          <w:rFonts w:hint="eastAsia" w:cs="宋体"/>
          <w:color w:val="auto"/>
          <w:sz w:val="21"/>
          <w:highlight w:val="none"/>
          <w:lang w:eastAsia="zh-CN"/>
        </w:rPr>
        <w:t>郴州市第一人民医院妇产中心建设项目特殊装修工程（优生优育、产科实验室）</w:t>
      </w:r>
      <w:r>
        <w:rPr>
          <w:rFonts w:hint="eastAsia" w:ascii="宋体" w:hAnsi="宋体" w:eastAsia="宋体" w:cs="宋体"/>
          <w:color w:val="auto"/>
          <w:sz w:val="21"/>
          <w:highlight w:val="none"/>
        </w:rPr>
        <w:t>（采购计划编号：</w:t>
      </w:r>
      <w:r>
        <w:rPr>
          <w:rFonts w:hint="eastAsia" w:ascii="宋体" w:hAnsi="宋体" w:eastAsia="宋体" w:cs="宋体"/>
          <w:color w:val="auto"/>
          <w:sz w:val="21"/>
          <w:highlight w:val="none"/>
          <w:lang w:eastAsia="zh-CN"/>
        </w:rPr>
        <w:t>郴</w:t>
      </w:r>
      <w:r>
        <w:rPr>
          <w:rFonts w:hint="eastAsia" w:ascii="宋体" w:hAnsi="宋体" w:eastAsia="宋体" w:cs="宋体"/>
          <w:color w:val="auto"/>
          <w:sz w:val="21"/>
          <w:highlight w:val="none"/>
        </w:rPr>
        <w:t>财采计【202</w:t>
      </w:r>
      <w:r>
        <w:rPr>
          <w:rFonts w:hint="eastAsia" w:cs="宋体"/>
          <w:color w:val="auto"/>
          <w:sz w:val="21"/>
          <w:highlight w:val="none"/>
          <w:lang w:val="en-US" w:eastAsia="zh-CN"/>
        </w:rPr>
        <w:t>5</w:t>
      </w:r>
      <w:r>
        <w:rPr>
          <w:rFonts w:hint="eastAsia" w:ascii="宋体" w:hAnsi="宋体" w:eastAsia="宋体" w:cs="宋体"/>
          <w:color w:val="auto"/>
          <w:sz w:val="21"/>
          <w:highlight w:val="none"/>
        </w:rPr>
        <w:t>】</w:t>
      </w:r>
      <w:r>
        <w:rPr>
          <w:rFonts w:hint="eastAsia" w:cs="宋体"/>
          <w:color w:val="auto"/>
          <w:sz w:val="21"/>
          <w:highlight w:val="none"/>
          <w:lang w:val="en-US" w:eastAsia="zh-CN"/>
        </w:rPr>
        <w:t xml:space="preserve">    </w:t>
      </w:r>
      <w:r>
        <w:rPr>
          <w:rFonts w:hint="eastAsia" w:ascii="宋体" w:hAnsi="宋体" w:eastAsia="宋体" w:cs="宋体"/>
          <w:color w:val="auto"/>
          <w:sz w:val="21"/>
          <w:highlight w:val="none"/>
        </w:rPr>
        <w:t>号、采购代理机构编号：</w:t>
      </w:r>
      <w:r>
        <w:rPr>
          <w:rFonts w:hint="eastAsia" w:cs="宋体"/>
          <w:color w:val="auto"/>
          <w:sz w:val="21"/>
          <w:highlight w:val="none"/>
          <w:lang w:eastAsia="zh-CN"/>
        </w:rPr>
        <w:t>GZ-ZFCG2025-011</w:t>
      </w:r>
      <w:r>
        <w:rPr>
          <w:rFonts w:hint="eastAsia" w:ascii="宋体" w:hAnsi="宋体" w:eastAsia="宋体" w:cs="宋体"/>
          <w:color w:val="auto"/>
          <w:sz w:val="21"/>
          <w:highlight w:val="none"/>
        </w:rPr>
        <w:t>)，于20XX年××月××日上午xx：xx（北京时间）在XXX的监督下在XXXXXXX会议室进行了开标和评标，磋商小组根据磋商采购文件规定的评标办法和要求，对各投标单位的响应文件进行了认真地分析、对比、评议和打分，最后集体推荐综合得分最高的以下投标人为本项目的中标、成交人：</w:t>
      </w:r>
    </w:p>
    <w:tbl>
      <w:tblPr>
        <w:tblStyle w:val="19"/>
        <w:tblW w:w="893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3"/>
        <w:gridCol w:w="6698"/>
      </w:tblGrid>
      <w:tr w14:paraId="1B9B9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2233" w:type="dxa"/>
            <w:vAlign w:val="center"/>
          </w:tcPr>
          <w:p w14:paraId="491036DD">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中标人名称</w:t>
            </w:r>
          </w:p>
        </w:tc>
        <w:tc>
          <w:tcPr>
            <w:tcW w:w="6698" w:type="dxa"/>
            <w:vAlign w:val="center"/>
          </w:tcPr>
          <w:p w14:paraId="2BC211FF">
            <w:pPr>
              <w:spacing w:line="440" w:lineRule="exact"/>
              <w:rPr>
                <w:rFonts w:hint="eastAsia" w:ascii="宋体" w:hAnsi="宋体" w:eastAsia="宋体" w:cs="宋体"/>
                <w:color w:val="auto"/>
                <w:szCs w:val="21"/>
                <w:highlight w:val="none"/>
              </w:rPr>
            </w:pPr>
          </w:p>
        </w:tc>
      </w:tr>
      <w:tr w14:paraId="122D0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2" w:hRule="atLeast"/>
          <w:jc w:val="center"/>
        </w:trPr>
        <w:tc>
          <w:tcPr>
            <w:tcW w:w="2233" w:type="dxa"/>
            <w:vAlign w:val="center"/>
          </w:tcPr>
          <w:p w14:paraId="2B02DB6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中标人地址</w:t>
            </w:r>
          </w:p>
        </w:tc>
        <w:tc>
          <w:tcPr>
            <w:tcW w:w="6698" w:type="dxa"/>
            <w:vAlign w:val="center"/>
          </w:tcPr>
          <w:p w14:paraId="34691B78">
            <w:pPr>
              <w:spacing w:line="440" w:lineRule="exact"/>
              <w:rPr>
                <w:rFonts w:hint="eastAsia" w:ascii="宋体" w:hAnsi="宋体" w:eastAsia="宋体" w:cs="宋体"/>
                <w:color w:val="auto"/>
                <w:szCs w:val="21"/>
                <w:highlight w:val="none"/>
              </w:rPr>
            </w:pPr>
          </w:p>
        </w:tc>
      </w:tr>
      <w:tr w14:paraId="5BE99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34" w:hRule="atLeast"/>
          <w:jc w:val="center"/>
        </w:trPr>
        <w:tc>
          <w:tcPr>
            <w:tcW w:w="2233" w:type="dxa"/>
            <w:vMerge w:val="restart"/>
            <w:vAlign w:val="center"/>
          </w:tcPr>
          <w:p w14:paraId="1739C9B9">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中标总金额</w:t>
            </w:r>
          </w:p>
          <w:p w14:paraId="7CE57F1B">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人民币（元）</w:t>
            </w:r>
          </w:p>
        </w:tc>
        <w:tc>
          <w:tcPr>
            <w:tcW w:w="6698" w:type="dxa"/>
            <w:vAlign w:val="center"/>
          </w:tcPr>
          <w:p w14:paraId="53F62592">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大写： </w:t>
            </w:r>
          </w:p>
        </w:tc>
      </w:tr>
      <w:tr w14:paraId="3E54D4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3" w:hRule="atLeast"/>
          <w:jc w:val="center"/>
        </w:trPr>
        <w:tc>
          <w:tcPr>
            <w:tcW w:w="2233" w:type="dxa"/>
            <w:vMerge w:val="continue"/>
            <w:vAlign w:val="center"/>
          </w:tcPr>
          <w:p w14:paraId="5B6672BA">
            <w:pPr>
              <w:widowControl/>
              <w:jc w:val="center"/>
              <w:rPr>
                <w:rFonts w:hint="eastAsia" w:ascii="宋体" w:hAnsi="宋体" w:eastAsia="宋体" w:cs="宋体"/>
                <w:color w:val="auto"/>
                <w:szCs w:val="21"/>
                <w:highlight w:val="none"/>
              </w:rPr>
            </w:pPr>
          </w:p>
        </w:tc>
        <w:tc>
          <w:tcPr>
            <w:tcW w:w="6698" w:type="dxa"/>
            <w:vAlign w:val="center"/>
          </w:tcPr>
          <w:p w14:paraId="6797E4FB">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p>
        </w:tc>
      </w:tr>
      <w:tr w14:paraId="7F577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jc w:val="center"/>
        </w:trPr>
        <w:tc>
          <w:tcPr>
            <w:tcW w:w="2233" w:type="dxa"/>
            <w:vAlign w:val="center"/>
          </w:tcPr>
          <w:p w14:paraId="1853D562">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          注</w:t>
            </w:r>
          </w:p>
        </w:tc>
        <w:tc>
          <w:tcPr>
            <w:tcW w:w="6698" w:type="dxa"/>
            <w:vAlign w:val="center"/>
          </w:tcPr>
          <w:p w14:paraId="6FF31CA8">
            <w:pPr>
              <w:spacing w:line="440" w:lineRule="exact"/>
              <w:rPr>
                <w:rFonts w:hint="eastAsia" w:ascii="宋体" w:hAnsi="宋体" w:eastAsia="宋体" w:cs="宋体"/>
                <w:color w:val="auto"/>
                <w:szCs w:val="21"/>
                <w:highlight w:val="none"/>
              </w:rPr>
            </w:pPr>
          </w:p>
        </w:tc>
      </w:tr>
    </w:tbl>
    <w:p w14:paraId="5D2FFE68">
      <w:pPr>
        <w:spacing w:line="440" w:lineRule="exact"/>
        <w:ind w:firstLine="210" w:firstLineChars="100"/>
        <w:rPr>
          <w:rFonts w:hint="eastAsia" w:ascii="宋体" w:hAnsi="宋体" w:eastAsia="宋体" w:cs="宋体"/>
          <w:color w:val="auto"/>
          <w:szCs w:val="21"/>
          <w:highlight w:val="none"/>
        </w:rPr>
      </w:pPr>
    </w:p>
    <w:p w14:paraId="66F43DF2">
      <w:pPr>
        <w:spacing w:line="44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磋商小组全体签字：                                               </w:t>
      </w:r>
    </w:p>
    <w:p w14:paraId="61397820">
      <w:pPr>
        <w:spacing w:line="440" w:lineRule="exact"/>
        <w:ind w:firstLine="210" w:firstLineChars="100"/>
        <w:rPr>
          <w:rFonts w:hint="eastAsia" w:ascii="宋体" w:hAnsi="宋体" w:eastAsia="宋体" w:cs="宋体"/>
          <w:color w:val="auto"/>
          <w:szCs w:val="21"/>
          <w:highlight w:val="none"/>
        </w:rPr>
      </w:pPr>
    </w:p>
    <w:p w14:paraId="218B6063">
      <w:pPr>
        <w:spacing w:line="440" w:lineRule="exact"/>
        <w:ind w:firstLine="210" w:firstLineChars="100"/>
        <w:rPr>
          <w:rFonts w:hint="eastAsia" w:ascii="宋体" w:hAnsi="宋体" w:eastAsia="宋体" w:cs="宋体"/>
          <w:color w:val="auto"/>
          <w:szCs w:val="21"/>
          <w:highlight w:val="none"/>
        </w:rPr>
      </w:pPr>
    </w:p>
    <w:p w14:paraId="06E0E740">
      <w:pPr>
        <w:spacing w:line="44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招标</w:t>
      </w:r>
      <w:r>
        <w:rPr>
          <w:rFonts w:hint="eastAsia" w:ascii="宋体" w:hAnsi="宋体" w:eastAsia="宋体" w:cs="宋体"/>
          <w:color w:val="auto"/>
          <w:szCs w:val="21"/>
          <w:highlight w:val="none"/>
        </w:rPr>
        <w:t>代表签字：</w:t>
      </w:r>
    </w:p>
    <w:p w14:paraId="6324E43D">
      <w:pPr>
        <w:spacing w:line="440" w:lineRule="exact"/>
        <w:rPr>
          <w:rFonts w:hint="eastAsia" w:ascii="宋体" w:hAnsi="宋体" w:eastAsia="宋体" w:cs="宋体"/>
          <w:color w:val="auto"/>
          <w:szCs w:val="21"/>
          <w:highlight w:val="none"/>
        </w:rPr>
      </w:pPr>
    </w:p>
    <w:p w14:paraId="5B5BB7CE">
      <w:pPr>
        <w:spacing w:line="440" w:lineRule="exact"/>
        <w:rPr>
          <w:rFonts w:hint="eastAsia" w:ascii="宋体" w:hAnsi="宋体" w:eastAsia="宋体" w:cs="宋体"/>
          <w:color w:val="auto"/>
          <w:szCs w:val="21"/>
          <w:highlight w:val="none"/>
        </w:rPr>
      </w:pPr>
    </w:p>
    <w:p w14:paraId="5F42E9E9">
      <w:pPr>
        <w:spacing w:line="440" w:lineRule="exact"/>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监督部门代表签字：</w:t>
      </w:r>
    </w:p>
    <w:p w14:paraId="53616AB1">
      <w:pPr>
        <w:pStyle w:val="13"/>
        <w:spacing w:after="0" w:line="440" w:lineRule="exact"/>
        <w:jc w:val="right"/>
        <w:rPr>
          <w:rFonts w:hint="eastAsia" w:ascii="宋体" w:hAnsi="宋体" w:eastAsia="宋体" w:cs="宋体"/>
          <w:color w:val="auto"/>
          <w:sz w:val="21"/>
          <w:szCs w:val="21"/>
          <w:highlight w:val="none"/>
        </w:rPr>
      </w:pPr>
    </w:p>
    <w:p w14:paraId="323D6759">
      <w:pPr>
        <w:pStyle w:val="13"/>
        <w:spacing w:after="0" w:line="440" w:lineRule="exact"/>
        <w:jc w:val="right"/>
        <w:rPr>
          <w:rFonts w:hint="eastAsia" w:ascii="宋体" w:hAnsi="宋体" w:eastAsia="宋体" w:cs="宋体"/>
          <w:color w:val="auto"/>
          <w:sz w:val="21"/>
          <w:szCs w:val="21"/>
          <w:highlight w:val="none"/>
        </w:rPr>
      </w:pPr>
    </w:p>
    <w:p w14:paraId="1C3E2647">
      <w:pPr>
        <w:pStyle w:val="13"/>
        <w:spacing w:after="0" w:line="440" w:lineRule="exact"/>
        <w:jc w:val="right"/>
        <w:rPr>
          <w:rFonts w:hint="eastAsia" w:ascii="宋体" w:hAnsi="宋体" w:eastAsia="宋体" w:cs="宋体"/>
          <w:color w:val="auto"/>
          <w:sz w:val="21"/>
          <w:szCs w:val="21"/>
          <w:highlight w:val="none"/>
        </w:rPr>
      </w:pPr>
    </w:p>
    <w:p w14:paraId="3B6FAD82">
      <w:pPr>
        <w:tabs>
          <w:tab w:val="left" w:pos="420"/>
          <w:tab w:val="left" w:pos="7560"/>
          <w:tab w:val="left" w:pos="7740"/>
          <w:tab w:val="left" w:pos="7920"/>
        </w:tabs>
        <w:adjustRightInd w:val="0"/>
        <w:snapToGrid w:val="0"/>
        <w:spacing w:line="440" w:lineRule="exact"/>
        <w:rPr>
          <w:rFonts w:hint="eastAsia" w:ascii="宋体" w:hAnsi="宋体" w:eastAsia="宋体" w:cs="宋体"/>
          <w:b/>
          <w:color w:val="auto"/>
          <w:highlight w:val="none"/>
        </w:rPr>
      </w:pPr>
      <w:r>
        <w:rPr>
          <w:rFonts w:hint="eastAsia" w:ascii="宋体" w:hAnsi="宋体" w:eastAsia="宋体" w:cs="宋体"/>
          <w:color w:val="auto"/>
          <w:szCs w:val="21"/>
          <w:highlight w:val="none"/>
        </w:rPr>
        <w:t xml:space="preserve">                                                              年   月   日</w:t>
      </w:r>
    </w:p>
    <w:p w14:paraId="490A6183">
      <w:pPr>
        <w:spacing w:after="312" w:afterLines="100" w:line="440" w:lineRule="atLeast"/>
        <w:jc w:val="center"/>
        <w:outlineLvl w:val="0"/>
        <w:rPr>
          <w:rFonts w:hint="eastAsia" w:ascii="宋体" w:hAnsi="宋体" w:eastAsia="宋体" w:cs="宋体"/>
          <w:b/>
          <w:color w:val="auto"/>
          <w:sz w:val="32"/>
          <w:szCs w:val="32"/>
          <w:highlight w:val="none"/>
        </w:rPr>
      </w:pPr>
      <w:bookmarkStart w:id="176" w:name="_Toc482133464"/>
      <w:bookmarkStart w:id="177" w:name="_Toc498186722"/>
      <w:bookmarkStart w:id="178" w:name="_Toc489263719"/>
      <w:bookmarkStart w:id="179" w:name="_Toc496459166"/>
      <w:bookmarkStart w:id="180" w:name="_Toc497049054"/>
      <w:bookmarkStart w:id="181" w:name="_Toc522285655"/>
      <w:bookmarkStart w:id="182" w:name="_Toc521048948"/>
      <w:bookmarkStart w:id="183" w:name="_Toc2684033"/>
      <w:bookmarkStart w:id="184" w:name="_Toc2593136"/>
      <w:bookmarkStart w:id="185" w:name="_Toc2674900"/>
      <w:bookmarkStart w:id="186" w:name="_Toc2674695"/>
      <w:bookmarkStart w:id="187" w:name="_Toc2951774"/>
      <w:bookmarkStart w:id="188" w:name="_Toc4506123"/>
      <w:r>
        <w:rPr>
          <w:rFonts w:hint="eastAsia" w:ascii="宋体" w:hAnsi="宋体" w:eastAsia="宋体" w:cs="宋体"/>
          <w:b/>
          <w:color w:val="auto"/>
          <w:sz w:val="32"/>
          <w:szCs w:val="32"/>
          <w:highlight w:val="none"/>
        </w:rPr>
        <w:br w:type="page"/>
      </w:r>
      <w:bookmarkStart w:id="189" w:name="_Toc13790"/>
      <w:r>
        <w:rPr>
          <w:rFonts w:hint="eastAsia" w:ascii="宋体" w:hAnsi="宋体" w:eastAsia="宋体" w:cs="宋体"/>
          <w:b/>
          <w:color w:val="auto"/>
          <w:sz w:val="32"/>
          <w:szCs w:val="32"/>
          <w:highlight w:val="none"/>
        </w:rPr>
        <w:t>第三章 采购内容及要求</w:t>
      </w:r>
      <w:bookmarkEnd w:id="189"/>
    </w:p>
    <w:p w14:paraId="4E9D27CA">
      <w:pPr>
        <w:adjustRightInd w:val="0"/>
        <w:snapToGrid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一、工程类项目编制提纲：</w:t>
      </w:r>
    </w:p>
    <w:p w14:paraId="25F947C2">
      <w:pPr>
        <w:adjustRightInd w:val="0"/>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（一）采购项目名称：</w:t>
      </w:r>
      <w:r>
        <w:rPr>
          <w:rFonts w:hint="eastAsia" w:ascii="宋体" w:hAnsi="宋体" w:cs="宋体"/>
          <w:color w:val="auto"/>
          <w:highlight w:val="none"/>
          <w:lang w:eastAsia="zh-CN"/>
        </w:rPr>
        <w:t>郴州市第一人民医院妇产中心建设项目特殊装修工程（优生优育、产科实验室）</w:t>
      </w:r>
    </w:p>
    <w:p w14:paraId="34BD08C7">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二）工程基本情况：</w:t>
      </w:r>
      <w:r>
        <w:rPr>
          <w:rFonts w:hint="eastAsia" w:ascii="宋体" w:hAnsi="宋体" w:eastAsia="宋体" w:cs="宋体"/>
          <w:b w:val="0"/>
          <w:bCs w:val="0"/>
          <w:color w:val="auto"/>
          <w:szCs w:val="21"/>
          <w:highlight w:val="none"/>
        </w:rPr>
        <w:t>郴州市第一人民医院妇产中心建设项目</w:t>
      </w:r>
      <w:r>
        <w:rPr>
          <w:rFonts w:hint="eastAsia" w:ascii="宋体" w:hAnsi="宋体" w:eastAsia="宋体" w:cs="宋体"/>
          <w:b w:val="0"/>
          <w:bCs w:val="0"/>
          <w:color w:val="auto"/>
          <w:szCs w:val="21"/>
          <w:highlight w:val="none"/>
          <w:lang w:val="en-US" w:eastAsia="zh-CN"/>
        </w:rPr>
        <w:t>位于中心医院和南院医疗区，涉及医疗及技术用房约1.18万m2，主要建设内容包括生殖中心、产科、优生优育的建设，以及相关专科设备和信息系统的购置。</w:t>
      </w:r>
      <w:r>
        <w:rPr>
          <w:rFonts w:hint="eastAsia" w:ascii="宋体" w:hAnsi="宋体" w:eastAsia="宋体" w:cs="宋体"/>
          <w:b w:val="0"/>
          <w:bCs w:val="0"/>
          <w:color w:val="auto"/>
          <w:szCs w:val="21"/>
          <w:highlight w:val="none"/>
        </w:rPr>
        <w:t>本工程</w:t>
      </w:r>
      <w:r>
        <w:rPr>
          <w:rFonts w:hint="eastAsia" w:ascii="宋体" w:hAnsi="宋体" w:eastAsia="宋体" w:cs="宋体"/>
          <w:b w:val="0"/>
          <w:bCs w:val="0"/>
          <w:color w:val="auto"/>
          <w:szCs w:val="21"/>
          <w:highlight w:val="none"/>
          <w:lang w:val="en-US" w:eastAsia="zh-CN"/>
        </w:rPr>
        <w:t>位于中心医院内科大楼23楼，施工内容包括优生优育、产科等实验室的</w:t>
      </w:r>
      <w:r>
        <w:rPr>
          <w:rFonts w:hint="eastAsia" w:ascii="宋体" w:hAnsi="宋体" w:eastAsia="宋体" w:cs="宋体"/>
          <w:b w:val="0"/>
          <w:bCs w:val="0"/>
          <w:color w:val="auto"/>
          <w:szCs w:val="21"/>
          <w:highlight w:val="none"/>
        </w:rPr>
        <w:t>特殊装修</w:t>
      </w:r>
      <w:r>
        <w:rPr>
          <w:rFonts w:hint="eastAsia" w:ascii="宋体" w:hAnsi="宋体" w:eastAsia="宋体" w:cs="宋体"/>
          <w:b w:val="0"/>
          <w:bCs w:val="0"/>
          <w:color w:val="auto"/>
          <w:szCs w:val="21"/>
          <w:highlight w:val="none"/>
          <w:lang w:val="en-US" w:eastAsia="zh-CN"/>
        </w:rPr>
        <w:t>，</w:t>
      </w:r>
      <w:r>
        <w:rPr>
          <w:rFonts w:hint="eastAsia" w:ascii="宋体" w:hAnsi="宋体" w:eastAsia="宋体" w:cs="宋体"/>
          <w:b w:val="0"/>
          <w:bCs w:val="0"/>
          <w:color w:val="auto"/>
          <w:szCs w:val="21"/>
          <w:highlight w:val="none"/>
        </w:rPr>
        <w:t xml:space="preserve">具体详见设计图纸、工程量清单等。  </w:t>
      </w:r>
      <w:r>
        <w:rPr>
          <w:rFonts w:hint="eastAsia" w:ascii="宋体" w:hAnsi="宋体" w:eastAsia="宋体" w:cs="宋体"/>
          <w:color w:val="auto"/>
          <w:szCs w:val="21"/>
          <w:highlight w:val="none"/>
        </w:rPr>
        <w:t xml:space="preserve">  </w:t>
      </w:r>
    </w:p>
    <w:p w14:paraId="70DD8790">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（三）工程承包范围：</w:t>
      </w:r>
      <w:r>
        <w:rPr>
          <w:rFonts w:hint="eastAsia" w:ascii="宋体" w:hAnsi="宋体" w:cs="宋体"/>
          <w:color w:val="auto"/>
          <w:highlight w:val="none"/>
          <w:lang w:eastAsia="zh-CN"/>
        </w:rPr>
        <w:t>郴州市第一人民医院妇产中心建设项目特殊装修工程（优生优育、产科实验室）</w:t>
      </w:r>
      <w:r>
        <w:rPr>
          <w:rFonts w:hint="eastAsia" w:ascii="宋体" w:hAnsi="宋体" w:eastAsia="宋体" w:cs="宋体"/>
          <w:color w:val="auto"/>
          <w:szCs w:val="21"/>
          <w:highlight w:val="none"/>
        </w:rPr>
        <w:t>（详见</w:t>
      </w:r>
      <w:r>
        <w:rPr>
          <w:rFonts w:hint="eastAsia" w:ascii="宋体" w:hAnsi="宋体" w:cs="宋体"/>
          <w:color w:val="auto"/>
          <w:szCs w:val="21"/>
          <w:highlight w:val="none"/>
          <w:lang w:val="en-US" w:eastAsia="zh-CN"/>
        </w:rPr>
        <w:t>工程</w:t>
      </w:r>
      <w:r>
        <w:rPr>
          <w:rFonts w:hint="eastAsia" w:ascii="宋体" w:hAnsi="宋体" w:eastAsia="宋体" w:cs="宋体"/>
          <w:color w:val="auto"/>
          <w:szCs w:val="21"/>
          <w:highlight w:val="none"/>
        </w:rPr>
        <w:t>量清单）。</w:t>
      </w:r>
    </w:p>
    <w:p w14:paraId="40D00C02">
      <w:pPr>
        <w:adjustRightInd w:val="0"/>
        <w:snapToGrid w:val="0"/>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（四）工期及质量要求：</w:t>
      </w:r>
    </w:p>
    <w:p w14:paraId="1E5BFE34">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1.工期：</w:t>
      </w:r>
      <w:r>
        <w:rPr>
          <w:rFonts w:hint="eastAsia" w:ascii="宋体" w:hAnsi="宋体" w:cs="宋体"/>
          <w:color w:val="auto"/>
          <w:szCs w:val="21"/>
          <w:highlight w:val="none"/>
          <w:lang w:val="en-US" w:eastAsia="zh-CN"/>
        </w:rPr>
        <w:t>90天，</w:t>
      </w:r>
      <w:r>
        <w:rPr>
          <w:rFonts w:hint="eastAsia" w:ascii="宋体" w:hAnsi="宋体" w:eastAsia="宋体" w:cs="宋体"/>
          <w:color w:val="auto"/>
          <w:szCs w:val="21"/>
          <w:highlight w:val="none"/>
          <w:lang w:val="en-US" w:eastAsia="zh-CN"/>
        </w:rPr>
        <w:t>以监理单位下发的开工令开工时间计算</w:t>
      </w:r>
      <w:r>
        <w:rPr>
          <w:rFonts w:hint="eastAsia" w:ascii="宋体" w:hAnsi="宋体" w:eastAsia="宋体" w:cs="宋体"/>
          <w:color w:val="auto"/>
          <w:szCs w:val="21"/>
          <w:highlight w:val="none"/>
        </w:rPr>
        <w:t xml:space="preserve">； </w:t>
      </w:r>
    </w:p>
    <w:p w14:paraId="5C63813E">
      <w:pPr>
        <w:adjustRightInd w:val="0"/>
        <w:snapToGrid w:val="0"/>
        <w:spacing w:line="360" w:lineRule="auto"/>
        <w:ind w:firstLine="630" w:firstLineChars="3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2.质量要求：</w:t>
      </w:r>
      <w:r>
        <w:rPr>
          <w:rFonts w:hint="eastAsia" w:ascii="宋体" w:hAnsi="宋体" w:eastAsia="宋体" w:cs="宋体"/>
          <w:color w:val="auto"/>
          <w:szCs w:val="21"/>
          <w:highlight w:val="none"/>
          <w:lang w:val="en-US" w:eastAsia="zh-CN"/>
        </w:rPr>
        <w:t>符合国家现行验收标准，竣（交）工达到合格标准。施工期间，应接受招标人及政府建设主管部门的监督管理，遵守有关法律法规。</w:t>
      </w:r>
      <w:bookmarkStart w:id="190" w:name="PO_T_BODY"/>
      <w:bookmarkStart w:id="191" w:name="PO_S_BODY"/>
    </w:p>
    <w:p w14:paraId="4322CE49">
      <w:pPr>
        <w:numPr>
          <w:ilvl w:val="0"/>
          <w:numId w:val="0"/>
        </w:numPr>
        <w:adjustRightInd w:val="0"/>
        <w:snapToGrid w:val="0"/>
        <w:spacing w:line="360" w:lineRule="auto"/>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五</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付款方式</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变更</w:t>
      </w:r>
      <w:r>
        <w:rPr>
          <w:rFonts w:hint="eastAsia" w:ascii="宋体" w:hAnsi="宋体" w:eastAsia="宋体" w:cs="宋体"/>
          <w:b/>
          <w:bCs/>
          <w:color w:val="auto"/>
          <w:szCs w:val="21"/>
          <w:highlight w:val="none"/>
        </w:rPr>
        <w:t>要求</w:t>
      </w:r>
    </w:p>
    <w:p w14:paraId="1B9E59A1">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rPr>
        <w:t>付款方式</w:t>
      </w:r>
      <w:r>
        <w:rPr>
          <w:rFonts w:hint="eastAsia" w:ascii="宋体" w:hAnsi="宋体" w:cs="宋体"/>
          <w:b/>
          <w:bCs/>
          <w:color w:val="auto"/>
          <w:szCs w:val="21"/>
          <w:highlight w:val="none"/>
          <w:lang w:eastAsia="zh-CN"/>
        </w:rPr>
        <w:t>：</w:t>
      </w:r>
    </w:p>
    <w:p w14:paraId="49A721B6">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bookmarkStart w:id="192" w:name="OLE_LINK1"/>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合同签订后，提供预付款担保，预付款申请和正式发票，支付预付款30%(合同金额扣除不可预计费)，在后期支付工程进度款时分两次(每次50%)予以扣回，当月进度款不足以抵扣预付款则累计至下月;工程进度款按国家有关规定执行，安全文明措施费及农民工工资保证金等须按照有关规定执行到位。</w:t>
      </w:r>
      <w:bookmarkEnd w:id="192"/>
    </w:p>
    <w:p w14:paraId="254AD056">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按每个月进度支付进度款：承包人应在每月15日前上报进度款资料，当期进度款应按当期实物量完成量的80％进行支付；竣工验收前累计支付不超过合同额的 80%。</w:t>
      </w:r>
    </w:p>
    <w:p w14:paraId="56370816">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项目完工后，取得竣工验收合格报告，并经发包人组织相关部门验收合格后，经过工程审计结算后，付至工程结算金额的97%，余款3％留作质保金，质保期满贰年无质量问题无息返还。</w:t>
      </w:r>
    </w:p>
    <w:p w14:paraId="48D63A03">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每次支付工程款(进度款、结算款等)，承包人必须向发包人提供合法、合规且经本项目所在地税务部门认可的，且对发包人开具含税的正式发票，并提供公司法人或项目经理签字和盖章的付款申请，款项支付付至承包人的基本账户，安全文明施工措施费支付承包人的专用账户，农民工工资支付至专用账户。</w:t>
      </w:r>
    </w:p>
    <w:p w14:paraId="5E3FE21F">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施工中用到甲方水电，水费按审定金额的0.5%计算，电费按审定金额的0.5%计算，由甲方从结算款中直接扣除。</w:t>
      </w:r>
    </w:p>
    <w:p w14:paraId="6E79DDD6">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承包方应严格执行《保障农民工工资支付条例》等国家有关规定，务必专款专用，按时支付农民工工资，切实保障农民工的合法权益。若出现农民工工资投诉，查实后按每次1000元考核从工程款中扣除。</w:t>
      </w:r>
    </w:p>
    <w:p w14:paraId="4924B39A">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承包方承诺工程结算绝不高估冒算，并承担竣工结算净核减率&gt;5%的净核减额对应的审计费用。施工方应承担的审计费用将从审计确认后的竣工结算金额中扣除，支付给受托审计的工程造价咨询机构，结算完成后乙方所开具的发票不含此部分的金额。</w:t>
      </w:r>
    </w:p>
    <w:p w14:paraId="6CDDA9E2">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2、工程变更要求：</w:t>
      </w:r>
      <w:r>
        <w:rPr>
          <w:rFonts w:hint="eastAsia" w:ascii="宋体" w:hAnsi="宋体" w:eastAsia="宋体" w:cs="宋体"/>
          <w:color w:val="auto"/>
          <w:szCs w:val="21"/>
          <w:highlight w:val="none"/>
          <w:lang w:val="en-US" w:eastAsia="zh-CN"/>
        </w:rPr>
        <w:t>按郴州市相关文件规定执行。未列明的工程变更和签证后的调整：严格按照《郴州市市本级政府投资建设项目工程造价变更管理办法》的通知（郴政办发〔2025〕3号）及发包人的相关变更管理办法执行。</w:t>
      </w:r>
    </w:p>
    <w:p w14:paraId="15925267">
      <w:pPr>
        <w:adjustRightInd w:val="0"/>
        <w:snapToGrid w:val="0"/>
        <w:spacing w:line="360" w:lineRule="auto"/>
        <w:ind w:firstLine="630" w:firstLineChars="3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六</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其它要求</w:t>
      </w:r>
    </w:p>
    <w:p w14:paraId="276CC555">
      <w:pPr>
        <w:adjustRightInd w:val="0"/>
        <w:snapToGrid w:val="0"/>
        <w:spacing w:line="360" w:lineRule="auto"/>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1.支付凭证：双方签订的合同、工程进度佐证材料或验收合格证明文件和中标人开具的税务发票。 </w:t>
      </w:r>
    </w:p>
    <w:p w14:paraId="6F79077A">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招标人不统一组织项目实施场地踏勘，根据项目实际投标需求，潜在投标人可自行前往项目实施场地进行现场踏勘，取得编制投标文件所需资料，如投标人因未现场踏勘原因导致投标文件出现错误或遗漏的，由投标人自行承担责任，踏勘产生的风险和费由投标人自行承担。</w:t>
      </w:r>
    </w:p>
    <w:p w14:paraId="4DD1B15F">
      <w:pPr>
        <w:pStyle w:val="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二、工程量清单（另册）</w:t>
      </w:r>
    </w:p>
    <w:bookmarkEnd w:id="190"/>
    <w:bookmarkEnd w:id="191"/>
    <w:p w14:paraId="2C949817">
      <w:pPr>
        <w:pStyle w:val="5"/>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三、施工图（如有另册）</w:t>
      </w:r>
    </w:p>
    <w:p w14:paraId="340D5F67">
      <w:pPr>
        <w:snapToGrid w:val="0"/>
        <w:spacing w:line="440" w:lineRule="exact"/>
        <w:jc w:val="center"/>
        <w:rPr>
          <w:rFonts w:hint="eastAsia" w:ascii="宋体" w:hAnsi="宋体" w:eastAsia="宋体" w:cs="宋体"/>
          <w:b/>
          <w:color w:val="auto"/>
          <w:sz w:val="32"/>
          <w:szCs w:val="32"/>
          <w:highlight w:val="none"/>
        </w:rPr>
      </w:pPr>
    </w:p>
    <w:p w14:paraId="4EA947FA">
      <w:pPr>
        <w:pStyle w:val="5"/>
        <w:rPr>
          <w:rFonts w:hint="eastAsia" w:ascii="宋体" w:hAnsi="宋体" w:eastAsia="宋体" w:cs="宋体"/>
          <w:color w:val="auto"/>
          <w:highlight w:val="none"/>
        </w:rPr>
      </w:pPr>
    </w:p>
    <w:p w14:paraId="4751E833">
      <w:pPr>
        <w:rPr>
          <w:rFonts w:hint="eastAsia" w:ascii="宋体" w:hAnsi="宋体" w:eastAsia="宋体" w:cs="宋体"/>
          <w:color w:val="auto"/>
          <w:highlight w:val="none"/>
        </w:rPr>
      </w:pPr>
    </w:p>
    <w:p w14:paraId="24C4A56A">
      <w:pPr>
        <w:pStyle w:val="18"/>
        <w:rPr>
          <w:rFonts w:hint="eastAsia" w:ascii="宋体" w:hAnsi="宋体" w:eastAsia="宋体" w:cs="宋体"/>
          <w:color w:val="auto"/>
          <w:highlight w:val="none"/>
        </w:rPr>
      </w:pPr>
    </w:p>
    <w:p w14:paraId="46AF41ED">
      <w:pPr>
        <w:pStyle w:val="18"/>
        <w:rPr>
          <w:rFonts w:hint="eastAsia" w:ascii="宋体" w:hAnsi="宋体" w:eastAsia="宋体" w:cs="宋体"/>
          <w:color w:val="auto"/>
          <w:highlight w:val="none"/>
        </w:rPr>
      </w:pPr>
    </w:p>
    <w:p w14:paraId="79ADE5F8">
      <w:pPr>
        <w:pStyle w:val="18"/>
        <w:rPr>
          <w:rFonts w:hint="eastAsia" w:ascii="宋体" w:hAnsi="宋体" w:eastAsia="宋体" w:cs="宋体"/>
          <w:color w:val="auto"/>
          <w:highlight w:val="none"/>
        </w:rPr>
      </w:pPr>
    </w:p>
    <w:p w14:paraId="4C320ED9">
      <w:pPr>
        <w:pStyle w:val="18"/>
        <w:rPr>
          <w:rFonts w:hint="eastAsia" w:ascii="宋体" w:hAnsi="宋体" w:eastAsia="宋体" w:cs="宋体"/>
          <w:color w:val="auto"/>
          <w:highlight w:val="none"/>
        </w:rPr>
      </w:pPr>
    </w:p>
    <w:p w14:paraId="22D9DD74">
      <w:pPr>
        <w:rPr>
          <w:rFonts w:hint="eastAsia" w:ascii="宋体" w:hAnsi="宋体" w:eastAsia="宋体" w:cs="宋体"/>
          <w:color w:val="auto"/>
          <w:highlight w:val="none"/>
        </w:rPr>
      </w:pPr>
    </w:p>
    <w:p w14:paraId="3D437FA0">
      <w:pPr>
        <w:pStyle w:val="18"/>
        <w:rPr>
          <w:rFonts w:hint="eastAsia" w:ascii="宋体" w:hAnsi="宋体" w:eastAsia="宋体" w:cs="宋体"/>
          <w:color w:val="auto"/>
          <w:highlight w:val="none"/>
        </w:rPr>
      </w:pPr>
    </w:p>
    <w:p w14:paraId="664797F6">
      <w:pPr>
        <w:rPr>
          <w:rFonts w:hint="eastAsia" w:ascii="宋体" w:hAnsi="宋体" w:eastAsia="宋体" w:cs="宋体"/>
          <w:color w:val="auto"/>
          <w:highlight w:val="none"/>
        </w:rPr>
      </w:pPr>
    </w:p>
    <w:p w14:paraId="300CF339">
      <w:pPr>
        <w:pStyle w:val="18"/>
        <w:rPr>
          <w:rFonts w:hint="eastAsia" w:ascii="宋体" w:hAnsi="宋体" w:eastAsia="宋体" w:cs="宋体"/>
          <w:color w:val="auto"/>
          <w:highlight w:val="none"/>
        </w:rPr>
      </w:pPr>
    </w:p>
    <w:p w14:paraId="464EE06F">
      <w:pPr>
        <w:spacing w:after="312" w:afterLines="100" w:line="440" w:lineRule="atLeast"/>
        <w:jc w:val="center"/>
        <w:outlineLvl w:val="0"/>
        <w:rPr>
          <w:rFonts w:hint="eastAsia" w:ascii="宋体" w:hAnsi="宋体" w:eastAsia="宋体" w:cs="宋体"/>
          <w:b/>
          <w:color w:val="auto"/>
          <w:sz w:val="32"/>
          <w:szCs w:val="32"/>
          <w:highlight w:val="none"/>
        </w:rPr>
        <w:sectPr>
          <w:pgSz w:w="11906" w:h="16838"/>
          <w:pgMar w:top="1418" w:right="1587" w:bottom="1417" w:left="1587" w:header="964" w:footer="907" w:gutter="0"/>
          <w:cols w:space="720" w:num="1"/>
          <w:docGrid w:type="linesAndChars" w:linePitch="312" w:charSpace="0"/>
        </w:sectPr>
      </w:pPr>
      <w:bookmarkStart w:id="193" w:name="_Toc8763"/>
    </w:p>
    <w:p w14:paraId="5CD5D29E">
      <w:pPr>
        <w:spacing w:after="312" w:afterLines="100" w:line="440" w:lineRule="atLeast"/>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第四章 政府采购合同</w:t>
      </w:r>
      <w:bookmarkEnd w:id="176"/>
      <w:bookmarkEnd w:id="177"/>
      <w:bookmarkEnd w:id="178"/>
      <w:bookmarkEnd w:id="179"/>
      <w:bookmarkEnd w:id="180"/>
      <w:r>
        <w:rPr>
          <w:rFonts w:hint="eastAsia" w:ascii="宋体" w:hAnsi="宋体" w:eastAsia="宋体" w:cs="宋体"/>
          <w:b/>
          <w:color w:val="auto"/>
          <w:sz w:val="32"/>
          <w:szCs w:val="32"/>
          <w:highlight w:val="none"/>
        </w:rPr>
        <w:t>格式</w:t>
      </w:r>
      <w:bookmarkEnd w:id="181"/>
      <w:bookmarkEnd w:id="182"/>
      <w:r>
        <w:rPr>
          <w:rFonts w:hint="eastAsia" w:ascii="宋体" w:hAnsi="宋体" w:eastAsia="宋体" w:cs="宋体"/>
          <w:b/>
          <w:color w:val="auto"/>
          <w:sz w:val="32"/>
          <w:szCs w:val="32"/>
          <w:highlight w:val="none"/>
        </w:rPr>
        <w:t>条款</w:t>
      </w:r>
      <w:bookmarkEnd w:id="183"/>
      <w:bookmarkEnd w:id="184"/>
      <w:bookmarkEnd w:id="185"/>
      <w:bookmarkEnd w:id="186"/>
      <w:bookmarkEnd w:id="187"/>
      <w:bookmarkEnd w:id="188"/>
      <w:bookmarkEnd w:id="193"/>
    </w:p>
    <w:p w14:paraId="3AADA4CF">
      <w:pPr>
        <w:spacing w:line="44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一、政府采购合同协议书</w:t>
      </w:r>
    </w:p>
    <w:p w14:paraId="0D1D540C">
      <w:pPr>
        <w:spacing w:line="44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政府采购合同协议书</w:t>
      </w:r>
    </w:p>
    <w:p w14:paraId="192686DE">
      <w:pPr>
        <w:adjustRightInd w:val="0"/>
        <w:snapToGrid w:val="0"/>
        <w:spacing w:before="156" w:beforeLines="50" w:line="360" w:lineRule="auto"/>
        <w:jc w:val="center"/>
        <w:rPr>
          <w:rFonts w:hint="eastAsia" w:ascii="宋体" w:hAnsi="宋体" w:eastAsia="宋体" w:cs="宋体"/>
          <w:color w:val="auto"/>
          <w:szCs w:val="21"/>
          <w:highlight w:val="none"/>
        </w:rPr>
      </w:pPr>
      <w:r>
        <w:rPr>
          <w:rFonts w:hint="eastAsia" w:ascii="宋体" w:hAnsi="宋体" w:eastAsia="宋体" w:cs="宋体"/>
          <w:color w:val="auto"/>
          <w:sz w:val="24"/>
          <w:highlight w:val="none"/>
        </w:rPr>
        <w:t>（请按照《中华人民共和国民法典》及本采购项目特点自行拟定特定文本确定合同格式，</w:t>
      </w:r>
      <w:r>
        <w:rPr>
          <w:rFonts w:hint="eastAsia" w:ascii="宋体" w:hAnsi="宋体" w:eastAsia="宋体" w:cs="宋体"/>
          <w:b/>
          <w:bCs/>
          <w:color w:val="auto"/>
          <w:sz w:val="24"/>
          <w:highlight w:val="none"/>
        </w:rPr>
        <w:t>本协议书仅供参考，不作限制</w:t>
      </w:r>
      <w:r>
        <w:rPr>
          <w:rFonts w:hint="eastAsia" w:ascii="宋体" w:hAnsi="宋体" w:eastAsia="宋体" w:cs="宋体"/>
          <w:color w:val="auto"/>
          <w:sz w:val="24"/>
          <w:highlight w:val="none"/>
        </w:rPr>
        <w:t>）</w:t>
      </w:r>
    </w:p>
    <w:p w14:paraId="2AC6899A">
      <w:pPr>
        <w:spacing w:line="440" w:lineRule="exact"/>
        <w:ind w:firstLine="5775" w:firstLineChars="275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采购合同编号：</w:t>
      </w:r>
      <w:r>
        <w:rPr>
          <w:rFonts w:hint="eastAsia" w:ascii="宋体" w:hAnsi="宋体" w:eastAsia="宋体" w:cs="宋体"/>
          <w:color w:val="auto"/>
          <w:szCs w:val="21"/>
          <w:highlight w:val="none"/>
          <w:u w:val="single"/>
        </w:rPr>
        <w:t xml:space="preserve">                 </w:t>
      </w:r>
    </w:p>
    <w:p w14:paraId="6FBE3820">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郴州市第一人民医院</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（甲方）</w:t>
      </w:r>
    </w:p>
    <w:p w14:paraId="044F0CA9">
      <w:pPr>
        <w:adjustRightInd w:val="0"/>
        <w:snapToGrid w:val="0"/>
        <w:spacing w:line="500" w:lineRule="exact"/>
        <w:ind w:firstLine="420" w:firstLineChars="200"/>
        <w:rPr>
          <w:rFonts w:hint="default" w:ascii="宋体" w:hAnsi="宋体" w:eastAsia="宋体" w:cs="宋体"/>
          <w:b w:val="0"/>
          <w:bCs w:val="0"/>
          <w:color w:val="auto"/>
          <w:kern w:val="2"/>
          <w:sz w:val="21"/>
          <w:szCs w:val="21"/>
          <w:highlight w:val="none"/>
          <w:u w:val="single"/>
          <w:lang w:val="en-US" w:eastAsia="zh-CN" w:bidi="ar-SA"/>
        </w:rPr>
      </w:pPr>
      <w:r>
        <w:rPr>
          <w:rFonts w:hint="eastAsia" w:ascii="宋体" w:hAnsi="宋体" w:eastAsia="宋体" w:cs="宋体"/>
          <w:b w:val="0"/>
          <w:bCs w:val="0"/>
          <w:color w:val="auto"/>
          <w:kern w:val="2"/>
          <w:sz w:val="21"/>
          <w:szCs w:val="21"/>
          <w:highlight w:val="none"/>
          <w:lang w:val="en-US" w:eastAsia="zh-CN" w:bidi="ar-SA"/>
        </w:rPr>
        <w:t>代建单位：</w:t>
      </w:r>
      <w:r>
        <w:rPr>
          <w:rFonts w:hint="eastAsia" w:ascii="宋体" w:hAnsi="宋体" w:eastAsia="宋体" w:cs="宋体"/>
          <w:b w:val="0"/>
          <w:bCs w:val="0"/>
          <w:color w:val="auto"/>
          <w:kern w:val="2"/>
          <w:sz w:val="21"/>
          <w:szCs w:val="21"/>
          <w:highlight w:val="none"/>
          <w:u w:val="single"/>
          <w:lang w:val="en-US" w:eastAsia="zh-CN" w:bidi="ar-SA"/>
        </w:rPr>
        <w:t xml:space="preserve"> 湖南明泰项目管理有限公司 </w:t>
      </w:r>
    </w:p>
    <w:p w14:paraId="5993AE9F">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（乙方）</w:t>
      </w:r>
    </w:p>
    <w:p w14:paraId="1291882B">
      <w:pPr>
        <w:adjustRightInd w:val="0"/>
        <w:snapToGrid w:val="0"/>
        <w:spacing w:line="500" w:lineRule="exact"/>
        <w:ind w:firstLine="420" w:firstLineChars="200"/>
        <w:rPr>
          <w:rFonts w:hint="eastAsia" w:ascii="宋体" w:hAnsi="宋体" w:eastAsia="宋体" w:cs="宋体"/>
          <w:color w:val="auto"/>
          <w:szCs w:val="21"/>
          <w:highlight w:val="none"/>
        </w:rPr>
      </w:pPr>
    </w:p>
    <w:p w14:paraId="1100BB28">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依据《中华人民共和国民法典》、《中华人民共和国政府采购法》及其他有关法律、行政法规，遵循平等、自愿、公平和诚实信用的原则，双方就本建设工程施工事项协商一致，订立本协议书。</w:t>
      </w:r>
    </w:p>
    <w:p w14:paraId="320C4DA5">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1、项目信息</w:t>
      </w:r>
    </w:p>
    <w:p w14:paraId="7AF4D8DB">
      <w:pPr>
        <w:pStyle w:val="8"/>
        <w:adjustRightInd w:val="0"/>
        <w:snapToGrid w:val="0"/>
        <w:spacing w:after="0" w:line="500" w:lineRule="exact"/>
        <w:ind w:left="0" w:leftChars="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1.1采购项目名称：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郴州市第一人民医院妇产中心建设项目特殊装修工程（优生优育、产科实验室）</w:t>
      </w:r>
      <w:r>
        <w:rPr>
          <w:rFonts w:hint="eastAsia" w:ascii="宋体" w:hAnsi="宋体" w:eastAsia="宋体" w:cs="宋体"/>
          <w:color w:val="auto"/>
          <w:szCs w:val="21"/>
          <w:highlight w:val="none"/>
          <w:u w:val="single"/>
        </w:rPr>
        <w:t xml:space="preserve"> </w:t>
      </w:r>
    </w:p>
    <w:p w14:paraId="25FBD054">
      <w:pPr>
        <w:pStyle w:val="8"/>
        <w:adjustRightInd w:val="0"/>
        <w:snapToGrid w:val="0"/>
        <w:spacing w:after="0" w:line="500" w:lineRule="exact"/>
        <w:ind w:left="0" w:leftChars="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1.2采购代理机构编号：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GZ-ZFCG2025-011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FB59066">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1.3项目内容：</w:t>
      </w:r>
      <w:r>
        <w:rPr>
          <w:rFonts w:hint="eastAsia" w:ascii="宋体" w:hAnsi="宋体" w:eastAsia="宋体" w:cs="宋体"/>
          <w:color w:val="auto"/>
          <w:szCs w:val="21"/>
          <w:highlight w:val="none"/>
          <w:u w:val="single"/>
        </w:rPr>
        <w:t xml:space="preserve"> 郴州市第一人民医院妇产中心建设项目</w:t>
      </w:r>
      <w:r>
        <w:rPr>
          <w:rFonts w:hint="eastAsia" w:ascii="宋体" w:hAnsi="宋体" w:eastAsia="宋体" w:cs="宋体"/>
          <w:color w:val="auto"/>
          <w:szCs w:val="21"/>
          <w:highlight w:val="none"/>
          <w:u w:val="single"/>
          <w:lang w:val="en-US" w:eastAsia="zh-CN"/>
        </w:rPr>
        <w:t>位于中心医院和南院医疗区，涉及医疗及技术用房约1.18万m2，主要建设内容包括生殖中心、产科、优生优育的建设，以及相关专科设备和信息系统的购置。</w:t>
      </w:r>
      <w:r>
        <w:rPr>
          <w:rFonts w:hint="eastAsia" w:ascii="宋体" w:hAnsi="宋体" w:eastAsia="宋体" w:cs="宋体"/>
          <w:color w:val="auto"/>
          <w:szCs w:val="21"/>
          <w:highlight w:val="none"/>
          <w:u w:val="single"/>
        </w:rPr>
        <w:t>本工程</w:t>
      </w:r>
      <w:r>
        <w:rPr>
          <w:rFonts w:hint="eastAsia" w:ascii="宋体" w:hAnsi="宋体" w:eastAsia="宋体" w:cs="宋体"/>
          <w:color w:val="auto"/>
          <w:szCs w:val="21"/>
          <w:highlight w:val="none"/>
          <w:u w:val="single"/>
          <w:lang w:val="en-US" w:eastAsia="zh-CN"/>
        </w:rPr>
        <w:t>位于中心医院内科大楼23楼，施工内容包括优生优育、产科等实验室的</w:t>
      </w:r>
      <w:r>
        <w:rPr>
          <w:rFonts w:hint="eastAsia" w:ascii="宋体" w:hAnsi="宋体" w:eastAsia="宋体" w:cs="宋体"/>
          <w:color w:val="auto"/>
          <w:szCs w:val="21"/>
          <w:highlight w:val="none"/>
          <w:u w:val="single"/>
        </w:rPr>
        <w:t>特殊装修</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具体详见设计图纸、工程量清单等。  </w:t>
      </w:r>
    </w:p>
    <w:p w14:paraId="09BF3148">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2、工程概况</w:t>
      </w:r>
    </w:p>
    <w:p w14:paraId="5A54BD90">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2.1工程名称：</w:t>
      </w:r>
      <w:r>
        <w:rPr>
          <w:rFonts w:hint="eastAsia" w:ascii="宋体" w:hAnsi="宋体" w:eastAsia="宋体" w:cs="宋体"/>
          <w:color w:val="auto"/>
          <w:szCs w:val="21"/>
          <w:highlight w:val="none"/>
          <w:u w:val="single"/>
          <w:lang w:eastAsia="zh-CN"/>
        </w:rPr>
        <w:t>郴州市第一人民医院妇产中心建设项目特殊装修工程（优生优育、产科实验室）</w:t>
      </w:r>
    </w:p>
    <w:p w14:paraId="3CB6B18A">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2.2工程地点：</w:t>
      </w:r>
    </w:p>
    <w:p w14:paraId="2955D8F7">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2.3工程内容：详见施工设计图纸和工程量清单。</w:t>
      </w:r>
    </w:p>
    <w:p w14:paraId="7BA72570">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3、工程承包范围：</w:t>
      </w:r>
      <w:r>
        <w:rPr>
          <w:rFonts w:hint="eastAsia" w:ascii="宋体" w:hAnsi="宋体" w:eastAsia="宋体" w:cs="宋体"/>
          <w:color w:val="auto"/>
          <w:szCs w:val="21"/>
          <w:highlight w:val="none"/>
        </w:rPr>
        <w:t>工程材料和设施采购、工程施工和工程质量保修等。</w:t>
      </w:r>
    </w:p>
    <w:p w14:paraId="582E7DD8">
      <w:pPr>
        <w:adjustRightInd w:val="0"/>
        <w:snapToGrid w:val="0"/>
        <w:spacing w:line="500" w:lineRule="exact"/>
        <w:ind w:firstLine="420" w:firstLineChars="200"/>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rPr>
        <w:t>4、合同工期</w:t>
      </w:r>
      <w:r>
        <w:rPr>
          <w:rFonts w:hint="eastAsia" w:ascii="宋体" w:hAnsi="宋体" w:cs="宋体"/>
          <w:b/>
          <w:color w:val="auto"/>
          <w:szCs w:val="21"/>
          <w:highlight w:val="none"/>
          <w:lang w:eastAsia="zh-CN"/>
        </w:rPr>
        <w:t>：</w:t>
      </w:r>
      <w:r>
        <w:rPr>
          <w:rFonts w:hint="eastAsia" w:ascii="宋体" w:hAnsi="宋体" w:cs="宋体"/>
          <w:b w:val="0"/>
          <w:bCs/>
          <w:color w:val="auto"/>
          <w:szCs w:val="21"/>
          <w:highlight w:val="none"/>
          <w:lang w:val="en-US" w:eastAsia="zh-CN"/>
        </w:rPr>
        <w:t>90天，</w:t>
      </w:r>
      <w:r>
        <w:rPr>
          <w:rFonts w:hint="eastAsia" w:ascii="宋体" w:hAnsi="宋体" w:eastAsia="宋体" w:cs="宋体"/>
          <w:color w:val="auto"/>
          <w:szCs w:val="21"/>
          <w:highlight w:val="none"/>
          <w:lang w:val="en-US" w:eastAsia="zh-CN"/>
        </w:rPr>
        <w:t>以监理单位下发的开工令开工时间计算。</w:t>
      </w:r>
    </w:p>
    <w:p w14:paraId="3F4DD77A">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4.1开工日期：</w:t>
      </w:r>
    </w:p>
    <w:p w14:paraId="5C6E934B">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4.2竣工日期：</w:t>
      </w:r>
    </w:p>
    <w:p w14:paraId="12336310">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4.3合同工期总日历天数</w:t>
      </w:r>
      <w:r>
        <w:rPr>
          <w:rFonts w:hint="eastAsia" w:ascii="宋体" w:hAnsi="宋体" w:cs="宋体"/>
          <w:color w:val="auto"/>
          <w:szCs w:val="21"/>
          <w:highlight w:val="none"/>
          <w:lang w:val="en-US" w:eastAsia="zh-CN"/>
        </w:rPr>
        <w:t>90</w:t>
      </w:r>
      <w:r>
        <w:rPr>
          <w:rFonts w:hint="eastAsia" w:ascii="宋体" w:hAnsi="宋体" w:eastAsia="宋体" w:cs="宋体"/>
          <w:color w:val="auto"/>
          <w:szCs w:val="21"/>
          <w:highlight w:val="none"/>
        </w:rPr>
        <w:t>天。</w:t>
      </w:r>
    </w:p>
    <w:p w14:paraId="3718F9D7">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5、质量标准</w:t>
      </w:r>
    </w:p>
    <w:p w14:paraId="144D8062">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工程质量标准：</w:t>
      </w:r>
      <w:r>
        <w:rPr>
          <w:rFonts w:hint="eastAsia" w:ascii="宋体" w:hAnsi="宋体" w:eastAsia="宋体" w:cs="宋体"/>
          <w:color w:val="auto"/>
          <w:szCs w:val="21"/>
          <w:highlight w:val="none"/>
          <w:u w:val="single"/>
          <w:lang w:val="en-US" w:eastAsia="zh-CN"/>
        </w:rPr>
        <w:t>符合国家现行验收标准，竣（交）工达到合格标准。施工期间，应接受招标人及政府建设主管部门的监督管理，遵守有关法律法规</w:t>
      </w:r>
      <w:r>
        <w:rPr>
          <w:rFonts w:hint="eastAsia" w:ascii="宋体" w:hAnsi="宋体" w:eastAsia="宋体" w:cs="宋体"/>
          <w:bCs/>
          <w:color w:val="auto"/>
          <w:szCs w:val="21"/>
          <w:highlight w:val="none"/>
          <w:u w:val="single"/>
        </w:rPr>
        <w:t>。</w:t>
      </w:r>
    </w:p>
    <w:p w14:paraId="7FEAAF1E">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6、合同价款</w:t>
      </w:r>
    </w:p>
    <w:p w14:paraId="0D717DB8">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金额（大写）：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元（人民币）￥：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本项目成交金额不能作为总价包干依据，最终结算价以财政投资评审中心审核的为准。投标人应根据项目要求和现场情况，详细列明项目所需的设备、材料以及所有人工、管理、财务等所有费用，如投标人遗漏磋商文件所列工程量清单内容，均由成交人自负，采购人不再支付任何费用。</w:t>
      </w:r>
    </w:p>
    <w:p w14:paraId="06E0B8F8">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7、付款人及付款方式：</w:t>
      </w:r>
    </w:p>
    <w:p w14:paraId="75AC2707">
      <w:pPr>
        <w:adjustRightInd w:val="0"/>
        <w:snapToGrid w:val="0"/>
        <w:spacing w:line="500" w:lineRule="exact"/>
        <w:ind w:firstLine="420" w:firstLineChars="200"/>
        <w:rPr>
          <w:rFonts w:hint="eastAsia" w:ascii="宋体" w:hAnsi="宋体" w:cs="宋体"/>
          <w:color w:val="auto"/>
          <w:highlight w:val="none"/>
          <w:lang w:eastAsia="zh-CN"/>
        </w:rPr>
      </w:pPr>
      <w:r>
        <w:rPr>
          <w:rFonts w:hint="eastAsia" w:ascii="宋体" w:hAnsi="宋体" w:eastAsia="宋体" w:cs="宋体"/>
          <w:color w:val="auto"/>
          <w:szCs w:val="21"/>
          <w:highlight w:val="none"/>
        </w:rPr>
        <w:t>付款人：</w:t>
      </w:r>
      <w:r>
        <w:rPr>
          <w:rFonts w:hint="eastAsia" w:ascii="宋体" w:hAnsi="宋体" w:cs="宋体"/>
          <w:color w:val="auto"/>
          <w:highlight w:val="none"/>
          <w:lang w:eastAsia="zh-CN"/>
        </w:rPr>
        <w:t>郴州市第一人民医院</w:t>
      </w:r>
    </w:p>
    <w:p w14:paraId="5EDD47E1">
      <w:pPr>
        <w:adjustRightInd w:val="0"/>
        <w:snapToGrid w:val="0"/>
        <w:spacing w:line="50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付款方式：</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lang w:val="en-US" w:eastAsia="zh-CN"/>
        </w:rPr>
        <w:t>合同签订后，提供预付款担保，预付款申请和正式发票，支付预付款30%(合同金额扣除不可预计费)，在后期支付工程进度款时分两次(每次50%)予以扣回，当月进度款不足以抵扣预付款则累计至下月;工程进度款按国家有关规定执行，安全文明措施费及农民工工资保证金等须按照有关规定执行到位。</w:t>
      </w:r>
    </w:p>
    <w:p w14:paraId="006B7E6A">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en-US" w:eastAsia="zh-CN"/>
        </w:rPr>
        <w:t>按每个月进度支付进度款：承包人应在每月15日前上报进度款资料，当期进度款应按当期实物量完成量的80％进行支付；竣工验收前累计支付不超过合同额的 80%。</w:t>
      </w:r>
    </w:p>
    <w:p w14:paraId="391C1B7C">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en-US" w:eastAsia="zh-CN"/>
        </w:rPr>
        <w:t>项目完工后，取得竣工验收合格报告，并经发包人组织相关部门验收合格后，经过工程审计结算后，付至工程结算金额的97%，余款3％留作质保金，质保期满贰年无质量问题无息返还。</w:t>
      </w:r>
    </w:p>
    <w:p w14:paraId="21D71B6A">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en-US" w:eastAsia="zh-CN"/>
        </w:rPr>
        <w:t>每次支付工程款(进度款、结算款等)，承包人必须向发包人提供合法、合规且经本项目所在地税务部门认可的，且对发包人开具含税的正式发票，并提供公司法人或项目经理签字和盖章的付款申请，款项支付付至承包人的基本账户，安全文明施工措施费支付承包人的专用账户，农民工工资支付至专用账户。</w:t>
      </w:r>
    </w:p>
    <w:p w14:paraId="5D66E468">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en-US" w:eastAsia="zh-CN"/>
        </w:rPr>
        <w:t>施工中用到甲方水电，水费按审定金额的0.5%计算，电费按审定金额的0.5%计算，由甲方从结算款中直接扣除。</w:t>
      </w:r>
    </w:p>
    <w:p w14:paraId="1082AC51">
      <w:pPr>
        <w:adjustRightInd w:val="0"/>
        <w:snapToGrid w:val="0"/>
        <w:spacing w:line="360" w:lineRule="auto"/>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lang w:val="en-US" w:eastAsia="zh-CN"/>
        </w:rPr>
        <w:t>承包方应严格执行《保障农民工工资支付条例》等国家有关规定，务必专款专用，按时支付农民工工资，切实保障农民工的合法权益。若出现农民工工资投诉，查实后按每次1000元考核从工程款中扣除。</w:t>
      </w:r>
    </w:p>
    <w:p w14:paraId="210BFFB6">
      <w:pPr>
        <w:numPr>
          <w:ilvl w:val="0"/>
          <w:numId w:val="0"/>
        </w:numPr>
        <w:adjustRightInd w:val="0"/>
        <w:snapToGrid w:val="0"/>
        <w:spacing w:line="500" w:lineRule="exact"/>
        <w:ind w:firstLine="630" w:firstLineChars="3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en-US" w:eastAsia="zh-CN"/>
        </w:rPr>
        <w:t>承包方承诺工程结算绝不高估冒算，并承担竣工结算净核减率&gt;5%的净核减额对应的审计费用。施工方应承担的审计费用将从审计确认后的竣工结算金额中扣除，支付给受托审计的工程造价咨询机构，结算完成后乙方所开具的发票不含此部分的金额。</w:t>
      </w:r>
    </w:p>
    <w:p w14:paraId="4FE8F8DB">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8、解决合同纠纷方式</w:t>
      </w:r>
    </w:p>
    <w:p w14:paraId="7B85ED48">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首先通过双方协商解决，协商解决不成，则通过以下途径之一解决纠纷：</w:t>
      </w:r>
    </w:p>
    <w:p w14:paraId="6C52D370">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 xml:space="preserve"> 提请仲裁       □ 向人民法院提起诉讼</w:t>
      </w:r>
    </w:p>
    <w:p w14:paraId="7D1CE36D">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9、组成合同的文件</w:t>
      </w:r>
    </w:p>
    <w:p w14:paraId="7F912A6E">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组成本合同的文件包括：</w:t>
      </w:r>
    </w:p>
    <w:p w14:paraId="089B8AC6">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(1)本合同协议书</w:t>
      </w:r>
    </w:p>
    <w:p w14:paraId="0527CB26">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(2)中标通知书</w:t>
      </w:r>
    </w:p>
    <w:p w14:paraId="1F69294E">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(3)乙方响应文件及其附件</w:t>
      </w:r>
    </w:p>
    <w:p w14:paraId="7A8F1350">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(4)本合同专用条款</w:t>
      </w:r>
    </w:p>
    <w:p w14:paraId="6AA560BC">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(5)本合同通用条款</w:t>
      </w:r>
    </w:p>
    <w:p w14:paraId="45322640">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(6)标准、规范及有关技术文件</w:t>
      </w:r>
    </w:p>
    <w:p w14:paraId="216DCB94">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(7)图纸</w:t>
      </w:r>
    </w:p>
    <w:p w14:paraId="14260097">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(8)工程报价单或预算书。</w:t>
      </w:r>
    </w:p>
    <w:p w14:paraId="25EF6A8F">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双方有关工程的洽商、变更等书面协议或文件均视为本合同的组成部分。</w:t>
      </w:r>
    </w:p>
    <w:p w14:paraId="2BEC8892">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10</w:t>
      </w:r>
      <w:r>
        <w:rPr>
          <w:rFonts w:hint="eastAsia" w:ascii="宋体" w:hAnsi="宋体" w:eastAsia="宋体" w:cs="宋体"/>
          <w:color w:val="auto"/>
          <w:szCs w:val="21"/>
          <w:highlight w:val="none"/>
        </w:rPr>
        <w:t>、本协议书中有关词语含义与本合同第二部分《通用条款》中分别赋予它们的定义相同。</w:t>
      </w:r>
    </w:p>
    <w:p w14:paraId="2C31C5EE">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11</w:t>
      </w:r>
      <w:r>
        <w:rPr>
          <w:rFonts w:hint="eastAsia" w:ascii="宋体" w:hAnsi="宋体" w:eastAsia="宋体" w:cs="宋体"/>
          <w:color w:val="auto"/>
          <w:szCs w:val="21"/>
          <w:highlight w:val="none"/>
        </w:rPr>
        <w:t>、承包人向发包人承诺按照合同约定进行施工、竣工并在质量保修期内承担工程质量保修责任。</w:t>
      </w:r>
    </w:p>
    <w:p w14:paraId="3A7BAB77">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12</w:t>
      </w:r>
      <w:r>
        <w:rPr>
          <w:rFonts w:hint="eastAsia" w:ascii="宋体" w:hAnsi="宋体" w:eastAsia="宋体" w:cs="宋体"/>
          <w:color w:val="auto"/>
          <w:szCs w:val="21"/>
          <w:highlight w:val="none"/>
        </w:rPr>
        <w:t>、发包人向承包人承诺按照合同约定的期限和方式支付合同价款及其他应当支付的款项。</w:t>
      </w:r>
    </w:p>
    <w:p w14:paraId="537AAFD2">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13</w:t>
      </w:r>
      <w:r>
        <w:rPr>
          <w:rFonts w:hint="eastAsia" w:ascii="宋体" w:hAnsi="宋体" w:eastAsia="宋体" w:cs="宋体"/>
          <w:color w:val="auto"/>
          <w:szCs w:val="21"/>
          <w:highlight w:val="none"/>
        </w:rPr>
        <w:t>、合同生效（发包人收到承包人履约保证金后生效）。</w:t>
      </w:r>
    </w:p>
    <w:p w14:paraId="6332BFA9">
      <w:pPr>
        <w:adjustRightInd w:val="0"/>
        <w:snapToGrid w:val="0"/>
        <w:spacing w:line="50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14、合同份数</w:t>
      </w:r>
    </w:p>
    <w:p w14:paraId="18FADC4D">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份，发包人执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份、承包人执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份，均具有同等法律效力。</w:t>
      </w:r>
    </w:p>
    <w:p w14:paraId="2C3AD636">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CC5BDEE">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74FC846">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      方：（公章）                     乙      方：（公章）</w:t>
      </w:r>
    </w:p>
    <w:p w14:paraId="1F76064B">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p>
    <w:p w14:paraId="54A62B5F">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xml:space="preserve">                     </w:t>
      </w:r>
    </w:p>
    <w:p w14:paraId="4CAE4873">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42BF641D">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w:t>
      </w:r>
    </w:p>
    <w:p w14:paraId="3250A746">
      <w:pPr>
        <w:adjustRightInd w:val="0"/>
        <w:snapToGrid w:val="0"/>
        <w:spacing w:line="5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开 户 银 行：</w:t>
      </w:r>
      <w:r>
        <w:rPr>
          <w:rFonts w:hint="eastAsia" w:ascii="宋体" w:hAnsi="宋体" w:eastAsia="宋体" w:cs="宋体"/>
          <w:color w:val="auto"/>
          <w:szCs w:val="21"/>
          <w:highlight w:val="none"/>
          <w:u w:val="single"/>
        </w:rPr>
        <w:t xml:space="preserve">                    </w:t>
      </w:r>
    </w:p>
    <w:p w14:paraId="20D672A9">
      <w:pPr>
        <w:snapToGrid w:val="0"/>
        <w:spacing w:line="500" w:lineRule="exact"/>
        <w:ind w:firstLine="420" w:firstLineChars="200"/>
        <w:jc w:val="cente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帐       号：</w:t>
      </w:r>
      <w:r>
        <w:rPr>
          <w:rFonts w:hint="eastAsia" w:ascii="宋体" w:hAnsi="宋体" w:eastAsia="宋体" w:cs="宋体"/>
          <w:color w:val="auto"/>
          <w:szCs w:val="21"/>
          <w:highlight w:val="none"/>
          <w:u w:val="single"/>
        </w:rPr>
        <w:t xml:space="preserve">                    </w:t>
      </w:r>
    </w:p>
    <w:p w14:paraId="4CEBBACF">
      <w:pPr>
        <w:snapToGrid w:val="0"/>
        <w:spacing w:line="440" w:lineRule="exact"/>
        <w:ind w:firstLine="420" w:firstLineChars="200"/>
        <w:jc w:val="center"/>
        <w:rPr>
          <w:rFonts w:hint="eastAsia" w:ascii="宋体" w:hAnsi="宋体" w:eastAsia="宋体" w:cs="宋体"/>
          <w:color w:val="auto"/>
          <w:szCs w:val="21"/>
          <w:highlight w:val="none"/>
          <w:u w:val="single"/>
        </w:rPr>
      </w:pPr>
    </w:p>
    <w:p w14:paraId="1A2792AF">
      <w:pPr>
        <w:widowControl/>
        <w:jc w:val="center"/>
        <w:rPr>
          <w:rFonts w:hint="eastAsia" w:ascii="宋体" w:hAnsi="宋体" w:eastAsia="宋体" w:cs="宋体"/>
          <w:b/>
          <w:bCs/>
          <w:color w:val="auto"/>
          <w:kern w:val="0"/>
          <w:sz w:val="28"/>
          <w:szCs w:val="28"/>
          <w:highlight w:val="none"/>
          <w:lang w:bidi="ar"/>
        </w:rPr>
      </w:pPr>
    </w:p>
    <w:p w14:paraId="447E11D8">
      <w:pPr>
        <w:widowControl/>
        <w:jc w:val="center"/>
        <w:rPr>
          <w:rFonts w:hint="eastAsia" w:ascii="宋体" w:hAnsi="宋体" w:eastAsia="宋体" w:cs="宋体"/>
          <w:b/>
          <w:bCs/>
          <w:color w:val="auto"/>
          <w:kern w:val="0"/>
          <w:sz w:val="28"/>
          <w:szCs w:val="28"/>
          <w:highlight w:val="none"/>
          <w:lang w:bidi="ar"/>
        </w:rPr>
      </w:pPr>
    </w:p>
    <w:p w14:paraId="1E8943C6">
      <w:pPr>
        <w:widowControl/>
        <w:jc w:val="center"/>
        <w:rPr>
          <w:rFonts w:hint="eastAsia" w:ascii="宋体" w:hAnsi="宋体" w:eastAsia="宋体" w:cs="宋体"/>
          <w:b/>
          <w:bCs/>
          <w:color w:val="auto"/>
          <w:kern w:val="0"/>
          <w:sz w:val="28"/>
          <w:szCs w:val="28"/>
          <w:highlight w:val="none"/>
          <w:lang w:bidi="ar"/>
        </w:rPr>
      </w:pPr>
    </w:p>
    <w:p w14:paraId="588D617E">
      <w:pPr>
        <w:widowControl/>
        <w:jc w:val="center"/>
        <w:rPr>
          <w:rFonts w:hint="eastAsia" w:ascii="宋体" w:hAnsi="宋体" w:eastAsia="宋体" w:cs="宋体"/>
          <w:b/>
          <w:bCs/>
          <w:color w:val="auto"/>
          <w:kern w:val="0"/>
          <w:sz w:val="28"/>
          <w:szCs w:val="28"/>
          <w:highlight w:val="none"/>
          <w:lang w:bidi="ar"/>
        </w:rPr>
      </w:pPr>
      <w:r>
        <w:rPr>
          <w:rFonts w:hint="eastAsia" w:ascii="宋体" w:hAnsi="宋体" w:eastAsia="宋体" w:cs="宋体"/>
          <w:b/>
          <w:bCs/>
          <w:color w:val="auto"/>
          <w:kern w:val="0"/>
          <w:sz w:val="28"/>
          <w:szCs w:val="28"/>
          <w:highlight w:val="none"/>
          <w:lang w:bidi="ar"/>
        </w:rPr>
        <w:t>第</w:t>
      </w:r>
      <w:r>
        <w:rPr>
          <w:rFonts w:hint="eastAsia" w:ascii="宋体" w:hAnsi="宋体" w:cs="宋体"/>
          <w:b/>
          <w:bCs/>
          <w:color w:val="auto"/>
          <w:kern w:val="0"/>
          <w:sz w:val="28"/>
          <w:szCs w:val="28"/>
          <w:highlight w:val="none"/>
          <w:lang w:val="en-US" w:eastAsia="zh-CN" w:bidi="ar"/>
        </w:rPr>
        <w:t>二</w:t>
      </w:r>
      <w:r>
        <w:rPr>
          <w:rFonts w:hint="eastAsia" w:ascii="宋体" w:hAnsi="宋体" w:eastAsia="宋体" w:cs="宋体"/>
          <w:b/>
          <w:bCs/>
          <w:color w:val="auto"/>
          <w:kern w:val="0"/>
          <w:sz w:val="28"/>
          <w:szCs w:val="28"/>
          <w:highlight w:val="none"/>
          <w:lang w:bidi="ar"/>
        </w:rPr>
        <w:t>节 政府采购合同</w:t>
      </w:r>
      <w:r>
        <w:rPr>
          <w:rFonts w:hint="eastAsia" w:ascii="宋体" w:hAnsi="宋体" w:cs="宋体"/>
          <w:b/>
          <w:bCs/>
          <w:color w:val="auto"/>
          <w:kern w:val="0"/>
          <w:sz w:val="28"/>
          <w:szCs w:val="28"/>
          <w:highlight w:val="none"/>
          <w:lang w:val="en-US" w:eastAsia="zh-CN" w:bidi="ar"/>
        </w:rPr>
        <w:t>通用</w:t>
      </w:r>
      <w:r>
        <w:rPr>
          <w:rFonts w:hint="eastAsia" w:ascii="宋体" w:hAnsi="宋体" w:eastAsia="宋体" w:cs="宋体"/>
          <w:b/>
          <w:bCs/>
          <w:color w:val="auto"/>
          <w:kern w:val="0"/>
          <w:sz w:val="28"/>
          <w:szCs w:val="28"/>
          <w:highlight w:val="none"/>
          <w:lang w:bidi="ar"/>
        </w:rPr>
        <w:t>条款</w:t>
      </w:r>
    </w:p>
    <w:p w14:paraId="7826D6D6">
      <w:pPr>
        <w:widowControl/>
        <w:jc w:val="center"/>
        <w:rPr>
          <w:rFonts w:hint="eastAsia" w:ascii="宋体" w:hAnsi="宋体" w:eastAsia="宋体" w:cs="宋体"/>
          <w:b/>
          <w:bCs/>
          <w:color w:val="auto"/>
          <w:kern w:val="0"/>
          <w:sz w:val="28"/>
          <w:szCs w:val="28"/>
          <w:highlight w:val="none"/>
          <w:lang w:bidi="ar"/>
        </w:rPr>
      </w:pPr>
    </w:p>
    <w:p w14:paraId="254777CF">
      <w:pPr>
        <w:widowControl/>
        <w:jc w:val="center"/>
        <w:rPr>
          <w:rFonts w:hint="eastAsia" w:ascii="宋体" w:hAnsi="宋体" w:eastAsia="宋体" w:cs="宋体"/>
          <w:b/>
          <w:bCs/>
          <w:color w:val="auto"/>
          <w:kern w:val="0"/>
          <w:sz w:val="28"/>
          <w:szCs w:val="28"/>
          <w:highlight w:val="none"/>
          <w:lang w:bidi="ar"/>
        </w:rPr>
      </w:pPr>
    </w:p>
    <w:p w14:paraId="2393BCA8">
      <w:pPr>
        <w:widowControl/>
        <w:jc w:val="center"/>
        <w:rPr>
          <w:rFonts w:hint="eastAsia" w:ascii="宋体" w:hAnsi="宋体" w:eastAsia="宋体" w:cs="宋体"/>
          <w:b/>
          <w:bCs/>
          <w:color w:val="auto"/>
          <w:kern w:val="0"/>
          <w:sz w:val="28"/>
          <w:szCs w:val="28"/>
          <w:highlight w:val="none"/>
          <w:lang w:bidi="ar"/>
        </w:rPr>
      </w:pPr>
    </w:p>
    <w:p w14:paraId="398F3CF3">
      <w:pPr>
        <w:widowControl/>
        <w:jc w:val="center"/>
        <w:rPr>
          <w:rFonts w:hint="eastAsia" w:ascii="宋体" w:hAnsi="宋体" w:eastAsia="宋体" w:cs="宋体"/>
          <w:color w:val="auto"/>
          <w:highlight w:val="none"/>
        </w:rPr>
      </w:pPr>
      <w:r>
        <w:rPr>
          <w:rFonts w:hint="eastAsia" w:ascii="宋体" w:hAnsi="宋体" w:eastAsia="宋体" w:cs="宋体"/>
          <w:b/>
          <w:bCs/>
          <w:color w:val="auto"/>
          <w:kern w:val="0"/>
          <w:sz w:val="28"/>
          <w:szCs w:val="28"/>
          <w:highlight w:val="none"/>
          <w:lang w:bidi="ar"/>
        </w:rPr>
        <w:t>第</w:t>
      </w:r>
      <w:r>
        <w:rPr>
          <w:rFonts w:hint="eastAsia" w:ascii="宋体" w:hAnsi="宋体" w:cs="宋体"/>
          <w:b/>
          <w:bCs/>
          <w:color w:val="auto"/>
          <w:kern w:val="0"/>
          <w:sz w:val="28"/>
          <w:szCs w:val="28"/>
          <w:highlight w:val="none"/>
          <w:lang w:val="en-US" w:eastAsia="zh-CN" w:bidi="ar"/>
        </w:rPr>
        <w:t>三</w:t>
      </w:r>
      <w:r>
        <w:rPr>
          <w:rFonts w:hint="eastAsia" w:ascii="宋体" w:hAnsi="宋体" w:eastAsia="宋体" w:cs="宋体"/>
          <w:b/>
          <w:bCs/>
          <w:color w:val="auto"/>
          <w:kern w:val="0"/>
          <w:sz w:val="28"/>
          <w:szCs w:val="28"/>
          <w:highlight w:val="none"/>
          <w:lang w:bidi="ar"/>
        </w:rPr>
        <w:t>节 政府采购合同专用条款</w:t>
      </w:r>
    </w:p>
    <w:p w14:paraId="52BD454C">
      <w:pPr>
        <w:widowControl/>
        <w:ind w:firstLine="400" w:firstLineChars="200"/>
        <w:jc w:val="left"/>
        <w:rPr>
          <w:rFonts w:hint="eastAsia" w:ascii="宋体" w:hAnsi="宋体" w:eastAsia="宋体" w:cs="宋体"/>
          <w:color w:val="auto"/>
          <w:highlight w:val="none"/>
        </w:rPr>
      </w:pPr>
      <w:r>
        <w:rPr>
          <w:rFonts w:hint="eastAsia" w:ascii="宋体" w:hAnsi="宋体" w:eastAsia="宋体" w:cs="宋体"/>
          <w:color w:val="auto"/>
          <w:kern w:val="0"/>
          <w:sz w:val="20"/>
          <w:szCs w:val="20"/>
          <w:highlight w:val="none"/>
          <w:lang w:bidi="ar"/>
        </w:rPr>
        <w:t xml:space="preserve">专用合同条款是对通用合同条款原则性约定的细化、完善、补充、修改或另行约定的条款。合同当事人可以根据不同建设工程的特点及具体情况，通过双方的磋商、协商对相应的专用合同条款进行修改补充。 </w:t>
      </w:r>
    </w:p>
    <w:p w14:paraId="126F6834">
      <w:pPr>
        <w:widowControl/>
        <w:jc w:val="left"/>
        <w:rPr>
          <w:rFonts w:hint="eastAsia" w:ascii="宋体" w:hAnsi="宋体" w:eastAsia="宋体" w:cs="宋体"/>
          <w:color w:val="auto"/>
          <w:kern w:val="0"/>
          <w:sz w:val="20"/>
          <w:szCs w:val="20"/>
          <w:highlight w:val="none"/>
          <w:lang w:bidi="ar"/>
        </w:rPr>
      </w:pPr>
    </w:p>
    <w:p w14:paraId="4D2DE44B">
      <w:pPr>
        <w:widowControl/>
        <w:ind w:firstLine="400" w:firstLineChars="200"/>
        <w:jc w:val="left"/>
        <w:rPr>
          <w:rFonts w:hint="eastAsia" w:ascii="宋体" w:hAnsi="宋体" w:eastAsia="宋体" w:cs="宋体"/>
          <w:color w:val="auto"/>
          <w:highlight w:val="none"/>
        </w:rPr>
      </w:pPr>
      <w:r>
        <w:rPr>
          <w:rFonts w:hint="eastAsia" w:ascii="宋体" w:hAnsi="宋体" w:eastAsia="宋体" w:cs="宋体"/>
          <w:color w:val="auto"/>
          <w:kern w:val="0"/>
          <w:sz w:val="20"/>
          <w:szCs w:val="20"/>
          <w:highlight w:val="none"/>
          <w:lang w:bidi="ar"/>
        </w:rPr>
        <w:t>具体按《建设工程施工合同（示范文本）》（GF-2017-0201）执行。</w:t>
      </w:r>
    </w:p>
    <w:p w14:paraId="2A3559B7">
      <w:pPr>
        <w:rPr>
          <w:rFonts w:hint="eastAsia" w:ascii="宋体" w:hAnsi="宋体" w:eastAsia="宋体" w:cs="宋体"/>
          <w:color w:val="auto"/>
          <w:highlight w:val="none"/>
        </w:rPr>
      </w:pPr>
    </w:p>
    <w:p w14:paraId="61BC3169">
      <w:pPr>
        <w:snapToGrid w:val="0"/>
        <w:spacing w:line="440" w:lineRule="exact"/>
        <w:ind w:firstLine="420" w:firstLineChars="200"/>
        <w:jc w:val="center"/>
        <w:rPr>
          <w:rFonts w:hint="eastAsia" w:ascii="宋体" w:hAnsi="宋体" w:eastAsia="宋体" w:cs="宋体"/>
          <w:color w:val="auto"/>
          <w:szCs w:val="21"/>
          <w:highlight w:val="none"/>
          <w:u w:val="single"/>
        </w:rPr>
      </w:pPr>
    </w:p>
    <w:p w14:paraId="3C05E47B">
      <w:pPr>
        <w:snapToGrid w:val="0"/>
        <w:spacing w:line="440" w:lineRule="exact"/>
        <w:ind w:firstLine="420" w:firstLineChars="200"/>
        <w:jc w:val="center"/>
        <w:rPr>
          <w:rFonts w:hint="eastAsia" w:ascii="宋体" w:hAnsi="宋体" w:eastAsia="宋体" w:cs="宋体"/>
          <w:color w:val="auto"/>
          <w:szCs w:val="21"/>
          <w:highlight w:val="none"/>
          <w:u w:val="single"/>
        </w:rPr>
      </w:pPr>
    </w:p>
    <w:p w14:paraId="578EB87F">
      <w:pPr>
        <w:snapToGrid w:val="0"/>
        <w:spacing w:line="440" w:lineRule="exact"/>
        <w:ind w:firstLine="420" w:firstLineChars="200"/>
        <w:jc w:val="center"/>
        <w:rPr>
          <w:rFonts w:hint="eastAsia" w:ascii="宋体" w:hAnsi="宋体" w:eastAsia="宋体" w:cs="宋体"/>
          <w:color w:val="auto"/>
          <w:szCs w:val="21"/>
          <w:highlight w:val="none"/>
          <w:u w:val="single"/>
        </w:rPr>
      </w:pPr>
    </w:p>
    <w:p w14:paraId="6ECE3B78">
      <w:pPr>
        <w:snapToGrid w:val="0"/>
        <w:spacing w:line="440" w:lineRule="exact"/>
        <w:ind w:firstLine="420" w:firstLineChars="200"/>
        <w:jc w:val="center"/>
        <w:rPr>
          <w:rFonts w:hint="eastAsia" w:ascii="宋体" w:hAnsi="宋体" w:eastAsia="宋体" w:cs="宋体"/>
          <w:color w:val="auto"/>
          <w:szCs w:val="21"/>
          <w:highlight w:val="none"/>
          <w:u w:val="single"/>
        </w:rPr>
      </w:pPr>
    </w:p>
    <w:p w14:paraId="68308193">
      <w:pPr>
        <w:snapToGrid w:val="0"/>
        <w:spacing w:line="440" w:lineRule="exact"/>
        <w:rPr>
          <w:rFonts w:hint="eastAsia" w:ascii="宋体" w:hAnsi="宋体" w:eastAsia="宋体" w:cs="宋体"/>
          <w:color w:val="auto"/>
          <w:szCs w:val="21"/>
          <w:highlight w:val="none"/>
          <w:u w:val="single"/>
        </w:rPr>
      </w:pPr>
    </w:p>
    <w:p w14:paraId="039634D9">
      <w:pPr>
        <w:pStyle w:val="2"/>
        <w:rPr>
          <w:rFonts w:hint="eastAsia" w:ascii="宋体" w:hAnsi="宋体" w:eastAsia="宋体" w:cs="宋体"/>
          <w:color w:val="auto"/>
          <w:highlight w:val="none"/>
        </w:rPr>
      </w:pPr>
    </w:p>
    <w:p w14:paraId="01885349">
      <w:pPr>
        <w:rPr>
          <w:rFonts w:hint="eastAsia" w:ascii="宋体" w:hAnsi="宋体" w:eastAsia="宋体" w:cs="宋体"/>
          <w:color w:val="auto"/>
          <w:highlight w:val="none"/>
        </w:rPr>
      </w:pPr>
    </w:p>
    <w:p w14:paraId="4EF59C08">
      <w:pPr>
        <w:pStyle w:val="18"/>
        <w:ind w:left="0" w:leftChars="0" w:firstLine="0" w:firstLineChars="0"/>
        <w:rPr>
          <w:rFonts w:hint="eastAsia" w:ascii="宋体" w:hAnsi="宋体" w:eastAsia="宋体" w:cs="宋体"/>
          <w:color w:val="auto"/>
          <w:highlight w:val="none"/>
        </w:rPr>
      </w:pPr>
    </w:p>
    <w:p w14:paraId="3081EC4F">
      <w:pPr>
        <w:pStyle w:val="3"/>
        <w:bidi w:val="0"/>
        <w:jc w:val="center"/>
        <w:rPr>
          <w:rFonts w:hint="eastAsia" w:ascii="宋体" w:hAnsi="宋体" w:eastAsia="宋体" w:cs="宋体"/>
          <w:b/>
          <w:color w:val="auto"/>
          <w:sz w:val="32"/>
          <w:szCs w:val="32"/>
          <w:highlight w:val="none"/>
        </w:rPr>
      </w:pPr>
      <w:bookmarkStart w:id="194" w:name="_Toc522285656"/>
      <w:bookmarkStart w:id="195" w:name="_Toc2674901"/>
      <w:bookmarkStart w:id="196" w:name="_Toc2684034"/>
      <w:bookmarkStart w:id="197" w:name="_Toc489263720"/>
      <w:bookmarkStart w:id="198" w:name="_Toc497049055"/>
      <w:bookmarkStart w:id="199" w:name="_Toc482133465"/>
      <w:bookmarkStart w:id="200" w:name="_Toc498186723"/>
      <w:bookmarkStart w:id="201" w:name="_Toc2951775"/>
      <w:bookmarkStart w:id="202" w:name="_Toc16812"/>
      <w:bookmarkStart w:id="203" w:name="_Toc2674696"/>
      <w:bookmarkStart w:id="204" w:name="_Toc496459167"/>
      <w:bookmarkStart w:id="205" w:name="_Toc4506124"/>
      <w:bookmarkStart w:id="206" w:name="_Toc2593137"/>
      <w:bookmarkStart w:id="207" w:name="_Toc521048949"/>
      <w:r>
        <w:rPr>
          <w:rFonts w:hint="eastAsia" w:ascii="宋体" w:hAnsi="宋体" w:eastAsia="宋体" w:cs="宋体"/>
          <w:b/>
          <w:color w:val="auto"/>
          <w:sz w:val="32"/>
          <w:szCs w:val="32"/>
          <w:highlight w:val="none"/>
        </w:rPr>
        <w:t>第五章 响应文件的组成</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7C3505E8">
      <w:pPr>
        <w:pStyle w:val="9"/>
        <w:adjustRightInd w:val="0"/>
        <w:snapToGrid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政府采购</w:t>
      </w:r>
    </w:p>
    <w:p w14:paraId="63776815">
      <w:pPr>
        <w:adjustRightInd w:val="0"/>
        <w:snapToGrid w:val="0"/>
        <w:spacing w:line="360" w:lineRule="auto"/>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投 标 文 件</w:t>
      </w:r>
    </w:p>
    <w:p w14:paraId="157BC462">
      <w:pPr>
        <w:adjustRightInd w:val="0"/>
        <w:snapToGrid w:val="0"/>
        <w:spacing w:line="360" w:lineRule="auto"/>
        <w:rPr>
          <w:rFonts w:hint="eastAsia" w:ascii="宋体" w:hAnsi="宋体" w:eastAsia="宋体" w:cs="宋体"/>
          <w:b/>
          <w:color w:val="auto"/>
          <w:sz w:val="32"/>
          <w:szCs w:val="32"/>
          <w:highlight w:val="none"/>
        </w:rPr>
      </w:pPr>
    </w:p>
    <w:p w14:paraId="4CF21A28">
      <w:pPr>
        <w:adjustRightInd w:val="0"/>
        <w:snapToGrid w:val="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2"/>
          <w:szCs w:val="32"/>
          <w:highlight w:val="none"/>
        </w:rPr>
        <w:t xml:space="preserve">                     </w:t>
      </w:r>
    </w:p>
    <w:p w14:paraId="3A8DB1EB">
      <w:pPr>
        <w:pStyle w:val="9"/>
        <w:adjustRightInd w:val="0"/>
        <w:snapToGrid w:val="0"/>
        <w:spacing w:line="360" w:lineRule="auto"/>
        <w:ind w:firstLine="1980"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采购项目名称:</w:t>
      </w:r>
      <w:r>
        <w:rPr>
          <w:rFonts w:hint="eastAsia" w:ascii="宋体" w:hAnsi="宋体" w:eastAsia="宋体" w:cs="宋体"/>
          <w:b/>
          <w:bCs/>
          <w:color w:val="auto"/>
          <w:sz w:val="30"/>
          <w:szCs w:val="30"/>
          <w:highlight w:val="none"/>
          <w:u w:val="single"/>
        </w:rPr>
        <w:t xml:space="preserve">                       </w:t>
      </w:r>
    </w:p>
    <w:p w14:paraId="6782214C">
      <w:pPr>
        <w:pStyle w:val="9"/>
        <w:adjustRightInd w:val="0"/>
        <w:snapToGrid w:val="0"/>
        <w:spacing w:line="360" w:lineRule="auto"/>
        <w:ind w:firstLine="1980" w:firstLineChars="66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采   购   人：</w:t>
      </w:r>
      <w:r>
        <w:rPr>
          <w:rFonts w:hint="eastAsia" w:ascii="宋体" w:hAnsi="宋体" w:eastAsia="宋体" w:cs="宋体"/>
          <w:b/>
          <w:bCs/>
          <w:color w:val="auto"/>
          <w:sz w:val="30"/>
          <w:szCs w:val="30"/>
          <w:highlight w:val="none"/>
          <w:u w:val="single"/>
        </w:rPr>
        <w:t xml:space="preserve">                       </w:t>
      </w:r>
    </w:p>
    <w:p w14:paraId="34FD0032">
      <w:pPr>
        <w:pStyle w:val="9"/>
        <w:adjustRightInd w:val="0"/>
        <w:snapToGrid w:val="0"/>
        <w:spacing w:line="360" w:lineRule="auto"/>
        <w:ind w:firstLine="1980"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政府采购编号:</w:t>
      </w:r>
      <w:r>
        <w:rPr>
          <w:rFonts w:hint="eastAsia" w:ascii="宋体" w:hAnsi="宋体" w:eastAsia="宋体" w:cs="宋体"/>
          <w:b/>
          <w:bCs/>
          <w:color w:val="auto"/>
          <w:sz w:val="30"/>
          <w:szCs w:val="30"/>
          <w:highlight w:val="none"/>
          <w:u w:val="single"/>
        </w:rPr>
        <w:t xml:space="preserve">                       </w:t>
      </w:r>
    </w:p>
    <w:p w14:paraId="60E61F50">
      <w:pPr>
        <w:pStyle w:val="9"/>
        <w:adjustRightInd w:val="0"/>
        <w:snapToGrid w:val="0"/>
        <w:spacing w:line="360" w:lineRule="auto"/>
        <w:ind w:firstLine="1980"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采购代理编号:</w:t>
      </w:r>
      <w:r>
        <w:rPr>
          <w:rFonts w:hint="eastAsia" w:ascii="宋体" w:hAnsi="宋体" w:eastAsia="宋体" w:cs="宋体"/>
          <w:b/>
          <w:bCs/>
          <w:color w:val="auto"/>
          <w:sz w:val="30"/>
          <w:szCs w:val="30"/>
          <w:highlight w:val="none"/>
          <w:u w:val="single"/>
        </w:rPr>
        <w:t xml:space="preserve">                       </w:t>
      </w:r>
    </w:p>
    <w:p w14:paraId="327F2F18">
      <w:pPr>
        <w:pStyle w:val="9"/>
        <w:adjustRightInd w:val="0"/>
        <w:snapToGrid w:val="0"/>
        <w:spacing w:line="360" w:lineRule="auto"/>
        <w:ind w:firstLine="1980" w:firstLineChars="660"/>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采购代理机构：</w:t>
      </w:r>
      <w:r>
        <w:rPr>
          <w:rFonts w:hint="eastAsia" w:ascii="宋体" w:hAnsi="宋体" w:eastAsia="宋体" w:cs="宋体"/>
          <w:b/>
          <w:bCs/>
          <w:color w:val="auto"/>
          <w:sz w:val="30"/>
          <w:szCs w:val="30"/>
          <w:highlight w:val="none"/>
          <w:u w:val="single"/>
        </w:rPr>
        <w:t xml:space="preserve">                      </w:t>
      </w:r>
    </w:p>
    <w:p w14:paraId="06770C2A">
      <w:pPr>
        <w:adjustRightInd w:val="0"/>
        <w:snapToGrid w:val="0"/>
        <w:rPr>
          <w:rFonts w:hint="eastAsia" w:ascii="宋体" w:hAnsi="宋体" w:eastAsia="宋体" w:cs="宋体"/>
          <w:color w:val="auto"/>
          <w:sz w:val="30"/>
          <w:szCs w:val="30"/>
          <w:highlight w:val="none"/>
        </w:rPr>
      </w:pPr>
    </w:p>
    <w:p w14:paraId="44E753A4">
      <w:pPr>
        <w:adjustRightInd w:val="0"/>
        <w:snapToGrid w:val="0"/>
        <w:spacing w:line="360" w:lineRule="auto"/>
        <w:rPr>
          <w:rFonts w:hint="eastAsia" w:ascii="宋体" w:hAnsi="宋体" w:eastAsia="宋体" w:cs="宋体"/>
          <w:color w:val="auto"/>
          <w:sz w:val="30"/>
          <w:szCs w:val="30"/>
          <w:highlight w:val="none"/>
        </w:rPr>
      </w:pPr>
    </w:p>
    <w:p w14:paraId="6529AD08">
      <w:pPr>
        <w:adjustRightInd w:val="0"/>
        <w:snapToGrid w:val="0"/>
        <w:spacing w:line="360" w:lineRule="auto"/>
        <w:rPr>
          <w:rFonts w:hint="eastAsia" w:ascii="宋体" w:hAnsi="宋体" w:eastAsia="宋体" w:cs="宋体"/>
          <w:color w:val="auto"/>
          <w:sz w:val="30"/>
          <w:szCs w:val="30"/>
          <w:highlight w:val="none"/>
        </w:rPr>
      </w:pPr>
    </w:p>
    <w:p w14:paraId="41072DA0">
      <w:pPr>
        <w:adjustRightInd w:val="0"/>
        <w:snapToGrid w:val="0"/>
        <w:spacing w:line="360" w:lineRule="auto"/>
        <w:rPr>
          <w:rFonts w:hint="eastAsia" w:ascii="宋体" w:hAnsi="宋体" w:eastAsia="宋体" w:cs="宋体"/>
          <w:color w:val="auto"/>
          <w:sz w:val="30"/>
          <w:szCs w:val="30"/>
          <w:highlight w:val="none"/>
        </w:rPr>
      </w:pPr>
    </w:p>
    <w:p w14:paraId="1D487D19">
      <w:pPr>
        <w:adjustRightInd w:val="0"/>
        <w:snapToGrid w:val="0"/>
        <w:spacing w:line="360" w:lineRule="auto"/>
        <w:ind w:firstLine="1984" w:firstLineChars="6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投标人</w:t>
      </w:r>
      <w:r>
        <w:rPr>
          <w:rFonts w:hint="eastAsia" w:ascii="宋体" w:hAnsi="宋体" w:eastAsia="宋体" w:cs="宋体"/>
          <w:color w:val="auto"/>
          <w:sz w:val="32"/>
          <w:szCs w:val="32"/>
          <w:highlight w:val="none"/>
          <w:u w:val="single"/>
        </w:rPr>
        <w:t xml:space="preserve">                         </w:t>
      </w:r>
    </w:p>
    <w:p w14:paraId="1E6E3421">
      <w:pPr>
        <w:pStyle w:val="18"/>
        <w:ind w:firstLine="640"/>
        <w:jc w:val="center"/>
        <w:rPr>
          <w:rFonts w:hint="eastAsia" w:ascii="宋体" w:hAnsi="宋体" w:eastAsia="宋体" w:cs="宋体"/>
          <w:b/>
          <w:color w:val="auto"/>
          <w:sz w:val="32"/>
          <w:szCs w:val="32"/>
          <w:highlight w:val="none"/>
        </w:rPr>
      </w:pPr>
      <w:r>
        <w:rPr>
          <w:rFonts w:hint="eastAsia" w:ascii="宋体" w:hAnsi="宋体" w:eastAsia="宋体" w:cs="宋体"/>
          <w:color w:val="auto"/>
          <w:sz w:val="32"/>
          <w:szCs w:val="32"/>
          <w:highlight w:val="none"/>
        </w:rPr>
        <w:t>年  月  日</w:t>
      </w:r>
      <w:r>
        <w:rPr>
          <w:rFonts w:hint="eastAsia" w:ascii="宋体" w:hAnsi="宋体" w:eastAsia="宋体" w:cs="宋体"/>
          <w:b/>
          <w:color w:val="auto"/>
          <w:sz w:val="32"/>
          <w:szCs w:val="32"/>
          <w:highlight w:val="none"/>
        </w:rPr>
        <w:br w:type="page"/>
      </w:r>
      <w:r>
        <w:rPr>
          <w:rFonts w:hint="eastAsia" w:ascii="宋体" w:hAnsi="宋体" w:eastAsia="宋体" w:cs="宋体"/>
          <w:b/>
          <w:color w:val="auto"/>
          <w:sz w:val="32"/>
          <w:szCs w:val="32"/>
          <w:highlight w:val="none"/>
        </w:rPr>
        <w:t>目录</w:t>
      </w:r>
    </w:p>
    <w:p w14:paraId="02389D82">
      <w:pPr>
        <w:adjustRightInd w:val="0"/>
        <w:snapToGrid w:val="0"/>
        <w:spacing w:line="440" w:lineRule="exact"/>
        <w:rPr>
          <w:rFonts w:hint="eastAsia" w:ascii="宋体" w:hAnsi="宋体" w:eastAsia="宋体" w:cs="宋体"/>
          <w:color w:val="auto"/>
          <w:highlight w:val="none"/>
        </w:rPr>
      </w:pPr>
    </w:p>
    <w:p w14:paraId="4762C5BB">
      <w:pPr>
        <w:adjustRightInd w:val="0"/>
        <w:snapToGrid w:val="0"/>
        <w:spacing w:line="44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一、磋商响应声明</w:t>
      </w:r>
    </w:p>
    <w:p w14:paraId="65BFA8BE">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附件1：法定代表人身份证明</w:t>
      </w:r>
    </w:p>
    <w:p w14:paraId="6CC304CB">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附件2：法定代表人授权书</w:t>
      </w:r>
    </w:p>
    <w:p w14:paraId="1CE06605">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附件3：工程质量保修书</w:t>
      </w:r>
    </w:p>
    <w:p w14:paraId="31416CB9">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附件4：中小企业声明函</w:t>
      </w:r>
    </w:p>
    <w:p w14:paraId="760062EE">
      <w:pPr>
        <w:adjustRightInd w:val="0"/>
        <w:snapToGrid w:val="0"/>
        <w:spacing w:line="44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二、投标人的资格证明材料</w:t>
      </w:r>
    </w:p>
    <w:p w14:paraId="3DAA5D1C">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附件5：投标人基本情况表</w:t>
      </w:r>
    </w:p>
    <w:p w14:paraId="1151478F">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附件6：磋商文件规定的基本资格条件证明资料</w:t>
      </w:r>
    </w:p>
    <w:p w14:paraId="02AD7E45">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附件7：磋商文件规定的特定资格条件证明资料</w:t>
      </w:r>
    </w:p>
    <w:p w14:paraId="162B5EB4">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附件8：其他证明资料或说明</w:t>
      </w:r>
    </w:p>
    <w:p w14:paraId="2F261039">
      <w:pPr>
        <w:adjustRightInd w:val="0"/>
        <w:snapToGrid w:val="0"/>
        <w:spacing w:line="44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三、施工组织设计</w:t>
      </w:r>
    </w:p>
    <w:p w14:paraId="764B9C2B">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附件9：施工组织设计</w:t>
      </w:r>
    </w:p>
    <w:p w14:paraId="43FDF6BA">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附件10：项目管理机构</w:t>
      </w:r>
    </w:p>
    <w:p w14:paraId="3E30D787">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附件11：施工项目部关键岗位人员无在建工程承诺函</w:t>
      </w:r>
    </w:p>
    <w:p w14:paraId="127920FA">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附件12：参加政府采购活动前三年内在经营活动中没有重大违法记录的书面声明</w:t>
      </w:r>
    </w:p>
    <w:p w14:paraId="24A530B7">
      <w:pPr>
        <w:adjustRightInd w:val="0"/>
        <w:snapToGrid w:val="0"/>
        <w:spacing w:line="44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四、商务/技术响应与偏离表</w:t>
      </w:r>
    </w:p>
    <w:p w14:paraId="25BC62F1">
      <w:pPr>
        <w:adjustRightInd w:val="0"/>
        <w:snapToGrid w:val="0"/>
        <w:spacing w:line="44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五、报价一览表及报价文件</w:t>
      </w:r>
    </w:p>
    <w:p w14:paraId="59B4A342">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附件13-1：报价一览表</w:t>
      </w:r>
    </w:p>
    <w:p w14:paraId="0E3B6C3C">
      <w:pPr>
        <w:adjustRightInd w:val="0"/>
        <w:snapToGrid w:val="0"/>
        <w:spacing w:line="440" w:lineRule="exact"/>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附件13-2：分项价格表</w:t>
      </w:r>
    </w:p>
    <w:p w14:paraId="4C73599C">
      <w:pPr>
        <w:adjustRightInd w:val="0"/>
        <w:snapToGrid w:val="0"/>
        <w:spacing w:line="44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六、投标人认为需要提供的其他资料</w:t>
      </w:r>
    </w:p>
    <w:p w14:paraId="7F809B2A">
      <w:pPr>
        <w:adjustRightInd w:val="0"/>
        <w:snapToGrid w:val="0"/>
        <w:spacing w:line="44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七、最后报价</w:t>
      </w:r>
    </w:p>
    <w:p w14:paraId="27855EA0">
      <w:pPr>
        <w:pStyle w:val="9"/>
        <w:spacing w:line="440" w:lineRule="exact"/>
        <w:rPr>
          <w:rFonts w:hint="eastAsia" w:ascii="宋体" w:hAnsi="宋体" w:eastAsia="宋体" w:cs="宋体"/>
          <w:b/>
          <w:bCs/>
          <w:color w:val="auto"/>
          <w:sz w:val="24"/>
          <w:szCs w:val="24"/>
          <w:highlight w:val="none"/>
          <w:shd w:val="clear" w:color="auto" w:fill="FFFFFF"/>
        </w:rPr>
      </w:pPr>
    </w:p>
    <w:p w14:paraId="364C96E7">
      <w:pPr>
        <w:pStyle w:val="9"/>
        <w:spacing w:line="440" w:lineRule="exact"/>
        <w:rPr>
          <w:rFonts w:hint="eastAsia" w:ascii="宋体" w:hAnsi="宋体" w:eastAsia="宋体" w:cs="宋体"/>
          <w:b/>
          <w:bCs/>
          <w:color w:val="auto"/>
          <w:sz w:val="24"/>
          <w:szCs w:val="24"/>
          <w:highlight w:val="none"/>
          <w:shd w:val="clear" w:color="auto" w:fill="FFFFFF"/>
        </w:rPr>
      </w:pPr>
    </w:p>
    <w:p w14:paraId="2A6EB1E8">
      <w:pPr>
        <w:pStyle w:val="9"/>
        <w:spacing w:line="440" w:lineRule="exact"/>
        <w:rPr>
          <w:rFonts w:hint="eastAsia" w:ascii="宋体" w:hAnsi="宋体" w:eastAsia="宋体" w:cs="宋体"/>
          <w:b/>
          <w:bCs/>
          <w:color w:val="auto"/>
          <w:sz w:val="24"/>
          <w:szCs w:val="24"/>
          <w:highlight w:val="none"/>
          <w:shd w:val="clear" w:color="auto" w:fill="FFFFFF"/>
        </w:rPr>
      </w:pPr>
    </w:p>
    <w:p w14:paraId="471A7E23">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208" w:name="_Toc2674902"/>
      <w:bookmarkStart w:id="209" w:name="_Toc439924776"/>
      <w:bookmarkStart w:id="210" w:name="_Toc465362695"/>
      <w:bookmarkStart w:id="211" w:name="_Toc462074631"/>
      <w:bookmarkStart w:id="212" w:name="_Toc4506125"/>
      <w:bookmarkStart w:id="213" w:name="_Toc2674697"/>
      <w:bookmarkStart w:id="214" w:name="_Toc454904317"/>
      <w:bookmarkStart w:id="215" w:name="_Toc496459168"/>
      <w:bookmarkStart w:id="216" w:name="_Toc498186724"/>
      <w:bookmarkStart w:id="217" w:name="_Toc521048950"/>
      <w:bookmarkStart w:id="218" w:name="_Toc2593138"/>
      <w:bookmarkStart w:id="219" w:name="_Toc2951776"/>
      <w:bookmarkStart w:id="220" w:name="_Toc2684035"/>
      <w:bookmarkStart w:id="221" w:name="_Toc522285657"/>
      <w:bookmarkStart w:id="222" w:name="_Toc497049056"/>
      <w:bookmarkStart w:id="223" w:name="_Toc483385934"/>
      <w:bookmarkStart w:id="224" w:name="_Toc465878279"/>
      <w:r>
        <w:rPr>
          <w:rFonts w:hint="eastAsia" w:ascii="宋体" w:hAnsi="宋体" w:eastAsia="宋体" w:cs="宋体"/>
          <w:b/>
          <w:color w:val="auto"/>
          <w:sz w:val="32"/>
          <w:szCs w:val="32"/>
          <w:highlight w:val="none"/>
        </w:rPr>
        <w:br w:type="page"/>
      </w:r>
      <w:bookmarkStart w:id="225" w:name="_Toc3245"/>
      <w:r>
        <w:rPr>
          <w:rFonts w:hint="eastAsia" w:ascii="宋体" w:hAnsi="宋体" w:eastAsia="宋体" w:cs="宋体"/>
          <w:b/>
          <w:color w:val="auto"/>
          <w:sz w:val="32"/>
          <w:szCs w:val="32"/>
          <w:highlight w:val="none"/>
        </w:rPr>
        <w:t>一、磋商响应声明</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1966FBB2">
      <w:pPr>
        <w:adjustRightInd w:val="0"/>
        <w:snapToGrid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(采购人或采购代理机构)：</w:t>
      </w:r>
    </w:p>
    <w:p w14:paraId="53A4FA13">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我方己仔细研究了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项目名称)的竞争性磋商文件（采购计划编号：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、采购代理机构编号：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）的全部内容，知悉参加竞争性磋商的风险，我方承诺接受磋商文件的全部条款且无任何异议。</w:t>
      </w:r>
    </w:p>
    <w:p w14:paraId="371575A3">
      <w:pPr>
        <w:pStyle w:val="9"/>
        <w:adjustRightInd w:val="0"/>
        <w:snapToGrid w:val="0"/>
        <w:spacing w:line="42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一、我方同意在磋商文件中规定的提交首次响应文件截止时间起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日内(响应文件有效期)遵守本响应文件中的承诺，且在此期限期满之前均具有法律约束力。</w:t>
      </w:r>
    </w:p>
    <w:p w14:paraId="2B3008CC">
      <w:pPr>
        <w:pStyle w:val="9"/>
        <w:adjustRightInd w:val="0"/>
        <w:snapToGrid w:val="0"/>
        <w:spacing w:line="420" w:lineRule="exact"/>
        <w:ind w:firstLine="420" w:firstLineChars="200"/>
        <w:rPr>
          <w:rFonts w:hint="eastAsia" w:ascii="宋体" w:hAnsi="宋体" w:eastAsia="宋体" w:cs="宋体"/>
          <w:bCs/>
          <w:color w:val="auto"/>
          <w:sz w:val="21"/>
          <w:highlight w:val="none"/>
        </w:rPr>
      </w:pPr>
      <w:r>
        <w:rPr>
          <w:rFonts w:hint="eastAsia" w:ascii="宋体" w:hAnsi="宋体" w:eastAsia="宋体" w:cs="宋体"/>
          <w:color w:val="auto"/>
          <w:sz w:val="21"/>
          <w:highlight w:val="none"/>
        </w:rPr>
        <w:t>二、我方提交响应文件正本一份和副本一式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份，并保证响应文件提供的数据和材料是真实、准确的。否则，愿承担《政府采购法》</w:t>
      </w:r>
      <w:r>
        <w:rPr>
          <w:rFonts w:hint="eastAsia" w:ascii="宋体" w:hAnsi="宋体" w:eastAsia="宋体" w:cs="宋体"/>
          <w:bCs/>
          <w:color w:val="auto"/>
          <w:sz w:val="21"/>
          <w:highlight w:val="none"/>
        </w:rPr>
        <w:t>第七十七条规定的法律责任。</w:t>
      </w:r>
    </w:p>
    <w:p w14:paraId="7B61DD5F">
      <w:pPr>
        <w:pStyle w:val="9"/>
        <w:adjustRightInd w:val="0"/>
        <w:snapToGrid w:val="0"/>
        <w:spacing w:line="42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三、我方愿意向贵方提供任何与本项采购有关的数据、情况和技术资料。若贵方需要，我方愿意提供我方作出的一切承诺的证明材料。</w:t>
      </w:r>
    </w:p>
    <w:p w14:paraId="1A0B29BC">
      <w:pPr>
        <w:pStyle w:val="9"/>
        <w:adjustRightInd w:val="0"/>
        <w:snapToGrid w:val="0"/>
        <w:spacing w:line="42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四、我方愿意按磋商文件规定和磋商小组要求重新提交响应文件和最后报价。</w:t>
      </w:r>
    </w:p>
    <w:p w14:paraId="515B5896">
      <w:pPr>
        <w:pStyle w:val="9"/>
        <w:adjustRightInd w:val="0"/>
        <w:snapToGrid w:val="0"/>
        <w:spacing w:line="42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五、我方承诺保证，在获得成交资格后，按磋商文件规定交纳采购代理服务费及评审费。</w:t>
      </w:r>
    </w:p>
    <w:p w14:paraId="70FAF8FB">
      <w:pPr>
        <w:pStyle w:val="9"/>
        <w:adjustRightInd w:val="0"/>
        <w:snapToGrid w:val="0"/>
        <w:spacing w:line="42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六、我方承诺遵守《政府采购法》、《政府采购竞争性磋商采购方式管理暂行办法》的通知（财库〔2014〕214号）的有关规定，保证在获得成交资格后，按照磋商文件确定的事项签订政府采购合同，履行双方所签订的合同，并承担合同规定的责任和义务。</w:t>
      </w:r>
    </w:p>
    <w:p w14:paraId="3E67B7D1">
      <w:pPr>
        <w:pStyle w:val="9"/>
        <w:adjustRightInd w:val="0"/>
        <w:snapToGrid w:val="0"/>
        <w:spacing w:line="42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七、我方承诺在参与竞争性磋商过程中，若出现《政府采购法》第七十七条、《政府采购法实施条例》第七十二条和《政府采购竞争性磋商采购方式管理暂行办法》的通知（财库〔2014〕214号）有关规定之情形，我方同意接受条款规定作出的处罚。</w:t>
      </w:r>
    </w:p>
    <w:p w14:paraId="72085F93">
      <w:pPr>
        <w:adjustRightInd w:val="0"/>
        <w:snapToGrid w:val="0"/>
        <w:spacing w:line="420" w:lineRule="exact"/>
        <w:rPr>
          <w:rFonts w:hint="eastAsia" w:ascii="宋体" w:hAnsi="宋体" w:eastAsia="宋体" w:cs="宋体"/>
          <w:bCs/>
          <w:color w:val="auto"/>
          <w:szCs w:val="21"/>
          <w:highlight w:val="none"/>
        </w:rPr>
      </w:pPr>
    </w:p>
    <w:p w14:paraId="46655185">
      <w:pPr>
        <w:adjustRightInd w:val="0"/>
        <w:snapToGrid w:val="0"/>
        <w:spacing w:line="420" w:lineRule="exact"/>
        <w:rPr>
          <w:rFonts w:hint="eastAsia" w:ascii="宋体" w:hAnsi="宋体" w:eastAsia="宋体" w:cs="宋体"/>
          <w:bCs/>
          <w:color w:val="auto"/>
          <w:szCs w:val="21"/>
          <w:highlight w:val="none"/>
        </w:rPr>
      </w:pPr>
    </w:p>
    <w:p w14:paraId="499E774E">
      <w:pPr>
        <w:pStyle w:val="9"/>
        <w:adjustRightInd w:val="0"/>
        <w:snapToGrid w:val="0"/>
        <w:spacing w:line="420" w:lineRule="exact"/>
        <w:ind w:firstLine="420" w:firstLineChars="200"/>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附件1：法定代表人身份证明</w:t>
      </w:r>
    </w:p>
    <w:p w14:paraId="12532D97">
      <w:pPr>
        <w:pStyle w:val="9"/>
        <w:adjustRightInd w:val="0"/>
        <w:snapToGrid w:val="0"/>
        <w:spacing w:line="420" w:lineRule="exact"/>
        <w:ind w:firstLine="420" w:firstLineChars="200"/>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附件2：法定代表人授权书</w:t>
      </w:r>
    </w:p>
    <w:p w14:paraId="0853BC4A">
      <w:pPr>
        <w:pStyle w:val="9"/>
        <w:adjustRightInd w:val="0"/>
        <w:snapToGrid w:val="0"/>
        <w:spacing w:line="420" w:lineRule="exact"/>
        <w:ind w:firstLine="420" w:firstLineChars="200"/>
        <w:rPr>
          <w:rFonts w:hint="eastAsia" w:ascii="宋体" w:hAnsi="宋体" w:eastAsia="宋体" w:cs="宋体"/>
          <w:bCs/>
          <w:color w:val="auto"/>
          <w:sz w:val="21"/>
          <w:highlight w:val="none"/>
        </w:rPr>
      </w:pPr>
      <w:r>
        <w:rPr>
          <w:rFonts w:hint="eastAsia" w:ascii="宋体" w:hAnsi="宋体" w:eastAsia="宋体" w:cs="宋体"/>
          <w:bCs/>
          <w:color w:val="auto"/>
          <w:sz w:val="21"/>
          <w:highlight w:val="none"/>
        </w:rPr>
        <w:t>附件3：工程质量保修书</w:t>
      </w:r>
    </w:p>
    <w:p w14:paraId="614F67E9">
      <w:pPr>
        <w:pStyle w:val="9"/>
        <w:adjustRightInd w:val="0"/>
        <w:snapToGrid w:val="0"/>
        <w:spacing w:line="420" w:lineRule="exact"/>
        <w:rPr>
          <w:rFonts w:hint="eastAsia" w:ascii="宋体" w:hAnsi="宋体" w:eastAsia="宋体" w:cs="宋体"/>
          <w:color w:val="auto"/>
          <w:highlight w:val="none"/>
        </w:rPr>
      </w:pPr>
    </w:p>
    <w:p w14:paraId="10470D28">
      <w:pPr>
        <w:adjustRightInd w:val="0"/>
        <w:snapToGrid w:val="0"/>
        <w:spacing w:line="440" w:lineRule="exact"/>
        <w:ind w:firstLine="420" w:firstLineChars="200"/>
        <w:rPr>
          <w:rFonts w:hint="eastAsia" w:ascii="宋体" w:hAnsi="宋体" w:eastAsia="宋体" w:cs="宋体"/>
          <w:color w:val="auto"/>
          <w:szCs w:val="21"/>
          <w:highlight w:val="none"/>
        </w:rPr>
      </w:pPr>
    </w:p>
    <w:p w14:paraId="58845806">
      <w:pPr>
        <w:adjustRightInd w:val="0"/>
        <w:snapToGrid w:val="0"/>
        <w:spacing w:line="440" w:lineRule="exact"/>
        <w:ind w:firstLine="420" w:firstLineChars="200"/>
        <w:rPr>
          <w:rFonts w:hint="eastAsia" w:ascii="宋体" w:hAnsi="宋体" w:eastAsia="宋体" w:cs="宋体"/>
          <w:color w:val="auto"/>
          <w:szCs w:val="21"/>
          <w:highlight w:val="none"/>
        </w:rPr>
      </w:pPr>
    </w:p>
    <w:p w14:paraId="467D5C97">
      <w:pPr>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投标人名称(盖公章)：</w:t>
      </w:r>
      <w:r>
        <w:rPr>
          <w:rFonts w:hint="eastAsia" w:ascii="宋体" w:hAnsi="宋体" w:eastAsia="宋体" w:cs="宋体"/>
          <w:color w:val="auto"/>
          <w:kern w:val="0"/>
          <w:szCs w:val="21"/>
          <w:highlight w:val="none"/>
          <w:u w:val="single"/>
        </w:rPr>
        <w:t xml:space="preserve">                 </w:t>
      </w:r>
    </w:p>
    <w:p w14:paraId="1F4D916B">
      <w:pPr>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(签字)：            </w:t>
      </w:r>
    </w:p>
    <w:p w14:paraId="24D9A428">
      <w:pPr>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7752B1D7">
      <w:pPr>
        <w:adjustRightInd w:val="0"/>
        <w:snapToGrid w:val="0"/>
        <w:spacing w:line="440" w:lineRule="exact"/>
        <w:ind w:firstLine="420" w:firstLineChars="200"/>
        <w:rPr>
          <w:rFonts w:hint="eastAsia" w:ascii="宋体" w:hAnsi="宋体" w:eastAsia="宋体" w:cs="宋体"/>
          <w:color w:val="auto"/>
          <w:szCs w:val="21"/>
          <w:highlight w:val="none"/>
        </w:rPr>
      </w:pPr>
    </w:p>
    <w:p w14:paraId="4A76DBB4">
      <w:pPr>
        <w:adjustRightInd w:val="0"/>
        <w:snapToGrid w:val="0"/>
        <w:spacing w:line="440" w:lineRule="exact"/>
        <w:ind w:firstLine="420" w:firstLineChars="200"/>
        <w:rPr>
          <w:rFonts w:hint="eastAsia" w:ascii="宋体" w:hAnsi="宋体" w:eastAsia="宋体" w:cs="宋体"/>
          <w:color w:val="auto"/>
          <w:szCs w:val="21"/>
          <w:highlight w:val="none"/>
        </w:rPr>
      </w:pPr>
    </w:p>
    <w:p w14:paraId="7727D80A">
      <w:pPr>
        <w:adjustRightInd w:val="0"/>
        <w:snapToGrid w:val="0"/>
        <w:spacing w:line="360" w:lineRule="auto"/>
        <w:ind w:firstLine="640" w:firstLineChars="200"/>
        <w:jc w:val="center"/>
        <w:outlineLvl w:val="0"/>
        <w:rPr>
          <w:rFonts w:hint="eastAsia" w:ascii="宋体" w:hAnsi="宋体" w:eastAsia="宋体" w:cs="宋体"/>
          <w:b/>
          <w:color w:val="auto"/>
          <w:sz w:val="32"/>
          <w:szCs w:val="32"/>
          <w:highlight w:val="none"/>
        </w:rPr>
      </w:pPr>
      <w:bookmarkStart w:id="226" w:name="_Toc2593139"/>
      <w:bookmarkStart w:id="227" w:name="_Toc2674903"/>
      <w:bookmarkStart w:id="228" w:name="_Toc2684036"/>
      <w:bookmarkStart w:id="229" w:name="_Toc496459169"/>
      <w:bookmarkStart w:id="230" w:name="_Toc465878280"/>
      <w:bookmarkStart w:id="231" w:name="_Toc522285658"/>
      <w:bookmarkStart w:id="232" w:name="_Toc439924777"/>
      <w:bookmarkStart w:id="233" w:name="_Toc4506126"/>
      <w:bookmarkStart w:id="234" w:name="_Toc483385935"/>
      <w:bookmarkStart w:id="235" w:name="_Toc521048951"/>
      <w:bookmarkStart w:id="236" w:name="_Toc2951777"/>
      <w:bookmarkStart w:id="237" w:name="_Toc497049057"/>
      <w:bookmarkStart w:id="238" w:name="_Toc465362696"/>
      <w:bookmarkStart w:id="239" w:name="_Toc454904318"/>
      <w:bookmarkStart w:id="240" w:name="_Toc2674698"/>
      <w:bookmarkStart w:id="241" w:name="_Toc498186725"/>
      <w:bookmarkStart w:id="242" w:name="_Toc462074632"/>
      <w:bookmarkStart w:id="243" w:name="_Toc439924286"/>
    </w:p>
    <w:p w14:paraId="461DFFFF">
      <w:pPr>
        <w:adjustRightInd w:val="0"/>
        <w:snapToGrid w:val="0"/>
        <w:spacing w:line="360" w:lineRule="auto"/>
        <w:ind w:firstLine="640" w:firstLineChars="200"/>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bookmarkStart w:id="244" w:name="_Toc27355"/>
      <w:r>
        <w:rPr>
          <w:rFonts w:hint="eastAsia" w:ascii="宋体" w:hAnsi="宋体" w:eastAsia="宋体" w:cs="宋体"/>
          <w:b/>
          <w:color w:val="auto"/>
          <w:sz w:val="32"/>
          <w:szCs w:val="32"/>
          <w:highlight w:val="none"/>
        </w:rPr>
        <w:t>附件1 法定代表人身份证明</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0FEB57A0">
      <w:pPr>
        <w:snapToGrid w:val="0"/>
        <w:spacing w:line="440" w:lineRule="exact"/>
        <w:rPr>
          <w:rFonts w:hint="eastAsia" w:ascii="宋体" w:hAnsi="宋体" w:eastAsia="宋体" w:cs="宋体"/>
          <w:color w:val="auto"/>
          <w:szCs w:val="21"/>
          <w:highlight w:val="none"/>
        </w:rPr>
      </w:pPr>
    </w:p>
    <w:p w14:paraId="05A8F336">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名称：</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303EBDD2">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注册号：</w:t>
      </w:r>
      <w:r>
        <w:rPr>
          <w:rFonts w:hint="eastAsia" w:ascii="宋体" w:hAnsi="宋体" w:eastAsia="宋体" w:cs="宋体"/>
          <w:color w:val="auto"/>
          <w:kern w:val="0"/>
          <w:szCs w:val="21"/>
          <w:highlight w:val="none"/>
          <w:u w:val="single"/>
        </w:rPr>
        <w:t xml:space="preserve">                  </w:t>
      </w:r>
    </w:p>
    <w:p w14:paraId="189B223C">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注册地址：</w:t>
      </w:r>
      <w:r>
        <w:rPr>
          <w:rFonts w:hint="eastAsia" w:ascii="宋体" w:hAnsi="宋体" w:eastAsia="宋体" w:cs="宋体"/>
          <w:color w:val="auto"/>
          <w:kern w:val="0"/>
          <w:szCs w:val="21"/>
          <w:highlight w:val="none"/>
          <w:u w:val="single"/>
        </w:rPr>
        <w:t xml:space="preserve">                                    </w:t>
      </w:r>
    </w:p>
    <w:p w14:paraId="2F05143D">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成立时间：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年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日</w:t>
      </w:r>
    </w:p>
    <w:p w14:paraId="6D748F3B">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经营期限：</w:t>
      </w:r>
      <w:r>
        <w:rPr>
          <w:rFonts w:hint="eastAsia" w:ascii="宋体" w:hAnsi="宋体" w:eastAsia="宋体" w:cs="宋体"/>
          <w:color w:val="auto"/>
          <w:kern w:val="0"/>
          <w:szCs w:val="21"/>
          <w:highlight w:val="none"/>
          <w:u w:val="single"/>
        </w:rPr>
        <w:t xml:space="preserve">                  </w:t>
      </w:r>
    </w:p>
    <w:p w14:paraId="2BADBAE5">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经营范围：主营：</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；兼营：</w:t>
      </w:r>
      <w:r>
        <w:rPr>
          <w:rFonts w:hint="eastAsia" w:ascii="宋体" w:hAnsi="宋体" w:eastAsia="宋体" w:cs="宋体"/>
          <w:color w:val="auto"/>
          <w:kern w:val="0"/>
          <w:szCs w:val="21"/>
          <w:highlight w:val="none"/>
          <w:u w:val="single"/>
        </w:rPr>
        <w:t xml:space="preserve">              </w:t>
      </w:r>
    </w:p>
    <w:p w14:paraId="3A6EBAD9">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姓名：</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性别：</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年龄：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投标人</w:t>
      </w:r>
      <w:r>
        <w:rPr>
          <w:rFonts w:hint="eastAsia" w:ascii="宋体" w:hAnsi="宋体" w:eastAsia="宋体" w:cs="宋体"/>
          <w:color w:val="auto"/>
          <w:kern w:val="0"/>
          <w:szCs w:val="21"/>
          <w:highlight w:val="none"/>
        </w:rPr>
        <w:t>名称）的法定代表人。</w:t>
      </w:r>
    </w:p>
    <w:p w14:paraId="4CBFB953">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特此证明。</w:t>
      </w:r>
    </w:p>
    <w:p w14:paraId="7D1E513E">
      <w:pPr>
        <w:autoSpaceDE w:val="0"/>
        <w:autoSpaceDN w:val="0"/>
        <w:adjustRightInd w:val="0"/>
        <w:snapToGrid w:val="0"/>
        <w:spacing w:line="440" w:lineRule="exact"/>
        <w:ind w:firstLine="420" w:firstLineChars="200"/>
        <w:jc w:val="left"/>
        <w:rPr>
          <w:rFonts w:hint="eastAsia" w:ascii="宋体" w:hAnsi="宋体" w:eastAsia="宋体" w:cs="宋体"/>
          <w:color w:val="auto"/>
          <w:szCs w:val="21"/>
          <w:highlight w:val="none"/>
        </w:rPr>
      </w:pPr>
    </w:p>
    <w:p w14:paraId="7BD97FF2">
      <w:pPr>
        <w:autoSpaceDE w:val="0"/>
        <w:autoSpaceDN w:val="0"/>
        <w:adjustRightInd w:val="0"/>
        <w:snapToGrid w:val="0"/>
        <w:spacing w:line="44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附：法定代表人身份证复印件</w:t>
      </w:r>
    </w:p>
    <w:p w14:paraId="43367258">
      <w:pPr>
        <w:snapToGrid w:val="0"/>
        <w:spacing w:line="440" w:lineRule="exact"/>
        <w:ind w:firstLine="420" w:firstLineChars="200"/>
        <w:rPr>
          <w:rFonts w:hint="eastAsia" w:ascii="宋体" w:hAnsi="宋体" w:eastAsia="宋体" w:cs="宋体"/>
          <w:color w:val="auto"/>
          <w:szCs w:val="21"/>
          <w:highlight w:val="none"/>
        </w:rPr>
      </w:pPr>
    </w:p>
    <w:p w14:paraId="07539E6E">
      <w:pPr>
        <w:snapToGrid w:val="0"/>
        <w:spacing w:line="440" w:lineRule="exact"/>
        <w:ind w:firstLine="420" w:firstLineChars="200"/>
        <w:rPr>
          <w:rFonts w:hint="eastAsia" w:ascii="宋体" w:hAnsi="宋体" w:eastAsia="宋体" w:cs="宋体"/>
          <w:color w:val="auto"/>
          <w:szCs w:val="21"/>
          <w:highlight w:val="none"/>
        </w:rPr>
      </w:pPr>
    </w:p>
    <w:p w14:paraId="1511B753">
      <w:pPr>
        <w:snapToGrid w:val="0"/>
        <w:spacing w:line="440" w:lineRule="exact"/>
        <w:ind w:firstLine="420" w:firstLineChars="200"/>
        <w:rPr>
          <w:rFonts w:hint="eastAsia" w:ascii="宋体" w:hAnsi="宋体" w:eastAsia="宋体" w:cs="宋体"/>
          <w:color w:val="auto"/>
          <w:szCs w:val="21"/>
          <w:highlight w:val="none"/>
        </w:rPr>
      </w:pPr>
    </w:p>
    <w:p w14:paraId="4D9F138A">
      <w:pPr>
        <w:snapToGrid w:val="0"/>
        <w:spacing w:line="440" w:lineRule="exact"/>
        <w:ind w:firstLine="420" w:firstLineChars="200"/>
        <w:rPr>
          <w:rFonts w:hint="eastAsia" w:ascii="宋体" w:hAnsi="宋体" w:eastAsia="宋体" w:cs="宋体"/>
          <w:color w:val="auto"/>
          <w:szCs w:val="21"/>
          <w:highlight w:val="none"/>
        </w:rPr>
      </w:pPr>
    </w:p>
    <w:p w14:paraId="42F1B83A">
      <w:pPr>
        <w:snapToGrid w:val="0"/>
        <w:spacing w:line="440" w:lineRule="exact"/>
        <w:ind w:firstLine="420" w:firstLineChars="200"/>
        <w:rPr>
          <w:rFonts w:hint="eastAsia" w:ascii="宋体" w:hAnsi="宋体" w:eastAsia="宋体" w:cs="宋体"/>
          <w:color w:val="auto"/>
          <w:szCs w:val="21"/>
          <w:highlight w:val="none"/>
        </w:rPr>
      </w:pPr>
    </w:p>
    <w:p w14:paraId="2B94E2FF">
      <w:pPr>
        <w:adjustRightInd w:val="0"/>
        <w:snapToGrid w:val="0"/>
        <w:spacing w:line="440" w:lineRule="exact"/>
        <w:ind w:firstLine="420" w:firstLineChars="200"/>
        <w:rPr>
          <w:rFonts w:hint="eastAsia" w:ascii="宋体" w:hAnsi="宋体" w:eastAsia="宋体" w:cs="宋体"/>
          <w:color w:val="auto"/>
          <w:szCs w:val="21"/>
          <w:highlight w:val="none"/>
        </w:rPr>
      </w:pPr>
    </w:p>
    <w:p w14:paraId="44752060">
      <w:pPr>
        <w:adjustRightInd w:val="0"/>
        <w:snapToGrid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投标人名称（盖公章）：</w:t>
      </w:r>
      <w:r>
        <w:rPr>
          <w:rFonts w:hint="eastAsia" w:ascii="宋体" w:hAnsi="宋体" w:eastAsia="宋体" w:cs="宋体"/>
          <w:color w:val="auto"/>
          <w:kern w:val="0"/>
          <w:szCs w:val="21"/>
          <w:highlight w:val="none"/>
          <w:u w:val="single"/>
        </w:rPr>
        <w:t xml:space="preserve">                 </w:t>
      </w:r>
    </w:p>
    <w:p w14:paraId="5A484E56">
      <w:pPr>
        <w:pStyle w:val="9"/>
        <w:spacing w:line="440" w:lineRule="exact"/>
        <w:ind w:firstLine="420" w:firstLineChars="200"/>
        <w:rPr>
          <w:rFonts w:hint="eastAsia" w:ascii="宋体" w:hAnsi="宋体" w:eastAsia="宋体" w:cs="宋体"/>
          <w:b/>
          <w:bCs/>
          <w:color w:val="auto"/>
          <w:sz w:val="21"/>
          <w:highlight w:val="none"/>
          <w:shd w:val="clear" w:color="auto" w:fill="FFFFFF"/>
        </w:rPr>
      </w:pPr>
      <w:r>
        <w:rPr>
          <w:rFonts w:hint="eastAsia" w:ascii="宋体" w:hAnsi="宋体" w:eastAsia="宋体" w:cs="宋体"/>
          <w:color w:val="auto"/>
          <w:sz w:val="21"/>
          <w:highlight w:val="none"/>
        </w:rPr>
        <w:t>日期：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日</w:t>
      </w:r>
    </w:p>
    <w:p w14:paraId="677114FC">
      <w:pPr>
        <w:pStyle w:val="9"/>
        <w:spacing w:line="440" w:lineRule="exact"/>
        <w:rPr>
          <w:rFonts w:hint="eastAsia" w:ascii="宋体" w:hAnsi="宋体" w:eastAsia="宋体" w:cs="宋体"/>
          <w:b/>
          <w:bCs/>
          <w:color w:val="auto"/>
          <w:sz w:val="24"/>
          <w:szCs w:val="24"/>
          <w:highlight w:val="none"/>
          <w:shd w:val="clear" w:color="auto" w:fill="FFFFFF"/>
        </w:rPr>
      </w:pPr>
    </w:p>
    <w:p w14:paraId="6D62686B">
      <w:pPr>
        <w:pStyle w:val="9"/>
        <w:spacing w:line="440" w:lineRule="exact"/>
        <w:rPr>
          <w:rFonts w:hint="eastAsia" w:ascii="宋体" w:hAnsi="宋体" w:eastAsia="宋体" w:cs="宋体"/>
          <w:b/>
          <w:bCs/>
          <w:color w:val="auto"/>
          <w:sz w:val="24"/>
          <w:szCs w:val="24"/>
          <w:highlight w:val="none"/>
          <w:shd w:val="clear" w:color="auto" w:fill="FFFFFF"/>
        </w:rPr>
      </w:pPr>
    </w:p>
    <w:p w14:paraId="102DFAD8">
      <w:pPr>
        <w:pStyle w:val="9"/>
        <w:spacing w:line="440" w:lineRule="exact"/>
        <w:rPr>
          <w:rFonts w:hint="eastAsia" w:ascii="宋体" w:hAnsi="宋体" w:eastAsia="宋体" w:cs="宋体"/>
          <w:b/>
          <w:bCs/>
          <w:color w:val="auto"/>
          <w:sz w:val="24"/>
          <w:szCs w:val="24"/>
          <w:highlight w:val="none"/>
          <w:shd w:val="clear" w:color="auto" w:fill="FFFFFF"/>
        </w:rPr>
      </w:pPr>
    </w:p>
    <w:p w14:paraId="755FD47B">
      <w:pPr>
        <w:pStyle w:val="9"/>
        <w:spacing w:line="440" w:lineRule="exact"/>
        <w:rPr>
          <w:rFonts w:hint="eastAsia" w:ascii="宋体" w:hAnsi="宋体" w:eastAsia="宋体" w:cs="宋体"/>
          <w:b/>
          <w:bCs/>
          <w:color w:val="auto"/>
          <w:sz w:val="24"/>
          <w:szCs w:val="24"/>
          <w:highlight w:val="none"/>
          <w:shd w:val="clear" w:color="auto" w:fill="FFFFFF"/>
        </w:rPr>
      </w:pPr>
    </w:p>
    <w:p w14:paraId="0B87AB59">
      <w:pPr>
        <w:pStyle w:val="9"/>
        <w:spacing w:line="440" w:lineRule="exact"/>
        <w:rPr>
          <w:rFonts w:hint="eastAsia" w:ascii="宋体" w:hAnsi="宋体" w:eastAsia="宋体" w:cs="宋体"/>
          <w:b/>
          <w:bCs/>
          <w:color w:val="auto"/>
          <w:sz w:val="24"/>
          <w:szCs w:val="24"/>
          <w:highlight w:val="none"/>
          <w:shd w:val="clear" w:color="auto" w:fill="FFFFFF"/>
        </w:rPr>
      </w:pPr>
    </w:p>
    <w:p w14:paraId="25DD9153">
      <w:pPr>
        <w:pStyle w:val="9"/>
        <w:spacing w:line="440" w:lineRule="exact"/>
        <w:rPr>
          <w:rFonts w:hint="eastAsia" w:ascii="宋体" w:hAnsi="宋体" w:eastAsia="宋体" w:cs="宋体"/>
          <w:b/>
          <w:bCs/>
          <w:color w:val="auto"/>
          <w:sz w:val="24"/>
          <w:szCs w:val="24"/>
          <w:highlight w:val="none"/>
          <w:shd w:val="clear" w:color="auto" w:fill="FFFFFF"/>
        </w:rPr>
      </w:pPr>
    </w:p>
    <w:p w14:paraId="23541929">
      <w:pPr>
        <w:pStyle w:val="9"/>
        <w:spacing w:line="440" w:lineRule="exact"/>
        <w:rPr>
          <w:rFonts w:hint="eastAsia" w:ascii="宋体" w:hAnsi="宋体" w:eastAsia="宋体" w:cs="宋体"/>
          <w:b/>
          <w:bCs/>
          <w:color w:val="auto"/>
          <w:sz w:val="24"/>
          <w:szCs w:val="24"/>
          <w:highlight w:val="none"/>
          <w:shd w:val="clear" w:color="auto" w:fill="FFFFFF"/>
        </w:rPr>
      </w:pPr>
    </w:p>
    <w:p w14:paraId="1489EC47">
      <w:pPr>
        <w:pStyle w:val="9"/>
        <w:spacing w:line="440" w:lineRule="exact"/>
        <w:rPr>
          <w:rFonts w:hint="eastAsia" w:ascii="宋体" w:hAnsi="宋体" w:eastAsia="宋体" w:cs="宋体"/>
          <w:b/>
          <w:bCs/>
          <w:color w:val="auto"/>
          <w:sz w:val="24"/>
          <w:szCs w:val="24"/>
          <w:highlight w:val="none"/>
          <w:shd w:val="clear" w:color="auto" w:fill="FFFFFF"/>
        </w:rPr>
      </w:pPr>
    </w:p>
    <w:p w14:paraId="30296365">
      <w:pPr>
        <w:pStyle w:val="9"/>
        <w:spacing w:line="440" w:lineRule="exact"/>
        <w:rPr>
          <w:rFonts w:hint="eastAsia" w:ascii="宋体" w:hAnsi="宋体" w:eastAsia="宋体" w:cs="宋体"/>
          <w:b/>
          <w:bCs/>
          <w:color w:val="auto"/>
          <w:sz w:val="24"/>
          <w:szCs w:val="24"/>
          <w:highlight w:val="none"/>
          <w:shd w:val="clear" w:color="auto" w:fill="FFFFFF"/>
        </w:rPr>
      </w:pPr>
    </w:p>
    <w:p w14:paraId="1251BE5E">
      <w:pPr>
        <w:adjustRightInd w:val="0"/>
        <w:snapToGrid w:val="0"/>
        <w:spacing w:line="360" w:lineRule="auto"/>
        <w:rPr>
          <w:rFonts w:hint="eastAsia" w:ascii="宋体" w:hAnsi="宋体" w:eastAsia="宋体" w:cs="宋体"/>
          <w:b/>
          <w:color w:val="auto"/>
          <w:sz w:val="32"/>
          <w:szCs w:val="32"/>
          <w:highlight w:val="none"/>
        </w:rPr>
      </w:pPr>
      <w:bookmarkStart w:id="245" w:name="_Toc498186726"/>
      <w:bookmarkStart w:id="246" w:name="_Toc483385936"/>
      <w:bookmarkStart w:id="247" w:name="_Toc454904319"/>
      <w:bookmarkStart w:id="248" w:name="_Toc522285659"/>
      <w:bookmarkStart w:id="249" w:name="_Toc439924287"/>
      <w:bookmarkStart w:id="250" w:name="_Toc465878281"/>
      <w:bookmarkStart w:id="251" w:name="_Toc4506127"/>
      <w:bookmarkStart w:id="252" w:name="_Toc2593140"/>
      <w:bookmarkStart w:id="253" w:name="_Toc2684037"/>
      <w:bookmarkStart w:id="254" w:name="_Toc496459170"/>
      <w:bookmarkStart w:id="255" w:name="_Toc439924778"/>
      <w:bookmarkStart w:id="256" w:name="_Toc465362697"/>
      <w:bookmarkStart w:id="257" w:name="_Toc462074633"/>
      <w:bookmarkStart w:id="258" w:name="_Toc2674699"/>
      <w:bookmarkStart w:id="259" w:name="_Toc521048952"/>
      <w:bookmarkStart w:id="260" w:name="_Toc497049058"/>
      <w:bookmarkStart w:id="261" w:name="_Toc2674904"/>
      <w:bookmarkStart w:id="262" w:name="_Toc2951778"/>
    </w:p>
    <w:p w14:paraId="28F5BC64">
      <w:pPr>
        <w:adjustRightInd w:val="0"/>
        <w:snapToGrid w:val="0"/>
        <w:spacing w:line="360" w:lineRule="auto"/>
        <w:jc w:val="center"/>
        <w:outlineLvl w:val="0"/>
        <w:rPr>
          <w:rFonts w:hint="eastAsia" w:ascii="宋体" w:hAnsi="宋体" w:eastAsia="宋体" w:cs="宋体"/>
          <w:b/>
          <w:color w:val="auto"/>
          <w:sz w:val="32"/>
          <w:szCs w:val="32"/>
          <w:highlight w:val="none"/>
        </w:rPr>
      </w:pPr>
    </w:p>
    <w:p w14:paraId="2905CF15">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263" w:name="_Toc8495"/>
      <w:r>
        <w:rPr>
          <w:rFonts w:hint="eastAsia" w:ascii="宋体" w:hAnsi="宋体" w:eastAsia="宋体" w:cs="宋体"/>
          <w:b/>
          <w:color w:val="auto"/>
          <w:sz w:val="32"/>
          <w:szCs w:val="32"/>
          <w:highlight w:val="none"/>
        </w:rPr>
        <w:t>附件2 法定代表人授权书</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3B9293F0">
      <w:pPr>
        <w:adjustRightInd w:val="0"/>
        <w:snapToGrid w:val="0"/>
        <w:spacing w:line="440" w:lineRule="exact"/>
        <w:ind w:left="562" w:hanging="560" w:hangingChars="200"/>
        <w:jc w:val="center"/>
        <w:rPr>
          <w:rFonts w:hint="eastAsia" w:ascii="宋体" w:hAnsi="宋体" w:eastAsia="宋体" w:cs="宋体"/>
          <w:b/>
          <w:color w:val="auto"/>
          <w:sz w:val="28"/>
          <w:szCs w:val="28"/>
          <w:highlight w:val="none"/>
        </w:rPr>
      </w:pPr>
    </w:p>
    <w:p w14:paraId="2401A860">
      <w:pPr>
        <w:autoSpaceDE w:val="0"/>
        <w:autoSpaceDN w:val="0"/>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本人</w:t>
      </w:r>
      <w:r>
        <w:rPr>
          <w:rFonts w:hint="eastAsia" w:ascii="宋体" w:hAnsi="宋体" w:eastAsia="宋体" w:cs="宋体"/>
          <w:color w:val="auto"/>
          <w:kern w:val="0"/>
          <w:szCs w:val="21"/>
          <w:highlight w:val="none"/>
          <w:u w:val="single"/>
        </w:rPr>
        <w:t>（姓名、职务）</w:t>
      </w:r>
      <w:r>
        <w:rPr>
          <w:rFonts w:hint="eastAsia" w:ascii="宋体" w:hAnsi="宋体" w:eastAsia="宋体" w:cs="宋体"/>
          <w:color w:val="auto"/>
          <w:kern w:val="0"/>
          <w:szCs w:val="21"/>
          <w:highlight w:val="none"/>
        </w:rPr>
        <w:t xml:space="preserve">系 </w:t>
      </w:r>
      <w:r>
        <w:rPr>
          <w:rFonts w:hint="eastAsia" w:ascii="宋体" w:hAnsi="宋体" w:eastAsia="宋体" w:cs="宋体"/>
          <w:color w:val="auto"/>
          <w:kern w:val="0"/>
          <w:szCs w:val="21"/>
          <w:highlight w:val="none"/>
          <w:u w:val="single"/>
        </w:rPr>
        <w:t>（</w:t>
      </w:r>
      <w:r>
        <w:rPr>
          <w:rFonts w:hint="eastAsia" w:ascii="宋体" w:hAnsi="宋体" w:eastAsia="宋体" w:cs="宋体"/>
          <w:color w:val="auto"/>
          <w:szCs w:val="21"/>
          <w:highlight w:val="none"/>
          <w:u w:val="single"/>
        </w:rPr>
        <w:t>供应商</w:t>
      </w:r>
      <w:r>
        <w:rPr>
          <w:rFonts w:hint="eastAsia" w:ascii="宋体" w:hAnsi="宋体" w:eastAsia="宋体" w:cs="宋体"/>
          <w:color w:val="auto"/>
          <w:kern w:val="0"/>
          <w:szCs w:val="21"/>
          <w:highlight w:val="none"/>
          <w:u w:val="single"/>
        </w:rPr>
        <w:t>名称）</w:t>
      </w:r>
      <w:r>
        <w:rPr>
          <w:rFonts w:hint="eastAsia" w:ascii="宋体" w:hAnsi="宋体" w:eastAsia="宋体" w:cs="宋体"/>
          <w:color w:val="auto"/>
          <w:kern w:val="0"/>
          <w:szCs w:val="21"/>
          <w:highlight w:val="none"/>
        </w:rPr>
        <w:t>的法定代表人（</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kern w:val="0"/>
          <w:szCs w:val="21"/>
          <w:highlight w:val="none"/>
        </w:rPr>
        <w:t>，现授权</w:t>
      </w:r>
      <w:r>
        <w:rPr>
          <w:rFonts w:hint="eastAsia" w:ascii="宋体" w:hAnsi="宋体" w:eastAsia="宋体" w:cs="宋体"/>
          <w:color w:val="auto"/>
          <w:kern w:val="0"/>
          <w:szCs w:val="21"/>
          <w:highlight w:val="none"/>
          <w:u w:val="single"/>
        </w:rPr>
        <w:t>（姓名、职务）</w:t>
      </w:r>
      <w:r>
        <w:rPr>
          <w:rFonts w:hint="eastAsia" w:ascii="宋体" w:hAnsi="宋体" w:eastAsia="宋体" w:cs="宋体"/>
          <w:color w:val="auto"/>
          <w:kern w:val="0"/>
          <w:szCs w:val="21"/>
          <w:highlight w:val="none"/>
        </w:rPr>
        <w:t>为我方代理人。代理人根据授权，以我方名义：(1)签署、澄清、补正、修改、撤回、提交</w:t>
      </w:r>
      <w:r>
        <w:rPr>
          <w:rFonts w:hint="eastAsia" w:ascii="宋体" w:hAnsi="宋体" w:eastAsia="宋体" w:cs="宋体"/>
          <w:color w:val="auto"/>
          <w:kern w:val="0"/>
          <w:szCs w:val="21"/>
          <w:highlight w:val="none"/>
          <w:u w:val="single"/>
        </w:rPr>
        <w:t>（项目名称、</w:t>
      </w:r>
      <w:r>
        <w:rPr>
          <w:rFonts w:hint="eastAsia" w:ascii="宋体" w:hAnsi="宋体" w:eastAsia="宋体" w:cs="宋体"/>
          <w:color w:val="auto"/>
          <w:szCs w:val="21"/>
          <w:highlight w:val="none"/>
          <w:u w:val="single"/>
        </w:rPr>
        <w:t>政府采购计划编号</w:t>
      </w:r>
      <w:r>
        <w:rPr>
          <w:rFonts w:hint="eastAsia" w:ascii="宋体" w:hAnsi="宋体" w:eastAsia="宋体" w:cs="宋体"/>
          <w:color w:val="auto"/>
          <w:kern w:val="0"/>
          <w:szCs w:val="21"/>
          <w:highlight w:val="none"/>
          <w:u w:val="single"/>
        </w:rPr>
        <w:t>、委托代理编号）</w:t>
      </w:r>
      <w:r>
        <w:rPr>
          <w:rFonts w:hint="eastAsia" w:ascii="宋体" w:hAnsi="宋体" w:eastAsia="宋体" w:cs="宋体"/>
          <w:color w:val="auto"/>
          <w:kern w:val="0"/>
          <w:szCs w:val="21"/>
          <w:highlight w:val="none"/>
        </w:rPr>
        <w:t>响应文件；(2)签署并重新提交响应文件及最后报价；(3)退出磋商（如可能）；(4)签订合同和处理有关事宜，其法律后果由我方承担。</w:t>
      </w:r>
    </w:p>
    <w:p w14:paraId="2B5850D3">
      <w:pPr>
        <w:autoSpaceDE w:val="0"/>
        <w:autoSpaceDN w:val="0"/>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委托期限：</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24783A41">
      <w:pPr>
        <w:adjustRightInd w:val="0"/>
        <w:snapToGrid w:val="0"/>
        <w:spacing w:before="156" w:beforeLines="50"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代理人无转委托权。</w:t>
      </w:r>
    </w:p>
    <w:p w14:paraId="33C74BE6">
      <w:pPr>
        <w:adjustRightInd w:val="0"/>
        <w:snapToGrid w:val="0"/>
        <w:spacing w:before="156" w:beforeLines="50"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本授权书于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日签字生效，特此声明。</w:t>
      </w:r>
    </w:p>
    <w:tbl>
      <w:tblPr>
        <w:tblStyle w:val="1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0E2F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35BCF1C3">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2660B8DB">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r w14:paraId="5969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vAlign w:val="center"/>
          </w:tcPr>
          <w:p w14:paraId="43B32CD7">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法定代表人身份证（正面）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c>
          <w:tcPr>
            <w:tcW w:w="3899" w:type="dxa"/>
            <w:vAlign w:val="center"/>
          </w:tcPr>
          <w:p w14:paraId="565A22A3">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法定代表人身份证（反面）</w:t>
            </w:r>
            <w:r>
              <w:rPr>
                <w:rFonts w:hint="eastAsia" w:ascii="宋体" w:hAnsi="宋体" w:eastAsia="宋体" w:cs="宋体"/>
                <w:color w:val="auto"/>
                <w:spacing w:val="-2"/>
                <w:kern w:val="0"/>
                <w:szCs w:val="21"/>
                <w:highlight w:val="none"/>
              </w:rPr>
              <w:t>复</w:t>
            </w:r>
            <w:r>
              <w:rPr>
                <w:rFonts w:hint="eastAsia" w:ascii="宋体" w:hAnsi="宋体" w:eastAsia="宋体" w:cs="宋体"/>
                <w:color w:val="auto"/>
                <w:kern w:val="0"/>
                <w:szCs w:val="21"/>
                <w:highlight w:val="none"/>
              </w:rPr>
              <w:t>印</w:t>
            </w:r>
            <w:r>
              <w:rPr>
                <w:rFonts w:hint="eastAsia" w:ascii="宋体" w:hAnsi="宋体" w:eastAsia="宋体" w:cs="宋体"/>
                <w:color w:val="auto"/>
                <w:spacing w:val="-2"/>
                <w:kern w:val="0"/>
                <w:szCs w:val="21"/>
                <w:highlight w:val="none"/>
              </w:rPr>
              <w:t>件</w:t>
            </w:r>
          </w:p>
        </w:tc>
      </w:tr>
    </w:tbl>
    <w:p w14:paraId="727075D4">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p>
    <w:p w14:paraId="1F2CA46F">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注：供应商代表不是供应商的法定代表人（单位负责人）的提供。</w:t>
      </w:r>
    </w:p>
    <w:p w14:paraId="26E44410">
      <w:pPr>
        <w:adjustRightInd w:val="0"/>
        <w:snapToGrid w:val="0"/>
        <w:spacing w:before="156" w:beforeLines="50" w:line="360" w:lineRule="auto"/>
        <w:rPr>
          <w:rFonts w:hint="eastAsia" w:ascii="宋体" w:hAnsi="宋体" w:eastAsia="宋体" w:cs="宋体"/>
          <w:color w:val="auto"/>
          <w:szCs w:val="21"/>
          <w:highlight w:val="none"/>
        </w:rPr>
      </w:pPr>
    </w:p>
    <w:p w14:paraId="780E371D">
      <w:pPr>
        <w:pStyle w:val="5"/>
        <w:rPr>
          <w:rFonts w:hint="eastAsia" w:ascii="宋体" w:hAnsi="宋体" w:eastAsia="宋体" w:cs="宋体"/>
          <w:color w:val="auto"/>
          <w:highlight w:val="none"/>
        </w:rPr>
      </w:pPr>
    </w:p>
    <w:p w14:paraId="28FFCB6D">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供应商名称(盖单位公章)：</w:t>
      </w:r>
      <w:r>
        <w:rPr>
          <w:rFonts w:hint="eastAsia" w:ascii="宋体" w:hAnsi="宋体" w:eastAsia="宋体" w:cs="宋体"/>
          <w:color w:val="auto"/>
          <w:kern w:val="0"/>
          <w:szCs w:val="21"/>
          <w:highlight w:val="none"/>
          <w:u w:val="single"/>
        </w:rPr>
        <w:t xml:space="preserve">                 </w:t>
      </w:r>
    </w:p>
    <w:p w14:paraId="067BA419">
      <w:pPr>
        <w:adjustRightInd w:val="0"/>
        <w:snapToGrid w:val="0"/>
        <w:spacing w:before="156" w:beforeLines="50" w:line="360" w:lineRule="auto"/>
        <w:rPr>
          <w:rFonts w:hint="eastAsia" w:ascii="宋体" w:hAnsi="宋体" w:eastAsia="宋体" w:cs="宋体"/>
          <w:color w:val="auto"/>
          <w:spacing w:val="-2"/>
          <w:kern w:val="0"/>
          <w:szCs w:val="21"/>
          <w:highlight w:val="none"/>
        </w:rPr>
      </w:pPr>
      <w:r>
        <w:rPr>
          <w:rFonts w:hint="eastAsia" w:ascii="宋体" w:hAnsi="宋体" w:eastAsia="宋体" w:cs="宋体"/>
          <w:color w:val="auto"/>
          <w:spacing w:val="-2"/>
          <w:kern w:val="0"/>
          <w:szCs w:val="21"/>
          <w:highlight w:val="none"/>
        </w:rPr>
        <w:t>法</w:t>
      </w:r>
      <w:r>
        <w:rPr>
          <w:rFonts w:hint="eastAsia" w:ascii="宋体" w:hAnsi="宋体" w:eastAsia="宋体" w:cs="宋体"/>
          <w:color w:val="auto"/>
          <w:kern w:val="0"/>
          <w:szCs w:val="21"/>
          <w:highlight w:val="none"/>
        </w:rPr>
        <w:t>定</w:t>
      </w:r>
      <w:r>
        <w:rPr>
          <w:rFonts w:hint="eastAsia" w:ascii="宋体" w:hAnsi="宋体" w:eastAsia="宋体" w:cs="宋体"/>
          <w:color w:val="auto"/>
          <w:spacing w:val="-2"/>
          <w:kern w:val="0"/>
          <w:szCs w:val="21"/>
          <w:highlight w:val="none"/>
        </w:rPr>
        <w:t>代</w:t>
      </w:r>
      <w:r>
        <w:rPr>
          <w:rFonts w:hint="eastAsia" w:ascii="宋体" w:hAnsi="宋体" w:eastAsia="宋体" w:cs="宋体"/>
          <w:color w:val="auto"/>
          <w:kern w:val="0"/>
          <w:szCs w:val="21"/>
          <w:highlight w:val="none"/>
        </w:rPr>
        <w:t>表</w:t>
      </w:r>
      <w:r>
        <w:rPr>
          <w:rFonts w:hint="eastAsia" w:ascii="宋体" w:hAnsi="宋体" w:eastAsia="宋体" w:cs="宋体"/>
          <w:color w:val="auto"/>
          <w:spacing w:val="-2"/>
          <w:kern w:val="0"/>
          <w:szCs w:val="21"/>
          <w:highlight w:val="none"/>
        </w:rPr>
        <w:t>人</w:t>
      </w:r>
      <w:r>
        <w:rPr>
          <w:rFonts w:hint="eastAsia" w:ascii="宋体" w:hAnsi="宋体" w:eastAsia="宋体" w:cs="宋体"/>
          <w:color w:val="auto"/>
          <w:kern w:val="0"/>
          <w:szCs w:val="21"/>
          <w:highlight w:val="none"/>
        </w:rPr>
        <w:t>（</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szCs w:val="21"/>
          <w:highlight w:val="none"/>
        </w:rPr>
        <w:t>（签字或印章）：</w:t>
      </w:r>
      <w:r>
        <w:rPr>
          <w:rFonts w:hint="eastAsia" w:ascii="宋体" w:hAnsi="宋体" w:eastAsia="宋体" w:cs="宋体"/>
          <w:color w:val="auto"/>
          <w:kern w:val="0"/>
          <w:szCs w:val="21"/>
          <w:highlight w:val="none"/>
          <w:u w:val="single"/>
        </w:rPr>
        <w:t xml:space="preserve">                 </w:t>
      </w:r>
    </w:p>
    <w:p w14:paraId="7EE74545">
      <w:pPr>
        <w:adjustRightInd w:val="0"/>
        <w:snapToGrid w:val="0"/>
        <w:spacing w:before="156" w:beforeLines="50"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委托代理人（签字或印章）：</w:t>
      </w:r>
      <w:r>
        <w:rPr>
          <w:rFonts w:hint="eastAsia" w:ascii="宋体" w:hAnsi="宋体" w:eastAsia="宋体" w:cs="宋体"/>
          <w:color w:val="auto"/>
          <w:kern w:val="0"/>
          <w:szCs w:val="21"/>
          <w:highlight w:val="none"/>
          <w:u w:val="single"/>
        </w:rPr>
        <w:t xml:space="preserve">                 </w:t>
      </w:r>
    </w:p>
    <w:p w14:paraId="53E43C7F">
      <w:pPr>
        <w:adjustRightInd w:val="0"/>
        <w:snapToGrid w:val="0"/>
        <w:spacing w:before="156" w:beforeLines="50" w:line="360" w:lineRule="auto"/>
        <w:rPr>
          <w:rFonts w:hint="eastAsia" w:ascii="宋体" w:hAnsi="宋体" w:eastAsia="宋体" w:cs="宋体"/>
          <w:color w:val="auto"/>
          <w:szCs w:val="21"/>
          <w:highlight w:val="none"/>
        </w:rPr>
        <w:sectPr>
          <w:pgSz w:w="11906" w:h="16838"/>
          <w:pgMar w:top="1418" w:right="1587" w:bottom="1417" w:left="1587" w:header="964" w:footer="907" w:gutter="0"/>
          <w:cols w:space="720" w:num="1"/>
          <w:docGrid w:type="linesAndChars" w:linePitch="312" w:charSpace="0"/>
        </w:sectPr>
      </w:pPr>
      <w:r>
        <w:rPr>
          <w:rFonts w:hint="eastAsia" w:ascii="宋体" w:hAnsi="宋体" w:eastAsia="宋体" w:cs="宋体"/>
          <w:color w:val="auto"/>
          <w:szCs w:val="21"/>
          <w:highlight w:val="none"/>
        </w:rPr>
        <w:t>日期：    年    月     日</w:t>
      </w:r>
      <w:r>
        <w:rPr>
          <w:rFonts w:hint="eastAsia" w:ascii="宋体" w:hAnsi="宋体" w:eastAsia="宋体" w:cs="宋体"/>
          <w:color w:val="auto"/>
          <w:highlight w:val="none"/>
        </w:rPr>
        <w:t xml:space="preserve"> </w:t>
      </w:r>
    </w:p>
    <w:p w14:paraId="0A540AB5">
      <w:pPr>
        <w:adjustRightInd w:val="0"/>
        <w:snapToGrid w:val="0"/>
        <w:spacing w:line="360" w:lineRule="auto"/>
        <w:jc w:val="center"/>
        <w:rPr>
          <w:rFonts w:hint="eastAsia" w:ascii="宋体" w:hAnsi="宋体" w:eastAsia="宋体" w:cs="宋体"/>
          <w:b/>
          <w:color w:val="auto"/>
          <w:sz w:val="28"/>
          <w:szCs w:val="28"/>
          <w:highlight w:val="none"/>
        </w:rPr>
      </w:pPr>
      <w:bookmarkStart w:id="264" w:name="_Toc4506128"/>
      <w:bookmarkStart w:id="265" w:name="_Toc2593141"/>
      <w:bookmarkStart w:id="266" w:name="_Toc2674905"/>
      <w:bookmarkStart w:id="267" w:name="_Toc2684038"/>
      <w:bookmarkStart w:id="268" w:name="_Toc2951779"/>
      <w:bookmarkStart w:id="269" w:name="_Toc2674700"/>
      <w:r>
        <w:rPr>
          <w:rFonts w:hint="eastAsia" w:ascii="宋体" w:hAnsi="宋体" w:eastAsia="宋体" w:cs="宋体"/>
          <w:b/>
          <w:color w:val="auto"/>
          <w:sz w:val="28"/>
          <w:szCs w:val="28"/>
          <w:highlight w:val="none"/>
        </w:rPr>
        <w:t>供应商资格声明</w:t>
      </w:r>
    </w:p>
    <w:p w14:paraId="7865BD21">
      <w:pPr>
        <w:widowControl/>
        <w:adjustRightInd w:val="0"/>
        <w:snapToGrid w:val="0"/>
        <w:spacing w:before="157" w:beforeLines="50"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(采购人、采购代理机构)：</w:t>
      </w:r>
    </w:p>
    <w:p w14:paraId="394F269D">
      <w:pPr>
        <w:widowControl/>
        <w:adjustRightInd w:val="0"/>
        <w:snapToGrid w:val="0"/>
        <w:spacing w:before="157"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按照《中华人民共和国政府采购法》及实施条例和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(项目名称/采购计划编号)邀请函的规定，我单位郑重声明如下：</w:t>
      </w:r>
    </w:p>
    <w:p w14:paraId="2833D915">
      <w:pPr>
        <w:widowControl/>
        <w:adjustRightInd w:val="0"/>
        <w:snapToGrid w:val="0"/>
        <w:spacing w:before="157"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一、我单位是按照中华人民共和国法律规定登记注册的，注册地点为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，全称为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，统一社会信用代码为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，法定代表人</w:t>
      </w:r>
      <w:r>
        <w:rPr>
          <w:rFonts w:hint="eastAsia" w:ascii="宋体" w:hAnsi="宋体" w:eastAsia="宋体" w:cs="宋体"/>
          <w:color w:val="auto"/>
          <w:kern w:val="0"/>
          <w:szCs w:val="21"/>
          <w:highlight w:val="none"/>
        </w:rPr>
        <w:t>（</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szCs w:val="21"/>
          <w:highlight w:val="none"/>
        </w:rPr>
        <w:t>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，具有独立承担民事责任的能力。</w:t>
      </w:r>
    </w:p>
    <w:p w14:paraId="2978F826">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二、我单位具有良好的商业信誉和健全的财务会计制度。</w:t>
      </w:r>
    </w:p>
    <w:p w14:paraId="1F692D4F">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三、我</w:t>
      </w:r>
      <w:r>
        <w:rPr>
          <w:rFonts w:hint="eastAsia" w:ascii="宋体" w:hAnsi="宋体" w:eastAsia="宋体" w:cs="宋体"/>
          <w:color w:val="auto"/>
          <w:szCs w:val="21"/>
          <w:highlight w:val="none"/>
        </w:rPr>
        <w:t>单位</w:t>
      </w:r>
      <w:r>
        <w:rPr>
          <w:rFonts w:hint="eastAsia" w:ascii="宋体" w:hAnsi="宋体" w:eastAsia="宋体" w:cs="宋体"/>
          <w:color w:val="auto"/>
          <w:kern w:val="0"/>
          <w:szCs w:val="21"/>
          <w:highlight w:val="none"/>
        </w:rPr>
        <w:t>依法进行纳税和社会保险申报并实际履行了义务。</w:t>
      </w:r>
    </w:p>
    <w:p w14:paraId="15681509">
      <w:pPr>
        <w:widowControl/>
        <w:adjustRightInd w:val="0"/>
        <w:snapToGrid w:val="0"/>
        <w:spacing w:before="157"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w:t>
      </w:r>
      <w:r>
        <w:rPr>
          <w:rFonts w:hint="eastAsia" w:ascii="宋体" w:hAnsi="宋体" w:eastAsia="宋体" w:cs="宋体"/>
          <w:color w:val="auto"/>
          <w:szCs w:val="21"/>
          <w:highlight w:val="none"/>
        </w:rPr>
        <w:t>我单位具有履行本项目采购合同所必需的设备和专业技术能力，并具有履行合同的良好记录。</w:t>
      </w:r>
    </w:p>
    <w:p w14:paraId="318C93A5">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14:paraId="33A47047">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供应商在参加政府采购活动前3年内因违法经营被禁止在一定期限内参加政府采购活动，期限届满的，可以参加政府采购活动。</w:t>
      </w:r>
    </w:p>
    <w:p w14:paraId="2D2C4E6A">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六、我单位具备法律、行政法规规定的其他条件。</w:t>
      </w:r>
    </w:p>
    <w:p w14:paraId="2A252A1D">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七、与我单位存在“单位负责人为同一人或者存在直接控股、管理关系”的其他单位信息如下（如无，填写“无”）：</w:t>
      </w:r>
    </w:p>
    <w:p w14:paraId="45A6D388">
      <w:pPr>
        <w:adjustRightInd w:val="0"/>
        <w:snapToGrid w:val="0"/>
        <w:spacing w:before="157"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1、与我单位的法定代表人（单位负责人）为同一人的其他单位如下：</w:t>
      </w:r>
      <w:r>
        <w:rPr>
          <w:rFonts w:hint="eastAsia" w:ascii="宋体" w:hAnsi="宋体" w:eastAsia="宋体" w:cs="宋体"/>
          <w:color w:val="auto"/>
          <w:szCs w:val="21"/>
          <w:highlight w:val="none"/>
          <w:u w:val="single"/>
        </w:rPr>
        <w:t xml:space="preserve">               </w:t>
      </w:r>
    </w:p>
    <w:p w14:paraId="051959C2">
      <w:pPr>
        <w:adjustRightInd w:val="0"/>
        <w:snapToGrid w:val="0"/>
        <w:spacing w:before="157"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2、我单位直接控股的其他单位如下：</w:t>
      </w:r>
      <w:r>
        <w:rPr>
          <w:rFonts w:hint="eastAsia" w:ascii="宋体" w:hAnsi="宋体" w:eastAsia="宋体" w:cs="宋体"/>
          <w:color w:val="auto"/>
          <w:szCs w:val="21"/>
          <w:highlight w:val="none"/>
          <w:u w:val="single"/>
        </w:rPr>
        <w:t xml:space="preserve">               </w:t>
      </w:r>
    </w:p>
    <w:p w14:paraId="3CADAE76">
      <w:pPr>
        <w:adjustRightInd w:val="0"/>
        <w:snapToGrid w:val="0"/>
        <w:spacing w:before="157" w:beforeLines="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3、与我单位存在管理关系的其他单位如下：</w:t>
      </w:r>
      <w:r>
        <w:rPr>
          <w:rFonts w:hint="eastAsia" w:ascii="宋体" w:hAnsi="宋体" w:eastAsia="宋体" w:cs="宋体"/>
          <w:color w:val="auto"/>
          <w:szCs w:val="21"/>
          <w:highlight w:val="none"/>
          <w:u w:val="single"/>
        </w:rPr>
        <w:t xml:space="preserve">               </w:t>
      </w:r>
    </w:p>
    <w:p w14:paraId="04DEBA72">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八、</w:t>
      </w:r>
      <w:r>
        <w:rPr>
          <w:rFonts w:hint="eastAsia" w:ascii="宋体" w:hAnsi="宋体" w:eastAsia="宋体" w:cs="宋体"/>
          <w:color w:val="auto"/>
          <w:szCs w:val="21"/>
          <w:highlight w:val="none"/>
        </w:rPr>
        <w:t>我单位不属于为本项目提供整体设计、规范编制或者项目管理、监理、检测等服务的供应商。</w:t>
      </w:r>
    </w:p>
    <w:p w14:paraId="27D31A9D">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九、我单位无以下不良信用记录情形：</w:t>
      </w:r>
    </w:p>
    <w:p w14:paraId="0D8AFFE2">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1、在“信用中国”、“信用湖南”、“信用郴州”网站被列入失信被执行人和重大税收违法案件当事人名单；</w:t>
      </w:r>
    </w:p>
    <w:p w14:paraId="125CBAAA">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2、在“中国政府采购网”、“湖南省政府采购网”网站被列入政府采购严重违法失信行为记录名单；</w:t>
      </w:r>
    </w:p>
    <w:p w14:paraId="59B29B7B">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3、不符合《政府采购法》第二十二条规定的条件。</w:t>
      </w:r>
    </w:p>
    <w:p w14:paraId="7E5820AD">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十、我单位不属于联合体形式。</w:t>
      </w:r>
    </w:p>
    <w:p w14:paraId="6A94EC4D">
      <w:pPr>
        <w:widowControl/>
        <w:adjustRightInd w:val="0"/>
        <w:snapToGrid w:val="0"/>
        <w:spacing w:before="157" w:beforeLines="5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我单位保证上述声明的事项都是真实的，如有虚假，我单位愿意承担相应的法律责任，并承担因此所造成的一切损失。</w:t>
      </w:r>
    </w:p>
    <w:p w14:paraId="77CC3D6D">
      <w:pPr>
        <w:widowControl/>
        <w:adjustRightInd w:val="0"/>
        <w:snapToGrid w:val="0"/>
        <w:spacing w:before="157"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注：第三条“良好的商业信誉”是指供应商经营状况良好，无本资格声明第九条情形。</w:t>
      </w:r>
    </w:p>
    <w:p w14:paraId="5369CA36">
      <w:pPr>
        <w:widowControl/>
        <w:adjustRightInd w:val="0"/>
        <w:snapToGrid w:val="0"/>
        <w:spacing w:before="157" w:beforeLines="50" w:line="360" w:lineRule="auto"/>
        <w:jc w:val="left"/>
        <w:rPr>
          <w:rFonts w:hint="eastAsia" w:ascii="宋体" w:hAnsi="宋体" w:eastAsia="宋体" w:cs="宋体"/>
          <w:color w:val="auto"/>
          <w:szCs w:val="21"/>
          <w:highlight w:val="none"/>
        </w:rPr>
      </w:pPr>
    </w:p>
    <w:p w14:paraId="2DAE3D3A">
      <w:pPr>
        <w:widowControl/>
        <w:adjustRightInd w:val="0"/>
        <w:snapToGri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供应商名称（盖单位公章）：</w:t>
      </w:r>
      <w:r>
        <w:rPr>
          <w:rFonts w:hint="eastAsia" w:ascii="宋体" w:hAnsi="宋体" w:eastAsia="宋体" w:cs="宋体"/>
          <w:color w:val="auto"/>
          <w:kern w:val="0"/>
          <w:szCs w:val="21"/>
          <w:highlight w:val="none"/>
          <w:u w:val="single"/>
        </w:rPr>
        <w:t xml:space="preserve">                 </w:t>
      </w:r>
    </w:p>
    <w:p w14:paraId="133D0927">
      <w:pPr>
        <w:widowControl/>
        <w:adjustRightInd w:val="0"/>
        <w:snapToGrid w:val="0"/>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color w:val="auto"/>
          <w:spacing w:val="-2"/>
          <w:kern w:val="0"/>
          <w:szCs w:val="21"/>
          <w:highlight w:val="none"/>
        </w:rPr>
        <w:t>法</w:t>
      </w:r>
      <w:r>
        <w:rPr>
          <w:rFonts w:hint="eastAsia" w:ascii="宋体" w:hAnsi="宋体" w:eastAsia="宋体" w:cs="宋体"/>
          <w:color w:val="auto"/>
          <w:kern w:val="0"/>
          <w:szCs w:val="21"/>
          <w:highlight w:val="none"/>
        </w:rPr>
        <w:t>定</w:t>
      </w:r>
      <w:r>
        <w:rPr>
          <w:rFonts w:hint="eastAsia" w:ascii="宋体" w:hAnsi="宋体" w:eastAsia="宋体" w:cs="宋体"/>
          <w:color w:val="auto"/>
          <w:spacing w:val="-2"/>
          <w:kern w:val="0"/>
          <w:szCs w:val="21"/>
          <w:highlight w:val="none"/>
        </w:rPr>
        <w:t>代</w:t>
      </w:r>
      <w:r>
        <w:rPr>
          <w:rFonts w:hint="eastAsia" w:ascii="宋体" w:hAnsi="宋体" w:eastAsia="宋体" w:cs="宋体"/>
          <w:color w:val="auto"/>
          <w:kern w:val="0"/>
          <w:szCs w:val="21"/>
          <w:highlight w:val="none"/>
        </w:rPr>
        <w:t>表</w:t>
      </w:r>
      <w:r>
        <w:rPr>
          <w:rFonts w:hint="eastAsia" w:ascii="宋体" w:hAnsi="宋体" w:eastAsia="宋体" w:cs="宋体"/>
          <w:color w:val="auto"/>
          <w:spacing w:val="-2"/>
          <w:kern w:val="0"/>
          <w:szCs w:val="21"/>
          <w:highlight w:val="none"/>
        </w:rPr>
        <w:t>人</w:t>
      </w:r>
      <w:r>
        <w:rPr>
          <w:rFonts w:hint="eastAsia" w:ascii="宋体" w:hAnsi="宋体" w:eastAsia="宋体" w:cs="宋体"/>
          <w:color w:val="auto"/>
          <w:kern w:val="0"/>
          <w:szCs w:val="21"/>
          <w:highlight w:val="none"/>
        </w:rPr>
        <w:t>（</w:t>
      </w:r>
      <w:r>
        <w:rPr>
          <w:rFonts w:hint="eastAsia" w:ascii="宋体" w:hAnsi="宋体" w:eastAsia="宋体" w:cs="宋体"/>
          <w:color w:val="auto"/>
          <w:spacing w:val="-2"/>
          <w:kern w:val="0"/>
          <w:szCs w:val="21"/>
          <w:highlight w:val="none"/>
        </w:rPr>
        <w:t>单</w:t>
      </w:r>
      <w:r>
        <w:rPr>
          <w:rFonts w:hint="eastAsia" w:ascii="宋体" w:hAnsi="宋体" w:eastAsia="宋体" w:cs="宋体"/>
          <w:color w:val="auto"/>
          <w:kern w:val="0"/>
          <w:szCs w:val="21"/>
          <w:highlight w:val="none"/>
        </w:rPr>
        <w:t>位</w:t>
      </w:r>
      <w:r>
        <w:rPr>
          <w:rFonts w:hint="eastAsia" w:ascii="宋体" w:hAnsi="宋体" w:eastAsia="宋体" w:cs="宋体"/>
          <w:color w:val="auto"/>
          <w:spacing w:val="-2"/>
          <w:kern w:val="0"/>
          <w:szCs w:val="21"/>
          <w:highlight w:val="none"/>
        </w:rPr>
        <w:t>负</w:t>
      </w:r>
      <w:r>
        <w:rPr>
          <w:rFonts w:hint="eastAsia" w:ascii="宋体" w:hAnsi="宋体" w:eastAsia="宋体" w:cs="宋体"/>
          <w:color w:val="auto"/>
          <w:kern w:val="0"/>
          <w:szCs w:val="21"/>
          <w:highlight w:val="none"/>
        </w:rPr>
        <w:t>责人</w:t>
      </w:r>
      <w:r>
        <w:rPr>
          <w:rFonts w:hint="eastAsia" w:ascii="宋体" w:hAnsi="宋体" w:eastAsia="宋体" w:cs="宋体"/>
          <w:color w:val="auto"/>
          <w:spacing w:val="-2"/>
          <w:kern w:val="0"/>
          <w:szCs w:val="21"/>
          <w:highlight w:val="none"/>
        </w:rPr>
        <w:t>）</w:t>
      </w:r>
      <w:r>
        <w:rPr>
          <w:rFonts w:hint="eastAsia" w:ascii="宋体" w:hAnsi="宋体" w:eastAsia="宋体" w:cs="宋体"/>
          <w:color w:val="auto"/>
          <w:szCs w:val="21"/>
          <w:highlight w:val="none"/>
        </w:rPr>
        <w:t>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（签字或印章）</w:t>
      </w:r>
    </w:p>
    <w:p w14:paraId="56B39751">
      <w:pPr>
        <w:spacing w:line="360" w:lineRule="auto"/>
        <w:ind w:firstLine="3675" w:firstLineChars="1750"/>
        <w:rPr>
          <w:rStyle w:val="34"/>
          <w:rFonts w:hint="eastAsia" w:ascii="宋体" w:hAnsi="宋体" w:eastAsia="宋体" w:cs="宋体"/>
          <w:b/>
          <w:bCs/>
          <w:color w:val="auto"/>
          <w:kern w:val="0"/>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728CD81">
      <w:pPr>
        <w:jc w:val="left"/>
        <w:rPr>
          <w:rStyle w:val="34"/>
          <w:rFonts w:hint="eastAsia" w:ascii="宋体" w:hAnsi="宋体" w:eastAsia="宋体" w:cs="宋体"/>
          <w:b/>
          <w:bCs/>
          <w:color w:val="auto"/>
          <w:kern w:val="0"/>
          <w:highlight w:val="none"/>
        </w:rPr>
      </w:pPr>
    </w:p>
    <w:p w14:paraId="7B43065E">
      <w:pPr>
        <w:jc w:val="left"/>
        <w:rPr>
          <w:rStyle w:val="34"/>
          <w:rFonts w:hint="eastAsia" w:ascii="宋体" w:hAnsi="宋体" w:eastAsia="宋体" w:cs="宋体"/>
          <w:b/>
          <w:bCs/>
          <w:color w:val="auto"/>
          <w:kern w:val="0"/>
          <w:highlight w:val="none"/>
        </w:rPr>
      </w:pPr>
    </w:p>
    <w:p w14:paraId="7CA94635">
      <w:pPr>
        <w:jc w:val="left"/>
        <w:rPr>
          <w:rStyle w:val="34"/>
          <w:rFonts w:hint="eastAsia" w:ascii="宋体" w:hAnsi="宋体" w:eastAsia="宋体" w:cs="宋体"/>
          <w:b/>
          <w:bCs/>
          <w:color w:val="auto"/>
          <w:kern w:val="0"/>
          <w:highlight w:val="none"/>
        </w:rPr>
      </w:pPr>
    </w:p>
    <w:p w14:paraId="567F162E">
      <w:pPr>
        <w:jc w:val="left"/>
        <w:rPr>
          <w:rStyle w:val="34"/>
          <w:rFonts w:hint="eastAsia" w:ascii="宋体" w:hAnsi="宋体" w:eastAsia="宋体" w:cs="宋体"/>
          <w:b/>
          <w:bCs/>
          <w:color w:val="auto"/>
          <w:kern w:val="0"/>
          <w:highlight w:val="none"/>
        </w:rPr>
      </w:pPr>
    </w:p>
    <w:p w14:paraId="024394E9">
      <w:pPr>
        <w:jc w:val="left"/>
        <w:rPr>
          <w:rStyle w:val="34"/>
          <w:rFonts w:hint="eastAsia" w:ascii="宋体" w:hAnsi="宋体" w:eastAsia="宋体" w:cs="宋体"/>
          <w:b/>
          <w:bCs/>
          <w:color w:val="auto"/>
          <w:kern w:val="0"/>
          <w:highlight w:val="none"/>
        </w:rPr>
      </w:pPr>
    </w:p>
    <w:p w14:paraId="570146B2">
      <w:pPr>
        <w:jc w:val="left"/>
        <w:rPr>
          <w:rStyle w:val="34"/>
          <w:rFonts w:hint="eastAsia" w:ascii="宋体" w:hAnsi="宋体" w:eastAsia="宋体" w:cs="宋体"/>
          <w:b/>
          <w:bCs/>
          <w:color w:val="auto"/>
          <w:kern w:val="0"/>
          <w:highlight w:val="none"/>
        </w:rPr>
      </w:pPr>
    </w:p>
    <w:p w14:paraId="1151880B">
      <w:pPr>
        <w:jc w:val="left"/>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  </w:t>
      </w:r>
    </w:p>
    <w:p w14:paraId="013040A5">
      <w:pPr>
        <w:jc w:val="center"/>
        <w:rPr>
          <w:rFonts w:hint="eastAsia" w:ascii="宋体" w:hAnsi="宋体" w:eastAsia="宋体" w:cs="宋体"/>
          <w:b/>
          <w:bCs/>
          <w:color w:val="auto"/>
          <w:sz w:val="36"/>
          <w:szCs w:val="44"/>
          <w:highlight w:val="none"/>
        </w:rPr>
      </w:pPr>
      <w:r>
        <w:rPr>
          <w:rFonts w:hint="eastAsia" w:ascii="宋体" w:hAnsi="宋体" w:eastAsia="宋体" w:cs="宋体"/>
          <w:b/>
          <w:bCs/>
          <w:color w:val="auto"/>
          <w:sz w:val="32"/>
          <w:szCs w:val="40"/>
          <w:highlight w:val="none"/>
        </w:rPr>
        <w:br w:type="page"/>
      </w:r>
      <w:r>
        <w:rPr>
          <w:rFonts w:hint="eastAsia" w:ascii="宋体" w:hAnsi="宋体" w:eastAsia="宋体" w:cs="宋体"/>
          <w:b/>
          <w:bCs/>
          <w:color w:val="auto"/>
          <w:sz w:val="32"/>
          <w:szCs w:val="40"/>
          <w:highlight w:val="none"/>
        </w:rPr>
        <w:t>湖南省政府采购供应商资格承诺函</w:t>
      </w:r>
    </w:p>
    <w:p w14:paraId="694D9B08">
      <w:pPr>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304AC803">
      <w:pPr>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按照《政府采购促进中小企业发展管理办法》（财库〔2020〕46号），本公司企业规模为：大型□ 中型□ 小型□ 微型□</w:t>
      </w:r>
    </w:p>
    <w:p w14:paraId="3D75ECC6">
      <w:pPr>
        <w:spacing w:line="360" w:lineRule="auto"/>
        <w:ind w:firstLine="480" w:firstLineChars="2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□本公司自愿入驻湖南省政府采购电子卖场，遵守《湖南省政府采购电子卖场管理办法》（湘财购〔2019〕27号），如违反承诺，同意金融机构将增信保证划缴国库（非电子卖场采购活动项目不需勾选）。</w:t>
      </w:r>
    </w:p>
    <w:p w14:paraId="6C4C6DCD">
      <w:pPr>
        <w:spacing w:line="360" w:lineRule="auto"/>
        <w:rPr>
          <w:rFonts w:hint="eastAsia" w:ascii="宋体" w:hAnsi="宋体" w:eastAsia="宋体" w:cs="宋体"/>
          <w:color w:val="auto"/>
          <w:sz w:val="24"/>
          <w:szCs w:val="32"/>
          <w:highlight w:val="none"/>
        </w:rPr>
      </w:pPr>
    </w:p>
    <w:p w14:paraId="0A1C2F5D">
      <w:pPr>
        <w:spacing w:line="360" w:lineRule="auto"/>
        <w:ind w:firstLine="4080" w:firstLineChars="17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公司（单位）名称（盖章）</w:t>
      </w:r>
      <w:r>
        <w:rPr>
          <w:rFonts w:hint="eastAsia" w:ascii="宋体" w:hAnsi="宋体" w:eastAsia="宋体" w:cs="宋体"/>
          <w:color w:val="auto"/>
          <w:kern w:val="0"/>
          <w:szCs w:val="21"/>
          <w:highlight w:val="none"/>
          <w:u w:val="single"/>
        </w:rPr>
        <w:t xml:space="preserve">                 </w:t>
      </w:r>
    </w:p>
    <w:p w14:paraId="30A88A89">
      <w:pPr>
        <w:spacing w:line="360" w:lineRule="auto"/>
        <w:ind w:firstLine="4800" w:firstLineChars="2000"/>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__年__月__日</w:t>
      </w:r>
    </w:p>
    <w:p w14:paraId="04B61A9E">
      <w:pPr>
        <w:spacing w:line="360" w:lineRule="auto"/>
        <w:ind w:firstLine="4800" w:firstLineChars="2000"/>
        <w:rPr>
          <w:rFonts w:hint="eastAsia" w:ascii="宋体" w:hAnsi="宋体" w:eastAsia="宋体" w:cs="宋体"/>
          <w:color w:val="auto"/>
          <w:sz w:val="24"/>
          <w:szCs w:val="32"/>
          <w:highlight w:val="none"/>
        </w:rPr>
      </w:pPr>
    </w:p>
    <w:p w14:paraId="0965C993">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机构代码：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注册登记机构：</w:t>
      </w:r>
      <w:r>
        <w:rPr>
          <w:rFonts w:hint="eastAsia" w:ascii="宋体" w:hAnsi="宋体" w:eastAsia="宋体" w:cs="宋体"/>
          <w:color w:val="auto"/>
          <w:szCs w:val="21"/>
          <w:highlight w:val="none"/>
          <w:u w:val="single"/>
        </w:rPr>
        <w:t xml:space="preserve">                               </w:t>
      </w:r>
    </w:p>
    <w:p w14:paraId="45DE81A3">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有效期：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注册资本：</w:t>
      </w:r>
      <w:r>
        <w:rPr>
          <w:rFonts w:hint="eastAsia" w:ascii="宋体" w:hAnsi="宋体" w:eastAsia="宋体" w:cs="宋体"/>
          <w:color w:val="auto"/>
          <w:szCs w:val="21"/>
          <w:highlight w:val="none"/>
          <w:u w:val="single"/>
        </w:rPr>
        <w:t xml:space="preserve">                     </w:t>
      </w:r>
    </w:p>
    <w:p w14:paraId="222534EC">
      <w:pPr>
        <w:pStyle w:val="18"/>
        <w:ind w:left="0" w:leftChars="0" w:firstLine="0" w:firstLineChars="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经济行业：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经济性质：</w:t>
      </w:r>
      <w:r>
        <w:rPr>
          <w:rFonts w:hint="eastAsia" w:ascii="宋体" w:hAnsi="宋体" w:eastAsia="宋体" w:cs="宋体"/>
          <w:color w:val="auto"/>
          <w:szCs w:val="21"/>
          <w:highlight w:val="none"/>
          <w:u w:val="single"/>
        </w:rPr>
        <w:t xml:space="preserve">                                 </w:t>
      </w:r>
    </w:p>
    <w:p w14:paraId="455DC88A">
      <w:pPr>
        <w:pStyle w:val="18"/>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法定代表人(负责人)姓名（签字或盖章）：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9A8DEF7">
      <w:pPr>
        <w:rPr>
          <w:rFonts w:hint="eastAsia" w:ascii="宋体" w:hAnsi="宋体" w:eastAsia="宋体" w:cs="宋体"/>
          <w:color w:val="auto"/>
          <w:highlight w:val="none"/>
        </w:rPr>
      </w:pPr>
      <w:r>
        <w:rPr>
          <w:rFonts w:hint="eastAsia" w:ascii="宋体" w:hAnsi="宋体" w:eastAsia="宋体" w:cs="宋体"/>
          <w:color w:val="auto"/>
          <w:highlight w:val="none"/>
        </w:rPr>
        <w:t>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手机号：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6CD5BFB9">
      <w:pPr>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授权代表人姓名（签字或盖章）：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0721D712">
      <w:pPr>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手机号：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03B6807">
      <w:pPr>
        <w:adjustRightInd w:val="0"/>
        <w:snapToGrid w:val="0"/>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bookmarkStart w:id="270" w:name="_Toc8267"/>
      <w:r>
        <w:rPr>
          <w:rFonts w:hint="eastAsia" w:ascii="宋体" w:hAnsi="宋体" w:eastAsia="宋体" w:cs="宋体"/>
          <w:b/>
          <w:color w:val="auto"/>
          <w:sz w:val="32"/>
          <w:szCs w:val="32"/>
          <w:highlight w:val="none"/>
        </w:rPr>
        <w:t>附件3 工程质量保修书</w:t>
      </w:r>
      <w:bookmarkEnd w:id="264"/>
      <w:bookmarkEnd w:id="265"/>
      <w:bookmarkEnd w:id="266"/>
      <w:bookmarkEnd w:id="267"/>
      <w:bookmarkEnd w:id="268"/>
      <w:bookmarkEnd w:id="269"/>
      <w:bookmarkEnd w:id="270"/>
    </w:p>
    <w:p w14:paraId="30303749">
      <w:pPr>
        <w:adjustRightInd w:val="0"/>
        <w:snapToGrid w:val="0"/>
        <w:spacing w:line="42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采购人（发包人）：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（甲方）</w:t>
      </w:r>
    </w:p>
    <w:p w14:paraId="35D58904">
      <w:pPr>
        <w:adjustRightInd w:val="0"/>
        <w:snapToGrid w:val="0"/>
        <w:spacing w:line="42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供应商（承包人）：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（乙方）</w:t>
      </w:r>
    </w:p>
    <w:p w14:paraId="4B7E6A94">
      <w:pPr>
        <w:adjustRightInd w:val="0"/>
        <w:snapToGrid w:val="0"/>
        <w:spacing w:line="420" w:lineRule="exact"/>
        <w:ind w:firstLine="480"/>
        <w:rPr>
          <w:rFonts w:hint="eastAsia" w:ascii="宋体" w:hAnsi="宋体" w:eastAsia="宋体" w:cs="宋体"/>
          <w:color w:val="auto"/>
          <w:szCs w:val="21"/>
          <w:highlight w:val="none"/>
          <w:u w:val="single"/>
        </w:rPr>
      </w:pPr>
    </w:p>
    <w:p w14:paraId="4814760E">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为保证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在合理使用期限内正常使用，发包人和承包人根据《中华人民共和国建筑法》、《建设工程质量管理条例》及有关法律法规，经协商一致，签订工程质量保修书，承包人在质量保修期内应按照有关规定及双方约定承担工程质量保修责任。</w:t>
      </w:r>
    </w:p>
    <w:p w14:paraId="0FC66C55">
      <w:pPr>
        <w:adjustRightInd w:val="0"/>
        <w:snapToGrid w:val="0"/>
        <w:spacing w:line="42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承包人在质量保修期内，按有关法律、法规、规章的管理规定和双方约定，承担本工程质量保修责任。质量保修范围包括</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工程，以及双方约定的其他项目。具体有关保修事项，双方约定如下：</w:t>
      </w:r>
    </w:p>
    <w:p w14:paraId="0964FF4B">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1、按照设计文件规定的合理使用年限，本工程的保修年限为；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p>
    <w:p w14:paraId="5AD649DD">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2、根据《建设工程质量管理条例》的规定，本工程自办理竣工验收手续后，在约定的保修范围和规定的保修期限内发生质量缺陷的，应由施工单位履行保修义务，并对造成的损失承担赔偿责任；</w:t>
      </w:r>
    </w:p>
    <w:p w14:paraId="09F74BC7">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3、本保修书所称的质量缺陷是指工程不符合国家或行业现行的有关强制性标准，施工验收规范、设计文件及合同中对工程质量的要求；</w:t>
      </w:r>
    </w:p>
    <w:p w14:paraId="2EC26090">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4、本工程的保修期，自竣工验收通过之日计算；</w:t>
      </w:r>
    </w:p>
    <w:p w14:paraId="109B330C">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5、其他项目的保修期限由建设单位和施工单位约定；</w:t>
      </w:r>
    </w:p>
    <w:p w14:paraId="137E1CCB">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6、本工程在保修期限内出现质量缺陷，建设单位或管理单位应向施工单位发出保修通知。施工单位接到保修通知后，应当到现场核查情况，并在规定的期限内派人保修的，发包人可以委托他人修理；</w:t>
      </w:r>
    </w:p>
    <w:p w14:paraId="1937D93C">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7、下列情况不属于本工程规定的保修范围：</w:t>
      </w:r>
    </w:p>
    <w:p w14:paraId="6B094726">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（1）因使用不当或者第三方造成的质量缺陷；</w:t>
      </w:r>
    </w:p>
    <w:p w14:paraId="60D45448">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（2）不可抗力造成的质量缺陷。</w:t>
      </w:r>
    </w:p>
    <w:p w14:paraId="0B230188">
      <w:pPr>
        <w:adjustRightInd w:val="0"/>
        <w:snapToGrid w:val="0"/>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8、双方约定的其他工程质量保修事项，本工程质量保修书，由施工合同发包人、承包人双方在竣工验收前共同签署，作为合同附件，其有效期限至保修期满。</w:t>
      </w:r>
    </w:p>
    <w:p w14:paraId="7611C1B3">
      <w:pPr>
        <w:adjustRightInd w:val="0"/>
        <w:snapToGrid w:val="0"/>
        <w:spacing w:line="420" w:lineRule="exact"/>
        <w:ind w:firstLine="422" w:firstLineChars="200"/>
        <w:rPr>
          <w:rFonts w:hint="eastAsia" w:ascii="宋体" w:hAnsi="宋体" w:eastAsia="宋体" w:cs="宋体"/>
          <w:b/>
          <w:color w:val="auto"/>
          <w:szCs w:val="21"/>
          <w:highlight w:val="none"/>
        </w:rPr>
      </w:pPr>
    </w:p>
    <w:p w14:paraId="14D1F693">
      <w:pPr>
        <w:adjustRightInd w:val="0"/>
        <w:snapToGrid w:val="0"/>
        <w:spacing w:line="42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w:t>
      </w:r>
    </w:p>
    <w:p w14:paraId="61C1E58D">
      <w:pPr>
        <w:adjustRightInd w:val="0"/>
        <w:snapToGrid w:val="0"/>
        <w:spacing w:line="42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                   </w:t>
      </w:r>
    </w:p>
    <w:p w14:paraId="03059E8B">
      <w:pPr>
        <w:pStyle w:val="9"/>
        <w:spacing w:line="420" w:lineRule="exact"/>
        <w:ind w:firstLine="400" w:firstLineChars="2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C076707">
      <w:pPr>
        <w:pStyle w:val="9"/>
        <w:spacing w:line="420" w:lineRule="exact"/>
        <w:ind w:firstLine="400" w:firstLineChars="200"/>
        <w:rPr>
          <w:rFonts w:hint="eastAsia" w:ascii="宋体" w:hAnsi="宋体" w:eastAsia="宋体" w:cs="宋体"/>
          <w:color w:val="auto"/>
          <w:highlight w:val="none"/>
        </w:rPr>
      </w:pPr>
    </w:p>
    <w:p w14:paraId="28CA8094">
      <w:pPr>
        <w:adjustRightInd w:val="0"/>
        <w:snapToGrid w:val="0"/>
        <w:spacing w:line="360" w:lineRule="auto"/>
        <w:jc w:val="left"/>
        <w:outlineLvl w:val="0"/>
        <w:rPr>
          <w:rFonts w:hint="eastAsia" w:ascii="宋体" w:hAnsi="宋体" w:eastAsia="宋体" w:cs="宋体"/>
          <w:b/>
          <w:color w:val="auto"/>
          <w:sz w:val="32"/>
          <w:szCs w:val="32"/>
          <w:highlight w:val="none"/>
        </w:rPr>
      </w:pPr>
      <w:bookmarkStart w:id="271" w:name="_Toc16031"/>
      <w:bookmarkStart w:id="272" w:name="_Toc1869"/>
      <w:r>
        <w:rPr>
          <w:rFonts w:hint="eastAsia" w:ascii="宋体" w:hAnsi="宋体" w:eastAsia="宋体" w:cs="宋体"/>
          <w:b/>
          <w:color w:val="auto"/>
          <w:sz w:val="32"/>
          <w:szCs w:val="32"/>
          <w:highlight w:val="none"/>
        </w:rPr>
        <w:t>附件4    中小企业声明函</w:t>
      </w:r>
      <w:bookmarkEnd w:id="271"/>
      <w:bookmarkEnd w:id="272"/>
    </w:p>
    <w:p w14:paraId="54C4E56A">
      <w:pPr>
        <w:widowControl/>
        <w:adjustRightInd w:val="0"/>
        <w:snapToGrid w:val="0"/>
        <w:spacing w:line="360" w:lineRule="auto"/>
        <w:jc w:val="center"/>
        <w:rPr>
          <w:rFonts w:hint="eastAsia" w:ascii="宋体" w:hAnsi="宋体" w:eastAsia="宋体" w:cs="宋体"/>
          <w:b/>
          <w:bCs/>
          <w:color w:val="auto"/>
          <w:spacing w:val="6"/>
          <w:kern w:val="0"/>
          <w:sz w:val="28"/>
          <w:szCs w:val="28"/>
          <w:highlight w:val="none"/>
        </w:rPr>
      </w:pPr>
      <w:r>
        <w:rPr>
          <w:rFonts w:hint="eastAsia" w:ascii="宋体" w:hAnsi="宋体" w:eastAsia="宋体" w:cs="宋体"/>
          <w:b/>
          <w:bCs/>
          <w:color w:val="auto"/>
          <w:spacing w:val="6"/>
          <w:kern w:val="0"/>
          <w:sz w:val="28"/>
          <w:szCs w:val="28"/>
          <w:highlight w:val="none"/>
        </w:rPr>
        <w:drawing>
          <wp:anchor distT="0" distB="0" distL="0" distR="0" simplePos="0" relativeHeight="251659264" behindDoc="1" locked="0" layoutInCell="1" allowOverlap="1">
            <wp:simplePos x="0" y="0"/>
            <wp:positionH relativeFrom="page">
              <wp:posOffset>-12700</wp:posOffset>
            </wp:positionH>
            <wp:positionV relativeFrom="page">
              <wp:posOffset>-12700</wp:posOffset>
            </wp:positionV>
            <wp:extent cx="38100" cy="38100"/>
            <wp:effectExtent l="0" t="0" r="0" b="0"/>
            <wp:wrapNone/>
            <wp:docPr id="1027" name="图片 39"/>
            <wp:cNvGraphicFramePr/>
            <a:graphic xmlns:a="http://schemas.openxmlformats.org/drawingml/2006/main">
              <a:graphicData uri="http://schemas.openxmlformats.org/drawingml/2006/picture">
                <pic:pic xmlns:pic="http://schemas.openxmlformats.org/drawingml/2006/picture">
                  <pic:nvPicPr>
                    <pic:cNvPr id="1027" name="图片 39"/>
                    <pic:cNvPicPr/>
                  </pic:nvPicPr>
                  <pic:blipFill>
                    <a:blip r:embed="rId8" cstate="print"/>
                    <a:srcRect/>
                    <a:stretch>
                      <a:fillRect/>
                    </a:stretch>
                  </pic:blipFill>
                  <pic:spPr>
                    <a:xfrm>
                      <a:off x="0" y="0"/>
                      <a:ext cx="38100" cy="38100"/>
                    </a:xfrm>
                    <a:prstGeom prst="rect">
                      <a:avLst/>
                    </a:prstGeom>
                    <a:ln>
                      <a:noFill/>
                    </a:ln>
                  </pic:spPr>
                </pic:pic>
              </a:graphicData>
            </a:graphic>
          </wp:anchor>
        </w:drawing>
      </w:r>
      <w:r>
        <w:rPr>
          <w:rFonts w:hint="eastAsia" w:ascii="宋体" w:hAnsi="宋体" w:eastAsia="宋体" w:cs="宋体"/>
          <w:b/>
          <w:bCs/>
          <w:color w:val="auto"/>
          <w:spacing w:val="6"/>
          <w:kern w:val="0"/>
          <w:sz w:val="28"/>
          <w:szCs w:val="28"/>
          <w:highlight w:val="none"/>
        </w:rPr>
        <w:t>中小企业声明函（工程、服务类）</w:t>
      </w:r>
    </w:p>
    <w:p w14:paraId="126DBF3F">
      <w:pPr>
        <w:widowControl/>
        <w:adjustRightInd w:val="0"/>
        <w:snapToGrid w:val="0"/>
        <w:spacing w:line="360" w:lineRule="auto"/>
        <w:ind w:firstLine="420" w:firstLineChars="200"/>
        <w:jc w:val="center"/>
        <w:rPr>
          <w:rFonts w:hint="eastAsia" w:ascii="宋体" w:hAnsi="宋体" w:eastAsia="宋体" w:cs="宋体"/>
          <w:color w:val="auto"/>
          <w:kern w:val="0"/>
          <w:szCs w:val="21"/>
          <w:highlight w:val="none"/>
        </w:rPr>
      </w:pPr>
      <w:bookmarkStart w:id="273" w:name="br1_10"/>
      <w:bookmarkEnd w:id="273"/>
    </w:p>
    <w:p w14:paraId="43F52F60">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本公司（联合体）郑重声明，根据《政府采购促进中小企业发展管理办法》（财库﹝2020﹞46 号）的规定，本公司（联合体）参加</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single"/>
        </w:rPr>
        <w:t>（单位名称）</w:t>
      </w:r>
      <w:r>
        <w:rPr>
          <w:rFonts w:hint="eastAsia" w:ascii="宋体" w:hAnsi="宋体" w:eastAsia="宋体" w:cs="宋体"/>
          <w:color w:val="auto"/>
          <w:kern w:val="0"/>
          <w:szCs w:val="21"/>
          <w:highlight w:val="none"/>
        </w:rPr>
        <w:t>的</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Cs w:val="21"/>
          <w:highlight w:val="none"/>
          <w:u w:val="single"/>
        </w:rPr>
        <w:t>（项目名称）</w:t>
      </w:r>
      <w:r>
        <w:rPr>
          <w:rFonts w:hint="eastAsia" w:ascii="宋体" w:hAnsi="宋体" w:eastAsia="宋体" w:cs="宋体"/>
          <w:color w:val="auto"/>
          <w:kern w:val="0"/>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4E9C779">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1. </w:t>
      </w:r>
      <w:r>
        <w:rPr>
          <w:rFonts w:hint="eastAsia" w:ascii="宋体" w:hAnsi="宋体" w:eastAsia="宋体" w:cs="宋体"/>
          <w:color w:val="auto"/>
          <w:kern w:val="0"/>
          <w:szCs w:val="21"/>
          <w:highlight w:val="none"/>
          <w:u w:val="single"/>
        </w:rPr>
        <w:t xml:space="preserve">（标的名称） </w:t>
      </w:r>
      <w:r>
        <w:rPr>
          <w:rFonts w:hint="eastAsia" w:ascii="宋体" w:hAnsi="宋体" w:eastAsia="宋体" w:cs="宋体"/>
          <w:color w:val="auto"/>
          <w:kern w:val="0"/>
          <w:szCs w:val="21"/>
          <w:highlight w:val="none"/>
        </w:rPr>
        <w:t>，属于</w:t>
      </w:r>
      <w:r>
        <w:rPr>
          <w:rFonts w:hint="eastAsia" w:ascii="宋体" w:hAnsi="宋体" w:eastAsia="宋体" w:cs="宋体"/>
          <w:color w:val="auto"/>
          <w:kern w:val="0"/>
          <w:szCs w:val="21"/>
          <w:highlight w:val="none"/>
          <w:u w:val="single"/>
        </w:rPr>
        <w:t>（采购文件中明确的所属行业）</w:t>
      </w:r>
      <w:r>
        <w:rPr>
          <w:rFonts w:hint="eastAsia" w:ascii="宋体" w:hAnsi="宋体" w:eastAsia="宋体" w:cs="宋体"/>
          <w:color w:val="auto"/>
          <w:kern w:val="0"/>
          <w:szCs w:val="21"/>
          <w:highlight w:val="none"/>
        </w:rPr>
        <w:t>；承建（承接）企业为</w:t>
      </w:r>
      <w:r>
        <w:rPr>
          <w:rFonts w:hint="eastAsia" w:ascii="宋体" w:hAnsi="宋体" w:eastAsia="宋体" w:cs="宋体"/>
          <w:color w:val="auto"/>
          <w:kern w:val="0"/>
          <w:szCs w:val="21"/>
          <w:highlight w:val="none"/>
          <w:u w:val="single"/>
        </w:rPr>
        <w:t>（企业名称）</w:t>
      </w:r>
      <w:r>
        <w:rPr>
          <w:rFonts w:hint="eastAsia" w:ascii="宋体" w:hAnsi="宋体" w:eastAsia="宋体" w:cs="宋体"/>
          <w:color w:val="auto"/>
          <w:kern w:val="0"/>
          <w:szCs w:val="21"/>
          <w:highlight w:val="none"/>
        </w:rPr>
        <w:t>，从业人员</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人，营业收入为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万元，资产总额为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万元，属于</w:t>
      </w:r>
      <w:r>
        <w:rPr>
          <w:rFonts w:hint="eastAsia" w:ascii="宋体" w:hAnsi="宋体" w:eastAsia="宋体" w:cs="宋体"/>
          <w:color w:val="auto"/>
          <w:kern w:val="0"/>
          <w:szCs w:val="21"/>
          <w:highlight w:val="none"/>
          <w:u w:val="single"/>
        </w:rPr>
        <w:t xml:space="preserve">      （中型企业、小型企业、微型企业）</w:t>
      </w:r>
      <w:r>
        <w:rPr>
          <w:rFonts w:hint="eastAsia" w:ascii="宋体" w:hAnsi="宋体" w:eastAsia="宋体" w:cs="宋体"/>
          <w:color w:val="auto"/>
          <w:kern w:val="0"/>
          <w:szCs w:val="21"/>
          <w:highlight w:val="none"/>
        </w:rPr>
        <w:t>；</w:t>
      </w:r>
    </w:p>
    <w:p w14:paraId="2FF0FD76">
      <w:pPr>
        <w:spacing w:before="68" w:line="360" w:lineRule="auto"/>
        <w:ind w:right="115" w:firstLine="443"/>
        <w:rPr>
          <w:rFonts w:hint="eastAsia" w:ascii="宋体" w:hAnsi="宋体" w:eastAsia="宋体" w:cs="宋体"/>
          <w:color w:val="auto"/>
          <w:spacing w:val="5"/>
          <w:highlight w:val="none"/>
        </w:rPr>
      </w:pPr>
      <w:r>
        <w:rPr>
          <w:rFonts w:hint="eastAsia" w:ascii="宋体" w:hAnsi="宋体" w:eastAsia="宋体" w:cs="宋体"/>
          <w:color w:val="auto"/>
          <w:spacing w:val="5"/>
          <w:highlight w:val="none"/>
          <w:lang w:val="en-US" w:eastAsia="zh-CN"/>
        </w:rPr>
        <w:t xml:space="preserve">2. </w:t>
      </w:r>
      <w:r>
        <w:rPr>
          <w:rFonts w:hint="eastAsia" w:ascii="宋体" w:hAnsi="宋体" w:eastAsia="宋体" w:cs="宋体"/>
          <w:color w:val="auto"/>
          <w:kern w:val="0"/>
          <w:szCs w:val="21"/>
          <w:highlight w:val="none"/>
          <w:u w:val="single"/>
        </w:rPr>
        <w:t xml:space="preserve">（标的名称） </w:t>
      </w:r>
      <w:r>
        <w:rPr>
          <w:rFonts w:hint="eastAsia" w:ascii="宋体" w:hAnsi="宋体" w:eastAsia="宋体" w:cs="宋体"/>
          <w:color w:val="auto"/>
          <w:kern w:val="0"/>
          <w:szCs w:val="21"/>
          <w:highlight w:val="none"/>
        </w:rPr>
        <w:t>，属于</w:t>
      </w:r>
      <w:r>
        <w:rPr>
          <w:rFonts w:hint="eastAsia" w:ascii="宋体" w:hAnsi="宋体" w:eastAsia="宋体" w:cs="宋体"/>
          <w:color w:val="auto"/>
          <w:kern w:val="0"/>
          <w:szCs w:val="21"/>
          <w:highlight w:val="none"/>
          <w:u w:val="single"/>
        </w:rPr>
        <w:t>（采购文件中明确的所属行业）</w:t>
      </w:r>
      <w:r>
        <w:rPr>
          <w:rFonts w:hint="eastAsia" w:ascii="宋体" w:hAnsi="宋体" w:eastAsia="宋体" w:cs="宋体"/>
          <w:color w:val="auto"/>
          <w:kern w:val="0"/>
          <w:szCs w:val="21"/>
          <w:highlight w:val="none"/>
        </w:rPr>
        <w:t>；承建（承接）企业为</w:t>
      </w:r>
      <w:r>
        <w:rPr>
          <w:rFonts w:hint="eastAsia" w:ascii="宋体" w:hAnsi="宋体" w:eastAsia="宋体" w:cs="宋体"/>
          <w:color w:val="auto"/>
          <w:kern w:val="0"/>
          <w:szCs w:val="21"/>
          <w:highlight w:val="none"/>
          <w:u w:val="single"/>
        </w:rPr>
        <w:t>（企业名称）</w:t>
      </w:r>
      <w:r>
        <w:rPr>
          <w:rFonts w:hint="eastAsia" w:ascii="宋体" w:hAnsi="宋体" w:eastAsia="宋体" w:cs="宋体"/>
          <w:color w:val="auto"/>
          <w:kern w:val="0"/>
          <w:szCs w:val="21"/>
          <w:highlight w:val="none"/>
        </w:rPr>
        <w:t>，从业人员</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人，营业收入为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万元，资产总额为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万元，属于</w:t>
      </w:r>
      <w:r>
        <w:rPr>
          <w:rFonts w:hint="eastAsia" w:ascii="宋体" w:hAnsi="宋体" w:eastAsia="宋体" w:cs="宋体"/>
          <w:color w:val="auto"/>
          <w:kern w:val="0"/>
          <w:szCs w:val="21"/>
          <w:highlight w:val="none"/>
          <w:u w:val="single"/>
        </w:rPr>
        <w:t xml:space="preserve">      （中型企业、小型企业、微型企业）</w:t>
      </w:r>
      <w:r>
        <w:rPr>
          <w:rFonts w:hint="eastAsia" w:ascii="宋体" w:hAnsi="宋体" w:eastAsia="宋体" w:cs="宋体"/>
          <w:color w:val="auto"/>
          <w:kern w:val="0"/>
          <w:szCs w:val="21"/>
          <w:highlight w:val="none"/>
        </w:rPr>
        <w:t>；</w:t>
      </w:r>
      <w:r>
        <w:rPr>
          <w:rFonts w:hint="eastAsia" w:ascii="宋体" w:hAnsi="宋体" w:eastAsia="宋体" w:cs="宋体"/>
          <w:color w:val="auto"/>
          <w:spacing w:val="5"/>
          <w:highlight w:val="none"/>
          <w:lang w:val="en-US" w:eastAsia="zh-CN"/>
        </w:rPr>
        <w:t xml:space="preserve"> </w:t>
      </w:r>
    </w:p>
    <w:p w14:paraId="7678A916">
      <w:pPr>
        <w:spacing w:before="68" w:line="360" w:lineRule="auto"/>
        <w:ind w:right="115" w:firstLine="443"/>
        <w:rPr>
          <w:rFonts w:hint="eastAsia" w:ascii="宋体" w:hAnsi="宋体" w:eastAsia="宋体" w:cs="宋体"/>
          <w:color w:val="auto"/>
          <w:kern w:val="0"/>
          <w:szCs w:val="21"/>
          <w:highlight w:val="none"/>
        </w:rPr>
      </w:pPr>
      <w:r>
        <w:rPr>
          <w:rFonts w:hint="eastAsia" w:ascii="宋体" w:hAnsi="宋体" w:eastAsia="宋体" w:cs="宋体"/>
          <w:color w:val="auto"/>
          <w:spacing w:val="5"/>
          <w:highlight w:val="none"/>
          <w:lang w:val="en-US" w:eastAsia="zh-CN"/>
        </w:rPr>
        <w:t xml:space="preserve">…… </w:t>
      </w:r>
    </w:p>
    <w:p w14:paraId="32CC4E00">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以上企业，不属于大企业的分支机构，不存在控股股东为大企业的情形，也不存在与大企业的负责人为同一人的情形。</w:t>
      </w:r>
    </w:p>
    <w:p w14:paraId="245F729A">
      <w:pPr>
        <w:widowControl/>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本企业对上述声明内容的真实性负责。如有虚假，将依法承担相应责任。</w:t>
      </w:r>
    </w:p>
    <w:p w14:paraId="070B980B">
      <w:pPr>
        <w:adjustRightInd w:val="0"/>
        <w:snapToGrid w:val="0"/>
        <w:spacing w:line="360" w:lineRule="auto"/>
        <w:ind w:firstLine="5670" w:firstLineChars="27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企业名称</w:t>
      </w:r>
      <w:r>
        <w:rPr>
          <w:rFonts w:hint="eastAsia" w:ascii="宋体" w:hAnsi="宋体" w:eastAsia="宋体" w:cs="宋体"/>
          <w:color w:val="auto"/>
          <w:szCs w:val="21"/>
          <w:highlight w:val="none"/>
        </w:rPr>
        <w:t>（</w:t>
      </w:r>
      <w:r>
        <w:rPr>
          <w:rFonts w:hint="eastAsia" w:ascii="宋体" w:hAnsi="宋体" w:eastAsia="宋体" w:cs="宋体"/>
          <w:i w:val="0"/>
          <w:iCs w:val="0"/>
          <w:caps w:val="0"/>
          <w:color w:val="auto"/>
          <w:spacing w:val="0"/>
          <w:kern w:val="0"/>
          <w:sz w:val="21"/>
          <w:szCs w:val="21"/>
          <w:highlight w:val="none"/>
          <w:lang w:val="en-US" w:eastAsia="zh-CN"/>
        </w:rPr>
        <w:t>盖单位电子章</w:t>
      </w: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u w:val="single"/>
        </w:rPr>
        <w:t xml:space="preserve">           </w:t>
      </w:r>
    </w:p>
    <w:p w14:paraId="2DE72DD2">
      <w:pPr>
        <w:keepNext w:val="0"/>
        <w:keepLines w:val="0"/>
        <w:pageBreakBefore w:val="0"/>
        <w:widowControl/>
        <w:kinsoku/>
        <w:wordWrap/>
        <w:overflowPunct/>
        <w:topLinePunct w:val="0"/>
        <w:autoSpaceDE/>
        <w:autoSpaceDN/>
        <w:bidi w:val="0"/>
        <w:adjustRightInd w:val="0"/>
        <w:snapToGrid w:val="0"/>
        <w:spacing w:line="240" w:lineRule="auto"/>
        <w:ind w:firstLine="3990" w:firstLineChars="1900"/>
        <w:jc w:val="left"/>
        <w:textAlignment w:val="auto"/>
        <w:rPr>
          <w:rFonts w:hint="eastAsia" w:ascii="宋体" w:hAnsi="宋体" w:eastAsia="宋体" w:cs="宋体"/>
          <w:color w:val="auto"/>
          <w:kern w:val="0"/>
          <w:szCs w:val="21"/>
          <w:highlight w:val="none"/>
        </w:rPr>
      </w:pPr>
    </w:p>
    <w:p w14:paraId="5665B701">
      <w:pPr>
        <w:adjustRightInd w:val="0"/>
        <w:snapToGrid w:val="0"/>
        <w:spacing w:line="360" w:lineRule="auto"/>
        <w:ind w:firstLine="5670" w:firstLineChars="2700"/>
        <w:rPr>
          <w:rFonts w:hint="eastAsia" w:ascii="宋体" w:hAnsi="宋体" w:eastAsia="宋体" w:cs="宋体"/>
          <w:color w:val="auto"/>
          <w:spacing w:val="6"/>
          <w:kern w:val="0"/>
          <w:szCs w:val="21"/>
          <w:highlight w:val="none"/>
          <w:u w:val="single"/>
        </w:rPr>
      </w:pPr>
      <w:r>
        <w:rPr>
          <w:rFonts w:hint="eastAsia" w:ascii="宋体" w:hAnsi="宋体" w:eastAsia="宋体" w:cs="宋体"/>
          <w:color w:val="auto"/>
          <w:kern w:val="0"/>
          <w:szCs w:val="21"/>
          <w:highlight w:val="none"/>
        </w:rPr>
        <w:t>日期：</w:t>
      </w:r>
      <w:r>
        <w:rPr>
          <w:rFonts w:hint="eastAsia" w:ascii="宋体" w:hAnsi="宋体" w:eastAsia="宋体" w:cs="宋体"/>
          <w:color w:val="auto"/>
          <w:spacing w:val="6"/>
          <w:kern w:val="0"/>
          <w:szCs w:val="21"/>
          <w:highlight w:val="none"/>
          <w:u w:val="single"/>
        </w:rPr>
        <w:t xml:space="preserve">              </w:t>
      </w:r>
    </w:p>
    <w:p w14:paraId="07E2DFA1">
      <w:pPr>
        <w:pStyle w:val="38"/>
        <w:rPr>
          <w:rFonts w:hint="eastAsia" w:ascii="宋体" w:hAnsi="宋体" w:eastAsia="宋体" w:cs="宋体"/>
          <w:color w:val="auto"/>
          <w:highlight w:val="none"/>
        </w:rPr>
      </w:pPr>
    </w:p>
    <w:p w14:paraId="26F9B3BF">
      <w:pPr>
        <w:keepNext w:val="0"/>
        <w:keepLines w:val="0"/>
        <w:pageBreakBefore w:val="0"/>
        <w:widowControl/>
        <w:kinsoku/>
        <w:wordWrap/>
        <w:overflowPunct/>
        <w:topLinePunct w:val="0"/>
        <w:autoSpaceDE/>
        <w:autoSpaceDN/>
        <w:bidi w:val="0"/>
        <w:adjustRightInd/>
        <w:snapToGrid/>
        <w:spacing w:line="240" w:lineRule="atLeast"/>
        <w:ind w:firstLine="422"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注：</w:t>
      </w:r>
      <w:r>
        <w:rPr>
          <w:rFonts w:hint="eastAsia" w:ascii="宋体" w:hAnsi="宋体" w:eastAsia="宋体" w:cs="宋体"/>
          <w:color w:val="auto"/>
          <w:kern w:val="0"/>
          <w:sz w:val="21"/>
          <w:szCs w:val="21"/>
          <w:highlight w:val="none"/>
        </w:rPr>
        <w:t>1.</w:t>
      </w:r>
      <w:r>
        <w:rPr>
          <w:rFonts w:hint="eastAsia" w:ascii="宋体" w:hAnsi="宋体" w:eastAsia="宋体" w:cs="宋体"/>
          <w:b/>
          <w:bCs/>
          <w:color w:val="auto"/>
          <w:kern w:val="0"/>
          <w:sz w:val="21"/>
          <w:szCs w:val="21"/>
          <w:highlight w:val="none"/>
        </w:rPr>
        <w:t>属于专门面向中小企业采购的政府采购项目，</w:t>
      </w:r>
      <w:r>
        <w:rPr>
          <w:rFonts w:hint="eastAsia" w:ascii="宋体" w:hAnsi="宋体" w:eastAsia="宋体" w:cs="宋体"/>
          <w:color w:val="auto"/>
          <w:kern w:val="0"/>
          <w:sz w:val="21"/>
          <w:szCs w:val="21"/>
          <w:highlight w:val="none"/>
        </w:rPr>
        <w:t>供应商应按本声明函内容和格式如实声明采购标的供应商的企业规模，未提供本声明函或不符合《政府采购促进中小企业发展管理办法》（财库﹝2020﹞46 号）规定的，其</w:t>
      </w:r>
      <w:r>
        <w:rPr>
          <w:rFonts w:hint="eastAsia" w:ascii="宋体" w:hAnsi="宋体" w:eastAsia="宋体" w:cs="宋体"/>
          <w:b/>
          <w:bCs/>
          <w:color w:val="auto"/>
          <w:kern w:val="0"/>
          <w:sz w:val="21"/>
          <w:szCs w:val="21"/>
          <w:highlight w:val="none"/>
        </w:rPr>
        <w:t>投标无效</w:t>
      </w:r>
      <w:r>
        <w:rPr>
          <w:rFonts w:hint="eastAsia" w:ascii="宋体" w:hAnsi="宋体" w:eastAsia="宋体" w:cs="宋体"/>
          <w:color w:val="auto"/>
          <w:kern w:val="0"/>
          <w:sz w:val="21"/>
          <w:szCs w:val="21"/>
          <w:highlight w:val="none"/>
        </w:rPr>
        <w:t>。</w:t>
      </w:r>
    </w:p>
    <w:p w14:paraId="508B4CC7">
      <w:pPr>
        <w:keepNext w:val="0"/>
        <w:keepLines w:val="0"/>
        <w:pageBreakBefore w:val="0"/>
        <w:widowControl/>
        <w:kinsoku/>
        <w:wordWrap/>
        <w:overflowPunct/>
        <w:topLinePunct w:val="0"/>
        <w:autoSpaceDE/>
        <w:autoSpaceDN/>
        <w:bidi w:val="0"/>
        <w:adjustRightInd/>
        <w:snapToGrid/>
        <w:spacing w:line="240" w:lineRule="atLeas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2.从业人员、营业收入、资产总额填报上一年度数据，无上一年度数据的新成立企业可不填报。</w:t>
      </w:r>
    </w:p>
    <w:p w14:paraId="4FE2500E">
      <w:pPr>
        <w:keepNext w:val="0"/>
        <w:keepLines w:val="0"/>
        <w:pageBreakBefore w:val="0"/>
        <w:widowControl/>
        <w:kinsoku/>
        <w:wordWrap/>
        <w:overflowPunct/>
        <w:topLinePunct w:val="0"/>
        <w:autoSpaceDE/>
        <w:autoSpaceDN/>
        <w:bidi w:val="0"/>
        <w:adjustRightInd/>
        <w:snapToGrid/>
        <w:spacing w:line="240" w:lineRule="atLeas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3.供应商可在工业和信息化部网站（https://www.miit.gov.cn/）使用《中小企业规模类型自测小程序》进行中小企业规模类型自测，以便准确填写。</w:t>
      </w:r>
    </w:p>
    <w:p w14:paraId="1780EFE4">
      <w:pPr>
        <w:keepNext w:val="0"/>
        <w:keepLines w:val="0"/>
        <w:pageBreakBefore w:val="0"/>
        <w:widowControl/>
        <w:kinsoku/>
        <w:wordWrap/>
        <w:overflowPunct/>
        <w:topLinePunct w:val="0"/>
        <w:autoSpaceDE/>
        <w:autoSpaceDN/>
        <w:bidi w:val="0"/>
        <w:adjustRightInd/>
        <w:snapToGrid/>
        <w:spacing w:line="240" w:lineRule="atLeas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4.中小企业应当按照财库[2020]46号《政府采购促进中小企业发展管理办法》规定和《中小企业划型标准规定》（工信部联企业〔2011〕300号），如实填写并提交《中小企业声明函》。</w:t>
      </w:r>
    </w:p>
    <w:p w14:paraId="16FC55B6">
      <w:pPr>
        <w:rPr>
          <w:rFonts w:hint="eastAsia" w:ascii="宋体" w:hAnsi="宋体" w:eastAsia="宋体" w:cs="宋体"/>
          <w:color w:val="auto"/>
          <w:highlight w:val="none"/>
        </w:rPr>
      </w:pPr>
    </w:p>
    <w:p w14:paraId="7FF140C6">
      <w:pPr>
        <w:pStyle w:val="9"/>
        <w:spacing w:line="440" w:lineRule="exact"/>
        <w:rPr>
          <w:rFonts w:hint="eastAsia" w:ascii="宋体" w:hAnsi="宋体" w:eastAsia="宋体" w:cs="宋体"/>
          <w:b/>
          <w:bCs/>
          <w:color w:val="auto"/>
          <w:sz w:val="24"/>
          <w:szCs w:val="24"/>
          <w:highlight w:val="none"/>
          <w:shd w:val="clear" w:color="auto" w:fill="FFFFFF"/>
        </w:rPr>
      </w:pPr>
    </w:p>
    <w:p w14:paraId="72DC3584">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274" w:name="_Toc4506130"/>
      <w:bookmarkStart w:id="275" w:name="_Toc2684040"/>
      <w:bookmarkStart w:id="276" w:name="_Toc483385937"/>
      <w:bookmarkStart w:id="277" w:name="_Toc462074634"/>
      <w:bookmarkStart w:id="278" w:name="_Toc496459171"/>
      <w:bookmarkStart w:id="279" w:name="_Toc498186727"/>
      <w:bookmarkStart w:id="280" w:name="_Toc465362698"/>
      <w:bookmarkStart w:id="281" w:name="_Toc2674907"/>
      <w:bookmarkStart w:id="282" w:name="_Toc439924288"/>
      <w:bookmarkStart w:id="283" w:name="_Toc2593143"/>
      <w:bookmarkStart w:id="284" w:name="_Toc497049059"/>
      <w:bookmarkStart w:id="285" w:name="_Toc522285661"/>
      <w:bookmarkStart w:id="286" w:name="_Toc454904320"/>
      <w:bookmarkStart w:id="287" w:name="_Toc2951781"/>
      <w:bookmarkStart w:id="288" w:name="_Toc521048953"/>
      <w:bookmarkStart w:id="289" w:name="_Toc465878282"/>
      <w:bookmarkStart w:id="290" w:name="_Toc439924779"/>
      <w:bookmarkStart w:id="291" w:name="_Toc2674702"/>
      <w:r>
        <w:rPr>
          <w:rFonts w:hint="eastAsia" w:ascii="宋体" w:hAnsi="宋体" w:eastAsia="宋体" w:cs="宋体"/>
          <w:b/>
          <w:color w:val="auto"/>
          <w:sz w:val="32"/>
          <w:szCs w:val="32"/>
          <w:highlight w:val="none"/>
        </w:rPr>
        <w:br w:type="page"/>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Start w:id="292" w:name="_Toc454904322"/>
      <w:bookmarkStart w:id="293" w:name="_Toc465878284"/>
      <w:bookmarkStart w:id="294" w:name="_Toc2674909"/>
      <w:bookmarkStart w:id="295" w:name="_Toc465362700"/>
      <w:bookmarkStart w:id="296" w:name="_Toc2684042"/>
      <w:bookmarkStart w:id="297" w:name="_Toc2951783"/>
      <w:bookmarkStart w:id="298" w:name="_Toc439924290"/>
      <w:bookmarkStart w:id="299" w:name="_Toc483385939"/>
      <w:bookmarkStart w:id="300" w:name="_Toc439924781"/>
      <w:bookmarkStart w:id="301" w:name="_Toc462074636"/>
      <w:bookmarkStart w:id="302" w:name="_Toc496459173"/>
      <w:bookmarkStart w:id="303" w:name="_Toc522285663"/>
      <w:bookmarkStart w:id="304" w:name="_Toc497049061"/>
      <w:bookmarkStart w:id="305" w:name="_Toc4506132"/>
      <w:bookmarkStart w:id="306" w:name="_Toc2674704"/>
      <w:bookmarkStart w:id="307" w:name="_Toc2593145"/>
      <w:bookmarkStart w:id="308" w:name="_Toc521048955"/>
      <w:bookmarkStart w:id="309" w:name="_Toc498186729"/>
      <w:bookmarkStart w:id="310" w:name="_Toc19161"/>
      <w:r>
        <w:rPr>
          <w:rFonts w:hint="eastAsia" w:ascii="宋体" w:hAnsi="宋体" w:eastAsia="宋体" w:cs="宋体"/>
          <w:b/>
          <w:color w:val="auto"/>
          <w:sz w:val="32"/>
          <w:szCs w:val="32"/>
          <w:highlight w:val="none"/>
        </w:rPr>
        <w:t>二、投标人的资格证明材料</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71753D94">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311" w:name="_Toc439924291"/>
      <w:bookmarkStart w:id="312" w:name="_Toc439924782"/>
      <w:bookmarkStart w:id="313" w:name="_Toc496459174"/>
      <w:bookmarkStart w:id="314" w:name="_Toc2684043"/>
      <w:bookmarkStart w:id="315" w:name="_Toc498186730"/>
      <w:bookmarkStart w:id="316" w:name="_Toc4506133"/>
      <w:bookmarkStart w:id="317" w:name="_Toc2951784"/>
      <w:bookmarkStart w:id="318" w:name="_Toc2674705"/>
      <w:bookmarkStart w:id="319" w:name="_Toc522285664"/>
      <w:bookmarkStart w:id="320" w:name="_Toc465878285"/>
      <w:bookmarkStart w:id="321" w:name="_Toc2593146"/>
      <w:bookmarkStart w:id="322" w:name="_Toc505"/>
      <w:bookmarkStart w:id="323" w:name="_Toc462074637"/>
      <w:bookmarkStart w:id="324" w:name="_Toc454904323"/>
      <w:bookmarkStart w:id="325" w:name="_Toc465362701"/>
      <w:bookmarkStart w:id="326" w:name="_Toc521048956"/>
      <w:bookmarkStart w:id="327" w:name="_Toc483385940"/>
      <w:bookmarkStart w:id="328" w:name="_Toc497049062"/>
      <w:bookmarkStart w:id="329" w:name="_Toc2674910"/>
      <w:r>
        <w:rPr>
          <w:rFonts w:hint="eastAsia" w:ascii="宋体" w:hAnsi="宋体" w:eastAsia="宋体" w:cs="宋体"/>
          <w:b/>
          <w:color w:val="auto"/>
          <w:sz w:val="32"/>
          <w:szCs w:val="32"/>
          <w:highlight w:val="none"/>
        </w:rPr>
        <w:t>附件5 投标人基本情况表</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14:paraId="4863E47F">
      <w:pPr>
        <w:adjustRightInd w:val="0"/>
        <w:snapToGrid w:val="0"/>
        <w:spacing w:line="360" w:lineRule="auto"/>
        <w:ind w:firstLine="105" w:firstLineChar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投标人公章</w:t>
      </w:r>
    </w:p>
    <w:tbl>
      <w:tblPr>
        <w:tblStyle w:val="19"/>
        <w:tblW w:w="90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9"/>
        <w:gridCol w:w="539"/>
        <w:gridCol w:w="362"/>
        <w:gridCol w:w="1043"/>
        <w:gridCol w:w="707"/>
        <w:gridCol w:w="590"/>
        <w:gridCol w:w="294"/>
        <w:gridCol w:w="1146"/>
        <w:gridCol w:w="1329"/>
        <w:gridCol w:w="2271"/>
      </w:tblGrid>
      <w:tr w14:paraId="3AE39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vAlign w:val="center"/>
          </w:tcPr>
          <w:p w14:paraId="3DBC6B46">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p>
        </w:tc>
        <w:tc>
          <w:tcPr>
            <w:tcW w:w="3780" w:type="dxa"/>
            <w:gridSpan w:val="5"/>
            <w:vAlign w:val="center"/>
          </w:tcPr>
          <w:p w14:paraId="50AF33F1">
            <w:pPr>
              <w:topLinePunct/>
              <w:spacing w:line="440" w:lineRule="exact"/>
              <w:jc w:val="center"/>
              <w:rPr>
                <w:rFonts w:hint="eastAsia" w:ascii="宋体" w:hAnsi="宋体" w:eastAsia="宋体" w:cs="宋体"/>
                <w:color w:val="auto"/>
                <w:szCs w:val="21"/>
                <w:highlight w:val="none"/>
              </w:rPr>
            </w:pPr>
          </w:p>
        </w:tc>
        <w:tc>
          <w:tcPr>
            <w:tcW w:w="1329" w:type="dxa"/>
            <w:vAlign w:val="center"/>
          </w:tcPr>
          <w:p w14:paraId="45235FE4">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c>
          <w:tcPr>
            <w:tcW w:w="2271" w:type="dxa"/>
            <w:vAlign w:val="center"/>
          </w:tcPr>
          <w:p w14:paraId="4C0A7C9E">
            <w:pPr>
              <w:topLinePunct/>
              <w:spacing w:line="440" w:lineRule="exact"/>
              <w:jc w:val="center"/>
              <w:rPr>
                <w:rFonts w:hint="eastAsia" w:ascii="宋体" w:hAnsi="宋体" w:eastAsia="宋体" w:cs="宋体"/>
                <w:color w:val="auto"/>
                <w:szCs w:val="21"/>
                <w:highlight w:val="none"/>
              </w:rPr>
            </w:pPr>
          </w:p>
        </w:tc>
      </w:tr>
      <w:tr w14:paraId="5F08E5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vAlign w:val="center"/>
          </w:tcPr>
          <w:p w14:paraId="3D094271">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p>
        </w:tc>
        <w:tc>
          <w:tcPr>
            <w:tcW w:w="3780" w:type="dxa"/>
            <w:gridSpan w:val="5"/>
            <w:vAlign w:val="center"/>
          </w:tcPr>
          <w:p w14:paraId="55ECC144">
            <w:pPr>
              <w:topLinePunct/>
              <w:spacing w:line="440" w:lineRule="exact"/>
              <w:jc w:val="center"/>
              <w:rPr>
                <w:rFonts w:hint="eastAsia" w:ascii="宋体" w:hAnsi="宋体" w:eastAsia="宋体" w:cs="宋体"/>
                <w:color w:val="auto"/>
                <w:szCs w:val="21"/>
                <w:highlight w:val="none"/>
              </w:rPr>
            </w:pPr>
          </w:p>
        </w:tc>
        <w:tc>
          <w:tcPr>
            <w:tcW w:w="1329" w:type="dxa"/>
            <w:vAlign w:val="center"/>
          </w:tcPr>
          <w:p w14:paraId="6228B6F1">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271" w:type="dxa"/>
            <w:vAlign w:val="center"/>
          </w:tcPr>
          <w:p w14:paraId="50D35970">
            <w:pPr>
              <w:topLinePunct/>
              <w:spacing w:line="440" w:lineRule="exact"/>
              <w:jc w:val="center"/>
              <w:rPr>
                <w:rFonts w:hint="eastAsia" w:ascii="宋体" w:hAnsi="宋体" w:eastAsia="宋体" w:cs="宋体"/>
                <w:color w:val="auto"/>
                <w:szCs w:val="21"/>
                <w:highlight w:val="none"/>
              </w:rPr>
            </w:pPr>
          </w:p>
        </w:tc>
      </w:tr>
      <w:tr w14:paraId="2573B7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vAlign w:val="center"/>
          </w:tcPr>
          <w:p w14:paraId="1423F034">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p>
        </w:tc>
        <w:tc>
          <w:tcPr>
            <w:tcW w:w="3780" w:type="dxa"/>
            <w:gridSpan w:val="5"/>
            <w:vAlign w:val="center"/>
          </w:tcPr>
          <w:p w14:paraId="02E183A3">
            <w:pPr>
              <w:topLinePunct/>
              <w:spacing w:line="440" w:lineRule="exact"/>
              <w:jc w:val="center"/>
              <w:rPr>
                <w:rFonts w:hint="eastAsia" w:ascii="宋体" w:hAnsi="宋体" w:eastAsia="宋体" w:cs="宋体"/>
                <w:color w:val="auto"/>
                <w:szCs w:val="21"/>
                <w:highlight w:val="none"/>
              </w:rPr>
            </w:pPr>
          </w:p>
        </w:tc>
        <w:tc>
          <w:tcPr>
            <w:tcW w:w="1329" w:type="dxa"/>
            <w:vAlign w:val="center"/>
          </w:tcPr>
          <w:p w14:paraId="2F681D1A">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271" w:type="dxa"/>
            <w:vAlign w:val="center"/>
          </w:tcPr>
          <w:p w14:paraId="5A597AC6">
            <w:pPr>
              <w:topLinePunct/>
              <w:spacing w:line="440" w:lineRule="exact"/>
              <w:jc w:val="center"/>
              <w:rPr>
                <w:rFonts w:hint="eastAsia" w:ascii="宋体" w:hAnsi="宋体" w:eastAsia="宋体" w:cs="宋体"/>
                <w:color w:val="auto"/>
                <w:szCs w:val="21"/>
                <w:highlight w:val="none"/>
              </w:rPr>
            </w:pPr>
          </w:p>
        </w:tc>
      </w:tr>
      <w:tr w14:paraId="0DBE48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20" w:type="dxa"/>
            <w:gridSpan w:val="3"/>
            <w:vAlign w:val="center"/>
          </w:tcPr>
          <w:p w14:paraId="0EB40017">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上年营业收入</w:t>
            </w:r>
          </w:p>
        </w:tc>
        <w:tc>
          <w:tcPr>
            <w:tcW w:w="3780" w:type="dxa"/>
            <w:gridSpan w:val="5"/>
            <w:vAlign w:val="center"/>
          </w:tcPr>
          <w:p w14:paraId="4BF5BBAF">
            <w:pPr>
              <w:topLinePunct/>
              <w:spacing w:line="440" w:lineRule="exact"/>
              <w:jc w:val="center"/>
              <w:rPr>
                <w:rFonts w:hint="eastAsia" w:ascii="宋体" w:hAnsi="宋体" w:eastAsia="宋体" w:cs="宋体"/>
                <w:color w:val="auto"/>
                <w:szCs w:val="21"/>
                <w:highlight w:val="none"/>
              </w:rPr>
            </w:pPr>
          </w:p>
        </w:tc>
        <w:tc>
          <w:tcPr>
            <w:tcW w:w="1329" w:type="dxa"/>
            <w:vAlign w:val="center"/>
          </w:tcPr>
          <w:p w14:paraId="14518600">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员工总人数</w:t>
            </w:r>
          </w:p>
        </w:tc>
        <w:tc>
          <w:tcPr>
            <w:tcW w:w="2271" w:type="dxa"/>
            <w:vAlign w:val="center"/>
          </w:tcPr>
          <w:p w14:paraId="6F9E0EA8">
            <w:pPr>
              <w:topLinePunct/>
              <w:spacing w:line="440" w:lineRule="exact"/>
              <w:jc w:val="center"/>
              <w:rPr>
                <w:rFonts w:hint="eastAsia" w:ascii="宋体" w:hAnsi="宋体" w:eastAsia="宋体" w:cs="宋体"/>
                <w:color w:val="auto"/>
                <w:szCs w:val="21"/>
                <w:highlight w:val="none"/>
              </w:rPr>
            </w:pPr>
          </w:p>
        </w:tc>
      </w:tr>
      <w:tr w14:paraId="1A3F55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restart"/>
            <w:vAlign w:val="center"/>
          </w:tcPr>
          <w:p w14:paraId="74D14248">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营业执照</w:t>
            </w:r>
          </w:p>
        </w:tc>
        <w:tc>
          <w:tcPr>
            <w:tcW w:w="1944" w:type="dxa"/>
            <w:gridSpan w:val="3"/>
            <w:vAlign w:val="center"/>
          </w:tcPr>
          <w:p w14:paraId="06BD2093">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注册号码</w:t>
            </w:r>
          </w:p>
        </w:tc>
        <w:tc>
          <w:tcPr>
            <w:tcW w:w="1297" w:type="dxa"/>
            <w:gridSpan w:val="2"/>
            <w:vAlign w:val="center"/>
          </w:tcPr>
          <w:p w14:paraId="70098F5D">
            <w:pPr>
              <w:topLinePunct/>
              <w:spacing w:line="440" w:lineRule="exact"/>
              <w:jc w:val="center"/>
              <w:rPr>
                <w:rFonts w:hint="eastAsia" w:ascii="宋体" w:hAnsi="宋体" w:eastAsia="宋体" w:cs="宋体"/>
                <w:color w:val="auto"/>
                <w:szCs w:val="21"/>
                <w:highlight w:val="none"/>
              </w:rPr>
            </w:pPr>
          </w:p>
        </w:tc>
        <w:tc>
          <w:tcPr>
            <w:tcW w:w="1440" w:type="dxa"/>
            <w:gridSpan w:val="2"/>
            <w:vAlign w:val="center"/>
          </w:tcPr>
          <w:p w14:paraId="7203AE3E">
            <w:pPr>
              <w:topLinePunct/>
              <w:spacing w:line="440" w:lineRule="exact"/>
              <w:ind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注册地址</w:t>
            </w:r>
          </w:p>
        </w:tc>
        <w:tc>
          <w:tcPr>
            <w:tcW w:w="3600" w:type="dxa"/>
            <w:gridSpan w:val="2"/>
            <w:vAlign w:val="center"/>
          </w:tcPr>
          <w:p w14:paraId="66459A38">
            <w:pPr>
              <w:topLinePunct/>
              <w:spacing w:line="440" w:lineRule="exact"/>
              <w:ind w:firstLine="105" w:firstLineChars="50"/>
              <w:jc w:val="center"/>
              <w:rPr>
                <w:rFonts w:hint="eastAsia" w:ascii="宋体" w:hAnsi="宋体" w:eastAsia="宋体" w:cs="宋体"/>
                <w:color w:val="auto"/>
                <w:szCs w:val="21"/>
                <w:highlight w:val="none"/>
              </w:rPr>
            </w:pPr>
          </w:p>
        </w:tc>
      </w:tr>
      <w:tr w14:paraId="77C551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continue"/>
            <w:vAlign w:val="center"/>
          </w:tcPr>
          <w:p w14:paraId="356CCC0B">
            <w:pPr>
              <w:topLinePunct/>
              <w:spacing w:line="440" w:lineRule="exact"/>
              <w:jc w:val="center"/>
              <w:rPr>
                <w:rFonts w:hint="eastAsia" w:ascii="宋体" w:hAnsi="宋体" w:eastAsia="宋体" w:cs="宋体"/>
                <w:color w:val="auto"/>
                <w:szCs w:val="21"/>
                <w:highlight w:val="none"/>
              </w:rPr>
            </w:pPr>
          </w:p>
        </w:tc>
        <w:tc>
          <w:tcPr>
            <w:tcW w:w="1944" w:type="dxa"/>
            <w:gridSpan w:val="3"/>
            <w:vAlign w:val="center"/>
          </w:tcPr>
          <w:p w14:paraId="37BE4E08">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发证机关</w:t>
            </w:r>
          </w:p>
        </w:tc>
        <w:tc>
          <w:tcPr>
            <w:tcW w:w="1297" w:type="dxa"/>
            <w:gridSpan w:val="2"/>
            <w:vAlign w:val="center"/>
          </w:tcPr>
          <w:p w14:paraId="06A3A165">
            <w:pPr>
              <w:topLinePunct/>
              <w:spacing w:line="440" w:lineRule="exact"/>
              <w:jc w:val="center"/>
              <w:rPr>
                <w:rFonts w:hint="eastAsia" w:ascii="宋体" w:hAnsi="宋体" w:eastAsia="宋体" w:cs="宋体"/>
                <w:color w:val="auto"/>
                <w:szCs w:val="21"/>
                <w:highlight w:val="none"/>
              </w:rPr>
            </w:pPr>
          </w:p>
        </w:tc>
        <w:tc>
          <w:tcPr>
            <w:tcW w:w="1440" w:type="dxa"/>
            <w:gridSpan w:val="2"/>
            <w:vAlign w:val="center"/>
          </w:tcPr>
          <w:p w14:paraId="41519CDB">
            <w:pPr>
              <w:topLinePunct/>
              <w:spacing w:line="440" w:lineRule="exact"/>
              <w:ind w:firstLine="105" w:firstLineChars="5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发证日期</w:t>
            </w:r>
          </w:p>
        </w:tc>
        <w:tc>
          <w:tcPr>
            <w:tcW w:w="3600" w:type="dxa"/>
            <w:gridSpan w:val="2"/>
            <w:vAlign w:val="center"/>
          </w:tcPr>
          <w:p w14:paraId="661ED679">
            <w:pPr>
              <w:topLinePunct/>
              <w:spacing w:line="440" w:lineRule="exact"/>
              <w:ind w:firstLine="105" w:firstLineChars="50"/>
              <w:jc w:val="center"/>
              <w:rPr>
                <w:rFonts w:hint="eastAsia" w:ascii="宋体" w:hAnsi="宋体" w:eastAsia="宋体" w:cs="宋体"/>
                <w:color w:val="auto"/>
                <w:szCs w:val="21"/>
                <w:highlight w:val="none"/>
              </w:rPr>
            </w:pPr>
          </w:p>
        </w:tc>
      </w:tr>
      <w:tr w14:paraId="2CB24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continue"/>
            <w:vAlign w:val="center"/>
          </w:tcPr>
          <w:p w14:paraId="6AE3145E">
            <w:pPr>
              <w:topLinePunct/>
              <w:spacing w:line="440" w:lineRule="exact"/>
              <w:jc w:val="center"/>
              <w:rPr>
                <w:rFonts w:hint="eastAsia" w:ascii="宋体" w:hAnsi="宋体" w:eastAsia="宋体" w:cs="宋体"/>
                <w:color w:val="auto"/>
                <w:szCs w:val="21"/>
                <w:highlight w:val="none"/>
              </w:rPr>
            </w:pPr>
          </w:p>
        </w:tc>
        <w:tc>
          <w:tcPr>
            <w:tcW w:w="1944" w:type="dxa"/>
            <w:gridSpan w:val="3"/>
            <w:vAlign w:val="center"/>
          </w:tcPr>
          <w:p w14:paraId="4D9B4558">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营业范围（主营）</w:t>
            </w:r>
          </w:p>
        </w:tc>
        <w:tc>
          <w:tcPr>
            <w:tcW w:w="6337" w:type="dxa"/>
            <w:gridSpan w:val="6"/>
            <w:vAlign w:val="center"/>
          </w:tcPr>
          <w:p w14:paraId="1E09F366">
            <w:pPr>
              <w:topLinePunct/>
              <w:spacing w:line="440" w:lineRule="exact"/>
              <w:ind w:firstLine="105" w:firstLineChars="50"/>
              <w:jc w:val="center"/>
              <w:rPr>
                <w:rFonts w:hint="eastAsia" w:ascii="宋体" w:hAnsi="宋体" w:eastAsia="宋体" w:cs="宋体"/>
                <w:color w:val="auto"/>
                <w:szCs w:val="21"/>
                <w:highlight w:val="none"/>
              </w:rPr>
            </w:pPr>
          </w:p>
        </w:tc>
      </w:tr>
      <w:tr w14:paraId="0BD8FB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719" w:type="dxa"/>
            <w:vMerge w:val="continue"/>
            <w:vAlign w:val="center"/>
          </w:tcPr>
          <w:p w14:paraId="4E8AB5E0">
            <w:pPr>
              <w:topLinePunct/>
              <w:spacing w:line="440" w:lineRule="exact"/>
              <w:jc w:val="center"/>
              <w:rPr>
                <w:rFonts w:hint="eastAsia" w:ascii="宋体" w:hAnsi="宋体" w:eastAsia="宋体" w:cs="宋体"/>
                <w:color w:val="auto"/>
                <w:szCs w:val="21"/>
                <w:highlight w:val="none"/>
              </w:rPr>
            </w:pPr>
          </w:p>
        </w:tc>
        <w:tc>
          <w:tcPr>
            <w:tcW w:w="1944" w:type="dxa"/>
            <w:gridSpan w:val="3"/>
            <w:vAlign w:val="center"/>
          </w:tcPr>
          <w:p w14:paraId="484566FC">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营业范围（兼营）</w:t>
            </w:r>
          </w:p>
        </w:tc>
        <w:tc>
          <w:tcPr>
            <w:tcW w:w="6337" w:type="dxa"/>
            <w:gridSpan w:val="6"/>
            <w:vAlign w:val="center"/>
          </w:tcPr>
          <w:p w14:paraId="4D4EF59B">
            <w:pPr>
              <w:topLinePunct/>
              <w:spacing w:line="440" w:lineRule="exact"/>
              <w:ind w:firstLine="105" w:firstLineChars="50"/>
              <w:jc w:val="center"/>
              <w:rPr>
                <w:rFonts w:hint="eastAsia" w:ascii="宋体" w:hAnsi="宋体" w:eastAsia="宋体" w:cs="宋体"/>
                <w:color w:val="auto"/>
                <w:szCs w:val="21"/>
                <w:highlight w:val="none"/>
              </w:rPr>
            </w:pPr>
          </w:p>
        </w:tc>
      </w:tr>
      <w:tr w14:paraId="461FA0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63" w:type="dxa"/>
            <w:gridSpan w:val="4"/>
            <w:vAlign w:val="center"/>
          </w:tcPr>
          <w:p w14:paraId="38BFBB0B">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投标人帐户开户行及帐号</w:t>
            </w:r>
          </w:p>
        </w:tc>
        <w:tc>
          <w:tcPr>
            <w:tcW w:w="6337" w:type="dxa"/>
            <w:gridSpan w:val="6"/>
            <w:vAlign w:val="center"/>
          </w:tcPr>
          <w:p w14:paraId="3E9ADF73">
            <w:pPr>
              <w:topLinePunct/>
              <w:spacing w:line="440" w:lineRule="exact"/>
              <w:jc w:val="center"/>
              <w:rPr>
                <w:rFonts w:hint="eastAsia" w:ascii="宋体" w:hAnsi="宋体" w:eastAsia="宋体" w:cs="宋体"/>
                <w:color w:val="auto"/>
                <w:szCs w:val="21"/>
                <w:highlight w:val="none"/>
              </w:rPr>
            </w:pPr>
          </w:p>
        </w:tc>
      </w:tr>
      <w:tr w14:paraId="07F321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663" w:type="dxa"/>
            <w:gridSpan w:val="4"/>
            <w:vAlign w:val="center"/>
          </w:tcPr>
          <w:p w14:paraId="340C3B83">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税务登记机关</w:t>
            </w:r>
          </w:p>
        </w:tc>
        <w:tc>
          <w:tcPr>
            <w:tcW w:w="6337" w:type="dxa"/>
            <w:gridSpan w:val="6"/>
            <w:vAlign w:val="center"/>
          </w:tcPr>
          <w:p w14:paraId="11769D40">
            <w:pPr>
              <w:topLinePunct/>
              <w:spacing w:line="440" w:lineRule="exact"/>
              <w:jc w:val="center"/>
              <w:rPr>
                <w:rFonts w:hint="eastAsia" w:ascii="宋体" w:hAnsi="宋体" w:eastAsia="宋体" w:cs="宋体"/>
                <w:color w:val="auto"/>
                <w:szCs w:val="21"/>
                <w:highlight w:val="none"/>
              </w:rPr>
            </w:pPr>
          </w:p>
        </w:tc>
      </w:tr>
      <w:tr w14:paraId="17E9DA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vAlign w:val="center"/>
          </w:tcPr>
          <w:p w14:paraId="719AC7D9">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资质名称</w:t>
            </w:r>
          </w:p>
        </w:tc>
        <w:tc>
          <w:tcPr>
            <w:tcW w:w="884" w:type="dxa"/>
            <w:gridSpan w:val="2"/>
            <w:vAlign w:val="center"/>
          </w:tcPr>
          <w:p w14:paraId="10B247BF">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等级</w:t>
            </w:r>
          </w:p>
        </w:tc>
        <w:tc>
          <w:tcPr>
            <w:tcW w:w="1146" w:type="dxa"/>
            <w:vAlign w:val="center"/>
          </w:tcPr>
          <w:p w14:paraId="419A97A7">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发证机关</w:t>
            </w:r>
          </w:p>
        </w:tc>
        <w:tc>
          <w:tcPr>
            <w:tcW w:w="3600" w:type="dxa"/>
            <w:gridSpan w:val="2"/>
            <w:vAlign w:val="center"/>
          </w:tcPr>
          <w:p w14:paraId="2CD3C408">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w:t>
            </w:r>
          </w:p>
        </w:tc>
      </w:tr>
      <w:tr w14:paraId="0097D0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vAlign w:val="center"/>
          </w:tcPr>
          <w:p w14:paraId="4FB8E357">
            <w:pPr>
              <w:topLinePunct/>
              <w:spacing w:line="440" w:lineRule="exact"/>
              <w:jc w:val="center"/>
              <w:rPr>
                <w:rFonts w:hint="eastAsia" w:ascii="宋体" w:hAnsi="宋体" w:eastAsia="宋体" w:cs="宋体"/>
                <w:color w:val="auto"/>
                <w:szCs w:val="21"/>
                <w:highlight w:val="none"/>
              </w:rPr>
            </w:pPr>
          </w:p>
        </w:tc>
        <w:tc>
          <w:tcPr>
            <w:tcW w:w="884" w:type="dxa"/>
            <w:gridSpan w:val="2"/>
            <w:vAlign w:val="center"/>
          </w:tcPr>
          <w:p w14:paraId="3B4BDCDC">
            <w:pPr>
              <w:topLinePunct/>
              <w:spacing w:line="440" w:lineRule="exact"/>
              <w:jc w:val="center"/>
              <w:rPr>
                <w:rFonts w:hint="eastAsia" w:ascii="宋体" w:hAnsi="宋体" w:eastAsia="宋体" w:cs="宋体"/>
                <w:color w:val="auto"/>
                <w:szCs w:val="21"/>
                <w:highlight w:val="none"/>
              </w:rPr>
            </w:pPr>
          </w:p>
        </w:tc>
        <w:tc>
          <w:tcPr>
            <w:tcW w:w="1146" w:type="dxa"/>
            <w:vAlign w:val="center"/>
          </w:tcPr>
          <w:p w14:paraId="680E6397">
            <w:pPr>
              <w:topLinePunct/>
              <w:spacing w:line="440" w:lineRule="exact"/>
              <w:jc w:val="center"/>
              <w:rPr>
                <w:rFonts w:hint="eastAsia" w:ascii="宋体" w:hAnsi="宋体" w:eastAsia="宋体" w:cs="宋体"/>
                <w:color w:val="auto"/>
                <w:szCs w:val="21"/>
                <w:highlight w:val="none"/>
              </w:rPr>
            </w:pPr>
          </w:p>
        </w:tc>
        <w:tc>
          <w:tcPr>
            <w:tcW w:w="3600" w:type="dxa"/>
            <w:gridSpan w:val="2"/>
            <w:vAlign w:val="center"/>
          </w:tcPr>
          <w:p w14:paraId="797684B4">
            <w:pPr>
              <w:topLinePunct/>
              <w:spacing w:line="440" w:lineRule="exact"/>
              <w:jc w:val="center"/>
              <w:rPr>
                <w:rFonts w:hint="eastAsia" w:ascii="宋体" w:hAnsi="宋体" w:eastAsia="宋体" w:cs="宋体"/>
                <w:color w:val="auto"/>
                <w:szCs w:val="21"/>
                <w:highlight w:val="none"/>
              </w:rPr>
            </w:pPr>
          </w:p>
        </w:tc>
      </w:tr>
      <w:tr w14:paraId="776AB1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vAlign w:val="center"/>
          </w:tcPr>
          <w:p w14:paraId="43ED0196">
            <w:pPr>
              <w:topLinePunct/>
              <w:spacing w:line="440" w:lineRule="exact"/>
              <w:jc w:val="center"/>
              <w:rPr>
                <w:rFonts w:hint="eastAsia" w:ascii="宋体" w:hAnsi="宋体" w:eastAsia="宋体" w:cs="宋体"/>
                <w:color w:val="auto"/>
                <w:szCs w:val="21"/>
                <w:highlight w:val="none"/>
              </w:rPr>
            </w:pPr>
          </w:p>
        </w:tc>
        <w:tc>
          <w:tcPr>
            <w:tcW w:w="884" w:type="dxa"/>
            <w:gridSpan w:val="2"/>
            <w:vAlign w:val="center"/>
          </w:tcPr>
          <w:p w14:paraId="20AA300E">
            <w:pPr>
              <w:topLinePunct/>
              <w:spacing w:line="440" w:lineRule="exact"/>
              <w:jc w:val="center"/>
              <w:rPr>
                <w:rFonts w:hint="eastAsia" w:ascii="宋体" w:hAnsi="宋体" w:eastAsia="宋体" w:cs="宋体"/>
                <w:color w:val="auto"/>
                <w:szCs w:val="21"/>
                <w:highlight w:val="none"/>
              </w:rPr>
            </w:pPr>
          </w:p>
        </w:tc>
        <w:tc>
          <w:tcPr>
            <w:tcW w:w="1146" w:type="dxa"/>
            <w:vAlign w:val="center"/>
          </w:tcPr>
          <w:p w14:paraId="272DB6FA">
            <w:pPr>
              <w:topLinePunct/>
              <w:spacing w:line="440" w:lineRule="exact"/>
              <w:jc w:val="center"/>
              <w:rPr>
                <w:rFonts w:hint="eastAsia" w:ascii="宋体" w:hAnsi="宋体" w:eastAsia="宋体" w:cs="宋体"/>
                <w:color w:val="auto"/>
                <w:szCs w:val="21"/>
                <w:highlight w:val="none"/>
              </w:rPr>
            </w:pPr>
          </w:p>
        </w:tc>
        <w:tc>
          <w:tcPr>
            <w:tcW w:w="3600" w:type="dxa"/>
            <w:gridSpan w:val="2"/>
            <w:vAlign w:val="center"/>
          </w:tcPr>
          <w:p w14:paraId="5F60E607">
            <w:pPr>
              <w:topLinePunct/>
              <w:spacing w:line="440" w:lineRule="exact"/>
              <w:jc w:val="center"/>
              <w:rPr>
                <w:rFonts w:hint="eastAsia" w:ascii="宋体" w:hAnsi="宋体" w:eastAsia="宋体" w:cs="宋体"/>
                <w:color w:val="auto"/>
                <w:szCs w:val="21"/>
                <w:highlight w:val="none"/>
              </w:rPr>
            </w:pPr>
          </w:p>
        </w:tc>
      </w:tr>
      <w:tr w14:paraId="2EDE9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vAlign w:val="center"/>
          </w:tcPr>
          <w:p w14:paraId="09F7CF0D">
            <w:pPr>
              <w:topLinePunct/>
              <w:spacing w:line="440" w:lineRule="exact"/>
              <w:jc w:val="center"/>
              <w:rPr>
                <w:rFonts w:hint="eastAsia" w:ascii="宋体" w:hAnsi="宋体" w:eastAsia="宋体" w:cs="宋体"/>
                <w:color w:val="auto"/>
                <w:szCs w:val="21"/>
                <w:highlight w:val="none"/>
              </w:rPr>
            </w:pPr>
          </w:p>
        </w:tc>
        <w:tc>
          <w:tcPr>
            <w:tcW w:w="884" w:type="dxa"/>
            <w:gridSpan w:val="2"/>
            <w:vAlign w:val="center"/>
          </w:tcPr>
          <w:p w14:paraId="3E3167F6">
            <w:pPr>
              <w:topLinePunct/>
              <w:spacing w:line="440" w:lineRule="exact"/>
              <w:jc w:val="center"/>
              <w:rPr>
                <w:rFonts w:hint="eastAsia" w:ascii="宋体" w:hAnsi="宋体" w:eastAsia="宋体" w:cs="宋体"/>
                <w:color w:val="auto"/>
                <w:szCs w:val="21"/>
                <w:highlight w:val="none"/>
              </w:rPr>
            </w:pPr>
          </w:p>
        </w:tc>
        <w:tc>
          <w:tcPr>
            <w:tcW w:w="1146" w:type="dxa"/>
            <w:vAlign w:val="center"/>
          </w:tcPr>
          <w:p w14:paraId="74100D98">
            <w:pPr>
              <w:topLinePunct/>
              <w:spacing w:line="440" w:lineRule="exact"/>
              <w:jc w:val="center"/>
              <w:rPr>
                <w:rFonts w:hint="eastAsia" w:ascii="宋体" w:hAnsi="宋体" w:eastAsia="宋体" w:cs="宋体"/>
                <w:color w:val="auto"/>
                <w:szCs w:val="21"/>
                <w:highlight w:val="none"/>
              </w:rPr>
            </w:pPr>
          </w:p>
        </w:tc>
        <w:tc>
          <w:tcPr>
            <w:tcW w:w="3600" w:type="dxa"/>
            <w:gridSpan w:val="2"/>
            <w:vAlign w:val="center"/>
          </w:tcPr>
          <w:p w14:paraId="0431F6CB">
            <w:pPr>
              <w:topLinePunct/>
              <w:spacing w:line="440" w:lineRule="exact"/>
              <w:jc w:val="center"/>
              <w:rPr>
                <w:rFonts w:hint="eastAsia" w:ascii="宋体" w:hAnsi="宋体" w:eastAsia="宋体" w:cs="宋体"/>
                <w:color w:val="auto"/>
                <w:szCs w:val="21"/>
                <w:highlight w:val="none"/>
              </w:rPr>
            </w:pPr>
          </w:p>
        </w:tc>
      </w:tr>
      <w:tr w14:paraId="716106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3370" w:type="dxa"/>
            <w:gridSpan w:val="5"/>
            <w:vAlign w:val="center"/>
          </w:tcPr>
          <w:p w14:paraId="4BCC65EC">
            <w:pPr>
              <w:topLinePunct/>
              <w:spacing w:line="440" w:lineRule="exact"/>
              <w:jc w:val="center"/>
              <w:rPr>
                <w:rFonts w:hint="eastAsia" w:ascii="宋体" w:hAnsi="宋体" w:eastAsia="宋体" w:cs="宋体"/>
                <w:color w:val="auto"/>
                <w:szCs w:val="21"/>
                <w:highlight w:val="none"/>
              </w:rPr>
            </w:pPr>
          </w:p>
        </w:tc>
        <w:tc>
          <w:tcPr>
            <w:tcW w:w="884" w:type="dxa"/>
            <w:gridSpan w:val="2"/>
            <w:vAlign w:val="center"/>
          </w:tcPr>
          <w:p w14:paraId="04320A6C">
            <w:pPr>
              <w:topLinePunct/>
              <w:spacing w:line="440" w:lineRule="exact"/>
              <w:jc w:val="center"/>
              <w:rPr>
                <w:rFonts w:hint="eastAsia" w:ascii="宋体" w:hAnsi="宋体" w:eastAsia="宋体" w:cs="宋体"/>
                <w:color w:val="auto"/>
                <w:szCs w:val="21"/>
                <w:highlight w:val="none"/>
              </w:rPr>
            </w:pPr>
          </w:p>
        </w:tc>
        <w:tc>
          <w:tcPr>
            <w:tcW w:w="1146" w:type="dxa"/>
            <w:vAlign w:val="center"/>
          </w:tcPr>
          <w:p w14:paraId="6BFA166E">
            <w:pPr>
              <w:topLinePunct/>
              <w:spacing w:line="440" w:lineRule="exact"/>
              <w:jc w:val="center"/>
              <w:rPr>
                <w:rFonts w:hint="eastAsia" w:ascii="宋体" w:hAnsi="宋体" w:eastAsia="宋体" w:cs="宋体"/>
                <w:color w:val="auto"/>
                <w:szCs w:val="21"/>
                <w:highlight w:val="none"/>
              </w:rPr>
            </w:pPr>
          </w:p>
        </w:tc>
        <w:tc>
          <w:tcPr>
            <w:tcW w:w="3600" w:type="dxa"/>
            <w:gridSpan w:val="2"/>
            <w:vAlign w:val="center"/>
          </w:tcPr>
          <w:p w14:paraId="06ABC930">
            <w:pPr>
              <w:topLinePunct/>
              <w:spacing w:line="440" w:lineRule="exact"/>
              <w:jc w:val="center"/>
              <w:rPr>
                <w:rFonts w:hint="eastAsia" w:ascii="宋体" w:hAnsi="宋体" w:eastAsia="宋体" w:cs="宋体"/>
                <w:color w:val="auto"/>
                <w:szCs w:val="21"/>
                <w:highlight w:val="none"/>
              </w:rPr>
            </w:pPr>
          </w:p>
        </w:tc>
      </w:tr>
      <w:tr w14:paraId="101902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2" w:hRule="atLeast"/>
          <w:jc w:val="center"/>
        </w:trPr>
        <w:tc>
          <w:tcPr>
            <w:tcW w:w="1258" w:type="dxa"/>
            <w:gridSpan w:val="2"/>
            <w:vAlign w:val="center"/>
          </w:tcPr>
          <w:p w14:paraId="54FF95E8">
            <w:pPr>
              <w:topLinePunct/>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7742" w:type="dxa"/>
            <w:gridSpan w:val="8"/>
            <w:vAlign w:val="center"/>
          </w:tcPr>
          <w:p w14:paraId="2E363483">
            <w:pPr>
              <w:topLinePunct/>
              <w:spacing w:line="44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按第二章第3.1款或第四章要求提供。</w:t>
            </w:r>
          </w:p>
        </w:tc>
      </w:tr>
    </w:tbl>
    <w:p w14:paraId="3AF8E2B4">
      <w:pPr>
        <w:pStyle w:val="9"/>
        <w:spacing w:line="440" w:lineRule="exact"/>
        <w:rPr>
          <w:rFonts w:hint="eastAsia" w:ascii="宋体" w:hAnsi="宋体" w:eastAsia="宋体" w:cs="宋体"/>
          <w:b/>
          <w:bCs/>
          <w:color w:val="auto"/>
          <w:sz w:val="24"/>
          <w:szCs w:val="24"/>
          <w:highlight w:val="none"/>
          <w:shd w:val="clear" w:color="auto" w:fill="FFFFFF"/>
        </w:rPr>
      </w:pPr>
    </w:p>
    <w:p w14:paraId="485D0AEA">
      <w:pPr>
        <w:pStyle w:val="9"/>
        <w:spacing w:line="440" w:lineRule="exact"/>
        <w:rPr>
          <w:rFonts w:hint="eastAsia" w:ascii="宋体" w:hAnsi="宋体" w:eastAsia="宋体" w:cs="宋体"/>
          <w:b/>
          <w:bCs/>
          <w:color w:val="auto"/>
          <w:sz w:val="24"/>
          <w:szCs w:val="24"/>
          <w:highlight w:val="none"/>
          <w:shd w:val="clear" w:color="auto" w:fill="FFFFFF"/>
        </w:rPr>
      </w:pPr>
    </w:p>
    <w:p w14:paraId="6A274921">
      <w:pPr>
        <w:pStyle w:val="9"/>
        <w:spacing w:line="440" w:lineRule="exact"/>
        <w:rPr>
          <w:rFonts w:hint="eastAsia" w:ascii="宋体" w:hAnsi="宋体" w:eastAsia="宋体" w:cs="宋体"/>
          <w:b/>
          <w:bCs/>
          <w:color w:val="auto"/>
          <w:sz w:val="24"/>
          <w:szCs w:val="24"/>
          <w:highlight w:val="none"/>
          <w:shd w:val="clear" w:color="auto" w:fill="FFFFFF"/>
        </w:rPr>
      </w:pPr>
    </w:p>
    <w:p w14:paraId="769F5AD2">
      <w:pPr>
        <w:pStyle w:val="9"/>
        <w:spacing w:line="440" w:lineRule="exact"/>
        <w:rPr>
          <w:rFonts w:hint="eastAsia" w:ascii="宋体" w:hAnsi="宋体" w:eastAsia="宋体" w:cs="宋体"/>
          <w:b/>
          <w:bCs/>
          <w:color w:val="auto"/>
          <w:sz w:val="24"/>
          <w:szCs w:val="24"/>
          <w:highlight w:val="none"/>
          <w:shd w:val="clear" w:color="auto" w:fill="FFFFFF"/>
        </w:rPr>
      </w:pPr>
    </w:p>
    <w:p w14:paraId="64B9344C">
      <w:pPr>
        <w:pStyle w:val="9"/>
        <w:spacing w:line="440" w:lineRule="exact"/>
        <w:rPr>
          <w:rFonts w:hint="eastAsia" w:ascii="宋体" w:hAnsi="宋体" w:eastAsia="宋体" w:cs="宋体"/>
          <w:b/>
          <w:bCs/>
          <w:color w:val="auto"/>
          <w:sz w:val="24"/>
          <w:szCs w:val="24"/>
          <w:highlight w:val="none"/>
          <w:shd w:val="clear" w:color="auto" w:fill="FFFFFF"/>
        </w:rPr>
      </w:pPr>
    </w:p>
    <w:p w14:paraId="47943083">
      <w:pPr>
        <w:adjustRightInd w:val="0"/>
        <w:snapToGrid w:val="0"/>
        <w:spacing w:line="440" w:lineRule="exact"/>
        <w:outlineLvl w:val="0"/>
        <w:rPr>
          <w:rFonts w:hint="eastAsia" w:ascii="宋体" w:hAnsi="宋体" w:eastAsia="宋体" w:cs="宋体"/>
          <w:b/>
          <w:color w:val="auto"/>
          <w:sz w:val="32"/>
          <w:szCs w:val="32"/>
          <w:highlight w:val="none"/>
        </w:rPr>
      </w:pPr>
      <w:bookmarkStart w:id="330" w:name="_Toc2674706"/>
      <w:bookmarkStart w:id="331" w:name="_Toc462074638"/>
      <w:bookmarkStart w:id="332" w:name="_Toc522285665"/>
      <w:bookmarkStart w:id="333" w:name="_Toc439924292"/>
      <w:bookmarkStart w:id="334" w:name="_Toc439924783"/>
      <w:bookmarkStart w:id="335" w:name="_Toc2951785"/>
      <w:bookmarkStart w:id="336" w:name="_Toc496459175"/>
      <w:bookmarkStart w:id="337" w:name="_Toc2684044"/>
      <w:bookmarkStart w:id="338" w:name="_Toc2674911"/>
      <w:bookmarkStart w:id="339" w:name="_Toc483385941"/>
      <w:bookmarkStart w:id="340" w:name="_Toc454904324"/>
      <w:bookmarkStart w:id="341" w:name="_Toc521048957"/>
      <w:bookmarkStart w:id="342" w:name="_Toc465878286"/>
      <w:bookmarkStart w:id="343" w:name="_Toc2593147"/>
      <w:bookmarkStart w:id="344" w:name="_Toc497049063"/>
      <w:bookmarkStart w:id="345" w:name="_Toc498186731"/>
      <w:bookmarkStart w:id="346" w:name="_Toc4506134"/>
      <w:bookmarkStart w:id="347" w:name="_Toc465362702"/>
    </w:p>
    <w:p w14:paraId="0F0597CE">
      <w:pPr>
        <w:adjustRightInd w:val="0"/>
        <w:snapToGrid w:val="0"/>
        <w:spacing w:line="440" w:lineRule="exact"/>
        <w:outlineLvl w:val="0"/>
        <w:rPr>
          <w:rFonts w:hint="eastAsia" w:ascii="宋体" w:hAnsi="宋体" w:eastAsia="宋体" w:cs="宋体"/>
          <w:b/>
          <w:color w:val="auto"/>
          <w:sz w:val="32"/>
          <w:szCs w:val="32"/>
          <w:highlight w:val="none"/>
        </w:rPr>
      </w:pPr>
      <w:bookmarkStart w:id="348" w:name="_Toc21724"/>
      <w:r>
        <w:rPr>
          <w:rFonts w:hint="eastAsia" w:ascii="宋体" w:hAnsi="宋体" w:eastAsia="宋体" w:cs="宋体"/>
          <w:b/>
          <w:color w:val="auto"/>
          <w:sz w:val="32"/>
          <w:szCs w:val="32"/>
          <w:highlight w:val="none"/>
        </w:rPr>
        <w:t>附件6 磋商文件规定的基本资格条件证明资料</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4542C748">
      <w:pPr>
        <w:adjustRightInd w:val="0"/>
        <w:snapToGrid w:val="0"/>
        <w:spacing w:line="440" w:lineRule="exact"/>
        <w:rPr>
          <w:rFonts w:hint="eastAsia" w:ascii="宋体" w:hAnsi="宋体" w:eastAsia="宋体" w:cs="宋体"/>
          <w:color w:val="auto"/>
          <w:szCs w:val="21"/>
          <w:highlight w:val="none"/>
        </w:rPr>
      </w:pPr>
    </w:p>
    <w:p w14:paraId="056AF9FC">
      <w:pPr>
        <w:spacing w:line="480" w:lineRule="exact"/>
        <w:rPr>
          <w:rFonts w:hint="eastAsia" w:ascii="宋体" w:hAnsi="宋体" w:eastAsia="宋体" w:cs="宋体"/>
          <w:color w:val="auto"/>
          <w:szCs w:val="21"/>
          <w:highlight w:val="none"/>
        </w:rPr>
      </w:pPr>
      <w:bookmarkStart w:id="349" w:name="_Toc439924784"/>
      <w:bookmarkStart w:id="350" w:name="_Toc439924293"/>
      <w:r>
        <w:rPr>
          <w:rFonts w:hint="eastAsia" w:ascii="宋体" w:hAnsi="宋体" w:eastAsia="宋体" w:cs="宋体"/>
          <w:color w:val="auto"/>
          <w:szCs w:val="21"/>
          <w:highlight w:val="none"/>
        </w:rPr>
        <w:t>备注：提供第二章 磋商须知第3.1款投标人基本资格条件证明资料的复印件。</w:t>
      </w:r>
    </w:p>
    <w:p w14:paraId="48891F65">
      <w:pPr>
        <w:adjustRightInd w:val="0"/>
        <w:snapToGrid w:val="0"/>
        <w:spacing w:line="440" w:lineRule="exact"/>
        <w:rPr>
          <w:rFonts w:hint="eastAsia" w:ascii="宋体" w:hAnsi="宋体" w:eastAsia="宋体" w:cs="宋体"/>
          <w:b/>
          <w:color w:val="auto"/>
          <w:sz w:val="32"/>
          <w:szCs w:val="32"/>
          <w:highlight w:val="none"/>
        </w:rPr>
      </w:pPr>
    </w:p>
    <w:p w14:paraId="61C42D7F">
      <w:pPr>
        <w:adjustRightInd w:val="0"/>
        <w:snapToGrid w:val="0"/>
        <w:spacing w:line="440" w:lineRule="exact"/>
        <w:rPr>
          <w:rFonts w:hint="eastAsia" w:ascii="宋体" w:hAnsi="宋体" w:eastAsia="宋体" w:cs="宋体"/>
          <w:b/>
          <w:color w:val="auto"/>
          <w:sz w:val="32"/>
          <w:szCs w:val="32"/>
          <w:highlight w:val="none"/>
        </w:rPr>
      </w:pPr>
    </w:p>
    <w:p w14:paraId="50BFADAA">
      <w:pPr>
        <w:adjustRightInd w:val="0"/>
        <w:snapToGrid w:val="0"/>
        <w:spacing w:line="440" w:lineRule="exact"/>
        <w:rPr>
          <w:rFonts w:hint="eastAsia" w:ascii="宋体" w:hAnsi="宋体" w:eastAsia="宋体" w:cs="宋体"/>
          <w:b/>
          <w:color w:val="auto"/>
          <w:sz w:val="32"/>
          <w:szCs w:val="32"/>
          <w:highlight w:val="none"/>
        </w:rPr>
      </w:pPr>
    </w:p>
    <w:p w14:paraId="0A3557F0">
      <w:pPr>
        <w:adjustRightInd w:val="0"/>
        <w:snapToGrid w:val="0"/>
        <w:spacing w:line="440" w:lineRule="exact"/>
        <w:rPr>
          <w:rFonts w:hint="eastAsia" w:ascii="宋体" w:hAnsi="宋体" w:eastAsia="宋体" w:cs="宋体"/>
          <w:b/>
          <w:color w:val="auto"/>
          <w:sz w:val="32"/>
          <w:szCs w:val="32"/>
          <w:highlight w:val="none"/>
        </w:rPr>
      </w:pPr>
    </w:p>
    <w:p w14:paraId="249BA33F">
      <w:pPr>
        <w:adjustRightInd w:val="0"/>
        <w:snapToGrid w:val="0"/>
        <w:spacing w:line="440" w:lineRule="exact"/>
        <w:rPr>
          <w:rFonts w:hint="eastAsia" w:ascii="宋体" w:hAnsi="宋体" w:eastAsia="宋体" w:cs="宋体"/>
          <w:b/>
          <w:color w:val="auto"/>
          <w:sz w:val="32"/>
          <w:szCs w:val="32"/>
          <w:highlight w:val="none"/>
        </w:rPr>
      </w:pPr>
    </w:p>
    <w:p w14:paraId="715FDD54">
      <w:pPr>
        <w:adjustRightInd w:val="0"/>
        <w:snapToGrid w:val="0"/>
        <w:spacing w:line="440" w:lineRule="exact"/>
        <w:rPr>
          <w:rFonts w:hint="eastAsia" w:ascii="宋体" w:hAnsi="宋体" w:eastAsia="宋体" w:cs="宋体"/>
          <w:b/>
          <w:color w:val="auto"/>
          <w:sz w:val="32"/>
          <w:szCs w:val="32"/>
          <w:highlight w:val="none"/>
        </w:rPr>
      </w:pPr>
    </w:p>
    <w:p w14:paraId="2E9B8784">
      <w:pPr>
        <w:adjustRightInd w:val="0"/>
        <w:snapToGrid w:val="0"/>
        <w:spacing w:line="440" w:lineRule="exact"/>
        <w:rPr>
          <w:rFonts w:hint="eastAsia" w:ascii="宋体" w:hAnsi="宋体" w:eastAsia="宋体" w:cs="宋体"/>
          <w:b/>
          <w:color w:val="auto"/>
          <w:sz w:val="32"/>
          <w:szCs w:val="32"/>
          <w:highlight w:val="none"/>
        </w:rPr>
      </w:pPr>
    </w:p>
    <w:p w14:paraId="57E06931">
      <w:pPr>
        <w:adjustRightInd w:val="0"/>
        <w:snapToGrid w:val="0"/>
        <w:spacing w:line="440" w:lineRule="exact"/>
        <w:rPr>
          <w:rFonts w:hint="eastAsia" w:ascii="宋体" w:hAnsi="宋体" w:eastAsia="宋体" w:cs="宋体"/>
          <w:b/>
          <w:color w:val="auto"/>
          <w:sz w:val="32"/>
          <w:szCs w:val="32"/>
          <w:highlight w:val="none"/>
        </w:rPr>
      </w:pPr>
    </w:p>
    <w:p w14:paraId="63D307CB">
      <w:pPr>
        <w:adjustRightInd w:val="0"/>
        <w:snapToGrid w:val="0"/>
        <w:spacing w:line="440" w:lineRule="exact"/>
        <w:outlineLvl w:val="0"/>
        <w:rPr>
          <w:rFonts w:hint="eastAsia" w:ascii="宋体" w:hAnsi="宋体" w:eastAsia="宋体" w:cs="宋体"/>
          <w:b/>
          <w:color w:val="auto"/>
          <w:sz w:val="32"/>
          <w:szCs w:val="32"/>
          <w:highlight w:val="none"/>
        </w:rPr>
      </w:pPr>
      <w:bookmarkStart w:id="351" w:name="_Toc2593148"/>
      <w:bookmarkStart w:id="352" w:name="_Toc497049064"/>
      <w:bookmarkStart w:id="353" w:name="_Toc2674912"/>
      <w:bookmarkStart w:id="354" w:name="_Toc4506135"/>
      <w:bookmarkStart w:id="355" w:name="_Toc2684045"/>
      <w:bookmarkStart w:id="356" w:name="_Toc522285666"/>
      <w:bookmarkStart w:id="357" w:name="_Toc4188"/>
      <w:bookmarkStart w:id="358" w:name="_Toc2951786"/>
      <w:bookmarkStart w:id="359" w:name="_Toc2674707"/>
      <w:bookmarkStart w:id="360" w:name="_Toc521048958"/>
      <w:bookmarkStart w:id="361" w:name="_Toc496459176"/>
      <w:bookmarkStart w:id="362" w:name="_Toc498186732"/>
      <w:r>
        <w:rPr>
          <w:rFonts w:hint="eastAsia" w:ascii="宋体" w:hAnsi="宋体" w:eastAsia="宋体" w:cs="宋体"/>
          <w:b/>
          <w:color w:val="auto"/>
          <w:sz w:val="32"/>
          <w:szCs w:val="32"/>
          <w:highlight w:val="none"/>
        </w:rPr>
        <w:t>附件7 磋商文件规定的特定资格条件证明资料</w:t>
      </w:r>
      <w:bookmarkEnd w:id="351"/>
      <w:bookmarkEnd w:id="352"/>
      <w:bookmarkEnd w:id="353"/>
      <w:bookmarkEnd w:id="354"/>
      <w:bookmarkEnd w:id="355"/>
      <w:bookmarkEnd w:id="356"/>
      <w:bookmarkEnd w:id="357"/>
      <w:bookmarkEnd w:id="358"/>
      <w:bookmarkEnd w:id="359"/>
      <w:bookmarkEnd w:id="360"/>
      <w:bookmarkEnd w:id="361"/>
      <w:bookmarkEnd w:id="362"/>
    </w:p>
    <w:p w14:paraId="63173ADE">
      <w:pPr>
        <w:adjustRightInd w:val="0"/>
        <w:snapToGrid w:val="0"/>
        <w:spacing w:line="440" w:lineRule="exact"/>
        <w:rPr>
          <w:rFonts w:hint="eastAsia" w:ascii="宋体" w:hAnsi="宋体" w:eastAsia="宋体" w:cs="宋体"/>
          <w:b/>
          <w:color w:val="auto"/>
          <w:sz w:val="32"/>
          <w:szCs w:val="32"/>
          <w:highlight w:val="none"/>
        </w:rPr>
      </w:pPr>
    </w:p>
    <w:p w14:paraId="3A1D11AF">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备注：提供第二章 磋商须知第3.1款投标人特定资格条件证明资料的复印件。</w:t>
      </w:r>
    </w:p>
    <w:p w14:paraId="6C9D7840">
      <w:pPr>
        <w:adjustRightInd w:val="0"/>
        <w:snapToGrid w:val="0"/>
        <w:spacing w:line="440" w:lineRule="exact"/>
        <w:rPr>
          <w:rFonts w:hint="eastAsia" w:ascii="宋体" w:hAnsi="宋体" w:eastAsia="宋体" w:cs="宋体"/>
          <w:b/>
          <w:color w:val="auto"/>
          <w:sz w:val="32"/>
          <w:szCs w:val="32"/>
          <w:highlight w:val="none"/>
        </w:rPr>
      </w:pPr>
    </w:p>
    <w:p w14:paraId="736639F7">
      <w:pPr>
        <w:adjustRightInd w:val="0"/>
        <w:snapToGrid w:val="0"/>
        <w:spacing w:line="440" w:lineRule="exact"/>
        <w:rPr>
          <w:rFonts w:hint="eastAsia" w:ascii="宋体" w:hAnsi="宋体" w:eastAsia="宋体" w:cs="宋体"/>
          <w:b/>
          <w:color w:val="auto"/>
          <w:sz w:val="32"/>
          <w:szCs w:val="32"/>
          <w:highlight w:val="none"/>
        </w:rPr>
      </w:pPr>
    </w:p>
    <w:p w14:paraId="403FEB2A">
      <w:pPr>
        <w:adjustRightInd w:val="0"/>
        <w:snapToGrid w:val="0"/>
        <w:spacing w:line="440" w:lineRule="exact"/>
        <w:rPr>
          <w:rFonts w:hint="eastAsia" w:ascii="宋体" w:hAnsi="宋体" w:eastAsia="宋体" w:cs="宋体"/>
          <w:b/>
          <w:color w:val="auto"/>
          <w:sz w:val="32"/>
          <w:szCs w:val="32"/>
          <w:highlight w:val="none"/>
        </w:rPr>
      </w:pPr>
    </w:p>
    <w:p w14:paraId="72CCF15C">
      <w:pPr>
        <w:adjustRightInd w:val="0"/>
        <w:snapToGrid w:val="0"/>
        <w:spacing w:line="440" w:lineRule="exact"/>
        <w:rPr>
          <w:rFonts w:hint="eastAsia" w:ascii="宋体" w:hAnsi="宋体" w:eastAsia="宋体" w:cs="宋体"/>
          <w:b/>
          <w:color w:val="auto"/>
          <w:sz w:val="32"/>
          <w:szCs w:val="32"/>
          <w:highlight w:val="none"/>
        </w:rPr>
      </w:pPr>
    </w:p>
    <w:p w14:paraId="6D52940E">
      <w:pPr>
        <w:adjustRightInd w:val="0"/>
        <w:snapToGrid w:val="0"/>
        <w:spacing w:line="440" w:lineRule="exact"/>
        <w:rPr>
          <w:rFonts w:hint="eastAsia" w:ascii="宋体" w:hAnsi="宋体" w:eastAsia="宋体" w:cs="宋体"/>
          <w:b/>
          <w:color w:val="auto"/>
          <w:sz w:val="32"/>
          <w:szCs w:val="32"/>
          <w:highlight w:val="none"/>
        </w:rPr>
      </w:pPr>
    </w:p>
    <w:p w14:paraId="28C894F0">
      <w:pPr>
        <w:adjustRightInd w:val="0"/>
        <w:snapToGrid w:val="0"/>
        <w:spacing w:line="440" w:lineRule="exact"/>
        <w:rPr>
          <w:rFonts w:hint="eastAsia" w:ascii="宋体" w:hAnsi="宋体" w:eastAsia="宋体" w:cs="宋体"/>
          <w:b/>
          <w:color w:val="auto"/>
          <w:sz w:val="32"/>
          <w:szCs w:val="32"/>
          <w:highlight w:val="none"/>
        </w:rPr>
      </w:pPr>
    </w:p>
    <w:p w14:paraId="49BA0467">
      <w:pPr>
        <w:adjustRightInd w:val="0"/>
        <w:snapToGrid w:val="0"/>
        <w:spacing w:line="440" w:lineRule="exact"/>
        <w:rPr>
          <w:rFonts w:hint="eastAsia" w:ascii="宋体" w:hAnsi="宋体" w:eastAsia="宋体" w:cs="宋体"/>
          <w:b/>
          <w:color w:val="auto"/>
          <w:sz w:val="32"/>
          <w:szCs w:val="32"/>
          <w:highlight w:val="none"/>
        </w:rPr>
      </w:pPr>
    </w:p>
    <w:p w14:paraId="2B4BCCBB">
      <w:pPr>
        <w:adjustRightInd w:val="0"/>
        <w:snapToGrid w:val="0"/>
        <w:spacing w:line="440" w:lineRule="exact"/>
        <w:rPr>
          <w:rFonts w:hint="eastAsia" w:ascii="宋体" w:hAnsi="宋体" w:eastAsia="宋体" w:cs="宋体"/>
          <w:b/>
          <w:color w:val="auto"/>
          <w:sz w:val="32"/>
          <w:szCs w:val="32"/>
          <w:highlight w:val="none"/>
        </w:rPr>
      </w:pPr>
    </w:p>
    <w:p w14:paraId="578D76FE">
      <w:pPr>
        <w:adjustRightInd w:val="0"/>
        <w:snapToGrid w:val="0"/>
        <w:spacing w:line="440" w:lineRule="exact"/>
        <w:outlineLvl w:val="0"/>
        <w:rPr>
          <w:rFonts w:hint="eastAsia" w:ascii="宋体" w:hAnsi="宋体" w:eastAsia="宋体" w:cs="宋体"/>
          <w:b/>
          <w:color w:val="auto"/>
          <w:sz w:val="32"/>
          <w:szCs w:val="32"/>
          <w:highlight w:val="none"/>
        </w:rPr>
      </w:pPr>
      <w:bookmarkStart w:id="363" w:name="_Toc2684046"/>
      <w:bookmarkStart w:id="364" w:name="_Toc497049065"/>
      <w:bookmarkStart w:id="365" w:name="_Toc2674708"/>
      <w:bookmarkStart w:id="366" w:name="_Toc521048959"/>
      <w:bookmarkStart w:id="367" w:name="_Toc2674913"/>
      <w:bookmarkStart w:id="368" w:name="_Toc2593149"/>
      <w:bookmarkStart w:id="369" w:name="_Toc4506136"/>
      <w:bookmarkStart w:id="370" w:name="_Toc498186733"/>
      <w:bookmarkStart w:id="371" w:name="_Toc2951787"/>
      <w:bookmarkStart w:id="372" w:name="_Toc522285667"/>
      <w:bookmarkStart w:id="373" w:name="_Toc10899"/>
      <w:bookmarkStart w:id="374" w:name="_Toc496459177"/>
      <w:r>
        <w:rPr>
          <w:rFonts w:hint="eastAsia" w:ascii="宋体" w:hAnsi="宋体" w:eastAsia="宋体" w:cs="宋体"/>
          <w:b/>
          <w:color w:val="auto"/>
          <w:sz w:val="32"/>
          <w:szCs w:val="32"/>
          <w:highlight w:val="none"/>
        </w:rPr>
        <w:t>附件8 其他证明资料或说明</w:t>
      </w:r>
      <w:bookmarkEnd w:id="363"/>
      <w:bookmarkEnd w:id="364"/>
      <w:bookmarkEnd w:id="365"/>
      <w:bookmarkEnd w:id="366"/>
      <w:bookmarkEnd w:id="367"/>
      <w:bookmarkEnd w:id="368"/>
      <w:bookmarkEnd w:id="369"/>
      <w:bookmarkEnd w:id="370"/>
      <w:bookmarkEnd w:id="371"/>
      <w:bookmarkEnd w:id="372"/>
      <w:bookmarkEnd w:id="373"/>
      <w:bookmarkEnd w:id="374"/>
    </w:p>
    <w:p w14:paraId="117D0272">
      <w:pPr>
        <w:adjustRightInd w:val="0"/>
        <w:snapToGrid w:val="0"/>
        <w:spacing w:line="440" w:lineRule="exact"/>
        <w:rPr>
          <w:rFonts w:hint="eastAsia" w:ascii="宋体" w:hAnsi="宋体" w:eastAsia="宋体" w:cs="宋体"/>
          <w:b/>
          <w:color w:val="auto"/>
          <w:sz w:val="32"/>
          <w:szCs w:val="32"/>
          <w:highlight w:val="none"/>
        </w:rPr>
      </w:pPr>
    </w:p>
    <w:p w14:paraId="79A8043B">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备注：提供磋商文件或评分标准需要提供的相关证明文件复印件。</w:t>
      </w:r>
    </w:p>
    <w:p w14:paraId="342E20EA">
      <w:pPr>
        <w:adjustRightInd w:val="0"/>
        <w:snapToGrid w:val="0"/>
        <w:spacing w:line="440" w:lineRule="exact"/>
        <w:rPr>
          <w:rFonts w:hint="eastAsia" w:ascii="宋体" w:hAnsi="宋体" w:eastAsia="宋体" w:cs="宋体"/>
          <w:b/>
          <w:color w:val="auto"/>
          <w:sz w:val="32"/>
          <w:szCs w:val="32"/>
          <w:highlight w:val="none"/>
        </w:rPr>
      </w:pPr>
    </w:p>
    <w:p w14:paraId="61458B0A">
      <w:pPr>
        <w:adjustRightInd w:val="0"/>
        <w:snapToGrid w:val="0"/>
        <w:spacing w:line="440" w:lineRule="exact"/>
        <w:rPr>
          <w:rFonts w:hint="eastAsia" w:ascii="宋体" w:hAnsi="宋体" w:eastAsia="宋体" w:cs="宋体"/>
          <w:b/>
          <w:color w:val="auto"/>
          <w:sz w:val="32"/>
          <w:szCs w:val="32"/>
          <w:highlight w:val="none"/>
        </w:rPr>
      </w:pPr>
    </w:p>
    <w:p w14:paraId="036A3634">
      <w:pPr>
        <w:adjustRightInd w:val="0"/>
        <w:snapToGrid w:val="0"/>
        <w:spacing w:line="440" w:lineRule="exact"/>
        <w:rPr>
          <w:rFonts w:hint="eastAsia" w:ascii="宋体" w:hAnsi="宋体" w:eastAsia="宋体" w:cs="宋体"/>
          <w:b/>
          <w:color w:val="auto"/>
          <w:sz w:val="32"/>
          <w:szCs w:val="32"/>
          <w:highlight w:val="none"/>
        </w:rPr>
      </w:pPr>
    </w:p>
    <w:p w14:paraId="75A43F89">
      <w:pPr>
        <w:adjustRightInd w:val="0"/>
        <w:snapToGrid w:val="0"/>
        <w:spacing w:line="440" w:lineRule="exact"/>
        <w:rPr>
          <w:rFonts w:hint="eastAsia" w:ascii="宋体" w:hAnsi="宋体" w:eastAsia="宋体" w:cs="宋体"/>
          <w:b/>
          <w:color w:val="auto"/>
          <w:sz w:val="32"/>
          <w:szCs w:val="32"/>
          <w:highlight w:val="none"/>
        </w:rPr>
      </w:pPr>
    </w:p>
    <w:bookmarkEnd w:id="349"/>
    <w:bookmarkEnd w:id="350"/>
    <w:p w14:paraId="6A86D6B0">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375" w:name="_Toc496459178"/>
      <w:bookmarkStart w:id="376" w:name="_Toc521048960"/>
      <w:bookmarkStart w:id="377" w:name="_Toc483385943"/>
      <w:bookmarkStart w:id="378" w:name="_Toc454904326"/>
      <w:bookmarkStart w:id="379" w:name="_Toc439924785"/>
      <w:bookmarkStart w:id="380" w:name="_Toc465362704"/>
      <w:bookmarkStart w:id="381" w:name="_Toc439924294"/>
      <w:bookmarkStart w:id="382" w:name="_Toc465878288"/>
      <w:bookmarkStart w:id="383" w:name="_Toc497049066"/>
      <w:bookmarkStart w:id="384" w:name="_Toc462074640"/>
      <w:bookmarkStart w:id="385" w:name="_Toc498186734"/>
      <w:bookmarkStart w:id="386" w:name="_Toc522285668"/>
      <w:bookmarkStart w:id="387" w:name="_Toc2684047"/>
      <w:bookmarkStart w:id="388" w:name="_Toc2674914"/>
      <w:bookmarkStart w:id="389" w:name="_Toc2593150"/>
      <w:bookmarkStart w:id="390" w:name="_Toc2951788"/>
      <w:bookmarkStart w:id="391" w:name="_Toc2674709"/>
      <w:bookmarkStart w:id="392" w:name="_Toc4506137"/>
      <w:r>
        <w:rPr>
          <w:rFonts w:hint="eastAsia" w:ascii="宋体" w:hAnsi="宋体" w:eastAsia="宋体" w:cs="宋体"/>
          <w:b/>
          <w:color w:val="auto"/>
          <w:sz w:val="32"/>
          <w:szCs w:val="32"/>
          <w:highlight w:val="none"/>
        </w:rPr>
        <w:br w:type="page"/>
      </w:r>
      <w:bookmarkStart w:id="393" w:name="_Toc31290"/>
      <w:r>
        <w:rPr>
          <w:rFonts w:hint="eastAsia" w:ascii="宋体" w:hAnsi="宋体" w:eastAsia="宋体" w:cs="宋体"/>
          <w:b/>
          <w:color w:val="auto"/>
          <w:sz w:val="32"/>
          <w:szCs w:val="32"/>
          <w:highlight w:val="none"/>
        </w:rPr>
        <w:t>三、</w:t>
      </w:r>
      <w:bookmarkEnd w:id="375"/>
      <w:bookmarkEnd w:id="376"/>
      <w:bookmarkEnd w:id="377"/>
      <w:bookmarkEnd w:id="378"/>
      <w:bookmarkEnd w:id="379"/>
      <w:bookmarkEnd w:id="380"/>
      <w:bookmarkEnd w:id="381"/>
      <w:bookmarkEnd w:id="382"/>
      <w:bookmarkEnd w:id="383"/>
      <w:bookmarkEnd w:id="384"/>
      <w:bookmarkEnd w:id="385"/>
      <w:r>
        <w:rPr>
          <w:rFonts w:hint="eastAsia" w:ascii="宋体" w:hAnsi="宋体" w:eastAsia="宋体" w:cs="宋体"/>
          <w:b/>
          <w:color w:val="auto"/>
          <w:sz w:val="32"/>
          <w:szCs w:val="32"/>
          <w:highlight w:val="none"/>
        </w:rPr>
        <w:t>施工组织设计</w:t>
      </w:r>
      <w:bookmarkEnd w:id="386"/>
      <w:bookmarkEnd w:id="387"/>
      <w:bookmarkEnd w:id="388"/>
      <w:bookmarkEnd w:id="389"/>
      <w:bookmarkEnd w:id="390"/>
      <w:bookmarkEnd w:id="391"/>
      <w:bookmarkEnd w:id="392"/>
      <w:bookmarkEnd w:id="393"/>
    </w:p>
    <w:p w14:paraId="08933F9E">
      <w:pPr>
        <w:adjustRightInd w:val="0"/>
        <w:snapToGrid w:val="0"/>
        <w:spacing w:line="360" w:lineRule="auto"/>
        <w:rPr>
          <w:rFonts w:hint="eastAsia" w:ascii="宋体" w:hAnsi="宋体" w:eastAsia="宋体" w:cs="宋体"/>
          <w:b/>
          <w:color w:val="auto"/>
          <w:sz w:val="32"/>
          <w:szCs w:val="32"/>
          <w:highlight w:val="none"/>
        </w:rPr>
      </w:pPr>
      <w:bookmarkStart w:id="394" w:name="_Toc521048961"/>
      <w:bookmarkStart w:id="395" w:name="_Toc520201238"/>
      <w:bookmarkStart w:id="396" w:name="_Toc2951789"/>
      <w:bookmarkStart w:id="397" w:name="_Toc4506138"/>
      <w:bookmarkStart w:id="398" w:name="_Toc2674915"/>
      <w:bookmarkStart w:id="399" w:name="_Toc2593151"/>
      <w:bookmarkStart w:id="400" w:name="_Toc522285669"/>
      <w:bookmarkStart w:id="401" w:name="_Toc2684048"/>
      <w:bookmarkStart w:id="402" w:name="_Toc2674710"/>
    </w:p>
    <w:p w14:paraId="0D427A03">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403" w:name="_Toc25359"/>
      <w:r>
        <w:rPr>
          <w:rFonts w:hint="eastAsia" w:ascii="宋体" w:hAnsi="宋体" w:eastAsia="宋体" w:cs="宋体"/>
          <w:b/>
          <w:color w:val="auto"/>
          <w:sz w:val="32"/>
          <w:szCs w:val="32"/>
          <w:highlight w:val="none"/>
        </w:rPr>
        <w:t xml:space="preserve">附件9 </w:t>
      </w:r>
      <w:bookmarkEnd w:id="394"/>
      <w:bookmarkEnd w:id="395"/>
      <w:r>
        <w:rPr>
          <w:rFonts w:hint="eastAsia" w:ascii="宋体" w:hAnsi="宋体" w:eastAsia="宋体" w:cs="宋体"/>
          <w:b/>
          <w:color w:val="auto"/>
          <w:sz w:val="32"/>
          <w:szCs w:val="32"/>
          <w:highlight w:val="none"/>
        </w:rPr>
        <w:t xml:space="preserve">   施工组织设计</w:t>
      </w:r>
      <w:bookmarkEnd w:id="396"/>
      <w:bookmarkEnd w:id="397"/>
      <w:bookmarkEnd w:id="398"/>
      <w:bookmarkEnd w:id="399"/>
      <w:bookmarkEnd w:id="400"/>
      <w:bookmarkEnd w:id="401"/>
      <w:bookmarkEnd w:id="402"/>
      <w:bookmarkEnd w:id="403"/>
    </w:p>
    <w:p w14:paraId="08667FD9">
      <w:pPr>
        <w:adjustRightInd w:val="0"/>
        <w:snapToGrid w:val="0"/>
        <w:ind w:left="-88" w:leftChars="-42" w:firstLine="210" w:firstLineChars="100"/>
        <w:rPr>
          <w:rFonts w:hint="eastAsia" w:ascii="宋体" w:hAnsi="宋体" w:eastAsia="宋体" w:cs="宋体"/>
          <w:color w:val="auto"/>
          <w:szCs w:val="21"/>
          <w:highlight w:val="none"/>
        </w:rPr>
      </w:pPr>
    </w:p>
    <w:p w14:paraId="22E54008">
      <w:pPr>
        <w:pStyle w:val="7"/>
        <w:spacing w:after="0" w:line="440" w:lineRule="exact"/>
        <w:ind w:right="23" w:rightChars="1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投标人应递交完整的施工组织时间，说明各分部分项工程的施工方法和布置，提交包括临时设施和施工道路的施工总布置图及其它的图表、文字说明书等资料，《施工组织设计》技术文件应包括</w:t>
      </w:r>
      <w:r>
        <w:rPr>
          <w:rFonts w:hint="eastAsia" w:ascii="宋体" w:hAnsi="宋体" w:eastAsia="宋体" w:cs="宋体"/>
          <w:color w:val="auto"/>
          <w:szCs w:val="21"/>
          <w:highlight w:val="none"/>
          <w:lang w:eastAsia="zh-CN"/>
        </w:rPr>
        <w:t>但不限于以下</w:t>
      </w:r>
      <w:r>
        <w:rPr>
          <w:rFonts w:hint="eastAsia" w:ascii="宋体" w:hAnsi="宋体" w:eastAsia="宋体" w:cs="宋体"/>
          <w:color w:val="auto"/>
          <w:szCs w:val="21"/>
          <w:highlight w:val="none"/>
        </w:rPr>
        <w:t>内容：</w:t>
      </w:r>
    </w:p>
    <w:p w14:paraId="637454EA">
      <w:pPr>
        <w:spacing w:line="440" w:lineRule="exact"/>
        <w:ind w:right="23" w:rightChars="1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一、施工方案与技术措施</w:t>
      </w:r>
    </w:p>
    <w:p w14:paraId="108BB5F1">
      <w:pPr>
        <w:spacing w:line="440" w:lineRule="exact"/>
        <w:ind w:right="23" w:rightChars="1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二、工程进度计划与措施</w:t>
      </w:r>
    </w:p>
    <w:p w14:paraId="4FF74863">
      <w:pPr>
        <w:spacing w:line="440" w:lineRule="exact"/>
        <w:ind w:right="23" w:rightChars="1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三、质量管理体系与措施</w:t>
      </w:r>
    </w:p>
    <w:p w14:paraId="0D8CAF64">
      <w:pPr>
        <w:spacing w:line="440" w:lineRule="exact"/>
        <w:ind w:right="23" w:rightChars="11"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四、安全管理体系与措施</w:t>
      </w:r>
    </w:p>
    <w:p w14:paraId="361E02D1">
      <w:pPr>
        <w:spacing w:line="440" w:lineRule="exact"/>
        <w:ind w:right="23" w:rightChars="11"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五、</w:t>
      </w:r>
      <w:r>
        <w:rPr>
          <w:rFonts w:hint="eastAsia" w:ascii="宋体" w:hAnsi="宋体" w:eastAsia="宋体" w:cs="宋体"/>
          <w:color w:val="auto"/>
          <w:szCs w:val="21"/>
          <w:highlight w:val="none"/>
          <w:lang w:eastAsia="zh-CN"/>
        </w:rPr>
        <w:t>环境保护措施</w:t>
      </w:r>
    </w:p>
    <w:p w14:paraId="2D733933">
      <w:pPr>
        <w:spacing w:line="440" w:lineRule="exact"/>
        <w:ind w:right="23" w:rightChars="11"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六、资源配备计划</w:t>
      </w:r>
    </w:p>
    <w:p w14:paraId="6A5C990E">
      <w:pPr>
        <w:spacing w:line="400" w:lineRule="exact"/>
        <w:ind w:right="23" w:rightChars="11" w:firstLine="420" w:firstLineChars="200"/>
        <w:rPr>
          <w:rFonts w:hint="eastAsia" w:ascii="宋体" w:hAnsi="宋体" w:eastAsia="宋体" w:cs="宋体"/>
          <w:color w:val="auto"/>
          <w:szCs w:val="21"/>
          <w:highlight w:val="none"/>
        </w:rPr>
      </w:pPr>
    </w:p>
    <w:p w14:paraId="0D0902C7">
      <w:pPr>
        <w:adjustRightInd w:val="0"/>
        <w:snapToGrid w:val="0"/>
        <w:spacing w:line="420" w:lineRule="exact"/>
        <w:ind w:firstLine="422" w:firstLineChars="200"/>
        <w:rPr>
          <w:rFonts w:hint="eastAsia" w:ascii="宋体" w:hAnsi="宋体" w:eastAsia="宋体" w:cs="宋体"/>
          <w:color w:val="auto"/>
          <w:szCs w:val="21"/>
          <w:highlight w:val="none"/>
        </w:rPr>
      </w:pPr>
      <w:r>
        <w:rPr>
          <w:rFonts w:hint="eastAsia" w:ascii="宋体" w:hAnsi="宋体" w:eastAsia="宋体" w:cs="宋体"/>
          <w:b/>
          <w:color w:val="auto"/>
          <w:highlight w:val="none"/>
        </w:rPr>
        <w:t>注：施工组织设计部分要求投标人授权代表在该部分最后一页右下角签字。</w:t>
      </w:r>
    </w:p>
    <w:p w14:paraId="0FD8C7B0">
      <w:pPr>
        <w:spacing w:line="420" w:lineRule="exact"/>
        <w:rPr>
          <w:rFonts w:hint="eastAsia" w:ascii="宋体" w:hAnsi="宋体" w:eastAsia="宋体" w:cs="宋体"/>
          <w:color w:val="auto"/>
          <w:highlight w:val="none"/>
        </w:rPr>
      </w:pPr>
    </w:p>
    <w:p w14:paraId="2C4D453A">
      <w:pPr>
        <w:spacing w:line="420" w:lineRule="exact"/>
        <w:rPr>
          <w:rFonts w:hint="eastAsia" w:ascii="宋体" w:hAnsi="宋体" w:eastAsia="宋体" w:cs="宋体"/>
          <w:color w:val="auto"/>
          <w:highlight w:val="none"/>
        </w:rPr>
      </w:pPr>
    </w:p>
    <w:p w14:paraId="2ED9FBCD">
      <w:pPr>
        <w:spacing w:line="420" w:lineRule="exact"/>
        <w:rPr>
          <w:rFonts w:hint="eastAsia" w:ascii="宋体" w:hAnsi="宋体" w:eastAsia="宋体" w:cs="宋体"/>
          <w:color w:val="auto"/>
          <w:highlight w:val="none"/>
        </w:rPr>
      </w:pPr>
    </w:p>
    <w:p w14:paraId="1B897EAD">
      <w:pPr>
        <w:adjustRightInd w:val="0"/>
        <w:snapToGrid w:val="0"/>
        <w:spacing w:line="440" w:lineRule="exact"/>
        <w:ind w:firstLine="5040" w:firstLineChars="2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投标人名称(盖单位章)：</w:t>
      </w:r>
      <w:r>
        <w:rPr>
          <w:rFonts w:hint="eastAsia" w:ascii="宋体" w:hAnsi="宋体" w:eastAsia="宋体" w:cs="宋体"/>
          <w:color w:val="auto"/>
          <w:kern w:val="0"/>
          <w:szCs w:val="21"/>
          <w:highlight w:val="none"/>
          <w:u w:val="single"/>
        </w:rPr>
        <w:t xml:space="preserve">                 </w:t>
      </w:r>
    </w:p>
    <w:p w14:paraId="4CF3A0D3">
      <w:pPr>
        <w:adjustRightInd w:val="0"/>
        <w:snapToGrid w:val="0"/>
        <w:spacing w:line="440" w:lineRule="exact"/>
        <w:ind w:left="420" w:leftChars="200" w:firstLine="4620" w:firstLineChars="2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(签字)：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rPr>
        <w:t xml:space="preserve">          </w:t>
      </w:r>
    </w:p>
    <w:p w14:paraId="7678A8AA">
      <w:pPr>
        <w:spacing w:line="420" w:lineRule="exact"/>
        <w:ind w:firstLine="5040" w:firstLineChars="2400"/>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6B2261FD">
      <w:pPr>
        <w:spacing w:line="420" w:lineRule="exact"/>
        <w:rPr>
          <w:rFonts w:hint="eastAsia" w:ascii="宋体" w:hAnsi="宋体" w:eastAsia="宋体" w:cs="宋体"/>
          <w:color w:val="auto"/>
          <w:highlight w:val="none"/>
        </w:rPr>
      </w:pPr>
    </w:p>
    <w:p w14:paraId="26A501FC">
      <w:pPr>
        <w:spacing w:line="420" w:lineRule="exact"/>
        <w:rPr>
          <w:rFonts w:hint="eastAsia" w:ascii="宋体" w:hAnsi="宋体" w:eastAsia="宋体" w:cs="宋体"/>
          <w:color w:val="auto"/>
          <w:highlight w:val="none"/>
        </w:rPr>
      </w:pPr>
    </w:p>
    <w:p w14:paraId="7BFAA755">
      <w:pPr>
        <w:spacing w:line="420" w:lineRule="exact"/>
        <w:rPr>
          <w:rFonts w:hint="eastAsia" w:ascii="宋体" w:hAnsi="宋体" w:eastAsia="宋体" w:cs="宋体"/>
          <w:color w:val="auto"/>
          <w:highlight w:val="none"/>
        </w:rPr>
      </w:pPr>
    </w:p>
    <w:p w14:paraId="204FA9E5">
      <w:pPr>
        <w:spacing w:line="420" w:lineRule="exact"/>
        <w:rPr>
          <w:rFonts w:hint="eastAsia" w:ascii="宋体" w:hAnsi="宋体" w:eastAsia="宋体" w:cs="宋体"/>
          <w:color w:val="auto"/>
          <w:highlight w:val="none"/>
        </w:rPr>
      </w:pPr>
    </w:p>
    <w:p w14:paraId="66F386B5">
      <w:pPr>
        <w:spacing w:line="420" w:lineRule="exact"/>
        <w:rPr>
          <w:rFonts w:hint="eastAsia" w:ascii="宋体" w:hAnsi="宋体" w:eastAsia="宋体" w:cs="宋体"/>
          <w:color w:val="auto"/>
          <w:highlight w:val="none"/>
        </w:rPr>
      </w:pPr>
    </w:p>
    <w:p w14:paraId="725E2748">
      <w:pPr>
        <w:spacing w:line="420" w:lineRule="exact"/>
        <w:rPr>
          <w:rFonts w:hint="eastAsia" w:ascii="宋体" w:hAnsi="宋体" w:eastAsia="宋体" w:cs="宋体"/>
          <w:color w:val="auto"/>
          <w:highlight w:val="none"/>
        </w:rPr>
      </w:pPr>
    </w:p>
    <w:p w14:paraId="337132E0">
      <w:pPr>
        <w:spacing w:line="420" w:lineRule="exact"/>
        <w:rPr>
          <w:rFonts w:hint="eastAsia" w:ascii="宋体" w:hAnsi="宋体" w:eastAsia="宋体" w:cs="宋体"/>
          <w:color w:val="auto"/>
          <w:highlight w:val="none"/>
        </w:rPr>
      </w:pPr>
    </w:p>
    <w:p w14:paraId="0105AA89">
      <w:pPr>
        <w:spacing w:line="420" w:lineRule="exact"/>
        <w:rPr>
          <w:rFonts w:hint="eastAsia" w:ascii="宋体" w:hAnsi="宋体" w:eastAsia="宋体" w:cs="宋体"/>
          <w:color w:val="auto"/>
          <w:highlight w:val="none"/>
        </w:rPr>
      </w:pPr>
    </w:p>
    <w:p w14:paraId="6CA29A5A">
      <w:pPr>
        <w:pStyle w:val="18"/>
        <w:rPr>
          <w:rFonts w:hint="eastAsia" w:ascii="宋体" w:hAnsi="宋体" w:eastAsia="宋体" w:cs="宋体"/>
          <w:color w:val="auto"/>
          <w:highlight w:val="none"/>
        </w:rPr>
      </w:pPr>
    </w:p>
    <w:p w14:paraId="68F34571">
      <w:pPr>
        <w:rPr>
          <w:rFonts w:hint="eastAsia" w:ascii="宋体" w:hAnsi="宋体" w:eastAsia="宋体" w:cs="宋体"/>
          <w:color w:val="auto"/>
          <w:highlight w:val="none"/>
        </w:rPr>
      </w:pPr>
    </w:p>
    <w:p w14:paraId="25E63C5C">
      <w:pPr>
        <w:pStyle w:val="18"/>
        <w:rPr>
          <w:rFonts w:hint="eastAsia" w:ascii="宋体" w:hAnsi="宋体" w:eastAsia="宋体" w:cs="宋体"/>
          <w:color w:val="auto"/>
          <w:highlight w:val="none"/>
        </w:rPr>
      </w:pPr>
    </w:p>
    <w:p w14:paraId="66B006CA">
      <w:pPr>
        <w:rPr>
          <w:rFonts w:hint="eastAsia" w:ascii="宋体" w:hAnsi="宋体" w:eastAsia="宋体" w:cs="宋体"/>
          <w:b/>
          <w:color w:val="auto"/>
          <w:sz w:val="32"/>
          <w:szCs w:val="32"/>
          <w:highlight w:val="none"/>
        </w:rPr>
      </w:pPr>
      <w:bookmarkStart w:id="404" w:name="_Toc18165"/>
      <w:bookmarkStart w:id="405" w:name="_Toc4506139"/>
      <w:bookmarkStart w:id="406" w:name="_Toc2674711"/>
      <w:bookmarkStart w:id="407" w:name="_Toc2684049"/>
      <w:bookmarkStart w:id="408" w:name="_Toc2674916"/>
      <w:bookmarkStart w:id="409" w:name="_Toc2951790"/>
      <w:bookmarkStart w:id="410" w:name="_Toc300678574"/>
      <w:bookmarkStart w:id="411" w:name="_Toc498611012"/>
      <w:bookmarkStart w:id="412" w:name="_Toc497919473"/>
      <w:bookmarkStart w:id="413" w:name="_Toc465362706"/>
      <w:bookmarkStart w:id="414" w:name="_Toc465878290"/>
      <w:r>
        <w:rPr>
          <w:rFonts w:hint="eastAsia" w:ascii="宋体" w:hAnsi="宋体" w:eastAsia="宋体" w:cs="宋体"/>
          <w:b/>
          <w:color w:val="auto"/>
          <w:sz w:val="32"/>
          <w:szCs w:val="32"/>
          <w:highlight w:val="none"/>
        </w:rPr>
        <w:br w:type="page"/>
      </w:r>
    </w:p>
    <w:p w14:paraId="75313F79">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415" w:name="_Toc18723"/>
      <w:r>
        <w:rPr>
          <w:rFonts w:hint="eastAsia" w:ascii="宋体" w:hAnsi="宋体" w:eastAsia="宋体" w:cs="宋体"/>
          <w:b/>
          <w:color w:val="auto"/>
          <w:sz w:val="32"/>
          <w:szCs w:val="32"/>
          <w:highlight w:val="none"/>
        </w:rPr>
        <w:t>附件10    项目管理机构</w:t>
      </w:r>
      <w:bookmarkEnd w:id="404"/>
      <w:bookmarkEnd w:id="405"/>
      <w:bookmarkEnd w:id="406"/>
      <w:bookmarkEnd w:id="407"/>
      <w:bookmarkEnd w:id="408"/>
      <w:bookmarkEnd w:id="409"/>
      <w:bookmarkEnd w:id="415"/>
    </w:p>
    <w:bookmarkEnd w:id="410"/>
    <w:p w14:paraId="4ED08247">
      <w:pPr>
        <w:adjustRightInd w:val="0"/>
        <w:snapToGrid w:val="0"/>
        <w:spacing w:line="420" w:lineRule="exact"/>
        <w:ind w:firstLine="482" w:firstLineChars="200"/>
        <w:rPr>
          <w:rFonts w:hint="eastAsia" w:ascii="宋体" w:hAnsi="宋体" w:eastAsia="宋体" w:cs="宋体"/>
          <w:b/>
          <w:color w:val="auto"/>
          <w:sz w:val="24"/>
          <w:highlight w:val="none"/>
        </w:rPr>
      </w:pPr>
      <w:bookmarkStart w:id="416" w:name="_Toc21271"/>
      <w:r>
        <w:rPr>
          <w:rFonts w:hint="eastAsia" w:ascii="宋体" w:hAnsi="宋体" w:eastAsia="宋体" w:cs="宋体"/>
          <w:b/>
          <w:color w:val="auto"/>
          <w:sz w:val="24"/>
          <w:highlight w:val="none"/>
        </w:rPr>
        <w:t>（</w:t>
      </w:r>
      <w:bookmarkStart w:id="417" w:name="_Toc300678575"/>
      <w:r>
        <w:rPr>
          <w:rFonts w:hint="eastAsia" w:ascii="宋体" w:hAnsi="宋体" w:eastAsia="宋体" w:cs="宋体"/>
          <w:b/>
          <w:color w:val="auto"/>
          <w:sz w:val="24"/>
          <w:highlight w:val="none"/>
        </w:rPr>
        <w:t>一）项目管理机构组成表</w:t>
      </w:r>
      <w:bookmarkEnd w:id="416"/>
    </w:p>
    <w:bookmarkEnd w:id="417"/>
    <w:tbl>
      <w:tblPr>
        <w:tblStyle w:val="19"/>
        <w:tblW w:w="888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56"/>
        <w:gridCol w:w="639"/>
        <w:gridCol w:w="1065"/>
        <w:gridCol w:w="808"/>
        <w:gridCol w:w="852"/>
        <w:gridCol w:w="724"/>
        <w:gridCol w:w="2127"/>
        <w:gridCol w:w="1510"/>
      </w:tblGrid>
      <w:tr w14:paraId="199165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6" w:type="dxa"/>
            <w:vMerge w:val="restart"/>
            <w:vAlign w:val="center"/>
          </w:tcPr>
          <w:p w14:paraId="503D210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639" w:type="dxa"/>
            <w:vMerge w:val="restart"/>
            <w:vAlign w:val="center"/>
          </w:tcPr>
          <w:p w14:paraId="37177A7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性别</w:t>
            </w:r>
          </w:p>
        </w:tc>
        <w:tc>
          <w:tcPr>
            <w:tcW w:w="5576" w:type="dxa"/>
            <w:gridSpan w:val="5"/>
            <w:vAlign w:val="center"/>
          </w:tcPr>
          <w:p w14:paraId="273A4E3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执业或岗位资格证明</w:t>
            </w:r>
          </w:p>
        </w:tc>
        <w:tc>
          <w:tcPr>
            <w:tcW w:w="1510" w:type="dxa"/>
            <w:vMerge w:val="restart"/>
            <w:vAlign w:val="center"/>
          </w:tcPr>
          <w:p w14:paraId="609A3F8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拟在本项目担任的工作岗位</w:t>
            </w:r>
          </w:p>
        </w:tc>
      </w:tr>
      <w:tr w14:paraId="1970A1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6" w:type="dxa"/>
            <w:vMerge w:val="continue"/>
            <w:vAlign w:val="center"/>
          </w:tcPr>
          <w:p w14:paraId="38B12FDC">
            <w:pPr>
              <w:jc w:val="center"/>
              <w:rPr>
                <w:rFonts w:hint="eastAsia" w:ascii="宋体" w:hAnsi="宋体" w:eastAsia="宋体" w:cs="宋体"/>
                <w:color w:val="auto"/>
                <w:szCs w:val="21"/>
                <w:highlight w:val="none"/>
              </w:rPr>
            </w:pPr>
          </w:p>
        </w:tc>
        <w:tc>
          <w:tcPr>
            <w:tcW w:w="639" w:type="dxa"/>
            <w:vMerge w:val="continue"/>
            <w:vAlign w:val="center"/>
          </w:tcPr>
          <w:p w14:paraId="23353309">
            <w:pPr>
              <w:jc w:val="center"/>
              <w:rPr>
                <w:rFonts w:hint="eastAsia" w:ascii="宋体" w:hAnsi="宋体" w:eastAsia="宋体" w:cs="宋体"/>
                <w:color w:val="auto"/>
                <w:szCs w:val="21"/>
                <w:highlight w:val="none"/>
              </w:rPr>
            </w:pPr>
          </w:p>
        </w:tc>
        <w:tc>
          <w:tcPr>
            <w:tcW w:w="1065" w:type="dxa"/>
            <w:vAlign w:val="center"/>
          </w:tcPr>
          <w:p w14:paraId="4236788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证书名称</w:t>
            </w:r>
          </w:p>
        </w:tc>
        <w:tc>
          <w:tcPr>
            <w:tcW w:w="808" w:type="dxa"/>
            <w:vAlign w:val="center"/>
          </w:tcPr>
          <w:p w14:paraId="6D2D3AF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852" w:type="dxa"/>
            <w:vAlign w:val="center"/>
          </w:tcPr>
          <w:p w14:paraId="3A4AE04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证号</w:t>
            </w:r>
          </w:p>
        </w:tc>
        <w:tc>
          <w:tcPr>
            <w:tcW w:w="724" w:type="dxa"/>
            <w:vAlign w:val="center"/>
          </w:tcPr>
          <w:p w14:paraId="79C940D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专业</w:t>
            </w:r>
          </w:p>
        </w:tc>
        <w:tc>
          <w:tcPr>
            <w:tcW w:w="2127" w:type="dxa"/>
            <w:vAlign w:val="center"/>
          </w:tcPr>
          <w:p w14:paraId="3551B60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身份证号码</w:t>
            </w:r>
          </w:p>
        </w:tc>
        <w:tc>
          <w:tcPr>
            <w:tcW w:w="1510" w:type="dxa"/>
            <w:vMerge w:val="continue"/>
            <w:vAlign w:val="center"/>
          </w:tcPr>
          <w:p w14:paraId="01F6F3A4">
            <w:pPr>
              <w:jc w:val="center"/>
              <w:rPr>
                <w:rFonts w:hint="eastAsia" w:ascii="宋体" w:hAnsi="宋体" w:eastAsia="宋体" w:cs="宋体"/>
                <w:color w:val="auto"/>
                <w:szCs w:val="21"/>
                <w:highlight w:val="none"/>
              </w:rPr>
            </w:pPr>
          </w:p>
        </w:tc>
      </w:tr>
      <w:tr w14:paraId="7D4044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229054D4">
            <w:pPr>
              <w:jc w:val="center"/>
              <w:rPr>
                <w:rFonts w:hint="eastAsia" w:ascii="宋体" w:hAnsi="宋体" w:eastAsia="宋体" w:cs="宋体"/>
                <w:color w:val="auto"/>
                <w:szCs w:val="21"/>
                <w:highlight w:val="none"/>
              </w:rPr>
            </w:pPr>
          </w:p>
        </w:tc>
        <w:tc>
          <w:tcPr>
            <w:tcW w:w="639" w:type="dxa"/>
            <w:vAlign w:val="center"/>
          </w:tcPr>
          <w:p w14:paraId="3F400D96">
            <w:pPr>
              <w:jc w:val="center"/>
              <w:rPr>
                <w:rFonts w:hint="eastAsia" w:ascii="宋体" w:hAnsi="宋体" w:eastAsia="宋体" w:cs="宋体"/>
                <w:color w:val="auto"/>
                <w:szCs w:val="21"/>
                <w:highlight w:val="none"/>
              </w:rPr>
            </w:pPr>
          </w:p>
        </w:tc>
        <w:tc>
          <w:tcPr>
            <w:tcW w:w="1065" w:type="dxa"/>
            <w:vAlign w:val="center"/>
          </w:tcPr>
          <w:p w14:paraId="479FD7A4">
            <w:pPr>
              <w:jc w:val="center"/>
              <w:rPr>
                <w:rFonts w:hint="eastAsia" w:ascii="宋体" w:hAnsi="宋体" w:eastAsia="宋体" w:cs="宋体"/>
                <w:color w:val="auto"/>
                <w:szCs w:val="21"/>
                <w:highlight w:val="none"/>
              </w:rPr>
            </w:pPr>
          </w:p>
        </w:tc>
        <w:tc>
          <w:tcPr>
            <w:tcW w:w="808" w:type="dxa"/>
            <w:vAlign w:val="center"/>
          </w:tcPr>
          <w:p w14:paraId="0D289185">
            <w:pPr>
              <w:jc w:val="center"/>
              <w:rPr>
                <w:rFonts w:hint="eastAsia" w:ascii="宋体" w:hAnsi="宋体" w:eastAsia="宋体" w:cs="宋体"/>
                <w:color w:val="auto"/>
                <w:szCs w:val="21"/>
                <w:highlight w:val="none"/>
              </w:rPr>
            </w:pPr>
          </w:p>
        </w:tc>
        <w:tc>
          <w:tcPr>
            <w:tcW w:w="852" w:type="dxa"/>
            <w:vAlign w:val="center"/>
          </w:tcPr>
          <w:p w14:paraId="39359711">
            <w:pPr>
              <w:jc w:val="center"/>
              <w:rPr>
                <w:rFonts w:hint="eastAsia" w:ascii="宋体" w:hAnsi="宋体" w:eastAsia="宋体" w:cs="宋体"/>
                <w:color w:val="auto"/>
                <w:szCs w:val="21"/>
                <w:highlight w:val="none"/>
              </w:rPr>
            </w:pPr>
          </w:p>
        </w:tc>
        <w:tc>
          <w:tcPr>
            <w:tcW w:w="724" w:type="dxa"/>
            <w:vAlign w:val="center"/>
          </w:tcPr>
          <w:p w14:paraId="0E1595E6">
            <w:pPr>
              <w:jc w:val="center"/>
              <w:rPr>
                <w:rFonts w:hint="eastAsia" w:ascii="宋体" w:hAnsi="宋体" w:eastAsia="宋体" w:cs="宋体"/>
                <w:color w:val="auto"/>
                <w:szCs w:val="21"/>
                <w:highlight w:val="none"/>
              </w:rPr>
            </w:pPr>
          </w:p>
        </w:tc>
        <w:tc>
          <w:tcPr>
            <w:tcW w:w="2127" w:type="dxa"/>
            <w:vAlign w:val="center"/>
          </w:tcPr>
          <w:p w14:paraId="1FB5FAD4">
            <w:pPr>
              <w:jc w:val="center"/>
              <w:rPr>
                <w:rFonts w:hint="eastAsia" w:ascii="宋体" w:hAnsi="宋体" w:eastAsia="宋体" w:cs="宋体"/>
                <w:color w:val="auto"/>
                <w:szCs w:val="21"/>
                <w:highlight w:val="none"/>
              </w:rPr>
            </w:pPr>
          </w:p>
        </w:tc>
        <w:tc>
          <w:tcPr>
            <w:tcW w:w="1510" w:type="dxa"/>
            <w:vAlign w:val="center"/>
          </w:tcPr>
          <w:p w14:paraId="04AC0983">
            <w:pPr>
              <w:jc w:val="center"/>
              <w:rPr>
                <w:rFonts w:hint="eastAsia" w:ascii="宋体" w:hAnsi="宋体" w:eastAsia="宋体" w:cs="宋体"/>
                <w:color w:val="auto"/>
                <w:szCs w:val="21"/>
                <w:highlight w:val="none"/>
              </w:rPr>
            </w:pPr>
          </w:p>
        </w:tc>
      </w:tr>
      <w:tr w14:paraId="74D9DE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4C5473B5">
            <w:pPr>
              <w:jc w:val="center"/>
              <w:rPr>
                <w:rFonts w:hint="eastAsia" w:ascii="宋体" w:hAnsi="宋体" w:eastAsia="宋体" w:cs="宋体"/>
                <w:color w:val="auto"/>
                <w:szCs w:val="21"/>
                <w:highlight w:val="none"/>
              </w:rPr>
            </w:pPr>
          </w:p>
        </w:tc>
        <w:tc>
          <w:tcPr>
            <w:tcW w:w="639" w:type="dxa"/>
            <w:vAlign w:val="center"/>
          </w:tcPr>
          <w:p w14:paraId="297F3E28">
            <w:pPr>
              <w:jc w:val="center"/>
              <w:rPr>
                <w:rFonts w:hint="eastAsia" w:ascii="宋体" w:hAnsi="宋体" w:eastAsia="宋体" w:cs="宋体"/>
                <w:color w:val="auto"/>
                <w:szCs w:val="21"/>
                <w:highlight w:val="none"/>
              </w:rPr>
            </w:pPr>
          </w:p>
        </w:tc>
        <w:tc>
          <w:tcPr>
            <w:tcW w:w="1065" w:type="dxa"/>
            <w:vAlign w:val="center"/>
          </w:tcPr>
          <w:p w14:paraId="5F38C651">
            <w:pPr>
              <w:jc w:val="center"/>
              <w:rPr>
                <w:rFonts w:hint="eastAsia" w:ascii="宋体" w:hAnsi="宋体" w:eastAsia="宋体" w:cs="宋体"/>
                <w:color w:val="auto"/>
                <w:szCs w:val="21"/>
                <w:highlight w:val="none"/>
              </w:rPr>
            </w:pPr>
          </w:p>
        </w:tc>
        <w:tc>
          <w:tcPr>
            <w:tcW w:w="808" w:type="dxa"/>
            <w:vAlign w:val="center"/>
          </w:tcPr>
          <w:p w14:paraId="30A953DD">
            <w:pPr>
              <w:jc w:val="center"/>
              <w:rPr>
                <w:rFonts w:hint="eastAsia" w:ascii="宋体" w:hAnsi="宋体" w:eastAsia="宋体" w:cs="宋体"/>
                <w:color w:val="auto"/>
                <w:szCs w:val="21"/>
                <w:highlight w:val="none"/>
              </w:rPr>
            </w:pPr>
          </w:p>
        </w:tc>
        <w:tc>
          <w:tcPr>
            <w:tcW w:w="852" w:type="dxa"/>
            <w:vAlign w:val="center"/>
          </w:tcPr>
          <w:p w14:paraId="3A9E5A26">
            <w:pPr>
              <w:jc w:val="center"/>
              <w:rPr>
                <w:rFonts w:hint="eastAsia" w:ascii="宋体" w:hAnsi="宋体" w:eastAsia="宋体" w:cs="宋体"/>
                <w:color w:val="auto"/>
                <w:szCs w:val="21"/>
                <w:highlight w:val="none"/>
              </w:rPr>
            </w:pPr>
          </w:p>
        </w:tc>
        <w:tc>
          <w:tcPr>
            <w:tcW w:w="724" w:type="dxa"/>
            <w:vAlign w:val="center"/>
          </w:tcPr>
          <w:p w14:paraId="752329B6">
            <w:pPr>
              <w:jc w:val="center"/>
              <w:rPr>
                <w:rFonts w:hint="eastAsia" w:ascii="宋体" w:hAnsi="宋体" w:eastAsia="宋体" w:cs="宋体"/>
                <w:color w:val="auto"/>
                <w:szCs w:val="21"/>
                <w:highlight w:val="none"/>
              </w:rPr>
            </w:pPr>
          </w:p>
        </w:tc>
        <w:tc>
          <w:tcPr>
            <w:tcW w:w="2127" w:type="dxa"/>
            <w:vAlign w:val="center"/>
          </w:tcPr>
          <w:p w14:paraId="0FD9DDBA">
            <w:pPr>
              <w:jc w:val="center"/>
              <w:rPr>
                <w:rFonts w:hint="eastAsia" w:ascii="宋体" w:hAnsi="宋体" w:eastAsia="宋体" w:cs="宋体"/>
                <w:color w:val="auto"/>
                <w:szCs w:val="21"/>
                <w:highlight w:val="none"/>
              </w:rPr>
            </w:pPr>
          </w:p>
        </w:tc>
        <w:tc>
          <w:tcPr>
            <w:tcW w:w="1510" w:type="dxa"/>
            <w:vAlign w:val="center"/>
          </w:tcPr>
          <w:p w14:paraId="3D35FFCE">
            <w:pPr>
              <w:jc w:val="center"/>
              <w:rPr>
                <w:rFonts w:hint="eastAsia" w:ascii="宋体" w:hAnsi="宋体" w:eastAsia="宋体" w:cs="宋体"/>
                <w:color w:val="auto"/>
                <w:szCs w:val="21"/>
                <w:highlight w:val="none"/>
              </w:rPr>
            </w:pPr>
          </w:p>
        </w:tc>
      </w:tr>
      <w:tr w14:paraId="19924B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52D08A63">
            <w:pPr>
              <w:jc w:val="center"/>
              <w:rPr>
                <w:rFonts w:hint="eastAsia" w:ascii="宋体" w:hAnsi="宋体" w:eastAsia="宋体" w:cs="宋体"/>
                <w:color w:val="auto"/>
                <w:szCs w:val="21"/>
                <w:highlight w:val="none"/>
              </w:rPr>
            </w:pPr>
          </w:p>
        </w:tc>
        <w:tc>
          <w:tcPr>
            <w:tcW w:w="639" w:type="dxa"/>
            <w:vAlign w:val="center"/>
          </w:tcPr>
          <w:p w14:paraId="6A2761DE">
            <w:pPr>
              <w:jc w:val="center"/>
              <w:rPr>
                <w:rFonts w:hint="eastAsia" w:ascii="宋体" w:hAnsi="宋体" w:eastAsia="宋体" w:cs="宋体"/>
                <w:color w:val="auto"/>
                <w:szCs w:val="21"/>
                <w:highlight w:val="none"/>
              </w:rPr>
            </w:pPr>
          </w:p>
        </w:tc>
        <w:tc>
          <w:tcPr>
            <w:tcW w:w="1065" w:type="dxa"/>
            <w:vAlign w:val="center"/>
          </w:tcPr>
          <w:p w14:paraId="5A47D5FB">
            <w:pPr>
              <w:jc w:val="center"/>
              <w:rPr>
                <w:rFonts w:hint="eastAsia" w:ascii="宋体" w:hAnsi="宋体" w:eastAsia="宋体" w:cs="宋体"/>
                <w:color w:val="auto"/>
                <w:szCs w:val="21"/>
                <w:highlight w:val="none"/>
              </w:rPr>
            </w:pPr>
          </w:p>
        </w:tc>
        <w:tc>
          <w:tcPr>
            <w:tcW w:w="808" w:type="dxa"/>
            <w:vAlign w:val="center"/>
          </w:tcPr>
          <w:p w14:paraId="1FA7578D">
            <w:pPr>
              <w:jc w:val="center"/>
              <w:rPr>
                <w:rFonts w:hint="eastAsia" w:ascii="宋体" w:hAnsi="宋体" w:eastAsia="宋体" w:cs="宋体"/>
                <w:color w:val="auto"/>
                <w:szCs w:val="21"/>
                <w:highlight w:val="none"/>
              </w:rPr>
            </w:pPr>
          </w:p>
        </w:tc>
        <w:tc>
          <w:tcPr>
            <w:tcW w:w="852" w:type="dxa"/>
            <w:vAlign w:val="center"/>
          </w:tcPr>
          <w:p w14:paraId="1C38B7E0">
            <w:pPr>
              <w:jc w:val="center"/>
              <w:rPr>
                <w:rFonts w:hint="eastAsia" w:ascii="宋体" w:hAnsi="宋体" w:eastAsia="宋体" w:cs="宋体"/>
                <w:color w:val="auto"/>
                <w:szCs w:val="21"/>
                <w:highlight w:val="none"/>
              </w:rPr>
            </w:pPr>
          </w:p>
        </w:tc>
        <w:tc>
          <w:tcPr>
            <w:tcW w:w="724" w:type="dxa"/>
            <w:vAlign w:val="center"/>
          </w:tcPr>
          <w:p w14:paraId="3E5155FC">
            <w:pPr>
              <w:jc w:val="center"/>
              <w:rPr>
                <w:rFonts w:hint="eastAsia" w:ascii="宋体" w:hAnsi="宋体" w:eastAsia="宋体" w:cs="宋体"/>
                <w:color w:val="auto"/>
                <w:szCs w:val="21"/>
                <w:highlight w:val="none"/>
              </w:rPr>
            </w:pPr>
          </w:p>
        </w:tc>
        <w:tc>
          <w:tcPr>
            <w:tcW w:w="2127" w:type="dxa"/>
            <w:vAlign w:val="center"/>
          </w:tcPr>
          <w:p w14:paraId="0314E0F9">
            <w:pPr>
              <w:jc w:val="center"/>
              <w:rPr>
                <w:rFonts w:hint="eastAsia" w:ascii="宋体" w:hAnsi="宋体" w:eastAsia="宋体" w:cs="宋体"/>
                <w:color w:val="auto"/>
                <w:szCs w:val="21"/>
                <w:highlight w:val="none"/>
              </w:rPr>
            </w:pPr>
          </w:p>
        </w:tc>
        <w:tc>
          <w:tcPr>
            <w:tcW w:w="1510" w:type="dxa"/>
            <w:vAlign w:val="center"/>
          </w:tcPr>
          <w:p w14:paraId="60400222">
            <w:pPr>
              <w:jc w:val="center"/>
              <w:rPr>
                <w:rFonts w:hint="eastAsia" w:ascii="宋体" w:hAnsi="宋体" w:eastAsia="宋体" w:cs="宋体"/>
                <w:color w:val="auto"/>
                <w:szCs w:val="21"/>
                <w:highlight w:val="none"/>
              </w:rPr>
            </w:pPr>
          </w:p>
        </w:tc>
      </w:tr>
      <w:tr w14:paraId="44C37D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127D8623">
            <w:pPr>
              <w:jc w:val="center"/>
              <w:rPr>
                <w:rFonts w:hint="eastAsia" w:ascii="宋体" w:hAnsi="宋体" w:eastAsia="宋体" w:cs="宋体"/>
                <w:color w:val="auto"/>
                <w:szCs w:val="21"/>
                <w:highlight w:val="none"/>
              </w:rPr>
            </w:pPr>
          </w:p>
        </w:tc>
        <w:tc>
          <w:tcPr>
            <w:tcW w:w="639" w:type="dxa"/>
            <w:vAlign w:val="center"/>
          </w:tcPr>
          <w:p w14:paraId="2880A076">
            <w:pPr>
              <w:jc w:val="center"/>
              <w:rPr>
                <w:rFonts w:hint="eastAsia" w:ascii="宋体" w:hAnsi="宋体" w:eastAsia="宋体" w:cs="宋体"/>
                <w:color w:val="auto"/>
                <w:szCs w:val="21"/>
                <w:highlight w:val="none"/>
              </w:rPr>
            </w:pPr>
          </w:p>
        </w:tc>
        <w:tc>
          <w:tcPr>
            <w:tcW w:w="1065" w:type="dxa"/>
            <w:vAlign w:val="center"/>
          </w:tcPr>
          <w:p w14:paraId="5F4BBE2D">
            <w:pPr>
              <w:jc w:val="center"/>
              <w:rPr>
                <w:rFonts w:hint="eastAsia" w:ascii="宋体" w:hAnsi="宋体" w:eastAsia="宋体" w:cs="宋体"/>
                <w:color w:val="auto"/>
                <w:szCs w:val="21"/>
                <w:highlight w:val="none"/>
              </w:rPr>
            </w:pPr>
          </w:p>
        </w:tc>
        <w:tc>
          <w:tcPr>
            <w:tcW w:w="808" w:type="dxa"/>
            <w:vAlign w:val="center"/>
          </w:tcPr>
          <w:p w14:paraId="4F7F1AF5">
            <w:pPr>
              <w:jc w:val="center"/>
              <w:rPr>
                <w:rFonts w:hint="eastAsia" w:ascii="宋体" w:hAnsi="宋体" w:eastAsia="宋体" w:cs="宋体"/>
                <w:color w:val="auto"/>
                <w:szCs w:val="21"/>
                <w:highlight w:val="none"/>
              </w:rPr>
            </w:pPr>
          </w:p>
        </w:tc>
        <w:tc>
          <w:tcPr>
            <w:tcW w:w="852" w:type="dxa"/>
            <w:vAlign w:val="center"/>
          </w:tcPr>
          <w:p w14:paraId="61BA8021">
            <w:pPr>
              <w:jc w:val="center"/>
              <w:rPr>
                <w:rFonts w:hint="eastAsia" w:ascii="宋体" w:hAnsi="宋体" w:eastAsia="宋体" w:cs="宋体"/>
                <w:color w:val="auto"/>
                <w:szCs w:val="21"/>
                <w:highlight w:val="none"/>
              </w:rPr>
            </w:pPr>
          </w:p>
        </w:tc>
        <w:tc>
          <w:tcPr>
            <w:tcW w:w="724" w:type="dxa"/>
            <w:vAlign w:val="center"/>
          </w:tcPr>
          <w:p w14:paraId="70731601">
            <w:pPr>
              <w:jc w:val="center"/>
              <w:rPr>
                <w:rFonts w:hint="eastAsia" w:ascii="宋体" w:hAnsi="宋体" w:eastAsia="宋体" w:cs="宋体"/>
                <w:color w:val="auto"/>
                <w:szCs w:val="21"/>
                <w:highlight w:val="none"/>
              </w:rPr>
            </w:pPr>
          </w:p>
        </w:tc>
        <w:tc>
          <w:tcPr>
            <w:tcW w:w="2127" w:type="dxa"/>
            <w:vAlign w:val="center"/>
          </w:tcPr>
          <w:p w14:paraId="27594016">
            <w:pPr>
              <w:jc w:val="center"/>
              <w:rPr>
                <w:rFonts w:hint="eastAsia" w:ascii="宋体" w:hAnsi="宋体" w:eastAsia="宋体" w:cs="宋体"/>
                <w:color w:val="auto"/>
                <w:szCs w:val="21"/>
                <w:highlight w:val="none"/>
              </w:rPr>
            </w:pPr>
          </w:p>
        </w:tc>
        <w:tc>
          <w:tcPr>
            <w:tcW w:w="1510" w:type="dxa"/>
            <w:vAlign w:val="center"/>
          </w:tcPr>
          <w:p w14:paraId="0CDF1A7F">
            <w:pPr>
              <w:jc w:val="center"/>
              <w:rPr>
                <w:rFonts w:hint="eastAsia" w:ascii="宋体" w:hAnsi="宋体" w:eastAsia="宋体" w:cs="宋体"/>
                <w:color w:val="auto"/>
                <w:szCs w:val="21"/>
                <w:highlight w:val="none"/>
              </w:rPr>
            </w:pPr>
          </w:p>
        </w:tc>
      </w:tr>
      <w:tr w14:paraId="634D2F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4A29E413">
            <w:pPr>
              <w:jc w:val="center"/>
              <w:rPr>
                <w:rFonts w:hint="eastAsia" w:ascii="宋体" w:hAnsi="宋体" w:eastAsia="宋体" w:cs="宋体"/>
                <w:color w:val="auto"/>
                <w:szCs w:val="21"/>
                <w:highlight w:val="none"/>
              </w:rPr>
            </w:pPr>
          </w:p>
        </w:tc>
        <w:tc>
          <w:tcPr>
            <w:tcW w:w="639" w:type="dxa"/>
            <w:vAlign w:val="center"/>
          </w:tcPr>
          <w:p w14:paraId="7C5D6FCA">
            <w:pPr>
              <w:jc w:val="center"/>
              <w:rPr>
                <w:rFonts w:hint="eastAsia" w:ascii="宋体" w:hAnsi="宋体" w:eastAsia="宋体" w:cs="宋体"/>
                <w:color w:val="auto"/>
                <w:szCs w:val="21"/>
                <w:highlight w:val="none"/>
              </w:rPr>
            </w:pPr>
          </w:p>
        </w:tc>
        <w:tc>
          <w:tcPr>
            <w:tcW w:w="1065" w:type="dxa"/>
            <w:vAlign w:val="center"/>
          </w:tcPr>
          <w:p w14:paraId="60622B28">
            <w:pPr>
              <w:jc w:val="center"/>
              <w:rPr>
                <w:rFonts w:hint="eastAsia" w:ascii="宋体" w:hAnsi="宋体" w:eastAsia="宋体" w:cs="宋体"/>
                <w:color w:val="auto"/>
                <w:szCs w:val="21"/>
                <w:highlight w:val="none"/>
              </w:rPr>
            </w:pPr>
          </w:p>
        </w:tc>
        <w:tc>
          <w:tcPr>
            <w:tcW w:w="808" w:type="dxa"/>
            <w:vAlign w:val="center"/>
          </w:tcPr>
          <w:p w14:paraId="4C73EBCB">
            <w:pPr>
              <w:jc w:val="center"/>
              <w:rPr>
                <w:rFonts w:hint="eastAsia" w:ascii="宋体" w:hAnsi="宋体" w:eastAsia="宋体" w:cs="宋体"/>
                <w:color w:val="auto"/>
                <w:szCs w:val="21"/>
                <w:highlight w:val="none"/>
              </w:rPr>
            </w:pPr>
          </w:p>
        </w:tc>
        <w:tc>
          <w:tcPr>
            <w:tcW w:w="852" w:type="dxa"/>
            <w:vAlign w:val="center"/>
          </w:tcPr>
          <w:p w14:paraId="4732664D">
            <w:pPr>
              <w:jc w:val="center"/>
              <w:rPr>
                <w:rFonts w:hint="eastAsia" w:ascii="宋体" w:hAnsi="宋体" w:eastAsia="宋体" w:cs="宋体"/>
                <w:color w:val="auto"/>
                <w:szCs w:val="21"/>
                <w:highlight w:val="none"/>
              </w:rPr>
            </w:pPr>
          </w:p>
        </w:tc>
        <w:tc>
          <w:tcPr>
            <w:tcW w:w="724" w:type="dxa"/>
            <w:vAlign w:val="center"/>
          </w:tcPr>
          <w:p w14:paraId="667F4A03">
            <w:pPr>
              <w:jc w:val="center"/>
              <w:rPr>
                <w:rFonts w:hint="eastAsia" w:ascii="宋体" w:hAnsi="宋体" w:eastAsia="宋体" w:cs="宋体"/>
                <w:color w:val="auto"/>
                <w:szCs w:val="21"/>
                <w:highlight w:val="none"/>
              </w:rPr>
            </w:pPr>
          </w:p>
        </w:tc>
        <w:tc>
          <w:tcPr>
            <w:tcW w:w="2127" w:type="dxa"/>
            <w:vAlign w:val="center"/>
          </w:tcPr>
          <w:p w14:paraId="09C907E7">
            <w:pPr>
              <w:jc w:val="center"/>
              <w:rPr>
                <w:rFonts w:hint="eastAsia" w:ascii="宋体" w:hAnsi="宋体" w:eastAsia="宋体" w:cs="宋体"/>
                <w:color w:val="auto"/>
                <w:szCs w:val="21"/>
                <w:highlight w:val="none"/>
              </w:rPr>
            </w:pPr>
          </w:p>
        </w:tc>
        <w:tc>
          <w:tcPr>
            <w:tcW w:w="1510" w:type="dxa"/>
            <w:vAlign w:val="center"/>
          </w:tcPr>
          <w:p w14:paraId="0CA6F381">
            <w:pPr>
              <w:jc w:val="center"/>
              <w:rPr>
                <w:rFonts w:hint="eastAsia" w:ascii="宋体" w:hAnsi="宋体" w:eastAsia="宋体" w:cs="宋体"/>
                <w:color w:val="auto"/>
                <w:szCs w:val="21"/>
                <w:highlight w:val="none"/>
              </w:rPr>
            </w:pPr>
          </w:p>
        </w:tc>
      </w:tr>
      <w:tr w14:paraId="77F574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42F843F8">
            <w:pPr>
              <w:jc w:val="center"/>
              <w:rPr>
                <w:rFonts w:hint="eastAsia" w:ascii="宋体" w:hAnsi="宋体" w:eastAsia="宋体" w:cs="宋体"/>
                <w:color w:val="auto"/>
                <w:szCs w:val="21"/>
                <w:highlight w:val="none"/>
              </w:rPr>
            </w:pPr>
          </w:p>
        </w:tc>
        <w:tc>
          <w:tcPr>
            <w:tcW w:w="639" w:type="dxa"/>
            <w:vAlign w:val="center"/>
          </w:tcPr>
          <w:p w14:paraId="6A3C7BDA">
            <w:pPr>
              <w:jc w:val="center"/>
              <w:rPr>
                <w:rFonts w:hint="eastAsia" w:ascii="宋体" w:hAnsi="宋体" w:eastAsia="宋体" w:cs="宋体"/>
                <w:color w:val="auto"/>
                <w:szCs w:val="21"/>
                <w:highlight w:val="none"/>
              </w:rPr>
            </w:pPr>
          </w:p>
        </w:tc>
        <w:tc>
          <w:tcPr>
            <w:tcW w:w="1065" w:type="dxa"/>
            <w:vAlign w:val="center"/>
          </w:tcPr>
          <w:p w14:paraId="0FE9D0A6">
            <w:pPr>
              <w:jc w:val="center"/>
              <w:rPr>
                <w:rFonts w:hint="eastAsia" w:ascii="宋体" w:hAnsi="宋体" w:eastAsia="宋体" w:cs="宋体"/>
                <w:color w:val="auto"/>
                <w:szCs w:val="21"/>
                <w:highlight w:val="none"/>
              </w:rPr>
            </w:pPr>
          </w:p>
        </w:tc>
        <w:tc>
          <w:tcPr>
            <w:tcW w:w="808" w:type="dxa"/>
            <w:vAlign w:val="center"/>
          </w:tcPr>
          <w:p w14:paraId="3A036668">
            <w:pPr>
              <w:jc w:val="center"/>
              <w:rPr>
                <w:rFonts w:hint="eastAsia" w:ascii="宋体" w:hAnsi="宋体" w:eastAsia="宋体" w:cs="宋体"/>
                <w:color w:val="auto"/>
                <w:szCs w:val="21"/>
                <w:highlight w:val="none"/>
              </w:rPr>
            </w:pPr>
          </w:p>
        </w:tc>
        <w:tc>
          <w:tcPr>
            <w:tcW w:w="852" w:type="dxa"/>
            <w:vAlign w:val="center"/>
          </w:tcPr>
          <w:p w14:paraId="72805941">
            <w:pPr>
              <w:jc w:val="center"/>
              <w:rPr>
                <w:rFonts w:hint="eastAsia" w:ascii="宋体" w:hAnsi="宋体" w:eastAsia="宋体" w:cs="宋体"/>
                <w:color w:val="auto"/>
                <w:szCs w:val="21"/>
                <w:highlight w:val="none"/>
              </w:rPr>
            </w:pPr>
          </w:p>
        </w:tc>
        <w:tc>
          <w:tcPr>
            <w:tcW w:w="724" w:type="dxa"/>
            <w:vAlign w:val="center"/>
          </w:tcPr>
          <w:p w14:paraId="29F686B9">
            <w:pPr>
              <w:jc w:val="center"/>
              <w:rPr>
                <w:rFonts w:hint="eastAsia" w:ascii="宋体" w:hAnsi="宋体" w:eastAsia="宋体" w:cs="宋体"/>
                <w:color w:val="auto"/>
                <w:szCs w:val="21"/>
                <w:highlight w:val="none"/>
              </w:rPr>
            </w:pPr>
          </w:p>
        </w:tc>
        <w:tc>
          <w:tcPr>
            <w:tcW w:w="2127" w:type="dxa"/>
            <w:vAlign w:val="center"/>
          </w:tcPr>
          <w:p w14:paraId="1857D2AE">
            <w:pPr>
              <w:jc w:val="center"/>
              <w:rPr>
                <w:rFonts w:hint="eastAsia" w:ascii="宋体" w:hAnsi="宋体" w:eastAsia="宋体" w:cs="宋体"/>
                <w:color w:val="auto"/>
                <w:szCs w:val="21"/>
                <w:highlight w:val="none"/>
              </w:rPr>
            </w:pPr>
          </w:p>
        </w:tc>
        <w:tc>
          <w:tcPr>
            <w:tcW w:w="1510" w:type="dxa"/>
            <w:vAlign w:val="center"/>
          </w:tcPr>
          <w:p w14:paraId="25FC06B8">
            <w:pPr>
              <w:jc w:val="center"/>
              <w:rPr>
                <w:rFonts w:hint="eastAsia" w:ascii="宋体" w:hAnsi="宋体" w:eastAsia="宋体" w:cs="宋体"/>
                <w:color w:val="auto"/>
                <w:szCs w:val="21"/>
                <w:highlight w:val="none"/>
              </w:rPr>
            </w:pPr>
          </w:p>
        </w:tc>
      </w:tr>
      <w:tr w14:paraId="5A674C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7EAED4ED">
            <w:pPr>
              <w:jc w:val="center"/>
              <w:rPr>
                <w:rFonts w:hint="eastAsia" w:ascii="宋体" w:hAnsi="宋体" w:eastAsia="宋体" w:cs="宋体"/>
                <w:color w:val="auto"/>
                <w:szCs w:val="21"/>
                <w:highlight w:val="none"/>
              </w:rPr>
            </w:pPr>
          </w:p>
        </w:tc>
        <w:tc>
          <w:tcPr>
            <w:tcW w:w="639" w:type="dxa"/>
            <w:vAlign w:val="center"/>
          </w:tcPr>
          <w:p w14:paraId="3DA4DF62">
            <w:pPr>
              <w:jc w:val="center"/>
              <w:rPr>
                <w:rFonts w:hint="eastAsia" w:ascii="宋体" w:hAnsi="宋体" w:eastAsia="宋体" w:cs="宋体"/>
                <w:color w:val="auto"/>
                <w:szCs w:val="21"/>
                <w:highlight w:val="none"/>
              </w:rPr>
            </w:pPr>
          </w:p>
        </w:tc>
        <w:tc>
          <w:tcPr>
            <w:tcW w:w="1065" w:type="dxa"/>
            <w:vAlign w:val="center"/>
          </w:tcPr>
          <w:p w14:paraId="7ADFEC43">
            <w:pPr>
              <w:jc w:val="center"/>
              <w:rPr>
                <w:rFonts w:hint="eastAsia" w:ascii="宋体" w:hAnsi="宋体" w:eastAsia="宋体" w:cs="宋体"/>
                <w:color w:val="auto"/>
                <w:szCs w:val="21"/>
                <w:highlight w:val="none"/>
              </w:rPr>
            </w:pPr>
          </w:p>
        </w:tc>
        <w:tc>
          <w:tcPr>
            <w:tcW w:w="808" w:type="dxa"/>
            <w:vAlign w:val="center"/>
          </w:tcPr>
          <w:p w14:paraId="377BCD80">
            <w:pPr>
              <w:jc w:val="center"/>
              <w:rPr>
                <w:rFonts w:hint="eastAsia" w:ascii="宋体" w:hAnsi="宋体" w:eastAsia="宋体" w:cs="宋体"/>
                <w:color w:val="auto"/>
                <w:szCs w:val="21"/>
                <w:highlight w:val="none"/>
              </w:rPr>
            </w:pPr>
          </w:p>
        </w:tc>
        <w:tc>
          <w:tcPr>
            <w:tcW w:w="852" w:type="dxa"/>
            <w:vAlign w:val="center"/>
          </w:tcPr>
          <w:p w14:paraId="10B483BB">
            <w:pPr>
              <w:jc w:val="center"/>
              <w:rPr>
                <w:rFonts w:hint="eastAsia" w:ascii="宋体" w:hAnsi="宋体" w:eastAsia="宋体" w:cs="宋体"/>
                <w:color w:val="auto"/>
                <w:szCs w:val="21"/>
                <w:highlight w:val="none"/>
              </w:rPr>
            </w:pPr>
          </w:p>
        </w:tc>
        <w:tc>
          <w:tcPr>
            <w:tcW w:w="724" w:type="dxa"/>
            <w:vAlign w:val="center"/>
          </w:tcPr>
          <w:p w14:paraId="79E13920">
            <w:pPr>
              <w:jc w:val="center"/>
              <w:rPr>
                <w:rFonts w:hint="eastAsia" w:ascii="宋体" w:hAnsi="宋体" w:eastAsia="宋体" w:cs="宋体"/>
                <w:color w:val="auto"/>
                <w:szCs w:val="21"/>
                <w:highlight w:val="none"/>
              </w:rPr>
            </w:pPr>
          </w:p>
        </w:tc>
        <w:tc>
          <w:tcPr>
            <w:tcW w:w="2127" w:type="dxa"/>
            <w:vAlign w:val="center"/>
          </w:tcPr>
          <w:p w14:paraId="66E81BCD">
            <w:pPr>
              <w:jc w:val="center"/>
              <w:rPr>
                <w:rFonts w:hint="eastAsia" w:ascii="宋体" w:hAnsi="宋体" w:eastAsia="宋体" w:cs="宋体"/>
                <w:color w:val="auto"/>
                <w:szCs w:val="21"/>
                <w:highlight w:val="none"/>
              </w:rPr>
            </w:pPr>
          </w:p>
        </w:tc>
        <w:tc>
          <w:tcPr>
            <w:tcW w:w="1510" w:type="dxa"/>
            <w:vAlign w:val="center"/>
          </w:tcPr>
          <w:p w14:paraId="5311E8D6">
            <w:pPr>
              <w:jc w:val="center"/>
              <w:rPr>
                <w:rFonts w:hint="eastAsia" w:ascii="宋体" w:hAnsi="宋体" w:eastAsia="宋体" w:cs="宋体"/>
                <w:color w:val="auto"/>
                <w:szCs w:val="21"/>
                <w:highlight w:val="none"/>
              </w:rPr>
            </w:pPr>
          </w:p>
        </w:tc>
      </w:tr>
      <w:tr w14:paraId="4EB5D8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5D2717D1">
            <w:pPr>
              <w:jc w:val="center"/>
              <w:rPr>
                <w:rFonts w:hint="eastAsia" w:ascii="宋体" w:hAnsi="宋体" w:eastAsia="宋体" w:cs="宋体"/>
                <w:color w:val="auto"/>
                <w:szCs w:val="21"/>
                <w:highlight w:val="none"/>
              </w:rPr>
            </w:pPr>
          </w:p>
        </w:tc>
        <w:tc>
          <w:tcPr>
            <w:tcW w:w="639" w:type="dxa"/>
            <w:vAlign w:val="center"/>
          </w:tcPr>
          <w:p w14:paraId="1583BD93">
            <w:pPr>
              <w:jc w:val="center"/>
              <w:rPr>
                <w:rFonts w:hint="eastAsia" w:ascii="宋体" w:hAnsi="宋体" w:eastAsia="宋体" w:cs="宋体"/>
                <w:color w:val="auto"/>
                <w:szCs w:val="21"/>
                <w:highlight w:val="none"/>
              </w:rPr>
            </w:pPr>
          </w:p>
        </w:tc>
        <w:tc>
          <w:tcPr>
            <w:tcW w:w="1065" w:type="dxa"/>
            <w:vAlign w:val="center"/>
          </w:tcPr>
          <w:p w14:paraId="3279D89A">
            <w:pPr>
              <w:jc w:val="center"/>
              <w:rPr>
                <w:rFonts w:hint="eastAsia" w:ascii="宋体" w:hAnsi="宋体" w:eastAsia="宋体" w:cs="宋体"/>
                <w:color w:val="auto"/>
                <w:szCs w:val="21"/>
                <w:highlight w:val="none"/>
              </w:rPr>
            </w:pPr>
          </w:p>
        </w:tc>
        <w:tc>
          <w:tcPr>
            <w:tcW w:w="808" w:type="dxa"/>
            <w:vAlign w:val="center"/>
          </w:tcPr>
          <w:p w14:paraId="4341E655">
            <w:pPr>
              <w:jc w:val="center"/>
              <w:rPr>
                <w:rFonts w:hint="eastAsia" w:ascii="宋体" w:hAnsi="宋体" w:eastAsia="宋体" w:cs="宋体"/>
                <w:color w:val="auto"/>
                <w:szCs w:val="21"/>
                <w:highlight w:val="none"/>
              </w:rPr>
            </w:pPr>
          </w:p>
        </w:tc>
        <w:tc>
          <w:tcPr>
            <w:tcW w:w="852" w:type="dxa"/>
            <w:vAlign w:val="center"/>
          </w:tcPr>
          <w:p w14:paraId="09931313">
            <w:pPr>
              <w:jc w:val="center"/>
              <w:rPr>
                <w:rFonts w:hint="eastAsia" w:ascii="宋体" w:hAnsi="宋体" w:eastAsia="宋体" w:cs="宋体"/>
                <w:color w:val="auto"/>
                <w:szCs w:val="21"/>
                <w:highlight w:val="none"/>
              </w:rPr>
            </w:pPr>
          </w:p>
        </w:tc>
        <w:tc>
          <w:tcPr>
            <w:tcW w:w="724" w:type="dxa"/>
            <w:vAlign w:val="center"/>
          </w:tcPr>
          <w:p w14:paraId="3832E4F6">
            <w:pPr>
              <w:jc w:val="center"/>
              <w:rPr>
                <w:rFonts w:hint="eastAsia" w:ascii="宋体" w:hAnsi="宋体" w:eastAsia="宋体" w:cs="宋体"/>
                <w:color w:val="auto"/>
                <w:szCs w:val="21"/>
                <w:highlight w:val="none"/>
              </w:rPr>
            </w:pPr>
          </w:p>
        </w:tc>
        <w:tc>
          <w:tcPr>
            <w:tcW w:w="2127" w:type="dxa"/>
            <w:vAlign w:val="center"/>
          </w:tcPr>
          <w:p w14:paraId="2A8DBE9D">
            <w:pPr>
              <w:jc w:val="center"/>
              <w:rPr>
                <w:rFonts w:hint="eastAsia" w:ascii="宋体" w:hAnsi="宋体" w:eastAsia="宋体" w:cs="宋体"/>
                <w:color w:val="auto"/>
                <w:szCs w:val="21"/>
                <w:highlight w:val="none"/>
              </w:rPr>
            </w:pPr>
          </w:p>
        </w:tc>
        <w:tc>
          <w:tcPr>
            <w:tcW w:w="1510" w:type="dxa"/>
            <w:vAlign w:val="center"/>
          </w:tcPr>
          <w:p w14:paraId="736B19E6">
            <w:pPr>
              <w:jc w:val="center"/>
              <w:rPr>
                <w:rFonts w:hint="eastAsia" w:ascii="宋体" w:hAnsi="宋体" w:eastAsia="宋体" w:cs="宋体"/>
                <w:color w:val="auto"/>
                <w:szCs w:val="21"/>
                <w:highlight w:val="none"/>
              </w:rPr>
            </w:pPr>
          </w:p>
        </w:tc>
      </w:tr>
      <w:tr w14:paraId="65841E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56" w:type="dxa"/>
            <w:vAlign w:val="center"/>
          </w:tcPr>
          <w:p w14:paraId="150D7264">
            <w:pPr>
              <w:jc w:val="center"/>
              <w:rPr>
                <w:rFonts w:hint="eastAsia" w:ascii="宋体" w:hAnsi="宋体" w:eastAsia="宋体" w:cs="宋体"/>
                <w:color w:val="auto"/>
                <w:szCs w:val="21"/>
                <w:highlight w:val="none"/>
              </w:rPr>
            </w:pPr>
          </w:p>
        </w:tc>
        <w:tc>
          <w:tcPr>
            <w:tcW w:w="639" w:type="dxa"/>
            <w:vAlign w:val="center"/>
          </w:tcPr>
          <w:p w14:paraId="6D6F904D">
            <w:pPr>
              <w:jc w:val="center"/>
              <w:rPr>
                <w:rFonts w:hint="eastAsia" w:ascii="宋体" w:hAnsi="宋体" w:eastAsia="宋体" w:cs="宋体"/>
                <w:color w:val="auto"/>
                <w:szCs w:val="21"/>
                <w:highlight w:val="none"/>
              </w:rPr>
            </w:pPr>
          </w:p>
        </w:tc>
        <w:tc>
          <w:tcPr>
            <w:tcW w:w="1065" w:type="dxa"/>
            <w:vAlign w:val="center"/>
          </w:tcPr>
          <w:p w14:paraId="24B1E028">
            <w:pPr>
              <w:jc w:val="center"/>
              <w:rPr>
                <w:rFonts w:hint="eastAsia" w:ascii="宋体" w:hAnsi="宋体" w:eastAsia="宋体" w:cs="宋体"/>
                <w:color w:val="auto"/>
                <w:szCs w:val="21"/>
                <w:highlight w:val="none"/>
              </w:rPr>
            </w:pPr>
          </w:p>
        </w:tc>
        <w:tc>
          <w:tcPr>
            <w:tcW w:w="808" w:type="dxa"/>
            <w:vAlign w:val="center"/>
          </w:tcPr>
          <w:p w14:paraId="7BE7A0A8">
            <w:pPr>
              <w:jc w:val="center"/>
              <w:rPr>
                <w:rFonts w:hint="eastAsia" w:ascii="宋体" w:hAnsi="宋体" w:eastAsia="宋体" w:cs="宋体"/>
                <w:color w:val="auto"/>
                <w:szCs w:val="21"/>
                <w:highlight w:val="none"/>
              </w:rPr>
            </w:pPr>
          </w:p>
        </w:tc>
        <w:tc>
          <w:tcPr>
            <w:tcW w:w="852" w:type="dxa"/>
            <w:vAlign w:val="center"/>
          </w:tcPr>
          <w:p w14:paraId="1D82A511">
            <w:pPr>
              <w:jc w:val="center"/>
              <w:rPr>
                <w:rFonts w:hint="eastAsia" w:ascii="宋体" w:hAnsi="宋体" w:eastAsia="宋体" w:cs="宋体"/>
                <w:color w:val="auto"/>
                <w:szCs w:val="21"/>
                <w:highlight w:val="none"/>
              </w:rPr>
            </w:pPr>
          </w:p>
        </w:tc>
        <w:tc>
          <w:tcPr>
            <w:tcW w:w="724" w:type="dxa"/>
            <w:vAlign w:val="center"/>
          </w:tcPr>
          <w:p w14:paraId="605ACB8D">
            <w:pPr>
              <w:jc w:val="center"/>
              <w:rPr>
                <w:rFonts w:hint="eastAsia" w:ascii="宋体" w:hAnsi="宋体" w:eastAsia="宋体" w:cs="宋体"/>
                <w:color w:val="auto"/>
                <w:szCs w:val="21"/>
                <w:highlight w:val="none"/>
              </w:rPr>
            </w:pPr>
          </w:p>
        </w:tc>
        <w:tc>
          <w:tcPr>
            <w:tcW w:w="2127" w:type="dxa"/>
            <w:vAlign w:val="center"/>
          </w:tcPr>
          <w:p w14:paraId="54B00562">
            <w:pPr>
              <w:jc w:val="center"/>
              <w:rPr>
                <w:rFonts w:hint="eastAsia" w:ascii="宋体" w:hAnsi="宋体" w:eastAsia="宋体" w:cs="宋体"/>
                <w:color w:val="auto"/>
                <w:szCs w:val="21"/>
                <w:highlight w:val="none"/>
              </w:rPr>
            </w:pPr>
          </w:p>
        </w:tc>
        <w:tc>
          <w:tcPr>
            <w:tcW w:w="1510" w:type="dxa"/>
            <w:vAlign w:val="center"/>
          </w:tcPr>
          <w:p w14:paraId="61F27720">
            <w:pPr>
              <w:jc w:val="center"/>
              <w:rPr>
                <w:rFonts w:hint="eastAsia" w:ascii="宋体" w:hAnsi="宋体" w:eastAsia="宋体" w:cs="宋体"/>
                <w:color w:val="auto"/>
                <w:szCs w:val="21"/>
                <w:highlight w:val="none"/>
              </w:rPr>
            </w:pPr>
          </w:p>
        </w:tc>
      </w:tr>
    </w:tbl>
    <w:p w14:paraId="05EC3DBB">
      <w:pPr>
        <w:spacing w:line="420" w:lineRule="exact"/>
        <w:rPr>
          <w:rFonts w:hint="eastAsia" w:ascii="宋体" w:hAnsi="宋体" w:eastAsia="宋体" w:cs="宋体"/>
          <w:color w:val="auto"/>
          <w:szCs w:val="21"/>
          <w:highlight w:val="none"/>
        </w:rPr>
      </w:pPr>
    </w:p>
    <w:p w14:paraId="5D0E35BD">
      <w:pPr>
        <w:spacing w:line="420" w:lineRule="exact"/>
        <w:rPr>
          <w:rFonts w:hint="eastAsia" w:ascii="宋体" w:hAnsi="宋体" w:eastAsia="宋体" w:cs="宋体"/>
          <w:color w:val="auto"/>
          <w:szCs w:val="21"/>
          <w:highlight w:val="none"/>
        </w:rPr>
      </w:pPr>
    </w:p>
    <w:p w14:paraId="5BA08A7F">
      <w:pPr>
        <w:adjustRightInd w:val="0"/>
        <w:snapToGrid w:val="0"/>
        <w:spacing w:line="440" w:lineRule="exact"/>
        <w:ind w:left="420" w:hanging="420" w:hanging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投标人名称(盖单位章)：</w:t>
      </w:r>
      <w:r>
        <w:rPr>
          <w:rFonts w:hint="eastAsia" w:ascii="宋体" w:hAnsi="宋体" w:eastAsia="宋体" w:cs="宋体"/>
          <w:color w:val="auto"/>
          <w:kern w:val="0"/>
          <w:szCs w:val="21"/>
          <w:highlight w:val="none"/>
          <w:u w:val="single"/>
        </w:rPr>
        <w:t xml:space="preserve">                 </w:t>
      </w:r>
    </w:p>
    <w:p w14:paraId="65D34512">
      <w:pPr>
        <w:adjustRightInd w:val="0"/>
        <w:snapToGrid w:val="0"/>
        <w:spacing w:line="440" w:lineRule="exact"/>
        <w:ind w:left="420" w:hanging="420" w:hanging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(签字)：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rPr>
        <w:t xml:space="preserve">           </w:t>
      </w:r>
    </w:p>
    <w:p w14:paraId="1D41F8B2">
      <w:pPr>
        <w:pStyle w:val="9"/>
        <w:spacing w:line="440" w:lineRule="exact"/>
        <w:rPr>
          <w:rFonts w:hint="eastAsia" w:ascii="宋体" w:hAnsi="宋体" w:eastAsia="宋体" w:cs="宋体"/>
          <w:b/>
          <w:bCs/>
          <w:color w:val="auto"/>
          <w:sz w:val="21"/>
          <w:highlight w:val="none"/>
          <w:shd w:val="clear" w:color="auto" w:fill="FFFFFF"/>
        </w:rPr>
      </w:pPr>
      <w:r>
        <w:rPr>
          <w:rFonts w:hint="eastAsia" w:ascii="宋体" w:hAnsi="宋体" w:eastAsia="宋体" w:cs="宋体"/>
          <w:color w:val="auto"/>
          <w:sz w:val="21"/>
          <w:highlight w:val="none"/>
        </w:rPr>
        <w:t>日期：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日</w:t>
      </w:r>
    </w:p>
    <w:p w14:paraId="227D4029">
      <w:pPr>
        <w:spacing w:line="420" w:lineRule="exact"/>
        <w:rPr>
          <w:rFonts w:hint="eastAsia" w:ascii="宋体" w:hAnsi="宋体" w:eastAsia="宋体" w:cs="宋体"/>
          <w:b/>
          <w:color w:val="auto"/>
          <w:szCs w:val="21"/>
          <w:highlight w:val="none"/>
        </w:rPr>
      </w:pPr>
    </w:p>
    <w:p w14:paraId="3620BF04">
      <w:pPr>
        <w:spacing w:line="420" w:lineRule="exact"/>
        <w:rPr>
          <w:rFonts w:hint="eastAsia" w:ascii="宋体" w:hAnsi="宋体" w:eastAsia="宋体" w:cs="宋体"/>
          <w:color w:val="auto"/>
          <w:szCs w:val="21"/>
          <w:highlight w:val="none"/>
        </w:rPr>
      </w:pPr>
    </w:p>
    <w:p w14:paraId="30F2713C">
      <w:pPr>
        <w:spacing w:line="420" w:lineRule="exact"/>
        <w:rPr>
          <w:rFonts w:hint="eastAsia" w:ascii="宋体" w:hAnsi="宋体" w:eastAsia="宋体" w:cs="宋体"/>
          <w:color w:val="auto"/>
          <w:szCs w:val="21"/>
          <w:highlight w:val="none"/>
        </w:rPr>
      </w:pPr>
    </w:p>
    <w:p w14:paraId="0076E620">
      <w:pPr>
        <w:spacing w:line="420" w:lineRule="exact"/>
        <w:rPr>
          <w:rFonts w:hint="eastAsia" w:ascii="宋体" w:hAnsi="宋体" w:eastAsia="宋体" w:cs="宋体"/>
          <w:color w:val="auto"/>
          <w:szCs w:val="21"/>
          <w:highlight w:val="none"/>
        </w:rPr>
      </w:pPr>
    </w:p>
    <w:p w14:paraId="024F4B06">
      <w:pPr>
        <w:spacing w:line="420" w:lineRule="exact"/>
        <w:rPr>
          <w:rFonts w:hint="eastAsia" w:ascii="宋体" w:hAnsi="宋体" w:eastAsia="宋体" w:cs="宋体"/>
          <w:color w:val="auto"/>
          <w:szCs w:val="21"/>
          <w:highlight w:val="none"/>
        </w:rPr>
      </w:pPr>
    </w:p>
    <w:p w14:paraId="43370466">
      <w:pPr>
        <w:spacing w:line="420" w:lineRule="exact"/>
        <w:rPr>
          <w:rFonts w:hint="eastAsia" w:ascii="宋体" w:hAnsi="宋体" w:eastAsia="宋体" w:cs="宋体"/>
          <w:color w:val="auto"/>
          <w:szCs w:val="21"/>
          <w:highlight w:val="none"/>
        </w:rPr>
      </w:pPr>
    </w:p>
    <w:p w14:paraId="1A5E4239">
      <w:pPr>
        <w:spacing w:line="420" w:lineRule="exact"/>
        <w:rPr>
          <w:rFonts w:hint="eastAsia" w:ascii="宋体" w:hAnsi="宋体" w:eastAsia="宋体" w:cs="宋体"/>
          <w:color w:val="auto"/>
          <w:szCs w:val="21"/>
          <w:highlight w:val="none"/>
        </w:rPr>
      </w:pPr>
    </w:p>
    <w:p w14:paraId="310DDFEC">
      <w:pPr>
        <w:spacing w:line="420" w:lineRule="exact"/>
        <w:rPr>
          <w:rFonts w:hint="eastAsia" w:ascii="宋体" w:hAnsi="宋体" w:eastAsia="宋体" w:cs="宋体"/>
          <w:color w:val="auto"/>
          <w:szCs w:val="21"/>
          <w:highlight w:val="none"/>
        </w:rPr>
      </w:pPr>
    </w:p>
    <w:p w14:paraId="0B2597D5">
      <w:pPr>
        <w:adjustRightInd w:val="0"/>
        <w:snapToGrid w:val="0"/>
        <w:spacing w:line="420" w:lineRule="exact"/>
        <w:ind w:firstLine="482" w:firstLineChars="200"/>
        <w:jc w:val="center"/>
        <w:rPr>
          <w:rFonts w:hint="eastAsia" w:ascii="宋体" w:hAnsi="宋体" w:eastAsia="宋体" w:cs="宋体"/>
          <w:b/>
          <w:color w:val="auto"/>
          <w:sz w:val="24"/>
          <w:highlight w:val="none"/>
        </w:rPr>
      </w:pPr>
      <w:bookmarkStart w:id="418" w:name="_Toc300678576"/>
      <w:bookmarkStart w:id="419" w:name="_Toc28844"/>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w:t>
      </w:r>
      <w:bookmarkEnd w:id="418"/>
      <w:bookmarkStart w:id="420" w:name="_Toc313431009"/>
      <w:r>
        <w:rPr>
          <w:rFonts w:hint="eastAsia" w:ascii="宋体" w:hAnsi="宋体" w:eastAsia="宋体" w:cs="宋体"/>
          <w:b/>
          <w:color w:val="auto"/>
          <w:sz w:val="24"/>
          <w:highlight w:val="none"/>
        </w:rPr>
        <w:t>二）主要人员简历表</w:t>
      </w:r>
      <w:bookmarkEnd w:id="419"/>
    </w:p>
    <w:bookmarkEnd w:id="420"/>
    <w:p w14:paraId="3AA55473">
      <w:pPr>
        <w:adjustRightInd w:val="0"/>
        <w:snapToGrid w:val="0"/>
        <w:spacing w:line="42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w:t>
      </w:r>
      <w:bookmarkStart w:id="421" w:name="_Toc300678577"/>
      <w:r>
        <w:rPr>
          <w:rFonts w:hint="eastAsia" w:ascii="宋体" w:hAnsi="宋体" w:eastAsia="宋体" w:cs="宋体"/>
          <w:b/>
          <w:color w:val="auto"/>
          <w:sz w:val="24"/>
          <w:highlight w:val="none"/>
        </w:rPr>
        <w:t>1：项目负责人简历表</w:t>
      </w:r>
    </w:p>
    <w:bookmarkEnd w:id="421"/>
    <w:p w14:paraId="43CDBBAA">
      <w:pPr>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项目负责人应附建造师注册证书、项目负责人安全生产考核合格证书、身份证、养老保险证明复印件。</w:t>
      </w:r>
    </w:p>
    <w:tbl>
      <w:tblPr>
        <w:tblStyle w:val="19"/>
        <w:tblW w:w="84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1035"/>
        <w:gridCol w:w="1134"/>
        <w:gridCol w:w="1275"/>
        <w:gridCol w:w="1843"/>
        <w:gridCol w:w="2020"/>
      </w:tblGrid>
      <w:tr w14:paraId="155624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5" w:type="dxa"/>
            <w:vAlign w:val="center"/>
          </w:tcPr>
          <w:p w14:paraId="5C7A874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p>
        </w:tc>
        <w:tc>
          <w:tcPr>
            <w:tcW w:w="2169" w:type="dxa"/>
            <w:gridSpan w:val="2"/>
            <w:vAlign w:val="center"/>
          </w:tcPr>
          <w:p w14:paraId="67647848">
            <w:pPr>
              <w:jc w:val="center"/>
              <w:rPr>
                <w:rFonts w:hint="eastAsia" w:ascii="宋体" w:hAnsi="宋体" w:eastAsia="宋体" w:cs="宋体"/>
                <w:color w:val="auto"/>
                <w:szCs w:val="21"/>
                <w:highlight w:val="none"/>
              </w:rPr>
            </w:pPr>
          </w:p>
        </w:tc>
        <w:tc>
          <w:tcPr>
            <w:tcW w:w="1275" w:type="dxa"/>
            <w:vAlign w:val="center"/>
          </w:tcPr>
          <w:p w14:paraId="4DE7226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称</w:t>
            </w:r>
          </w:p>
        </w:tc>
        <w:tc>
          <w:tcPr>
            <w:tcW w:w="3863" w:type="dxa"/>
            <w:gridSpan w:val="2"/>
            <w:vAlign w:val="center"/>
          </w:tcPr>
          <w:p w14:paraId="2C2DFA71">
            <w:pPr>
              <w:jc w:val="center"/>
              <w:rPr>
                <w:rFonts w:hint="eastAsia" w:ascii="宋体" w:hAnsi="宋体" w:eastAsia="宋体" w:cs="宋体"/>
                <w:color w:val="auto"/>
                <w:szCs w:val="21"/>
                <w:highlight w:val="none"/>
              </w:rPr>
            </w:pPr>
          </w:p>
        </w:tc>
      </w:tr>
      <w:tr w14:paraId="56F554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5" w:type="dxa"/>
            <w:vAlign w:val="center"/>
          </w:tcPr>
          <w:p w14:paraId="38AE992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p>
        </w:tc>
        <w:tc>
          <w:tcPr>
            <w:tcW w:w="1035" w:type="dxa"/>
            <w:vAlign w:val="center"/>
          </w:tcPr>
          <w:p w14:paraId="705FF706">
            <w:pPr>
              <w:jc w:val="center"/>
              <w:rPr>
                <w:rFonts w:hint="eastAsia" w:ascii="宋体" w:hAnsi="宋体" w:eastAsia="宋体" w:cs="宋体"/>
                <w:color w:val="auto"/>
                <w:szCs w:val="21"/>
                <w:highlight w:val="none"/>
              </w:rPr>
            </w:pPr>
          </w:p>
        </w:tc>
        <w:tc>
          <w:tcPr>
            <w:tcW w:w="1134" w:type="dxa"/>
            <w:vAlign w:val="center"/>
          </w:tcPr>
          <w:p w14:paraId="30523BD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年龄</w:t>
            </w:r>
          </w:p>
        </w:tc>
        <w:tc>
          <w:tcPr>
            <w:tcW w:w="1275" w:type="dxa"/>
            <w:vAlign w:val="center"/>
          </w:tcPr>
          <w:p w14:paraId="49AB3B92">
            <w:pPr>
              <w:jc w:val="center"/>
              <w:rPr>
                <w:rFonts w:hint="eastAsia" w:ascii="宋体" w:hAnsi="宋体" w:eastAsia="宋体" w:cs="宋体"/>
                <w:color w:val="auto"/>
                <w:szCs w:val="21"/>
                <w:highlight w:val="none"/>
              </w:rPr>
            </w:pPr>
          </w:p>
        </w:tc>
        <w:tc>
          <w:tcPr>
            <w:tcW w:w="1843" w:type="dxa"/>
            <w:vAlign w:val="center"/>
          </w:tcPr>
          <w:p w14:paraId="440768A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拟在本工程任职</w:t>
            </w:r>
          </w:p>
        </w:tc>
        <w:tc>
          <w:tcPr>
            <w:tcW w:w="2020" w:type="dxa"/>
            <w:vAlign w:val="center"/>
          </w:tcPr>
          <w:p w14:paraId="280793A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p>
        </w:tc>
      </w:tr>
      <w:tr w14:paraId="071B8A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34" w:type="dxa"/>
            <w:gridSpan w:val="3"/>
            <w:vAlign w:val="center"/>
          </w:tcPr>
          <w:p w14:paraId="0793335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注册建造师执业资格等级</w:t>
            </w:r>
          </w:p>
        </w:tc>
        <w:tc>
          <w:tcPr>
            <w:tcW w:w="1275" w:type="dxa"/>
            <w:vAlign w:val="center"/>
          </w:tcPr>
          <w:p w14:paraId="270D47A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级</w:t>
            </w:r>
          </w:p>
        </w:tc>
        <w:tc>
          <w:tcPr>
            <w:tcW w:w="1843" w:type="dxa"/>
            <w:vAlign w:val="center"/>
          </w:tcPr>
          <w:p w14:paraId="0D2A0BD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机电工程专业</w:t>
            </w:r>
          </w:p>
        </w:tc>
        <w:tc>
          <w:tcPr>
            <w:tcW w:w="2020" w:type="dxa"/>
            <w:vAlign w:val="center"/>
          </w:tcPr>
          <w:p w14:paraId="218697D4">
            <w:pPr>
              <w:jc w:val="center"/>
              <w:rPr>
                <w:rFonts w:hint="eastAsia" w:ascii="宋体" w:hAnsi="宋体" w:eastAsia="宋体" w:cs="宋体"/>
                <w:color w:val="auto"/>
                <w:szCs w:val="21"/>
                <w:highlight w:val="none"/>
              </w:rPr>
            </w:pPr>
          </w:p>
        </w:tc>
      </w:tr>
      <w:tr w14:paraId="6C580F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34" w:type="dxa"/>
            <w:gridSpan w:val="3"/>
            <w:vAlign w:val="center"/>
          </w:tcPr>
          <w:p w14:paraId="7AC7F45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w:t>
            </w:r>
          </w:p>
        </w:tc>
        <w:tc>
          <w:tcPr>
            <w:tcW w:w="5138" w:type="dxa"/>
            <w:gridSpan w:val="3"/>
            <w:vAlign w:val="center"/>
          </w:tcPr>
          <w:p w14:paraId="7B463915">
            <w:pPr>
              <w:jc w:val="center"/>
              <w:rPr>
                <w:rFonts w:hint="eastAsia" w:ascii="宋体" w:hAnsi="宋体" w:eastAsia="宋体" w:cs="宋体"/>
                <w:color w:val="auto"/>
                <w:szCs w:val="21"/>
                <w:highlight w:val="none"/>
              </w:rPr>
            </w:pPr>
          </w:p>
        </w:tc>
      </w:tr>
      <w:tr w14:paraId="7D0DC88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72" w:type="dxa"/>
            <w:gridSpan w:val="6"/>
            <w:vAlign w:val="center"/>
          </w:tcPr>
          <w:p w14:paraId="5E1E293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主要工作经历</w:t>
            </w:r>
          </w:p>
        </w:tc>
      </w:tr>
      <w:tr w14:paraId="096999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5" w:type="dxa"/>
            <w:vAlign w:val="center"/>
          </w:tcPr>
          <w:p w14:paraId="57654E7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  间</w:t>
            </w:r>
          </w:p>
        </w:tc>
        <w:tc>
          <w:tcPr>
            <w:tcW w:w="3444" w:type="dxa"/>
            <w:gridSpan w:val="3"/>
            <w:vAlign w:val="center"/>
          </w:tcPr>
          <w:p w14:paraId="0E2CB25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参加过的类似项目名称</w:t>
            </w:r>
          </w:p>
        </w:tc>
        <w:tc>
          <w:tcPr>
            <w:tcW w:w="1843" w:type="dxa"/>
            <w:vAlign w:val="center"/>
          </w:tcPr>
          <w:p w14:paraId="03498FC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工程概况说明</w:t>
            </w:r>
          </w:p>
        </w:tc>
        <w:tc>
          <w:tcPr>
            <w:tcW w:w="2020" w:type="dxa"/>
            <w:vAlign w:val="center"/>
          </w:tcPr>
          <w:p w14:paraId="04F3815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发包人及联系电话</w:t>
            </w:r>
          </w:p>
        </w:tc>
      </w:tr>
      <w:tr w14:paraId="474F62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0D356A82">
            <w:pPr>
              <w:jc w:val="center"/>
              <w:rPr>
                <w:rFonts w:hint="eastAsia" w:ascii="宋体" w:hAnsi="宋体" w:eastAsia="宋体" w:cs="宋体"/>
                <w:color w:val="auto"/>
                <w:szCs w:val="21"/>
                <w:highlight w:val="none"/>
              </w:rPr>
            </w:pPr>
          </w:p>
        </w:tc>
        <w:tc>
          <w:tcPr>
            <w:tcW w:w="1035" w:type="dxa"/>
            <w:vAlign w:val="center"/>
          </w:tcPr>
          <w:p w14:paraId="17C027A9">
            <w:pPr>
              <w:jc w:val="center"/>
              <w:rPr>
                <w:rFonts w:hint="eastAsia" w:ascii="宋体" w:hAnsi="宋体" w:eastAsia="宋体" w:cs="宋体"/>
                <w:color w:val="auto"/>
                <w:szCs w:val="21"/>
                <w:highlight w:val="none"/>
              </w:rPr>
            </w:pPr>
          </w:p>
        </w:tc>
        <w:tc>
          <w:tcPr>
            <w:tcW w:w="1134" w:type="dxa"/>
            <w:vAlign w:val="center"/>
          </w:tcPr>
          <w:p w14:paraId="5B7909DB">
            <w:pPr>
              <w:jc w:val="center"/>
              <w:rPr>
                <w:rFonts w:hint="eastAsia" w:ascii="宋体" w:hAnsi="宋体" w:eastAsia="宋体" w:cs="宋体"/>
                <w:color w:val="auto"/>
                <w:szCs w:val="21"/>
                <w:highlight w:val="none"/>
              </w:rPr>
            </w:pPr>
          </w:p>
        </w:tc>
        <w:tc>
          <w:tcPr>
            <w:tcW w:w="1275" w:type="dxa"/>
            <w:vAlign w:val="center"/>
          </w:tcPr>
          <w:p w14:paraId="1DF685F8">
            <w:pPr>
              <w:jc w:val="center"/>
              <w:rPr>
                <w:rFonts w:hint="eastAsia" w:ascii="宋体" w:hAnsi="宋体" w:eastAsia="宋体" w:cs="宋体"/>
                <w:color w:val="auto"/>
                <w:szCs w:val="21"/>
                <w:highlight w:val="none"/>
              </w:rPr>
            </w:pPr>
          </w:p>
        </w:tc>
        <w:tc>
          <w:tcPr>
            <w:tcW w:w="1843" w:type="dxa"/>
            <w:vAlign w:val="center"/>
          </w:tcPr>
          <w:p w14:paraId="5474B5CA">
            <w:pPr>
              <w:jc w:val="center"/>
              <w:rPr>
                <w:rFonts w:hint="eastAsia" w:ascii="宋体" w:hAnsi="宋体" w:eastAsia="宋体" w:cs="宋体"/>
                <w:color w:val="auto"/>
                <w:szCs w:val="21"/>
                <w:highlight w:val="none"/>
              </w:rPr>
            </w:pPr>
          </w:p>
        </w:tc>
        <w:tc>
          <w:tcPr>
            <w:tcW w:w="2020" w:type="dxa"/>
            <w:vAlign w:val="center"/>
          </w:tcPr>
          <w:p w14:paraId="29FEC9BD">
            <w:pPr>
              <w:jc w:val="center"/>
              <w:rPr>
                <w:rFonts w:hint="eastAsia" w:ascii="宋体" w:hAnsi="宋体" w:eastAsia="宋体" w:cs="宋体"/>
                <w:color w:val="auto"/>
                <w:szCs w:val="21"/>
                <w:highlight w:val="none"/>
              </w:rPr>
            </w:pPr>
          </w:p>
        </w:tc>
      </w:tr>
      <w:tr w14:paraId="63B41D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282F4BAE">
            <w:pPr>
              <w:jc w:val="center"/>
              <w:rPr>
                <w:rFonts w:hint="eastAsia" w:ascii="宋体" w:hAnsi="宋体" w:eastAsia="宋体" w:cs="宋体"/>
                <w:color w:val="auto"/>
                <w:szCs w:val="21"/>
                <w:highlight w:val="none"/>
              </w:rPr>
            </w:pPr>
          </w:p>
          <w:p w14:paraId="6B9E46C5">
            <w:pPr>
              <w:jc w:val="center"/>
              <w:rPr>
                <w:rFonts w:hint="eastAsia" w:ascii="宋体" w:hAnsi="宋体" w:eastAsia="宋体" w:cs="宋体"/>
                <w:color w:val="auto"/>
                <w:szCs w:val="21"/>
                <w:highlight w:val="none"/>
              </w:rPr>
            </w:pPr>
          </w:p>
        </w:tc>
        <w:tc>
          <w:tcPr>
            <w:tcW w:w="1035" w:type="dxa"/>
            <w:vAlign w:val="center"/>
          </w:tcPr>
          <w:p w14:paraId="0400ED77">
            <w:pPr>
              <w:jc w:val="center"/>
              <w:rPr>
                <w:rFonts w:hint="eastAsia" w:ascii="宋体" w:hAnsi="宋体" w:eastAsia="宋体" w:cs="宋体"/>
                <w:color w:val="auto"/>
                <w:szCs w:val="21"/>
                <w:highlight w:val="none"/>
              </w:rPr>
            </w:pPr>
          </w:p>
        </w:tc>
        <w:tc>
          <w:tcPr>
            <w:tcW w:w="1134" w:type="dxa"/>
            <w:vAlign w:val="center"/>
          </w:tcPr>
          <w:p w14:paraId="55794696">
            <w:pPr>
              <w:jc w:val="center"/>
              <w:rPr>
                <w:rFonts w:hint="eastAsia" w:ascii="宋体" w:hAnsi="宋体" w:eastAsia="宋体" w:cs="宋体"/>
                <w:color w:val="auto"/>
                <w:szCs w:val="21"/>
                <w:highlight w:val="none"/>
              </w:rPr>
            </w:pPr>
          </w:p>
        </w:tc>
        <w:tc>
          <w:tcPr>
            <w:tcW w:w="1275" w:type="dxa"/>
            <w:vAlign w:val="center"/>
          </w:tcPr>
          <w:p w14:paraId="4ED34845">
            <w:pPr>
              <w:jc w:val="center"/>
              <w:rPr>
                <w:rFonts w:hint="eastAsia" w:ascii="宋体" w:hAnsi="宋体" w:eastAsia="宋体" w:cs="宋体"/>
                <w:color w:val="auto"/>
                <w:szCs w:val="21"/>
                <w:highlight w:val="none"/>
              </w:rPr>
            </w:pPr>
          </w:p>
        </w:tc>
        <w:tc>
          <w:tcPr>
            <w:tcW w:w="1843" w:type="dxa"/>
            <w:vAlign w:val="center"/>
          </w:tcPr>
          <w:p w14:paraId="658AE3EF">
            <w:pPr>
              <w:jc w:val="center"/>
              <w:rPr>
                <w:rFonts w:hint="eastAsia" w:ascii="宋体" w:hAnsi="宋体" w:eastAsia="宋体" w:cs="宋体"/>
                <w:color w:val="auto"/>
                <w:szCs w:val="21"/>
                <w:highlight w:val="none"/>
              </w:rPr>
            </w:pPr>
          </w:p>
        </w:tc>
        <w:tc>
          <w:tcPr>
            <w:tcW w:w="2020" w:type="dxa"/>
            <w:vAlign w:val="center"/>
          </w:tcPr>
          <w:p w14:paraId="762CFEE3">
            <w:pPr>
              <w:jc w:val="center"/>
              <w:rPr>
                <w:rFonts w:hint="eastAsia" w:ascii="宋体" w:hAnsi="宋体" w:eastAsia="宋体" w:cs="宋体"/>
                <w:color w:val="auto"/>
                <w:szCs w:val="21"/>
                <w:highlight w:val="none"/>
              </w:rPr>
            </w:pPr>
          </w:p>
        </w:tc>
      </w:tr>
      <w:tr w14:paraId="2B7E36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27670DA2">
            <w:pPr>
              <w:jc w:val="center"/>
              <w:rPr>
                <w:rFonts w:hint="eastAsia" w:ascii="宋体" w:hAnsi="宋体" w:eastAsia="宋体" w:cs="宋体"/>
                <w:color w:val="auto"/>
                <w:szCs w:val="21"/>
                <w:highlight w:val="none"/>
              </w:rPr>
            </w:pPr>
          </w:p>
        </w:tc>
        <w:tc>
          <w:tcPr>
            <w:tcW w:w="1035" w:type="dxa"/>
            <w:vAlign w:val="center"/>
          </w:tcPr>
          <w:p w14:paraId="1B46979C">
            <w:pPr>
              <w:jc w:val="center"/>
              <w:rPr>
                <w:rFonts w:hint="eastAsia" w:ascii="宋体" w:hAnsi="宋体" w:eastAsia="宋体" w:cs="宋体"/>
                <w:color w:val="auto"/>
                <w:szCs w:val="21"/>
                <w:highlight w:val="none"/>
              </w:rPr>
            </w:pPr>
          </w:p>
        </w:tc>
        <w:tc>
          <w:tcPr>
            <w:tcW w:w="1134" w:type="dxa"/>
            <w:vAlign w:val="center"/>
          </w:tcPr>
          <w:p w14:paraId="7D46B0E3">
            <w:pPr>
              <w:jc w:val="center"/>
              <w:rPr>
                <w:rFonts w:hint="eastAsia" w:ascii="宋体" w:hAnsi="宋体" w:eastAsia="宋体" w:cs="宋体"/>
                <w:color w:val="auto"/>
                <w:szCs w:val="21"/>
                <w:highlight w:val="none"/>
              </w:rPr>
            </w:pPr>
          </w:p>
        </w:tc>
        <w:tc>
          <w:tcPr>
            <w:tcW w:w="1275" w:type="dxa"/>
            <w:vAlign w:val="center"/>
          </w:tcPr>
          <w:p w14:paraId="72477353">
            <w:pPr>
              <w:jc w:val="center"/>
              <w:rPr>
                <w:rFonts w:hint="eastAsia" w:ascii="宋体" w:hAnsi="宋体" w:eastAsia="宋体" w:cs="宋体"/>
                <w:color w:val="auto"/>
                <w:szCs w:val="21"/>
                <w:highlight w:val="none"/>
              </w:rPr>
            </w:pPr>
          </w:p>
        </w:tc>
        <w:tc>
          <w:tcPr>
            <w:tcW w:w="1843" w:type="dxa"/>
            <w:vAlign w:val="center"/>
          </w:tcPr>
          <w:p w14:paraId="673D8D51">
            <w:pPr>
              <w:jc w:val="center"/>
              <w:rPr>
                <w:rFonts w:hint="eastAsia" w:ascii="宋体" w:hAnsi="宋体" w:eastAsia="宋体" w:cs="宋体"/>
                <w:color w:val="auto"/>
                <w:szCs w:val="21"/>
                <w:highlight w:val="none"/>
              </w:rPr>
            </w:pPr>
          </w:p>
        </w:tc>
        <w:tc>
          <w:tcPr>
            <w:tcW w:w="2020" w:type="dxa"/>
            <w:vAlign w:val="center"/>
          </w:tcPr>
          <w:p w14:paraId="327B0DB8">
            <w:pPr>
              <w:jc w:val="center"/>
              <w:rPr>
                <w:rFonts w:hint="eastAsia" w:ascii="宋体" w:hAnsi="宋体" w:eastAsia="宋体" w:cs="宋体"/>
                <w:color w:val="auto"/>
                <w:szCs w:val="21"/>
                <w:highlight w:val="none"/>
              </w:rPr>
            </w:pPr>
          </w:p>
        </w:tc>
      </w:tr>
      <w:tr w14:paraId="29EA91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249809CB">
            <w:pPr>
              <w:jc w:val="center"/>
              <w:rPr>
                <w:rFonts w:hint="eastAsia" w:ascii="宋体" w:hAnsi="宋体" w:eastAsia="宋体" w:cs="宋体"/>
                <w:color w:val="auto"/>
                <w:szCs w:val="21"/>
                <w:highlight w:val="none"/>
              </w:rPr>
            </w:pPr>
          </w:p>
        </w:tc>
        <w:tc>
          <w:tcPr>
            <w:tcW w:w="1035" w:type="dxa"/>
            <w:vAlign w:val="center"/>
          </w:tcPr>
          <w:p w14:paraId="15496F1D">
            <w:pPr>
              <w:jc w:val="center"/>
              <w:rPr>
                <w:rFonts w:hint="eastAsia" w:ascii="宋体" w:hAnsi="宋体" w:eastAsia="宋体" w:cs="宋体"/>
                <w:color w:val="auto"/>
                <w:szCs w:val="21"/>
                <w:highlight w:val="none"/>
              </w:rPr>
            </w:pPr>
          </w:p>
        </w:tc>
        <w:tc>
          <w:tcPr>
            <w:tcW w:w="1134" w:type="dxa"/>
            <w:vAlign w:val="center"/>
          </w:tcPr>
          <w:p w14:paraId="7A9C0084">
            <w:pPr>
              <w:jc w:val="center"/>
              <w:rPr>
                <w:rFonts w:hint="eastAsia" w:ascii="宋体" w:hAnsi="宋体" w:eastAsia="宋体" w:cs="宋体"/>
                <w:color w:val="auto"/>
                <w:szCs w:val="21"/>
                <w:highlight w:val="none"/>
              </w:rPr>
            </w:pPr>
          </w:p>
        </w:tc>
        <w:tc>
          <w:tcPr>
            <w:tcW w:w="1275" w:type="dxa"/>
            <w:vAlign w:val="center"/>
          </w:tcPr>
          <w:p w14:paraId="4A2F288A">
            <w:pPr>
              <w:jc w:val="center"/>
              <w:rPr>
                <w:rFonts w:hint="eastAsia" w:ascii="宋体" w:hAnsi="宋体" w:eastAsia="宋体" w:cs="宋体"/>
                <w:color w:val="auto"/>
                <w:szCs w:val="21"/>
                <w:highlight w:val="none"/>
              </w:rPr>
            </w:pPr>
          </w:p>
        </w:tc>
        <w:tc>
          <w:tcPr>
            <w:tcW w:w="1843" w:type="dxa"/>
            <w:vAlign w:val="center"/>
          </w:tcPr>
          <w:p w14:paraId="14D2613F">
            <w:pPr>
              <w:jc w:val="center"/>
              <w:rPr>
                <w:rFonts w:hint="eastAsia" w:ascii="宋体" w:hAnsi="宋体" w:eastAsia="宋体" w:cs="宋体"/>
                <w:color w:val="auto"/>
                <w:szCs w:val="21"/>
                <w:highlight w:val="none"/>
              </w:rPr>
            </w:pPr>
          </w:p>
        </w:tc>
        <w:tc>
          <w:tcPr>
            <w:tcW w:w="2020" w:type="dxa"/>
            <w:vAlign w:val="center"/>
          </w:tcPr>
          <w:p w14:paraId="03EF0B3A">
            <w:pPr>
              <w:jc w:val="center"/>
              <w:rPr>
                <w:rFonts w:hint="eastAsia" w:ascii="宋体" w:hAnsi="宋体" w:eastAsia="宋体" w:cs="宋体"/>
                <w:color w:val="auto"/>
                <w:szCs w:val="21"/>
                <w:highlight w:val="none"/>
              </w:rPr>
            </w:pPr>
          </w:p>
        </w:tc>
      </w:tr>
      <w:tr w14:paraId="3F71C1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026953C5">
            <w:pPr>
              <w:jc w:val="center"/>
              <w:rPr>
                <w:rFonts w:hint="eastAsia" w:ascii="宋体" w:hAnsi="宋体" w:eastAsia="宋体" w:cs="宋体"/>
                <w:color w:val="auto"/>
                <w:szCs w:val="21"/>
                <w:highlight w:val="none"/>
              </w:rPr>
            </w:pPr>
          </w:p>
        </w:tc>
        <w:tc>
          <w:tcPr>
            <w:tcW w:w="1035" w:type="dxa"/>
            <w:vAlign w:val="center"/>
          </w:tcPr>
          <w:p w14:paraId="6095D19E">
            <w:pPr>
              <w:jc w:val="center"/>
              <w:rPr>
                <w:rFonts w:hint="eastAsia" w:ascii="宋体" w:hAnsi="宋体" w:eastAsia="宋体" w:cs="宋体"/>
                <w:color w:val="auto"/>
                <w:szCs w:val="21"/>
                <w:highlight w:val="none"/>
              </w:rPr>
            </w:pPr>
          </w:p>
        </w:tc>
        <w:tc>
          <w:tcPr>
            <w:tcW w:w="1134" w:type="dxa"/>
            <w:vAlign w:val="center"/>
          </w:tcPr>
          <w:p w14:paraId="70FD3A71">
            <w:pPr>
              <w:jc w:val="center"/>
              <w:rPr>
                <w:rFonts w:hint="eastAsia" w:ascii="宋体" w:hAnsi="宋体" w:eastAsia="宋体" w:cs="宋体"/>
                <w:color w:val="auto"/>
                <w:szCs w:val="21"/>
                <w:highlight w:val="none"/>
              </w:rPr>
            </w:pPr>
          </w:p>
        </w:tc>
        <w:tc>
          <w:tcPr>
            <w:tcW w:w="1275" w:type="dxa"/>
            <w:vAlign w:val="center"/>
          </w:tcPr>
          <w:p w14:paraId="2135B74E">
            <w:pPr>
              <w:jc w:val="center"/>
              <w:rPr>
                <w:rFonts w:hint="eastAsia" w:ascii="宋体" w:hAnsi="宋体" w:eastAsia="宋体" w:cs="宋体"/>
                <w:color w:val="auto"/>
                <w:szCs w:val="21"/>
                <w:highlight w:val="none"/>
              </w:rPr>
            </w:pPr>
          </w:p>
        </w:tc>
        <w:tc>
          <w:tcPr>
            <w:tcW w:w="1843" w:type="dxa"/>
            <w:vAlign w:val="center"/>
          </w:tcPr>
          <w:p w14:paraId="4E39AADF">
            <w:pPr>
              <w:jc w:val="center"/>
              <w:rPr>
                <w:rFonts w:hint="eastAsia" w:ascii="宋体" w:hAnsi="宋体" w:eastAsia="宋体" w:cs="宋体"/>
                <w:color w:val="auto"/>
                <w:szCs w:val="21"/>
                <w:highlight w:val="none"/>
              </w:rPr>
            </w:pPr>
          </w:p>
        </w:tc>
        <w:tc>
          <w:tcPr>
            <w:tcW w:w="2020" w:type="dxa"/>
            <w:vAlign w:val="center"/>
          </w:tcPr>
          <w:p w14:paraId="3EE3F137">
            <w:pPr>
              <w:jc w:val="center"/>
              <w:rPr>
                <w:rFonts w:hint="eastAsia" w:ascii="宋体" w:hAnsi="宋体" w:eastAsia="宋体" w:cs="宋体"/>
                <w:color w:val="auto"/>
                <w:szCs w:val="21"/>
                <w:highlight w:val="none"/>
              </w:rPr>
            </w:pPr>
          </w:p>
        </w:tc>
      </w:tr>
      <w:tr w14:paraId="07CEC9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178CFFC3">
            <w:pPr>
              <w:jc w:val="center"/>
              <w:rPr>
                <w:rFonts w:hint="eastAsia" w:ascii="宋体" w:hAnsi="宋体" w:eastAsia="宋体" w:cs="宋体"/>
                <w:color w:val="auto"/>
                <w:szCs w:val="21"/>
                <w:highlight w:val="none"/>
              </w:rPr>
            </w:pPr>
          </w:p>
        </w:tc>
        <w:tc>
          <w:tcPr>
            <w:tcW w:w="1035" w:type="dxa"/>
            <w:vAlign w:val="center"/>
          </w:tcPr>
          <w:p w14:paraId="40251B40">
            <w:pPr>
              <w:jc w:val="center"/>
              <w:rPr>
                <w:rFonts w:hint="eastAsia" w:ascii="宋体" w:hAnsi="宋体" w:eastAsia="宋体" w:cs="宋体"/>
                <w:color w:val="auto"/>
                <w:szCs w:val="21"/>
                <w:highlight w:val="none"/>
              </w:rPr>
            </w:pPr>
          </w:p>
        </w:tc>
        <w:tc>
          <w:tcPr>
            <w:tcW w:w="1134" w:type="dxa"/>
            <w:vAlign w:val="center"/>
          </w:tcPr>
          <w:p w14:paraId="53408099">
            <w:pPr>
              <w:jc w:val="center"/>
              <w:rPr>
                <w:rFonts w:hint="eastAsia" w:ascii="宋体" w:hAnsi="宋体" w:eastAsia="宋体" w:cs="宋体"/>
                <w:color w:val="auto"/>
                <w:szCs w:val="21"/>
                <w:highlight w:val="none"/>
              </w:rPr>
            </w:pPr>
          </w:p>
        </w:tc>
        <w:tc>
          <w:tcPr>
            <w:tcW w:w="1275" w:type="dxa"/>
            <w:vAlign w:val="center"/>
          </w:tcPr>
          <w:p w14:paraId="3ACCDA74">
            <w:pPr>
              <w:jc w:val="center"/>
              <w:rPr>
                <w:rFonts w:hint="eastAsia" w:ascii="宋体" w:hAnsi="宋体" w:eastAsia="宋体" w:cs="宋体"/>
                <w:color w:val="auto"/>
                <w:szCs w:val="21"/>
                <w:highlight w:val="none"/>
              </w:rPr>
            </w:pPr>
          </w:p>
        </w:tc>
        <w:tc>
          <w:tcPr>
            <w:tcW w:w="1843" w:type="dxa"/>
            <w:vAlign w:val="center"/>
          </w:tcPr>
          <w:p w14:paraId="71ADEB6D">
            <w:pPr>
              <w:jc w:val="center"/>
              <w:rPr>
                <w:rFonts w:hint="eastAsia" w:ascii="宋体" w:hAnsi="宋体" w:eastAsia="宋体" w:cs="宋体"/>
                <w:color w:val="auto"/>
                <w:szCs w:val="21"/>
                <w:highlight w:val="none"/>
              </w:rPr>
            </w:pPr>
          </w:p>
        </w:tc>
        <w:tc>
          <w:tcPr>
            <w:tcW w:w="2020" w:type="dxa"/>
            <w:vAlign w:val="center"/>
          </w:tcPr>
          <w:p w14:paraId="74570141">
            <w:pPr>
              <w:jc w:val="center"/>
              <w:rPr>
                <w:rFonts w:hint="eastAsia" w:ascii="宋体" w:hAnsi="宋体" w:eastAsia="宋体" w:cs="宋体"/>
                <w:color w:val="auto"/>
                <w:szCs w:val="21"/>
                <w:highlight w:val="none"/>
              </w:rPr>
            </w:pPr>
          </w:p>
        </w:tc>
      </w:tr>
      <w:tr w14:paraId="34FF88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073DA2D7">
            <w:pPr>
              <w:jc w:val="center"/>
              <w:rPr>
                <w:rFonts w:hint="eastAsia" w:ascii="宋体" w:hAnsi="宋体" w:eastAsia="宋体" w:cs="宋体"/>
                <w:color w:val="auto"/>
                <w:szCs w:val="21"/>
                <w:highlight w:val="none"/>
              </w:rPr>
            </w:pPr>
          </w:p>
        </w:tc>
        <w:tc>
          <w:tcPr>
            <w:tcW w:w="1035" w:type="dxa"/>
            <w:vAlign w:val="center"/>
          </w:tcPr>
          <w:p w14:paraId="46114FF1">
            <w:pPr>
              <w:jc w:val="center"/>
              <w:rPr>
                <w:rFonts w:hint="eastAsia" w:ascii="宋体" w:hAnsi="宋体" w:eastAsia="宋体" w:cs="宋体"/>
                <w:color w:val="auto"/>
                <w:szCs w:val="21"/>
                <w:highlight w:val="none"/>
              </w:rPr>
            </w:pPr>
          </w:p>
        </w:tc>
        <w:tc>
          <w:tcPr>
            <w:tcW w:w="1134" w:type="dxa"/>
            <w:vAlign w:val="center"/>
          </w:tcPr>
          <w:p w14:paraId="040E9604">
            <w:pPr>
              <w:jc w:val="center"/>
              <w:rPr>
                <w:rFonts w:hint="eastAsia" w:ascii="宋体" w:hAnsi="宋体" w:eastAsia="宋体" w:cs="宋体"/>
                <w:color w:val="auto"/>
                <w:szCs w:val="21"/>
                <w:highlight w:val="none"/>
              </w:rPr>
            </w:pPr>
          </w:p>
        </w:tc>
        <w:tc>
          <w:tcPr>
            <w:tcW w:w="1275" w:type="dxa"/>
            <w:vAlign w:val="center"/>
          </w:tcPr>
          <w:p w14:paraId="58AA6EF7">
            <w:pPr>
              <w:jc w:val="center"/>
              <w:rPr>
                <w:rFonts w:hint="eastAsia" w:ascii="宋体" w:hAnsi="宋体" w:eastAsia="宋体" w:cs="宋体"/>
                <w:color w:val="auto"/>
                <w:szCs w:val="21"/>
                <w:highlight w:val="none"/>
              </w:rPr>
            </w:pPr>
          </w:p>
        </w:tc>
        <w:tc>
          <w:tcPr>
            <w:tcW w:w="1843" w:type="dxa"/>
            <w:vAlign w:val="center"/>
          </w:tcPr>
          <w:p w14:paraId="4896F623">
            <w:pPr>
              <w:jc w:val="center"/>
              <w:rPr>
                <w:rFonts w:hint="eastAsia" w:ascii="宋体" w:hAnsi="宋体" w:eastAsia="宋体" w:cs="宋体"/>
                <w:color w:val="auto"/>
                <w:szCs w:val="21"/>
                <w:highlight w:val="none"/>
              </w:rPr>
            </w:pPr>
          </w:p>
        </w:tc>
        <w:tc>
          <w:tcPr>
            <w:tcW w:w="2020" w:type="dxa"/>
            <w:vAlign w:val="center"/>
          </w:tcPr>
          <w:p w14:paraId="4818FE3B">
            <w:pPr>
              <w:jc w:val="center"/>
              <w:rPr>
                <w:rFonts w:hint="eastAsia" w:ascii="宋体" w:hAnsi="宋体" w:eastAsia="宋体" w:cs="宋体"/>
                <w:color w:val="auto"/>
                <w:szCs w:val="21"/>
                <w:highlight w:val="none"/>
              </w:rPr>
            </w:pPr>
          </w:p>
        </w:tc>
      </w:tr>
      <w:tr w14:paraId="48B0D9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65" w:type="dxa"/>
            <w:vAlign w:val="center"/>
          </w:tcPr>
          <w:p w14:paraId="50B8CB25">
            <w:pPr>
              <w:jc w:val="center"/>
              <w:rPr>
                <w:rFonts w:hint="eastAsia" w:ascii="宋体" w:hAnsi="宋体" w:eastAsia="宋体" w:cs="宋体"/>
                <w:color w:val="auto"/>
                <w:szCs w:val="21"/>
                <w:highlight w:val="none"/>
              </w:rPr>
            </w:pPr>
          </w:p>
        </w:tc>
        <w:tc>
          <w:tcPr>
            <w:tcW w:w="1035" w:type="dxa"/>
            <w:vAlign w:val="center"/>
          </w:tcPr>
          <w:p w14:paraId="0E74EFD1">
            <w:pPr>
              <w:jc w:val="center"/>
              <w:rPr>
                <w:rFonts w:hint="eastAsia" w:ascii="宋体" w:hAnsi="宋体" w:eastAsia="宋体" w:cs="宋体"/>
                <w:color w:val="auto"/>
                <w:szCs w:val="21"/>
                <w:highlight w:val="none"/>
              </w:rPr>
            </w:pPr>
          </w:p>
        </w:tc>
        <w:tc>
          <w:tcPr>
            <w:tcW w:w="1134" w:type="dxa"/>
            <w:vAlign w:val="center"/>
          </w:tcPr>
          <w:p w14:paraId="54CEE56A">
            <w:pPr>
              <w:jc w:val="center"/>
              <w:rPr>
                <w:rFonts w:hint="eastAsia" w:ascii="宋体" w:hAnsi="宋体" w:eastAsia="宋体" w:cs="宋体"/>
                <w:color w:val="auto"/>
                <w:szCs w:val="21"/>
                <w:highlight w:val="none"/>
              </w:rPr>
            </w:pPr>
          </w:p>
        </w:tc>
        <w:tc>
          <w:tcPr>
            <w:tcW w:w="1275" w:type="dxa"/>
            <w:vAlign w:val="center"/>
          </w:tcPr>
          <w:p w14:paraId="352157BD">
            <w:pPr>
              <w:jc w:val="center"/>
              <w:rPr>
                <w:rFonts w:hint="eastAsia" w:ascii="宋体" w:hAnsi="宋体" w:eastAsia="宋体" w:cs="宋体"/>
                <w:color w:val="auto"/>
                <w:szCs w:val="21"/>
                <w:highlight w:val="none"/>
              </w:rPr>
            </w:pPr>
          </w:p>
        </w:tc>
        <w:tc>
          <w:tcPr>
            <w:tcW w:w="1843" w:type="dxa"/>
            <w:vAlign w:val="center"/>
          </w:tcPr>
          <w:p w14:paraId="5FF9332D">
            <w:pPr>
              <w:jc w:val="center"/>
              <w:rPr>
                <w:rFonts w:hint="eastAsia" w:ascii="宋体" w:hAnsi="宋体" w:eastAsia="宋体" w:cs="宋体"/>
                <w:color w:val="auto"/>
                <w:szCs w:val="21"/>
                <w:highlight w:val="none"/>
              </w:rPr>
            </w:pPr>
          </w:p>
        </w:tc>
        <w:tc>
          <w:tcPr>
            <w:tcW w:w="2020" w:type="dxa"/>
            <w:vAlign w:val="center"/>
          </w:tcPr>
          <w:p w14:paraId="2FB65704">
            <w:pPr>
              <w:jc w:val="center"/>
              <w:rPr>
                <w:rFonts w:hint="eastAsia" w:ascii="宋体" w:hAnsi="宋体" w:eastAsia="宋体" w:cs="宋体"/>
                <w:color w:val="auto"/>
                <w:szCs w:val="21"/>
                <w:highlight w:val="none"/>
              </w:rPr>
            </w:pPr>
          </w:p>
        </w:tc>
      </w:tr>
    </w:tbl>
    <w:p w14:paraId="1C24F1C3">
      <w:pPr>
        <w:widowControl/>
        <w:spacing w:line="300" w:lineRule="auto"/>
        <w:rPr>
          <w:rFonts w:hint="eastAsia" w:ascii="宋体" w:hAnsi="宋体" w:eastAsia="宋体" w:cs="宋体"/>
          <w:color w:val="auto"/>
          <w:kern w:val="0"/>
          <w:sz w:val="18"/>
          <w:szCs w:val="18"/>
          <w:highlight w:val="none"/>
        </w:rPr>
      </w:pPr>
    </w:p>
    <w:p w14:paraId="3DB59751">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投标人名称(盖单位章)：</w:t>
      </w:r>
      <w:r>
        <w:rPr>
          <w:rFonts w:hint="eastAsia" w:ascii="宋体" w:hAnsi="宋体" w:eastAsia="宋体" w:cs="宋体"/>
          <w:color w:val="auto"/>
          <w:kern w:val="0"/>
          <w:szCs w:val="21"/>
          <w:highlight w:val="none"/>
          <w:u w:val="single"/>
        </w:rPr>
        <w:t xml:space="preserve">                 </w:t>
      </w:r>
    </w:p>
    <w:p w14:paraId="3232F36E">
      <w:pPr>
        <w:adjustRightInd w:val="0"/>
        <w:snapToGrid w:val="0"/>
        <w:spacing w:line="440" w:lineRule="exact"/>
        <w:ind w:left="420" w:hanging="420" w:hanging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(签字)：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rPr>
        <w:t xml:space="preserve">           </w:t>
      </w:r>
    </w:p>
    <w:p w14:paraId="3F849A2C">
      <w:pPr>
        <w:pStyle w:val="9"/>
        <w:spacing w:line="44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日期：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日</w:t>
      </w:r>
    </w:p>
    <w:p w14:paraId="159CB852">
      <w:pPr>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r>
    </w:p>
    <w:bookmarkEnd w:id="411"/>
    <w:bookmarkEnd w:id="412"/>
    <w:bookmarkEnd w:id="413"/>
    <w:bookmarkEnd w:id="414"/>
    <w:p w14:paraId="31BD9F9C">
      <w:pPr>
        <w:adjustRightInd w:val="0"/>
        <w:snapToGrid w:val="0"/>
        <w:spacing w:line="360" w:lineRule="auto"/>
        <w:outlineLvl w:val="0"/>
        <w:rPr>
          <w:rFonts w:hint="eastAsia" w:ascii="宋体" w:hAnsi="宋体" w:eastAsia="宋体" w:cs="宋体"/>
          <w:b/>
          <w:color w:val="auto"/>
          <w:sz w:val="32"/>
          <w:szCs w:val="32"/>
          <w:highlight w:val="none"/>
        </w:rPr>
      </w:pPr>
      <w:bookmarkStart w:id="422" w:name="_Toc4506141"/>
      <w:bookmarkStart w:id="423" w:name="_Toc2674713"/>
      <w:bookmarkStart w:id="424" w:name="_Toc2951792"/>
      <w:bookmarkStart w:id="425" w:name="_Toc2684051"/>
      <w:bookmarkStart w:id="426" w:name="_Toc2674918"/>
      <w:bookmarkStart w:id="427" w:name="_Toc32092"/>
      <w:r>
        <w:rPr>
          <w:rFonts w:hint="eastAsia" w:ascii="宋体" w:hAnsi="宋体" w:eastAsia="宋体" w:cs="宋体"/>
          <w:b/>
          <w:color w:val="auto"/>
          <w:sz w:val="32"/>
          <w:szCs w:val="32"/>
          <w:highlight w:val="none"/>
        </w:rPr>
        <w:t>附件11   施工项目部关键岗位人员无在建工程承诺函</w:t>
      </w:r>
      <w:bookmarkEnd w:id="422"/>
      <w:bookmarkEnd w:id="423"/>
      <w:bookmarkEnd w:id="424"/>
      <w:bookmarkEnd w:id="425"/>
      <w:bookmarkEnd w:id="426"/>
      <w:bookmarkEnd w:id="427"/>
    </w:p>
    <w:p w14:paraId="1D2C5A78">
      <w:pPr>
        <w:rPr>
          <w:rFonts w:hint="eastAsia" w:ascii="宋体" w:hAnsi="宋体" w:eastAsia="宋体" w:cs="宋体"/>
          <w:color w:val="auto"/>
          <w:highlight w:val="none"/>
        </w:rPr>
      </w:pPr>
    </w:p>
    <w:p w14:paraId="6D79D575">
      <w:pPr>
        <w:snapToGrid w:val="0"/>
        <w:spacing w:line="360" w:lineRule="auto"/>
        <w:rPr>
          <w:rFonts w:hint="eastAsia" w:ascii="宋体" w:hAnsi="宋体" w:eastAsia="宋体" w:cs="宋体"/>
          <w:color w:val="auto"/>
          <w:highlight w:val="none"/>
          <w:u w:val="single"/>
        </w:rPr>
      </w:pPr>
    </w:p>
    <w:p w14:paraId="6B2912AD">
      <w:pPr>
        <w:adjustRightInd w:val="0"/>
        <w:snapToGrid w:val="0"/>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致</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rPr>
        <w:t>(采购代理机构)：</w:t>
      </w:r>
    </w:p>
    <w:p w14:paraId="7F7512BE">
      <w:pPr>
        <w:snapToGrid w:val="0"/>
        <w:spacing w:line="420" w:lineRule="exact"/>
        <w:rPr>
          <w:rFonts w:hint="eastAsia" w:ascii="宋体" w:hAnsi="宋体" w:eastAsia="宋体" w:cs="宋体"/>
          <w:color w:val="auto"/>
          <w:sz w:val="24"/>
          <w:highlight w:val="none"/>
          <w:u w:val="single"/>
        </w:rPr>
      </w:pPr>
    </w:p>
    <w:p w14:paraId="4272616E">
      <w:pPr>
        <w:snapToGrid w:val="0"/>
        <w:spacing w:line="48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我公司承诺拟派往</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的项目负责人（证书编号：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和身份证号码：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）目前无在建工程，我公司保证投标文件提供信息的真实和准确，并愿意承担因我方就此弄虚作假所引起的一切后果。</w:t>
      </w:r>
    </w:p>
    <w:p w14:paraId="601EC702">
      <w:pPr>
        <w:snapToGrid w:val="0"/>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7EC83965">
      <w:pPr>
        <w:snapToGrid w:val="0"/>
        <w:spacing w:line="420" w:lineRule="exact"/>
        <w:ind w:firstLine="480" w:firstLineChars="200"/>
        <w:rPr>
          <w:rFonts w:hint="eastAsia" w:ascii="宋体" w:hAnsi="宋体" w:eastAsia="宋体" w:cs="宋体"/>
          <w:color w:val="auto"/>
          <w:sz w:val="24"/>
          <w:highlight w:val="none"/>
        </w:rPr>
      </w:pPr>
    </w:p>
    <w:p w14:paraId="71501A9B">
      <w:pPr>
        <w:snapToGrid w:val="0"/>
        <w:spacing w:line="420" w:lineRule="exact"/>
        <w:ind w:firstLine="480" w:firstLineChars="200"/>
        <w:rPr>
          <w:rFonts w:hint="eastAsia" w:ascii="宋体" w:hAnsi="宋体" w:eastAsia="宋体" w:cs="宋体"/>
          <w:color w:val="auto"/>
          <w:sz w:val="24"/>
          <w:highlight w:val="none"/>
        </w:rPr>
      </w:pPr>
    </w:p>
    <w:p w14:paraId="63560FB2">
      <w:pPr>
        <w:adjustRightInd w:val="0"/>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投标人名称(盖单位章)：</w:t>
      </w:r>
      <w:r>
        <w:rPr>
          <w:rFonts w:hint="eastAsia" w:ascii="宋体" w:hAnsi="宋体" w:eastAsia="宋体" w:cs="宋体"/>
          <w:color w:val="auto"/>
          <w:kern w:val="0"/>
          <w:szCs w:val="21"/>
          <w:highlight w:val="none"/>
          <w:u w:val="single"/>
        </w:rPr>
        <w:t xml:space="preserve">                 </w:t>
      </w:r>
    </w:p>
    <w:p w14:paraId="3ED78E45">
      <w:pPr>
        <w:adjustRightInd w:val="0"/>
        <w:snapToGrid w:val="0"/>
        <w:spacing w:line="44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 (签字)：</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 w:val="24"/>
          <w:highlight w:val="none"/>
        </w:rPr>
        <w:t xml:space="preserve">            </w:t>
      </w:r>
    </w:p>
    <w:p w14:paraId="52C91D80">
      <w:pPr>
        <w:pStyle w:val="9"/>
        <w:spacing w:line="440" w:lineRule="exact"/>
        <w:ind w:firstLine="480" w:firstLineChars="200"/>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636E854">
      <w:pPr>
        <w:snapToGrid w:val="0"/>
        <w:spacing w:line="420" w:lineRule="exact"/>
        <w:ind w:firstLine="420" w:firstLineChars="200"/>
        <w:rPr>
          <w:rFonts w:hint="eastAsia" w:ascii="宋体" w:hAnsi="宋体" w:eastAsia="宋体" w:cs="宋体"/>
          <w:color w:val="auto"/>
          <w:highlight w:val="none"/>
        </w:rPr>
      </w:pPr>
    </w:p>
    <w:p w14:paraId="67DF04B3">
      <w:pPr>
        <w:pStyle w:val="9"/>
        <w:adjustRightInd w:val="0"/>
        <w:snapToGrid w:val="0"/>
        <w:spacing w:line="360" w:lineRule="auto"/>
        <w:rPr>
          <w:rFonts w:hint="eastAsia" w:ascii="宋体" w:hAnsi="宋体" w:eastAsia="宋体" w:cs="宋体"/>
          <w:b/>
          <w:color w:val="auto"/>
          <w:highlight w:val="none"/>
        </w:rPr>
      </w:pPr>
    </w:p>
    <w:p w14:paraId="333DC238">
      <w:pPr>
        <w:pStyle w:val="9"/>
        <w:adjustRightInd w:val="0"/>
        <w:snapToGrid w:val="0"/>
        <w:spacing w:line="360" w:lineRule="auto"/>
        <w:rPr>
          <w:rFonts w:hint="eastAsia" w:ascii="宋体" w:hAnsi="宋体" w:eastAsia="宋体" w:cs="宋体"/>
          <w:b/>
          <w:color w:val="auto"/>
          <w:highlight w:val="none"/>
        </w:rPr>
      </w:pPr>
    </w:p>
    <w:p w14:paraId="35D66E00">
      <w:pPr>
        <w:pStyle w:val="9"/>
        <w:adjustRightInd w:val="0"/>
        <w:snapToGrid w:val="0"/>
        <w:spacing w:line="360" w:lineRule="auto"/>
        <w:rPr>
          <w:rFonts w:hint="eastAsia" w:ascii="宋体" w:hAnsi="宋体" w:eastAsia="宋体" w:cs="宋体"/>
          <w:b/>
          <w:color w:val="auto"/>
          <w:highlight w:val="none"/>
        </w:rPr>
      </w:pPr>
    </w:p>
    <w:p w14:paraId="438A560A">
      <w:pPr>
        <w:pStyle w:val="9"/>
        <w:adjustRightInd w:val="0"/>
        <w:snapToGrid w:val="0"/>
        <w:spacing w:line="360" w:lineRule="auto"/>
        <w:rPr>
          <w:rFonts w:hint="eastAsia" w:ascii="宋体" w:hAnsi="宋体" w:eastAsia="宋体" w:cs="宋体"/>
          <w:b/>
          <w:color w:val="auto"/>
          <w:highlight w:val="none"/>
        </w:rPr>
      </w:pPr>
    </w:p>
    <w:p w14:paraId="54393994">
      <w:pPr>
        <w:pStyle w:val="9"/>
        <w:adjustRightInd w:val="0"/>
        <w:snapToGrid w:val="0"/>
        <w:spacing w:line="360" w:lineRule="auto"/>
        <w:rPr>
          <w:rFonts w:hint="eastAsia" w:ascii="宋体" w:hAnsi="宋体" w:eastAsia="宋体" w:cs="宋体"/>
          <w:b/>
          <w:color w:val="auto"/>
          <w:highlight w:val="none"/>
        </w:rPr>
      </w:pPr>
    </w:p>
    <w:p w14:paraId="6BD5C327">
      <w:pPr>
        <w:pStyle w:val="9"/>
        <w:adjustRightInd w:val="0"/>
        <w:snapToGrid w:val="0"/>
        <w:spacing w:line="360" w:lineRule="auto"/>
        <w:rPr>
          <w:rFonts w:hint="eastAsia" w:ascii="宋体" w:hAnsi="宋体" w:eastAsia="宋体" w:cs="宋体"/>
          <w:b/>
          <w:color w:val="auto"/>
          <w:highlight w:val="none"/>
        </w:rPr>
      </w:pPr>
    </w:p>
    <w:p w14:paraId="18D85B31">
      <w:pPr>
        <w:pStyle w:val="9"/>
        <w:adjustRightInd w:val="0"/>
        <w:snapToGrid w:val="0"/>
        <w:spacing w:line="360" w:lineRule="auto"/>
        <w:rPr>
          <w:rFonts w:hint="eastAsia" w:ascii="宋体" w:hAnsi="宋体" w:eastAsia="宋体" w:cs="宋体"/>
          <w:b/>
          <w:color w:val="auto"/>
          <w:highlight w:val="none"/>
        </w:rPr>
      </w:pPr>
    </w:p>
    <w:p w14:paraId="4FC5A09C">
      <w:pPr>
        <w:pStyle w:val="9"/>
        <w:adjustRightInd w:val="0"/>
        <w:snapToGrid w:val="0"/>
        <w:spacing w:line="360" w:lineRule="auto"/>
        <w:rPr>
          <w:rFonts w:hint="eastAsia" w:ascii="宋体" w:hAnsi="宋体" w:eastAsia="宋体" w:cs="宋体"/>
          <w:b/>
          <w:color w:val="auto"/>
          <w:highlight w:val="none"/>
        </w:rPr>
      </w:pPr>
    </w:p>
    <w:p w14:paraId="1D89E183">
      <w:pPr>
        <w:pStyle w:val="9"/>
        <w:adjustRightInd w:val="0"/>
        <w:snapToGrid w:val="0"/>
        <w:spacing w:line="360" w:lineRule="auto"/>
        <w:rPr>
          <w:rFonts w:hint="eastAsia" w:ascii="宋体" w:hAnsi="宋体" w:eastAsia="宋体" w:cs="宋体"/>
          <w:b/>
          <w:color w:val="auto"/>
          <w:highlight w:val="none"/>
        </w:rPr>
      </w:pPr>
    </w:p>
    <w:p w14:paraId="3D85401B">
      <w:pPr>
        <w:pStyle w:val="9"/>
        <w:adjustRightInd w:val="0"/>
        <w:snapToGrid w:val="0"/>
        <w:spacing w:line="360" w:lineRule="auto"/>
        <w:rPr>
          <w:rFonts w:hint="eastAsia" w:ascii="宋体" w:hAnsi="宋体" w:eastAsia="宋体" w:cs="宋体"/>
          <w:b/>
          <w:color w:val="auto"/>
          <w:highlight w:val="none"/>
        </w:rPr>
      </w:pPr>
    </w:p>
    <w:p w14:paraId="0753EED6">
      <w:pPr>
        <w:pStyle w:val="9"/>
        <w:adjustRightInd w:val="0"/>
        <w:snapToGrid w:val="0"/>
        <w:spacing w:line="360" w:lineRule="auto"/>
        <w:rPr>
          <w:rFonts w:hint="eastAsia" w:ascii="宋体" w:hAnsi="宋体" w:eastAsia="宋体" w:cs="宋体"/>
          <w:b/>
          <w:color w:val="auto"/>
          <w:highlight w:val="none"/>
        </w:rPr>
      </w:pPr>
    </w:p>
    <w:p w14:paraId="3803006F">
      <w:pPr>
        <w:pStyle w:val="9"/>
        <w:adjustRightInd w:val="0"/>
        <w:snapToGrid w:val="0"/>
        <w:spacing w:line="360" w:lineRule="auto"/>
        <w:rPr>
          <w:rFonts w:hint="eastAsia" w:ascii="宋体" w:hAnsi="宋体" w:eastAsia="宋体" w:cs="宋体"/>
          <w:b/>
          <w:color w:val="auto"/>
          <w:highlight w:val="none"/>
        </w:rPr>
      </w:pPr>
    </w:p>
    <w:p w14:paraId="5892065D">
      <w:pPr>
        <w:pStyle w:val="9"/>
        <w:adjustRightInd w:val="0"/>
        <w:snapToGrid w:val="0"/>
        <w:spacing w:line="360" w:lineRule="auto"/>
        <w:rPr>
          <w:rFonts w:hint="eastAsia" w:ascii="宋体" w:hAnsi="宋体" w:eastAsia="宋体" w:cs="宋体"/>
          <w:b/>
          <w:color w:val="auto"/>
          <w:highlight w:val="none"/>
        </w:rPr>
      </w:pPr>
    </w:p>
    <w:p w14:paraId="1792110E">
      <w:pPr>
        <w:pStyle w:val="9"/>
        <w:adjustRightInd w:val="0"/>
        <w:snapToGrid w:val="0"/>
        <w:spacing w:line="360" w:lineRule="auto"/>
        <w:rPr>
          <w:rFonts w:hint="eastAsia" w:ascii="宋体" w:hAnsi="宋体" w:eastAsia="宋体" w:cs="宋体"/>
          <w:b/>
          <w:color w:val="auto"/>
          <w:highlight w:val="none"/>
        </w:rPr>
      </w:pPr>
    </w:p>
    <w:p w14:paraId="60A9E13D">
      <w:pPr>
        <w:pStyle w:val="9"/>
        <w:adjustRightInd w:val="0"/>
        <w:snapToGrid w:val="0"/>
        <w:spacing w:line="360" w:lineRule="auto"/>
        <w:rPr>
          <w:rFonts w:hint="eastAsia" w:ascii="宋体" w:hAnsi="宋体" w:eastAsia="宋体" w:cs="宋体"/>
          <w:b/>
          <w:color w:val="auto"/>
          <w:highlight w:val="none"/>
        </w:rPr>
      </w:pPr>
    </w:p>
    <w:p w14:paraId="32FAC0C9">
      <w:pPr>
        <w:pStyle w:val="9"/>
        <w:adjustRightInd w:val="0"/>
        <w:snapToGrid w:val="0"/>
        <w:spacing w:line="360" w:lineRule="auto"/>
        <w:rPr>
          <w:rFonts w:hint="eastAsia" w:ascii="宋体" w:hAnsi="宋体" w:eastAsia="宋体" w:cs="宋体"/>
          <w:b/>
          <w:color w:val="auto"/>
          <w:highlight w:val="none"/>
        </w:rPr>
      </w:pPr>
    </w:p>
    <w:p w14:paraId="20F7C23D">
      <w:pPr>
        <w:pStyle w:val="9"/>
        <w:adjustRightInd w:val="0"/>
        <w:snapToGrid w:val="0"/>
        <w:spacing w:line="360" w:lineRule="auto"/>
        <w:rPr>
          <w:rFonts w:hint="eastAsia" w:ascii="宋体" w:hAnsi="宋体" w:eastAsia="宋体" w:cs="宋体"/>
          <w:b/>
          <w:color w:val="auto"/>
          <w:highlight w:val="none"/>
        </w:rPr>
      </w:pPr>
    </w:p>
    <w:p w14:paraId="3CE34373">
      <w:pPr>
        <w:adjustRightInd w:val="0"/>
        <w:snapToGrid w:val="0"/>
        <w:spacing w:line="360" w:lineRule="auto"/>
        <w:outlineLvl w:val="0"/>
        <w:rPr>
          <w:rFonts w:hint="eastAsia" w:ascii="宋体" w:hAnsi="宋体" w:eastAsia="宋体" w:cs="宋体"/>
          <w:b/>
          <w:color w:val="auto"/>
          <w:sz w:val="32"/>
          <w:szCs w:val="32"/>
          <w:highlight w:val="none"/>
        </w:rPr>
      </w:pPr>
      <w:bookmarkStart w:id="428" w:name="_Toc5320"/>
      <w:bookmarkStart w:id="429" w:name="_Toc2684052"/>
      <w:bookmarkStart w:id="430" w:name="_Toc2674714"/>
      <w:bookmarkStart w:id="431" w:name="_Toc2951793"/>
      <w:bookmarkStart w:id="432" w:name="_Toc4506142"/>
      <w:bookmarkStart w:id="433" w:name="_Toc2674919"/>
      <w:r>
        <w:rPr>
          <w:rFonts w:hint="eastAsia" w:ascii="宋体" w:hAnsi="宋体" w:eastAsia="宋体" w:cs="宋体"/>
          <w:b/>
          <w:color w:val="auto"/>
          <w:sz w:val="32"/>
          <w:szCs w:val="32"/>
          <w:highlight w:val="none"/>
        </w:rPr>
        <w:t>附件12     参加政府采购活动前三年内在经营活动中</w:t>
      </w:r>
      <w:bookmarkEnd w:id="428"/>
      <w:r>
        <w:rPr>
          <w:rFonts w:hint="eastAsia" w:ascii="宋体" w:hAnsi="宋体" w:eastAsia="宋体" w:cs="宋体"/>
          <w:b/>
          <w:color w:val="auto"/>
          <w:sz w:val="32"/>
          <w:szCs w:val="32"/>
          <w:highlight w:val="none"/>
        </w:rPr>
        <w:t xml:space="preserve"> </w:t>
      </w:r>
    </w:p>
    <w:p w14:paraId="3BD19DB8">
      <w:pPr>
        <w:adjustRightInd w:val="0"/>
        <w:snapToGrid w:val="0"/>
        <w:spacing w:line="360" w:lineRule="auto"/>
        <w:ind w:firstLine="2891" w:firstLineChars="900"/>
        <w:outlineLvl w:val="0"/>
        <w:rPr>
          <w:rFonts w:hint="eastAsia" w:ascii="宋体" w:hAnsi="宋体" w:eastAsia="宋体" w:cs="宋体"/>
          <w:b/>
          <w:color w:val="auto"/>
          <w:sz w:val="32"/>
          <w:szCs w:val="32"/>
          <w:highlight w:val="none"/>
        </w:rPr>
      </w:pPr>
      <w:bookmarkStart w:id="434" w:name="_Toc15344"/>
      <w:r>
        <w:rPr>
          <w:rFonts w:hint="eastAsia" w:ascii="宋体" w:hAnsi="宋体" w:eastAsia="宋体" w:cs="宋体"/>
          <w:b/>
          <w:color w:val="auto"/>
          <w:sz w:val="32"/>
          <w:szCs w:val="32"/>
          <w:highlight w:val="none"/>
        </w:rPr>
        <w:t>没有重大违法记录的书面声明</w:t>
      </w:r>
      <w:bookmarkEnd w:id="429"/>
      <w:bookmarkEnd w:id="430"/>
      <w:bookmarkEnd w:id="431"/>
      <w:bookmarkEnd w:id="432"/>
      <w:bookmarkEnd w:id="433"/>
      <w:bookmarkEnd w:id="434"/>
    </w:p>
    <w:p w14:paraId="54A3EE71">
      <w:pPr>
        <w:adjustRightInd w:val="0"/>
        <w:snapToGrid w:val="0"/>
        <w:spacing w:line="440" w:lineRule="exact"/>
        <w:rPr>
          <w:rFonts w:hint="eastAsia" w:ascii="宋体" w:hAnsi="宋体" w:eastAsia="宋体" w:cs="宋体"/>
          <w:b/>
          <w:color w:val="auto"/>
          <w:szCs w:val="21"/>
          <w:highlight w:val="none"/>
        </w:rPr>
      </w:pPr>
    </w:p>
    <w:p w14:paraId="2961BF46">
      <w:pPr>
        <w:adjustRightInd w:val="0"/>
        <w:snapToGrid w:val="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致</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(采购代理机构)：</w:t>
      </w:r>
    </w:p>
    <w:p w14:paraId="516A62E3">
      <w:pPr>
        <w:autoSpaceDE w:val="0"/>
        <w:autoSpaceDN w:val="0"/>
        <w:adjustRightInd w:val="0"/>
        <w:snapToGrid w:val="0"/>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我单位在参加政府采购活动前三年内在经营活动中没有政府采购法第二十二条第一款第（五）项所称重大违法记录，包括：</w:t>
      </w:r>
    </w:p>
    <w:p w14:paraId="3F52AA8D">
      <w:pPr>
        <w:autoSpaceDE w:val="0"/>
        <w:autoSpaceDN w:val="0"/>
        <w:adjustRightInd w:val="0"/>
        <w:snapToGrid w:val="0"/>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受到刑事处罚、责令停产停业、在一至三年内禁止参加政府采购活动、暂扣或者吊销许可证、暂扣或者吊销执照等情形之一的行政处罚，或者存在财政部门认定的其他重大违法记录。</w:t>
      </w:r>
    </w:p>
    <w:p w14:paraId="7E775BAD">
      <w:pPr>
        <w:autoSpaceDE w:val="0"/>
        <w:autoSpaceDN w:val="0"/>
        <w:adjustRightInd w:val="0"/>
        <w:snapToGrid w:val="0"/>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特此声明！</w:t>
      </w:r>
    </w:p>
    <w:p w14:paraId="0F99D6CC">
      <w:pPr>
        <w:widowControl/>
        <w:adjustRightInd w:val="0"/>
        <w:snapToGrid w:val="0"/>
        <w:spacing w:line="440" w:lineRule="exact"/>
        <w:ind w:firstLine="420"/>
        <w:rPr>
          <w:rFonts w:hint="eastAsia" w:ascii="宋体" w:hAnsi="宋体" w:eastAsia="宋体" w:cs="宋体"/>
          <w:color w:val="auto"/>
          <w:kern w:val="0"/>
          <w:szCs w:val="21"/>
          <w:highlight w:val="none"/>
        </w:rPr>
      </w:pPr>
    </w:p>
    <w:p w14:paraId="7A1C81C5">
      <w:pPr>
        <w:adjustRightInd w:val="0"/>
        <w:snapToGrid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投标人名称（公章）：</w:t>
      </w:r>
      <w:r>
        <w:rPr>
          <w:rFonts w:hint="eastAsia" w:ascii="宋体" w:hAnsi="宋体" w:eastAsia="宋体" w:cs="宋体"/>
          <w:color w:val="auto"/>
          <w:kern w:val="0"/>
          <w:szCs w:val="21"/>
          <w:highlight w:val="none"/>
          <w:u w:val="single"/>
        </w:rPr>
        <w:t xml:space="preserve">                 </w:t>
      </w:r>
    </w:p>
    <w:p w14:paraId="73568129">
      <w:pPr>
        <w:adjustRightInd w:val="0"/>
        <w:snapToGrid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法定代表人 (签字)：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1407B361">
      <w:pPr>
        <w:adjustRightInd w:val="0"/>
        <w:snapToGrid w:val="0"/>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日期：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17BC5E82">
      <w:pPr>
        <w:adjustRightInd w:val="0"/>
        <w:snapToGrid w:val="0"/>
        <w:spacing w:line="440" w:lineRule="exact"/>
        <w:rPr>
          <w:rFonts w:hint="eastAsia" w:ascii="宋体" w:hAnsi="宋体" w:eastAsia="宋体" w:cs="宋体"/>
          <w:color w:val="auto"/>
          <w:szCs w:val="21"/>
          <w:highlight w:val="none"/>
        </w:rPr>
      </w:pPr>
    </w:p>
    <w:p w14:paraId="5447CCA9">
      <w:pPr>
        <w:adjustRightInd w:val="0"/>
        <w:snapToGrid w:val="0"/>
        <w:spacing w:line="4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备注：如投标人注册成立不足三年的，应就单位成立至参加政府采购活动时段进行书面声明。</w:t>
      </w:r>
    </w:p>
    <w:p w14:paraId="55E5272B">
      <w:pPr>
        <w:adjustRightInd w:val="0"/>
        <w:snapToGrid w:val="0"/>
        <w:spacing w:line="440" w:lineRule="exact"/>
        <w:rPr>
          <w:rFonts w:hint="eastAsia" w:ascii="宋体" w:hAnsi="宋体" w:eastAsia="宋体" w:cs="宋体"/>
          <w:b/>
          <w:color w:val="auto"/>
          <w:sz w:val="24"/>
          <w:highlight w:val="none"/>
        </w:rPr>
      </w:pPr>
    </w:p>
    <w:p w14:paraId="2E088617">
      <w:pPr>
        <w:pStyle w:val="9"/>
        <w:adjustRightInd w:val="0"/>
        <w:snapToGrid w:val="0"/>
        <w:spacing w:line="360" w:lineRule="auto"/>
        <w:rPr>
          <w:rFonts w:hint="eastAsia" w:ascii="宋体" w:hAnsi="宋体" w:eastAsia="宋体" w:cs="宋体"/>
          <w:b/>
          <w:color w:val="auto"/>
          <w:highlight w:val="none"/>
        </w:rPr>
      </w:pPr>
    </w:p>
    <w:p w14:paraId="1E604C18">
      <w:pPr>
        <w:pStyle w:val="9"/>
        <w:adjustRightInd w:val="0"/>
        <w:snapToGrid w:val="0"/>
        <w:spacing w:line="360" w:lineRule="auto"/>
        <w:rPr>
          <w:rFonts w:hint="eastAsia" w:ascii="宋体" w:hAnsi="宋体" w:eastAsia="宋体" w:cs="宋体"/>
          <w:b/>
          <w:color w:val="auto"/>
          <w:highlight w:val="none"/>
        </w:rPr>
      </w:pPr>
    </w:p>
    <w:p w14:paraId="1D580621">
      <w:pPr>
        <w:pStyle w:val="9"/>
        <w:adjustRightInd w:val="0"/>
        <w:snapToGrid w:val="0"/>
        <w:spacing w:line="360" w:lineRule="auto"/>
        <w:rPr>
          <w:rFonts w:hint="eastAsia" w:ascii="宋体" w:hAnsi="宋体" w:eastAsia="宋体" w:cs="宋体"/>
          <w:b/>
          <w:color w:val="auto"/>
          <w:highlight w:val="none"/>
        </w:rPr>
      </w:pPr>
    </w:p>
    <w:p w14:paraId="3E353D42">
      <w:pPr>
        <w:pStyle w:val="9"/>
        <w:adjustRightInd w:val="0"/>
        <w:snapToGrid w:val="0"/>
        <w:spacing w:line="360" w:lineRule="auto"/>
        <w:rPr>
          <w:rFonts w:hint="eastAsia" w:ascii="宋体" w:hAnsi="宋体" w:eastAsia="宋体" w:cs="宋体"/>
          <w:b/>
          <w:color w:val="auto"/>
          <w:highlight w:val="none"/>
        </w:rPr>
      </w:pPr>
    </w:p>
    <w:p w14:paraId="5CB24BDC">
      <w:pPr>
        <w:pStyle w:val="9"/>
        <w:adjustRightInd w:val="0"/>
        <w:snapToGrid w:val="0"/>
        <w:spacing w:line="360" w:lineRule="auto"/>
        <w:rPr>
          <w:rFonts w:hint="eastAsia" w:ascii="宋体" w:hAnsi="宋体" w:eastAsia="宋体" w:cs="宋体"/>
          <w:b/>
          <w:color w:val="auto"/>
          <w:highlight w:val="none"/>
        </w:rPr>
      </w:pPr>
    </w:p>
    <w:p w14:paraId="278C9CE7">
      <w:pPr>
        <w:pStyle w:val="9"/>
        <w:adjustRightInd w:val="0"/>
        <w:snapToGrid w:val="0"/>
        <w:spacing w:line="360" w:lineRule="auto"/>
        <w:rPr>
          <w:rFonts w:hint="eastAsia" w:ascii="宋体" w:hAnsi="宋体" w:eastAsia="宋体" w:cs="宋体"/>
          <w:b/>
          <w:color w:val="auto"/>
          <w:highlight w:val="none"/>
        </w:rPr>
      </w:pPr>
    </w:p>
    <w:p w14:paraId="29C2D8B2">
      <w:pPr>
        <w:pStyle w:val="9"/>
        <w:adjustRightInd w:val="0"/>
        <w:snapToGrid w:val="0"/>
        <w:spacing w:line="360" w:lineRule="auto"/>
        <w:rPr>
          <w:rFonts w:hint="eastAsia" w:ascii="宋体" w:hAnsi="宋体" w:eastAsia="宋体" w:cs="宋体"/>
          <w:b/>
          <w:color w:val="auto"/>
          <w:highlight w:val="none"/>
        </w:rPr>
      </w:pPr>
    </w:p>
    <w:p w14:paraId="4075C577">
      <w:pPr>
        <w:pStyle w:val="9"/>
        <w:adjustRightInd w:val="0"/>
        <w:snapToGrid w:val="0"/>
        <w:spacing w:line="360" w:lineRule="auto"/>
        <w:rPr>
          <w:rFonts w:hint="eastAsia" w:ascii="宋体" w:hAnsi="宋体" w:eastAsia="宋体" w:cs="宋体"/>
          <w:b/>
          <w:color w:val="auto"/>
          <w:highlight w:val="none"/>
        </w:rPr>
      </w:pPr>
    </w:p>
    <w:p w14:paraId="5E635617">
      <w:pPr>
        <w:pStyle w:val="9"/>
        <w:adjustRightInd w:val="0"/>
        <w:snapToGrid w:val="0"/>
        <w:spacing w:line="360" w:lineRule="auto"/>
        <w:rPr>
          <w:rFonts w:hint="eastAsia" w:ascii="宋体" w:hAnsi="宋体" w:eastAsia="宋体" w:cs="宋体"/>
          <w:b/>
          <w:color w:val="auto"/>
          <w:highlight w:val="none"/>
        </w:rPr>
      </w:pPr>
    </w:p>
    <w:p w14:paraId="5FBC6482">
      <w:pPr>
        <w:pStyle w:val="9"/>
        <w:adjustRightInd w:val="0"/>
        <w:snapToGrid w:val="0"/>
        <w:spacing w:line="360" w:lineRule="auto"/>
        <w:rPr>
          <w:rFonts w:hint="eastAsia" w:ascii="宋体" w:hAnsi="宋体" w:eastAsia="宋体" w:cs="宋体"/>
          <w:b/>
          <w:color w:val="auto"/>
          <w:highlight w:val="none"/>
        </w:rPr>
      </w:pPr>
    </w:p>
    <w:p w14:paraId="12E79E48">
      <w:pPr>
        <w:pStyle w:val="9"/>
        <w:adjustRightInd w:val="0"/>
        <w:snapToGrid w:val="0"/>
        <w:spacing w:line="360" w:lineRule="auto"/>
        <w:rPr>
          <w:rFonts w:hint="eastAsia" w:ascii="宋体" w:hAnsi="宋体" w:eastAsia="宋体" w:cs="宋体"/>
          <w:b/>
          <w:color w:val="auto"/>
          <w:highlight w:val="none"/>
        </w:rPr>
      </w:pPr>
    </w:p>
    <w:p w14:paraId="6497A6BC">
      <w:pPr>
        <w:pStyle w:val="9"/>
        <w:adjustRightInd w:val="0"/>
        <w:snapToGrid w:val="0"/>
        <w:spacing w:line="360" w:lineRule="auto"/>
        <w:rPr>
          <w:rFonts w:hint="eastAsia" w:ascii="宋体" w:hAnsi="宋体" w:eastAsia="宋体" w:cs="宋体"/>
          <w:b/>
          <w:color w:val="auto"/>
          <w:highlight w:val="none"/>
        </w:rPr>
      </w:pPr>
    </w:p>
    <w:p w14:paraId="37E5BC56">
      <w:pPr>
        <w:pStyle w:val="9"/>
        <w:adjustRightInd w:val="0"/>
        <w:snapToGrid w:val="0"/>
        <w:spacing w:line="360" w:lineRule="auto"/>
        <w:rPr>
          <w:rFonts w:hint="eastAsia" w:ascii="宋体" w:hAnsi="宋体" w:eastAsia="宋体" w:cs="宋体"/>
          <w:b/>
          <w:color w:val="auto"/>
          <w:highlight w:val="none"/>
        </w:rPr>
      </w:pPr>
    </w:p>
    <w:p w14:paraId="6DD9FED8">
      <w:pPr>
        <w:pStyle w:val="9"/>
        <w:adjustRightInd w:val="0"/>
        <w:snapToGrid w:val="0"/>
        <w:spacing w:line="360" w:lineRule="auto"/>
        <w:rPr>
          <w:rFonts w:hint="eastAsia" w:ascii="宋体" w:hAnsi="宋体" w:eastAsia="宋体" w:cs="宋体"/>
          <w:b/>
          <w:color w:val="auto"/>
          <w:highlight w:val="none"/>
        </w:rPr>
      </w:pPr>
    </w:p>
    <w:p w14:paraId="1489436B">
      <w:pPr>
        <w:pStyle w:val="9"/>
        <w:adjustRightInd w:val="0"/>
        <w:snapToGrid w:val="0"/>
        <w:spacing w:line="360" w:lineRule="auto"/>
        <w:rPr>
          <w:rFonts w:hint="eastAsia" w:ascii="宋体" w:hAnsi="宋体" w:eastAsia="宋体" w:cs="宋体"/>
          <w:b/>
          <w:color w:val="auto"/>
          <w:highlight w:val="none"/>
        </w:rPr>
      </w:pPr>
    </w:p>
    <w:p w14:paraId="092A2266">
      <w:pPr>
        <w:pStyle w:val="9"/>
        <w:adjustRightInd w:val="0"/>
        <w:snapToGrid w:val="0"/>
        <w:spacing w:line="360" w:lineRule="auto"/>
        <w:rPr>
          <w:rFonts w:hint="eastAsia" w:ascii="宋体" w:hAnsi="宋体" w:eastAsia="宋体" w:cs="宋体"/>
          <w:b/>
          <w:color w:val="auto"/>
          <w:highlight w:val="none"/>
        </w:rPr>
      </w:pPr>
    </w:p>
    <w:p w14:paraId="5D409751">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435" w:name="_Toc483385945"/>
      <w:bookmarkStart w:id="436" w:name="_Toc2593153"/>
      <w:bookmarkStart w:id="437" w:name="_Toc522285671"/>
      <w:bookmarkStart w:id="438" w:name="_Toc465878291"/>
      <w:bookmarkStart w:id="439" w:name="_Toc4506143"/>
      <w:bookmarkStart w:id="440" w:name="_Toc497049069"/>
      <w:bookmarkStart w:id="441" w:name="_Toc454904329"/>
      <w:bookmarkStart w:id="442" w:name="_Toc2684053"/>
      <w:bookmarkStart w:id="443" w:name="_Toc498186737"/>
      <w:bookmarkStart w:id="444" w:name="_Toc2674715"/>
      <w:bookmarkStart w:id="445" w:name="_Toc2674920"/>
      <w:bookmarkStart w:id="446" w:name="_Toc439924297"/>
      <w:bookmarkStart w:id="447" w:name="_Toc521048964"/>
      <w:bookmarkStart w:id="448" w:name="_Toc496459181"/>
      <w:bookmarkStart w:id="449" w:name="_Toc2951794"/>
      <w:bookmarkStart w:id="450" w:name="_Toc8484"/>
      <w:bookmarkStart w:id="451" w:name="_Toc439924788"/>
      <w:bookmarkStart w:id="452" w:name="_Toc465362707"/>
      <w:bookmarkStart w:id="453" w:name="_Toc462074643"/>
      <w:r>
        <w:rPr>
          <w:rFonts w:hint="eastAsia" w:ascii="宋体" w:hAnsi="宋体" w:eastAsia="宋体" w:cs="宋体"/>
          <w:b/>
          <w:color w:val="auto"/>
          <w:sz w:val="32"/>
          <w:szCs w:val="32"/>
          <w:highlight w:val="none"/>
        </w:rPr>
        <w:t>四、商务/技术响应与偏离表</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tbl>
      <w:tblPr>
        <w:tblStyle w:val="19"/>
        <w:tblW w:w="89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34"/>
        <w:gridCol w:w="1453"/>
        <w:gridCol w:w="2410"/>
        <w:gridCol w:w="2391"/>
        <w:gridCol w:w="1292"/>
        <w:gridCol w:w="720"/>
      </w:tblGrid>
      <w:tr w14:paraId="79D8E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Align w:val="center"/>
          </w:tcPr>
          <w:p w14:paraId="0A3610CF">
            <w:pPr>
              <w:adjustRightInd w:val="0"/>
              <w:snapToGrid w:val="0"/>
              <w:spacing w:line="360" w:lineRule="exact"/>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453" w:type="dxa"/>
            <w:vAlign w:val="center"/>
          </w:tcPr>
          <w:p w14:paraId="017D5380">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文件条目号</w:t>
            </w:r>
          </w:p>
        </w:tc>
        <w:tc>
          <w:tcPr>
            <w:tcW w:w="2410" w:type="dxa"/>
            <w:vAlign w:val="center"/>
          </w:tcPr>
          <w:p w14:paraId="295AF1D0">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磋商文件商务/技术条款</w:t>
            </w:r>
          </w:p>
        </w:tc>
        <w:tc>
          <w:tcPr>
            <w:tcW w:w="2391" w:type="dxa"/>
            <w:vAlign w:val="center"/>
          </w:tcPr>
          <w:p w14:paraId="18ED9C9E">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响应文件商务/技术条款</w:t>
            </w:r>
          </w:p>
        </w:tc>
        <w:tc>
          <w:tcPr>
            <w:tcW w:w="1292" w:type="dxa"/>
            <w:vAlign w:val="center"/>
          </w:tcPr>
          <w:p w14:paraId="40BA4AE0">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响应与偏离</w:t>
            </w:r>
          </w:p>
        </w:tc>
        <w:tc>
          <w:tcPr>
            <w:tcW w:w="720" w:type="dxa"/>
            <w:vAlign w:val="center"/>
          </w:tcPr>
          <w:p w14:paraId="6D8C1A17">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tc>
      </w:tr>
      <w:tr w14:paraId="0BEDD6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restart"/>
            <w:vAlign w:val="center"/>
          </w:tcPr>
          <w:p w14:paraId="48281343">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restart"/>
            <w:vAlign w:val="center"/>
          </w:tcPr>
          <w:p w14:paraId="69B19A60">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第二章磋商须知前附表</w:t>
            </w:r>
          </w:p>
        </w:tc>
        <w:tc>
          <w:tcPr>
            <w:tcW w:w="2410" w:type="dxa"/>
            <w:vAlign w:val="center"/>
          </w:tcPr>
          <w:p w14:paraId="0AA983D3">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投标有效期</w:t>
            </w:r>
          </w:p>
        </w:tc>
        <w:tc>
          <w:tcPr>
            <w:tcW w:w="2391" w:type="dxa"/>
            <w:vAlign w:val="center"/>
          </w:tcPr>
          <w:p w14:paraId="42D21A8C">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1B4541AA">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07353388">
            <w:pPr>
              <w:adjustRightInd w:val="0"/>
              <w:snapToGrid w:val="0"/>
              <w:spacing w:line="360" w:lineRule="exact"/>
              <w:jc w:val="center"/>
              <w:rPr>
                <w:rFonts w:hint="eastAsia" w:ascii="宋体" w:hAnsi="宋体" w:eastAsia="宋体" w:cs="宋体"/>
                <w:color w:val="auto"/>
                <w:szCs w:val="21"/>
                <w:highlight w:val="none"/>
              </w:rPr>
            </w:pPr>
          </w:p>
        </w:tc>
      </w:tr>
      <w:tr w14:paraId="0084ED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56909785">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106ACA49">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7676EAEB">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w:t>
            </w:r>
          </w:p>
        </w:tc>
        <w:tc>
          <w:tcPr>
            <w:tcW w:w="2391" w:type="dxa"/>
            <w:vAlign w:val="center"/>
          </w:tcPr>
          <w:p w14:paraId="761029B3">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1FAA0B01">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198C232A">
            <w:pPr>
              <w:adjustRightInd w:val="0"/>
              <w:snapToGrid w:val="0"/>
              <w:spacing w:line="360" w:lineRule="exact"/>
              <w:jc w:val="center"/>
              <w:rPr>
                <w:rFonts w:hint="eastAsia" w:ascii="宋体" w:hAnsi="宋体" w:eastAsia="宋体" w:cs="宋体"/>
                <w:color w:val="auto"/>
                <w:szCs w:val="21"/>
                <w:highlight w:val="none"/>
              </w:rPr>
            </w:pPr>
          </w:p>
        </w:tc>
      </w:tr>
      <w:tr w14:paraId="40576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34A0D32B">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59608C7B">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4E6BF430">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2391" w:type="dxa"/>
            <w:vAlign w:val="center"/>
          </w:tcPr>
          <w:p w14:paraId="3973074F">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0D0B54AA">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28B86BF3">
            <w:pPr>
              <w:adjustRightInd w:val="0"/>
              <w:snapToGrid w:val="0"/>
              <w:spacing w:line="360" w:lineRule="exact"/>
              <w:jc w:val="center"/>
              <w:rPr>
                <w:rFonts w:hint="eastAsia" w:ascii="宋体" w:hAnsi="宋体" w:eastAsia="宋体" w:cs="宋体"/>
                <w:color w:val="auto"/>
                <w:szCs w:val="21"/>
                <w:highlight w:val="none"/>
              </w:rPr>
            </w:pPr>
          </w:p>
        </w:tc>
      </w:tr>
      <w:tr w14:paraId="1D019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5449C7FA">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3CDF5D90">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564FBB2E">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采购文件要求的资质（逐一列明）</w:t>
            </w:r>
          </w:p>
        </w:tc>
        <w:tc>
          <w:tcPr>
            <w:tcW w:w="2391" w:type="dxa"/>
            <w:vAlign w:val="center"/>
          </w:tcPr>
          <w:p w14:paraId="7C62841F">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17EA91D6">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63E7A9CD">
            <w:pPr>
              <w:adjustRightInd w:val="0"/>
              <w:snapToGrid w:val="0"/>
              <w:spacing w:line="360" w:lineRule="exact"/>
              <w:jc w:val="center"/>
              <w:rPr>
                <w:rFonts w:hint="eastAsia" w:ascii="宋体" w:hAnsi="宋体" w:eastAsia="宋体" w:cs="宋体"/>
                <w:color w:val="auto"/>
                <w:szCs w:val="21"/>
                <w:highlight w:val="none"/>
              </w:rPr>
            </w:pPr>
          </w:p>
        </w:tc>
      </w:tr>
      <w:tr w14:paraId="4A7DA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09D03630">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26EB33A5">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1FE34DBF">
            <w:pPr>
              <w:adjustRightInd w:val="0"/>
              <w:snapToGrid w:val="0"/>
              <w:spacing w:line="360" w:lineRule="exact"/>
              <w:jc w:val="center"/>
              <w:rPr>
                <w:rFonts w:hint="eastAsia" w:ascii="宋体" w:hAnsi="宋体" w:eastAsia="宋体" w:cs="宋体"/>
                <w:color w:val="auto"/>
                <w:szCs w:val="21"/>
                <w:highlight w:val="none"/>
              </w:rPr>
            </w:pPr>
          </w:p>
        </w:tc>
        <w:tc>
          <w:tcPr>
            <w:tcW w:w="2391" w:type="dxa"/>
            <w:vAlign w:val="center"/>
          </w:tcPr>
          <w:p w14:paraId="5B7F8C8E">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3CE4C86B">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48CAD9B6">
            <w:pPr>
              <w:adjustRightInd w:val="0"/>
              <w:snapToGrid w:val="0"/>
              <w:spacing w:line="360" w:lineRule="exact"/>
              <w:jc w:val="center"/>
              <w:rPr>
                <w:rFonts w:hint="eastAsia" w:ascii="宋体" w:hAnsi="宋体" w:eastAsia="宋体" w:cs="宋体"/>
                <w:color w:val="auto"/>
                <w:szCs w:val="21"/>
                <w:highlight w:val="none"/>
              </w:rPr>
            </w:pPr>
          </w:p>
        </w:tc>
      </w:tr>
      <w:tr w14:paraId="5AFBF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7A2792F4">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652BE2F0">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63BE4C84">
            <w:pPr>
              <w:adjustRightInd w:val="0"/>
              <w:snapToGrid w:val="0"/>
              <w:spacing w:line="360" w:lineRule="exact"/>
              <w:jc w:val="center"/>
              <w:rPr>
                <w:rFonts w:hint="eastAsia" w:ascii="宋体" w:hAnsi="宋体" w:eastAsia="宋体" w:cs="宋体"/>
                <w:color w:val="auto"/>
                <w:szCs w:val="21"/>
                <w:highlight w:val="none"/>
              </w:rPr>
            </w:pPr>
          </w:p>
        </w:tc>
        <w:tc>
          <w:tcPr>
            <w:tcW w:w="2391" w:type="dxa"/>
            <w:vAlign w:val="center"/>
          </w:tcPr>
          <w:p w14:paraId="450D04D3">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089D4075">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5EF80DC4">
            <w:pPr>
              <w:adjustRightInd w:val="0"/>
              <w:snapToGrid w:val="0"/>
              <w:spacing w:line="360" w:lineRule="exact"/>
              <w:jc w:val="center"/>
              <w:rPr>
                <w:rFonts w:hint="eastAsia" w:ascii="宋体" w:hAnsi="宋体" w:eastAsia="宋体" w:cs="宋体"/>
                <w:color w:val="auto"/>
                <w:szCs w:val="21"/>
                <w:highlight w:val="none"/>
              </w:rPr>
            </w:pPr>
          </w:p>
        </w:tc>
      </w:tr>
      <w:tr w14:paraId="3688D6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0F17712A">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1207FDBD">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7102C446">
            <w:pPr>
              <w:adjustRightInd w:val="0"/>
              <w:snapToGrid w:val="0"/>
              <w:spacing w:line="360" w:lineRule="exact"/>
              <w:jc w:val="center"/>
              <w:rPr>
                <w:rFonts w:hint="eastAsia" w:ascii="宋体" w:hAnsi="宋体" w:eastAsia="宋体" w:cs="宋体"/>
                <w:color w:val="auto"/>
                <w:szCs w:val="21"/>
                <w:highlight w:val="none"/>
              </w:rPr>
            </w:pPr>
          </w:p>
        </w:tc>
        <w:tc>
          <w:tcPr>
            <w:tcW w:w="2391" w:type="dxa"/>
            <w:vAlign w:val="center"/>
          </w:tcPr>
          <w:p w14:paraId="39E753D5">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2CAB9D9C">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29928741">
            <w:pPr>
              <w:adjustRightInd w:val="0"/>
              <w:snapToGrid w:val="0"/>
              <w:spacing w:line="360" w:lineRule="exact"/>
              <w:jc w:val="center"/>
              <w:rPr>
                <w:rFonts w:hint="eastAsia" w:ascii="宋体" w:hAnsi="宋体" w:eastAsia="宋体" w:cs="宋体"/>
                <w:color w:val="auto"/>
                <w:szCs w:val="21"/>
                <w:highlight w:val="none"/>
              </w:rPr>
            </w:pPr>
          </w:p>
        </w:tc>
      </w:tr>
      <w:tr w14:paraId="631062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1631875D">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4E8B97EC">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5A66E4A3">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391" w:type="dxa"/>
            <w:vAlign w:val="center"/>
          </w:tcPr>
          <w:p w14:paraId="6736D48E">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292" w:type="dxa"/>
            <w:vAlign w:val="center"/>
          </w:tcPr>
          <w:p w14:paraId="3BC7DD62">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720" w:type="dxa"/>
            <w:vAlign w:val="center"/>
          </w:tcPr>
          <w:p w14:paraId="1A22F7C2">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0361F6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restart"/>
            <w:vAlign w:val="center"/>
          </w:tcPr>
          <w:p w14:paraId="2844368F">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restart"/>
            <w:vAlign w:val="center"/>
          </w:tcPr>
          <w:p w14:paraId="5A90D8B9">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第三章采购需求</w:t>
            </w:r>
          </w:p>
        </w:tc>
        <w:tc>
          <w:tcPr>
            <w:tcW w:w="2410" w:type="dxa"/>
            <w:vAlign w:val="center"/>
          </w:tcPr>
          <w:p w14:paraId="35426639">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请将采购文件相应部分逐一列明</w:t>
            </w:r>
          </w:p>
        </w:tc>
        <w:tc>
          <w:tcPr>
            <w:tcW w:w="2391" w:type="dxa"/>
            <w:vAlign w:val="center"/>
          </w:tcPr>
          <w:p w14:paraId="43D4A46C">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1244B756">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61A645AE">
            <w:pPr>
              <w:adjustRightInd w:val="0"/>
              <w:snapToGrid w:val="0"/>
              <w:spacing w:line="360" w:lineRule="exact"/>
              <w:jc w:val="center"/>
              <w:rPr>
                <w:rFonts w:hint="eastAsia" w:ascii="宋体" w:hAnsi="宋体" w:eastAsia="宋体" w:cs="宋体"/>
                <w:color w:val="auto"/>
                <w:szCs w:val="21"/>
                <w:highlight w:val="none"/>
              </w:rPr>
            </w:pPr>
          </w:p>
        </w:tc>
      </w:tr>
      <w:tr w14:paraId="493D60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6B0C86BB">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31425FA6">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7AAE2ED1">
            <w:pPr>
              <w:adjustRightInd w:val="0"/>
              <w:snapToGrid w:val="0"/>
              <w:spacing w:line="360" w:lineRule="exact"/>
              <w:jc w:val="center"/>
              <w:rPr>
                <w:rFonts w:hint="eastAsia" w:ascii="宋体" w:hAnsi="宋体" w:eastAsia="宋体" w:cs="宋体"/>
                <w:color w:val="auto"/>
                <w:szCs w:val="21"/>
                <w:highlight w:val="none"/>
              </w:rPr>
            </w:pPr>
          </w:p>
        </w:tc>
        <w:tc>
          <w:tcPr>
            <w:tcW w:w="2391" w:type="dxa"/>
            <w:vAlign w:val="center"/>
          </w:tcPr>
          <w:p w14:paraId="5962B9BF">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165F2F82">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29EADBFA">
            <w:pPr>
              <w:adjustRightInd w:val="0"/>
              <w:snapToGrid w:val="0"/>
              <w:spacing w:line="360" w:lineRule="exact"/>
              <w:jc w:val="center"/>
              <w:rPr>
                <w:rFonts w:hint="eastAsia" w:ascii="宋体" w:hAnsi="宋体" w:eastAsia="宋体" w:cs="宋体"/>
                <w:color w:val="auto"/>
                <w:szCs w:val="21"/>
                <w:highlight w:val="none"/>
              </w:rPr>
            </w:pPr>
          </w:p>
        </w:tc>
      </w:tr>
      <w:tr w14:paraId="4F86F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188B1020">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32173ABF">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456A03A6">
            <w:pPr>
              <w:adjustRightInd w:val="0"/>
              <w:snapToGrid w:val="0"/>
              <w:spacing w:line="360" w:lineRule="exact"/>
              <w:jc w:val="center"/>
              <w:rPr>
                <w:rFonts w:hint="eastAsia" w:ascii="宋体" w:hAnsi="宋体" w:eastAsia="宋体" w:cs="宋体"/>
                <w:color w:val="auto"/>
                <w:szCs w:val="21"/>
                <w:highlight w:val="none"/>
              </w:rPr>
            </w:pPr>
          </w:p>
        </w:tc>
        <w:tc>
          <w:tcPr>
            <w:tcW w:w="2391" w:type="dxa"/>
            <w:vAlign w:val="center"/>
          </w:tcPr>
          <w:p w14:paraId="3B40B85C">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2F236987">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5EF4D888">
            <w:pPr>
              <w:adjustRightInd w:val="0"/>
              <w:snapToGrid w:val="0"/>
              <w:spacing w:line="360" w:lineRule="exact"/>
              <w:jc w:val="center"/>
              <w:rPr>
                <w:rFonts w:hint="eastAsia" w:ascii="宋体" w:hAnsi="宋体" w:eastAsia="宋体" w:cs="宋体"/>
                <w:color w:val="auto"/>
                <w:szCs w:val="21"/>
                <w:highlight w:val="none"/>
              </w:rPr>
            </w:pPr>
          </w:p>
        </w:tc>
      </w:tr>
      <w:tr w14:paraId="7F65E8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2708181D">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3CE1B204">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4E2BACD1">
            <w:pPr>
              <w:adjustRightInd w:val="0"/>
              <w:snapToGrid w:val="0"/>
              <w:spacing w:line="360" w:lineRule="exact"/>
              <w:jc w:val="center"/>
              <w:rPr>
                <w:rFonts w:hint="eastAsia" w:ascii="宋体" w:hAnsi="宋体" w:eastAsia="宋体" w:cs="宋体"/>
                <w:color w:val="auto"/>
                <w:szCs w:val="21"/>
                <w:highlight w:val="none"/>
              </w:rPr>
            </w:pPr>
          </w:p>
        </w:tc>
        <w:tc>
          <w:tcPr>
            <w:tcW w:w="2391" w:type="dxa"/>
            <w:vAlign w:val="center"/>
          </w:tcPr>
          <w:p w14:paraId="7A4E9D92">
            <w:pPr>
              <w:adjustRightInd w:val="0"/>
              <w:snapToGrid w:val="0"/>
              <w:spacing w:line="360" w:lineRule="exact"/>
              <w:jc w:val="center"/>
              <w:rPr>
                <w:rFonts w:hint="eastAsia" w:ascii="宋体" w:hAnsi="宋体" w:eastAsia="宋体" w:cs="宋体"/>
                <w:color w:val="auto"/>
                <w:szCs w:val="21"/>
                <w:highlight w:val="none"/>
              </w:rPr>
            </w:pPr>
          </w:p>
        </w:tc>
        <w:tc>
          <w:tcPr>
            <w:tcW w:w="1292" w:type="dxa"/>
            <w:vAlign w:val="center"/>
          </w:tcPr>
          <w:p w14:paraId="36AEA2D2">
            <w:pPr>
              <w:adjustRightInd w:val="0"/>
              <w:snapToGrid w:val="0"/>
              <w:spacing w:line="360" w:lineRule="exact"/>
              <w:jc w:val="center"/>
              <w:rPr>
                <w:rFonts w:hint="eastAsia" w:ascii="宋体" w:hAnsi="宋体" w:eastAsia="宋体" w:cs="宋体"/>
                <w:color w:val="auto"/>
                <w:szCs w:val="21"/>
                <w:highlight w:val="none"/>
              </w:rPr>
            </w:pPr>
          </w:p>
        </w:tc>
        <w:tc>
          <w:tcPr>
            <w:tcW w:w="720" w:type="dxa"/>
            <w:vAlign w:val="center"/>
          </w:tcPr>
          <w:p w14:paraId="6FC053AA">
            <w:pPr>
              <w:adjustRightInd w:val="0"/>
              <w:snapToGrid w:val="0"/>
              <w:spacing w:line="360" w:lineRule="exact"/>
              <w:jc w:val="center"/>
              <w:rPr>
                <w:rFonts w:hint="eastAsia" w:ascii="宋体" w:hAnsi="宋体" w:eastAsia="宋体" w:cs="宋体"/>
                <w:color w:val="auto"/>
                <w:szCs w:val="21"/>
                <w:highlight w:val="none"/>
              </w:rPr>
            </w:pPr>
          </w:p>
        </w:tc>
      </w:tr>
      <w:tr w14:paraId="65E14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634" w:type="dxa"/>
            <w:vMerge w:val="continue"/>
            <w:vAlign w:val="center"/>
          </w:tcPr>
          <w:p w14:paraId="71F7B797">
            <w:pPr>
              <w:adjustRightInd w:val="0"/>
              <w:snapToGrid w:val="0"/>
              <w:spacing w:line="360" w:lineRule="exact"/>
              <w:jc w:val="center"/>
              <w:rPr>
                <w:rFonts w:hint="eastAsia" w:ascii="宋体" w:hAnsi="宋体" w:eastAsia="宋体" w:cs="宋体"/>
                <w:color w:val="auto"/>
                <w:szCs w:val="21"/>
                <w:highlight w:val="none"/>
              </w:rPr>
            </w:pPr>
          </w:p>
        </w:tc>
        <w:tc>
          <w:tcPr>
            <w:tcW w:w="1453" w:type="dxa"/>
            <w:vMerge w:val="continue"/>
            <w:vAlign w:val="center"/>
          </w:tcPr>
          <w:p w14:paraId="0140FC77">
            <w:pPr>
              <w:adjustRightInd w:val="0"/>
              <w:snapToGrid w:val="0"/>
              <w:spacing w:line="360" w:lineRule="exact"/>
              <w:jc w:val="center"/>
              <w:rPr>
                <w:rFonts w:hint="eastAsia" w:ascii="宋体" w:hAnsi="宋体" w:eastAsia="宋体" w:cs="宋体"/>
                <w:color w:val="auto"/>
                <w:szCs w:val="21"/>
                <w:highlight w:val="none"/>
              </w:rPr>
            </w:pPr>
          </w:p>
        </w:tc>
        <w:tc>
          <w:tcPr>
            <w:tcW w:w="2410" w:type="dxa"/>
            <w:vAlign w:val="center"/>
          </w:tcPr>
          <w:p w14:paraId="53DC265B">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391" w:type="dxa"/>
            <w:vAlign w:val="center"/>
          </w:tcPr>
          <w:p w14:paraId="2F03BD52">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292" w:type="dxa"/>
            <w:vAlign w:val="center"/>
          </w:tcPr>
          <w:p w14:paraId="2AB204C9">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720" w:type="dxa"/>
            <w:vAlign w:val="center"/>
          </w:tcPr>
          <w:p w14:paraId="6782BF68">
            <w:pPr>
              <w:adjustRightInd w:val="0"/>
              <w:snapToGrid w:val="0"/>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bl>
    <w:p w14:paraId="2AD4A79B">
      <w:pPr>
        <w:adjustRightInd w:val="0"/>
        <w:snapToGrid w:val="0"/>
        <w:spacing w:line="440" w:lineRule="exact"/>
        <w:rPr>
          <w:rFonts w:hint="eastAsia" w:ascii="宋体" w:hAnsi="宋体" w:eastAsia="宋体" w:cs="宋体"/>
          <w:color w:val="auto"/>
          <w:szCs w:val="21"/>
          <w:highlight w:val="none"/>
        </w:rPr>
      </w:pPr>
    </w:p>
    <w:p w14:paraId="6E14AAD3">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说明：1、“响应与偏离”应注明“响应”或“偏离”。</w:t>
      </w:r>
    </w:p>
    <w:p w14:paraId="6655A00C">
      <w:pPr>
        <w:adjustRightInd w:val="0"/>
        <w:snapToGrid w:val="0"/>
        <w:spacing w:line="440" w:lineRule="exact"/>
        <w:ind w:firstLine="630" w:firstLineChars="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2、属磋商文件规定可能变动的内容在“说明”栏中注明。</w:t>
      </w:r>
    </w:p>
    <w:p w14:paraId="6C5DCBE3">
      <w:pPr>
        <w:adjustRightInd w:val="0"/>
        <w:snapToGrid w:val="0"/>
        <w:spacing w:line="440" w:lineRule="exact"/>
        <w:rPr>
          <w:rFonts w:hint="eastAsia" w:ascii="宋体" w:hAnsi="宋体" w:eastAsia="宋体" w:cs="宋体"/>
          <w:color w:val="auto"/>
          <w:szCs w:val="21"/>
          <w:highlight w:val="none"/>
        </w:rPr>
      </w:pPr>
    </w:p>
    <w:p w14:paraId="23E8783D">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投标人名称：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rPr>
        <w:t xml:space="preserve">       </w:t>
      </w:r>
    </w:p>
    <w:p w14:paraId="62E334FA">
      <w:pPr>
        <w:adjustRightInd w:val="0"/>
        <w:snapToGrid w:val="0"/>
        <w:spacing w:line="440" w:lineRule="exact"/>
        <w:ind w:left="420" w:hanging="420" w:hanging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法定代表人或其委托代理人(签字)：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rPr>
        <w:t xml:space="preserve">                 </w:t>
      </w:r>
    </w:p>
    <w:p w14:paraId="5AB819A7">
      <w:pPr>
        <w:adjustRightInd w:val="0"/>
        <w:snapToGrid w:val="0"/>
        <w:spacing w:line="440" w:lineRule="exact"/>
        <w:ind w:left="420" w:hanging="420" w:hanging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1E4BF052">
      <w:pPr>
        <w:adjustRightInd w:val="0"/>
        <w:snapToGrid w:val="0"/>
        <w:spacing w:line="440" w:lineRule="exact"/>
        <w:jc w:val="center"/>
        <w:rPr>
          <w:rFonts w:hint="eastAsia" w:ascii="宋体" w:hAnsi="宋体" w:eastAsia="宋体" w:cs="宋体"/>
          <w:b/>
          <w:color w:val="auto"/>
          <w:sz w:val="32"/>
          <w:szCs w:val="32"/>
          <w:highlight w:val="none"/>
        </w:rPr>
      </w:pPr>
      <w:bookmarkStart w:id="454" w:name="_Toc439924298"/>
      <w:bookmarkStart w:id="455" w:name="_Toc439924789"/>
    </w:p>
    <w:p w14:paraId="28C524F9">
      <w:pPr>
        <w:adjustRightInd w:val="0"/>
        <w:snapToGrid w:val="0"/>
        <w:spacing w:line="440" w:lineRule="exact"/>
        <w:jc w:val="center"/>
        <w:rPr>
          <w:rFonts w:hint="eastAsia" w:ascii="宋体" w:hAnsi="宋体" w:eastAsia="宋体" w:cs="宋体"/>
          <w:b/>
          <w:color w:val="auto"/>
          <w:sz w:val="32"/>
          <w:szCs w:val="32"/>
          <w:highlight w:val="none"/>
        </w:rPr>
      </w:pPr>
    </w:p>
    <w:p w14:paraId="3C56D7B5">
      <w:pPr>
        <w:adjustRightInd w:val="0"/>
        <w:snapToGrid w:val="0"/>
        <w:spacing w:line="440" w:lineRule="exact"/>
        <w:jc w:val="center"/>
        <w:rPr>
          <w:rFonts w:hint="eastAsia" w:ascii="宋体" w:hAnsi="宋体" w:eastAsia="宋体" w:cs="宋体"/>
          <w:b/>
          <w:color w:val="auto"/>
          <w:sz w:val="32"/>
          <w:szCs w:val="32"/>
          <w:highlight w:val="none"/>
        </w:rPr>
      </w:pPr>
    </w:p>
    <w:p w14:paraId="0F240E68">
      <w:pPr>
        <w:adjustRightInd w:val="0"/>
        <w:snapToGrid w:val="0"/>
        <w:spacing w:line="440" w:lineRule="exact"/>
        <w:jc w:val="center"/>
        <w:rPr>
          <w:rFonts w:hint="eastAsia" w:ascii="宋体" w:hAnsi="宋体" w:eastAsia="宋体" w:cs="宋体"/>
          <w:b/>
          <w:color w:val="auto"/>
          <w:sz w:val="32"/>
          <w:szCs w:val="32"/>
          <w:highlight w:val="none"/>
        </w:rPr>
      </w:pPr>
    </w:p>
    <w:p w14:paraId="078E57D2">
      <w:pPr>
        <w:adjustRightInd w:val="0"/>
        <w:snapToGrid w:val="0"/>
        <w:spacing w:line="440" w:lineRule="exact"/>
        <w:jc w:val="center"/>
        <w:rPr>
          <w:rFonts w:hint="eastAsia" w:ascii="宋体" w:hAnsi="宋体" w:eastAsia="宋体" w:cs="宋体"/>
          <w:b/>
          <w:color w:val="auto"/>
          <w:sz w:val="32"/>
          <w:szCs w:val="32"/>
          <w:highlight w:val="none"/>
        </w:rPr>
      </w:pPr>
    </w:p>
    <w:p w14:paraId="67894EFA">
      <w:pPr>
        <w:adjustRightInd w:val="0"/>
        <w:snapToGrid w:val="0"/>
        <w:spacing w:line="440" w:lineRule="exact"/>
        <w:rPr>
          <w:rFonts w:hint="eastAsia" w:ascii="宋体" w:hAnsi="宋体" w:eastAsia="宋体" w:cs="宋体"/>
          <w:b/>
          <w:color w:val="auto"/>
          <w:sz w:val="32"/>
          <w:szCs w:val="32"/>
          <w:highlight w:val="none"/>
        </w:rPr>
      </w:pPr>
    </w:p>
    <w:bookmarkEnd w:id="454"/>
    <w:bookmarkEnd w:id="455"/>
    <w:p w14:paraId="72DE6DAC">
      <w:pPr>
        <w:adjustRightInd w:val="0"/>
        <w:snapToGrid w:val="0"/>
        <w:spacing w:line="360" w:lineRule="auto"/>
        <w:rPr>
          <w:rFonts w:hint="eastAsia" w:ascii="宋体" w:hAnsi="宋体" w:eastAsia="宋体" w:cs="宋体"/>
          <w:b/>
          <w:color w:val="auto"/>
          <w:sz w:val="32"/>
          <w:szCs w:val="32"/>
          <w:highlight w:val="none"/>
        </w:rPr>
      </w:pPr>
      <w:bookmarkStart w:id="456" w:name="_Toc483385951"/>
      <w:bookmarkStart w:id="457" w:name="_Toc2951795"/>
      <w:bookmarkStart w:id="458" w:name="_Toc454904335"/>
      <w:bookmarkStart w:id="459" w:name="_Toc2684054"/>
      <w:bookmarkStart w:id="460" w:name="_Toc497049076"/>
      <w:bookmarkStart w:id="461" w:name="_Toc522285672"/>
      <w:bookmarkStart w:id="462" w:name="_Toc465362708"/>
      <w:bookmarkStart w:id="463" w:name="_Toc2674921"/>
      <w:bookmarkStart w:id="464" w:name="_Toc521048968"/>
      <w:bookmarkStart w:id="465" w:name="_Toc2593154"/>
      <w:bookmarkStart w:id="466" w:name="_Toc4506144"/>
      <w:bookmarkStart w:id="467" w:name="_Toc498186744"/>
      <w:bookmarkStart w:id="468" w:name="_Toc439924792"/>
      <w:bookmarkStart w:id="469" w:name="_Toc465878292"/>
      <w:bookmarkStart w:id="470" w:name="_Toc462074644"/>
      <w:bookmarkStart w:id="471" w:name="_Toc2674716"/>
      <w:bookmarkStart w:id="472" w:name="_Toc496459188"/>
      <w:bookmarkStart w:id="473" w:name="_Toc439924301"/>
    </w:p>
    <w:p w14:paraId="4E027966">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474" w:name="_Toc14514"/>
      <w:r>
        <w:rPr>
          <w:rFonts w:hint="eastAsia" w:ascii="宋体" w:hAnsi="宋体" w:eastAsia="宋体" w:cs="宋体"/>
          <w:b/>
          <w:color w:val="auto"/>
          <w:sz w:val="32"/>
          <w:szCs w:val="32"/>
          <w:highlight w:val="none"/>
        </w:rPr>
        <w:t>五、投标报价一览表</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45CED038">
      <w:pPr>
        <w:adjustRightInd w:val="0"/>
        <w:snapToGrid w:val="0"/>
        <w:spacing w:line="360" w:lineRule="auto"/>
        <w:outlineLvl w:val="0"/>
        <w:rPr>
          <w:rFonts w:hint="eastAsia" w:ascii="宋体" w:hAnsi="宋体" w:eastAsia="宋体" w:cs="宋体"/>
          <w:b/>
          <w:color w:val="auto"/>
          <w:sz w:val="32"/>
          <w:szCs w:val="32"/>
          <w:highlight w:val="none"/>
        </w:rPr>
      </w:pPr>
      <w:bookmarkStart w:id="475" w:name="_Toc521048969"/>
      <w:bookmarkStart w:id="476" w:name="_Toc497049077"/>
      <w:bookmarkStart w:id="477" w:name="_Toc2674922"/>
      <w:bookmarkStart w:id="478" w:name="_Toc483385952"/>
      <w:bookmarkStart w:id="479" w:name="_Toc462074645"/>
      <w:bookmarkStart w:id="480" w:name="_Toc454904336"/>
      <w:bookmarkStart w:id="481" w:name="_Toc22262"/>
      <w:bookmarkStart w:id="482" w:name="_Toc465362709"/>
      <w:bookmarkStart w:id="483" w:name="_Toc498186745"/>
      <w:bookmarkStart w:id="484" w:name="_Toc4506145"/>
      <w:bookmarkStart w:id="485" w:name="_Toc439924302"/>
      <w:bookmarkStart w:id="486" w:name="_Toc496459189"/>
      <w:bookmarkStart w:id="487" w:name="_Toc2684055"/>
      <w:bookmarkStart w:id="488" w:name="_Toc522285673"/>
      <w:bookmarkStart w:id="489" w:name="_Toc439924793"/>
      <w:bookmarkStart w:id="490" w:name="_Toc2593155"/>
      <w:bookmarkStart w:id="491" w:name="_Toc465878293"/>
      <w:bookmarkStart w:id="492" w:name="_Toc2674717"/>
      <w:bookmarkStart w:id="493" w:name="_Toc2951796"/>
      <w:r>
        <w:rPr>
          <w:rFonts w:hint="eastAsia" w:ascii="宋体" w:hAnsi="宋体" w:eastAsia="宋体" w:cs="宋体"/>
          <w:b/>
          <w:color w:val="auto"/>
          <w:sz w:val="32"/>
          <w:szCs w:val="32"/>
          <w:highlight w:val="none"/>
        </w:rPr>
        <w:t>附件13-1 投标报价一览表</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tbl>
      <w:tblPr>
        <w:tblStyle w:val="19"/>
        <w:tblW w:w="921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638"/>
        <w:gridCol w:w="6581"/>
      </w:tblGrid>
      <w:tr w14:paraId="29A576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2638" w:type="dxa"/>
            <w:vAlign w:val="center"/>
          </w:tcPr>
          <w:p w14:paraId="27E63DFD">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采购项目名称</w:t>
            </w:r>
          </w:p>
        </w:tc>
        <w:tc>
          <w:tcPr>
            <w:tcW w:w="6581" w:type="dxa"/>
            <w:vAlign w:val="center"/>
          </w:tcPr>
          <w:p w14:paraId="6A503C38">
            <w:pPr>
              <w:spacing w:line="360" w:lineRule="exact"/>
              <w:rPr>
                <w:rFonts w:hint="eastAsia" w:ascii="宋体" w:hAnsi="宋体" w:eastAsia="宋体" w:cs="宋体"/>
                <w:color w:val="auto"/>
                <w:szCs w:val="21"/>
                <w:highlight w:val="none"/>
              </w:rPr>
            </w:pPr>
          </w:p>
        </w:tc>
      </w:tr>
      <w:tr w14:paraId="251410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vAlign w:val="center"/>
          </w:tcPr>
          <w:p w14:paraId="1EA72002">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采购计划编号</w:t>
            </w:r>
          </w:p>
        </w:tc>
        <w:tc>
          <w:tcPr>
            <w:tcW w:w="6581" w:type="dxa"/>
            <w:vAlign w:val="center"/>
          </w:tcPr>
          <w:p w14:paraId="57C0F9AA">
            <w:pPr>
              <w:spacing w:line="360" w:lineRule="exact"/>
              <w:rPr>
                <w:rFonts w:hint="eastAsia" w:ascii="宋体" w:hAnsi="宋体" w:eastAsia="宋体" w:cs="宋体"/>
                <w:color w:val="auto"/>
                <w:szCs w:val="21"/>
                <w:highlight w:val="none"/>
              </w:rPr>
            </w:pPr>
          </w:p>
        </w:tc>
      </w:tr>
      <w:tr w14:paraId="20994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vAlign w:val="center"/>
          </w:tcPr>
          <w:p w14:paraId="5FB41B1A">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采购代理机构编号</w:t>
            </w:r>
          </w:p>
        </w:tc>
        <w:tc>
          <w:tcPr>
            <w:tcW w:w="6581" w:type="dxa"/>
            <w:vAlign w:val="center"/>
          </w:tcPr>
          <w:p w14:paraId="2DC0BB67">
            <w:pPr>
              <w:spacing w:line="360" w:lineRule="exact"/>
              <w:rPr>
                <w:rFonts w:hint="eastAsia" w:ascii="宋体" w:hAnsi="宋体" w:eastAsia="宋体" w:cs="宋体"/>
                <w:color w:val="auto"/>
                <w:szCs w:val="21"/>
                <w:highlight w:val="none"/>
              </w:rPr>
            </w:pPr>
          </w:p>
        </w:tc>
      </w:tr>
      <w:tr w14:paraId="5C6BCC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vAlign w:val="center"/>
          </w:tcPr>
          <w:p w14:paraId="5B77AD3C">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投标总报价</w:t>
            </w:r>
          </w:p>
        </w:tc>
        <w:tc>
          <w:tcPr>
            <w:tcW w:w="6581" w:type="dxa"/>
          </w:tcPr>
          <w:p w14:paraId="74D89689">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p>
          <w:p w14:paraId="135810AA">
            <w:pPr>
              <w:spacing w:line="5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小写：</w:t>
            </w:r>
          </w:p>
        </w:tc>
      </w:tr>
      <w:tr w14:paraId="082FB6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638" w:type="dxa"/>
            <w:vAlign w:val="center"/>
          </w:tcPr>
          <w:p w14:paraId="6024DB8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w:t>
            </w:r>
            <w:r>
              <w:rPr>
                <w:rFonts w:hint="eastAsia" w:ascii="宋体" w:hAnsi="宋体" w:cs="宋体"/>
                <w:color w:val="auto"/>
                <w:szCs w:val="21"/>
                <w:highlight w:val="none"/>
                <w:lang w:val="en-US" w:eastAsia="zh-CN"/>
              </w:rPr>
              <w:t>天</w:t>
            </w:r>
            <w:r>
              <w:rPr>
                <w:rFonts w:hint="eastAsia" w:ascii="宋体" w:hAnsi="宋体" w:eastAsia="宋体" w:cs="宋体"/>
                <w:color w:val="auto"/>
                <w:szCs w:val="21"/>
                <w:highlight w:val="none"/>
              </w:rPr>
              <w:t>）</w:t>
            </w:r>
          </w:p>
        </w:tc>
        <w:tc>
          <w:tcPr>
            <w:tcW w:w="6581" w:type="dxa"/>
          </w:tcPr>
          <w:p w14:paraId="2E5D0669">
            <w:pPr>
              <w:spacing w:line="500" w:lineRule="exact"/>
              <w:rPr>
                <w:rFonts w:hint="eastAsia" w:ascii="宋体" w:hAnsi="宋体" w:eastAsia="宋体" w:cs="宋体"/>
                <w:b/>
                <w:color w:val="auto"/>
                <w:szCs w:val="21"/>
                <w:highlight w:val="none"/>
              </w:rPr>
            </w:pPr>
          </w:p>
        </w:tc>
      </w:tr>
      <w:tr w14:paraId="446E0B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2638" w:type="dxa"/>
            <w:vAlign w:val="center"/>
          </w:tcPr>
          <w:p w14:paraId="40C5C72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项目负责人及联系手机</w:t>
            </w:r>
          </w:p>
        </w:tc>
        <w:tc>
          <w:tcPr>
            <w:tcW w:w="6581" w:type="dxa"/>
          </w:tcPr>
          <w:p w14:paraId="2812621E">
            <w:pPr>
              <w:spacing w:line="500" w:lineRule="exact"/>
              <w:rPr>
                <w:rFonts w:hint="eastAsia" w:ascii="宋体" w:hAnsi="宋体" w:eastAsia="宋体" w:cs="宋体"/>
                <w:b/>
                <w:color w:val="auto"/>
                <w:szCs w:val="21"/>
                <w:highlight w:val="none"/>
              </w:rPr>
            </w:pPr>
          </w:p>
        </w:tc>
      </w:tr>
      <w:tr w14:paraId="141E14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2638" w:type="dxa"/>
            <w:vAlign w:val="center"/>
          </w:tcPr>
          <w:p w14:paraId="73846BEC">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581" w:type="dxa"/>
          </w:tcPr>
          <w:p w14:paraId="3E530386">
            <w:pPr>
              <w:spacing w:line="360" w:lineRule="exact"/>
              <w:rPr>
                <w:rFonts w:hint="eastAsia" w:ascii="宋体" w:hAnsi="宋体" w:eastAsia="宋体" w:cs="宋体"/>
                <w:color w:val="auto"/>
                <w:szCs w:val="21"/>
                <w:highlight w:val="none"/>
              </w:rPr>
            </w:pPr>
          </w:p>
        </w:tc>
      </w:tr>
    </w:tbl>
    <w:p w14:paraId="19869115">
      <w:pPr>
        <w:adjustRightInd w:val="0"/>
        <w:snapToGrid w:val="0"/>
        <w:spacing w:line="440" w:lineRule="exact"/>
        <w:rPr>
          <w:rFonts w:hint="eastAsia" w:ascii="宋体" w:hAnsi="宋体" w:eastAsia="宋体" w:cs="宋体"/>
          <w:color w:val="auto"/>
          <w:szCs w:val="21"/>
          <w:highlight w:val="none"/>
        </w:rPr>
      </w:pPr>
    </w:p>
    <w:p w14:paraId="52297418">
      <w:pPr>
        <w:adjustRightInd w:val="0"/>
        <w:snapToGrid w:val="0"/>
        <w:spacing w:line="440" w:lineRule="exact"/>
        <w:rPr>
          <w:rFonts w:hint="eastAsia" w:ascii="宋体" w:hAnsi="宋体" w:eastAsia="宋体" w:cs="宋体"/>
          <w:color w:val="auto"/>
          <w:szCs w:val="21"/>
          <w:highlight w:val="none"/>
        </w:rPr>
      </w:pPr>
    </w:p>
    <w:p w14:paraId="7F2AC90A">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投标人名称（盖公章）：</w:t>
      </w:r>
      <w:r>
        <w:rPr>
          <w:rFonts w:hint="eastAsia" w:ascii="宋体" w:hAnsi="宋体" w:eastAsia="宋体" w:cs="宋体"/>
          <w:color w:val="auto"/>
          <w:kern w:val="0"/>
          <w:szCs w:val="21"/>
          <w:highlight w:val="none"/>
          <w:u w:val="single"/>
        </w:rPr>
        <w:t xml:space="preserve">                 </w:t>
      </w:r>
    </w:p>
    <w:p w14:paraId="6F1261D9">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w:t>
      </w:r>
      <w:r>
        <w:rPr>
          <w:rFonts w:hint="eastAsia" w:ascii="宋体" w:hAnsi="宋体" w:eastAsia="宋体" w:cs="宋体"/>
          <w:color w:val="auto"/>
          <w:szCs w:val="21"/>
          <w:highlight w:val="none"/>
          <w:u w:val="single"/>
        </w:rPr>
        <w:t xml:space="preserve">       </w:t>
      </w:r>
    </w:p>
    <w:p w14:paraId="371D0E19">
      <w:pPr>
        <w:pStyle w:val="9"/>
        <w:spacing w:line="440" w:lineRule="exact"/>
        <w:rPr>
          <w:rFonts w:hint="eastAsia" w:ascii="宋体" w:hAnsi="宋体" w:eastAsia="宋体" w:cs="宋体"/>
          <w:b/>
          <w:bCs/>
          <w:color w:val="auto"/>
          <w:sz w:val="21"/>
          <w:highlight w:val="none"/>
          <w:shd w:val="clear" w:color="auto" w:fill="FFFFFF"/>
        </w:rPr>
      </w:pPr>
      <w:r>
        <w:rPr>
          <w:rFonts w:hint="eastAsia" w:ascii="宋体" w:hAnsi="宋体" w:eastAsia="宋体" w:cs="宋体"/>
          <w:color w:val="auto"/>
          <w:sz w:val="21"/>
          <w:highlight w:val="none"/>
        </w:rPr>
        <w:t>日期：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日</w:t>
      </w:r>
    </w:p>
    <w:p w14:paraId="63C9DC64">
      <w:pPr>
        <w:pStyle w:val="9"/>
        <w:spacing w:line="440" w:lineRule="exact"/>
        <w:rPr>
          <w:rFonts w:hint="eastAsia" w:ascii="宋体" w:hAnsi="宋体" w:eastAsia="宋体" w:cs="宋体"/>
          <w:b/>
          <w:bCs/>
          <w:color w:val="auto"/>
          <w:sz w:val="24"/>
          <w:szCs w:val="24"/>
          <w:highlight w:val="none"/>
          <w:shd w:val="clear" w:color="auto" w:fill="FFFFFF"/>
        </w:rPr>
      </w:pPr>
    </w:p>
    <w:p w14:paraId="12A1A0AB">
      <w:pPr>
        <w:pStyle w:val="9"/>
        <w:spacing w:line="440" w:lineRule="exact"/>
        <w:rPr>
          <w:rFonts w:hint="eastAsia" w:ascii="宋体" w:hAnsi="宋体" w:eastAsia="宋体" w:cs="宋体"/>
          <w:b/>
          <w:bCs/>
          <w:color w:val="auto"/>
          <w:sz w:val="24"/>
          <w:szCs w:val="24"/>
          <w:highlight w:val="none"/>
          <w:shd w:val="clear" w:color="auto" w:fill="FFFFFF"/>
        </w:rPr>
      </w:pPr>
    </w:p>
    <w:p w14:paraId="012FA245">
      <w:pPr>
        <w:pStyle w:val="9"/>
        <w:spacing w:line="440" w:lineRule="exact"/>
        <w:rPr>
          <w:rFonts w:hint="eastAsia" w:ascii="宋体" w:hAnsi="宋体" w:eastAsia="宋体" w:cs="宋体"/>
          <w:b/>
          <w:bCs/>
          <w:color w:val="auto"/>
          <w:sz w:val="24"/>
          <w:szCs w:val="24"/>
          <w:highlight w:val="none"/>
          <w:shd w:val="clear" w:color="auto" w:fill="FFFFFF"/>
        </w:rPr>
      </w:pPr>
    </w:p>
    <w:p w14:paraId="52E9826B">
      <w:pPr>
        <w:pStyle w:val="9"/>
        <w:spacing w:line="440" w:lineRule="exact"/>
        <w:rPr>
          <w:rFonts w:hint="eastAsia" w:ascii="宋体" w:hAnsi="宋体" w:eastAsia="宋体" w:cs="宋体"/>
          <w:b/>
          <w:bCs/>
          <w:color w:val="auto"/>
          <w:sz w:val="24"/>
          <w:szCs w:val="24"/>
          <w:highlight w:val="none"/>
          <w:shd w:val="clear" w:color="auto" w:fill="FFFFFF"/>
        </w:rPr>
      </w:pPr>
    </w:p>
    <w:p w14:paraId="276D5C0B">
      <w:pPr>
        <w:adjustRightInd w:val="0"/>
        <w:snapToGrid w:val="0"/>
        <w:spacing w:line="360" w:lineRule="auto"/>
        <w:outlineLvl w:val="0"/>
        <w:rPr>
          <w:rFonts w:hint="eastAsia" w:ascii="宋体" w:hAnsi="宋体" w:eastAsia="宋体" w:cs="宋体"/>
          <w:b/>
          <w:color w:val="auto"/>
          <w:sz w:val="32"/>
          <w:szCs w:val="32"/>
          <w:highlight w:val="none"/>
        </w:rPr>
      </w:pPr>
      <w:bookmarkStart w:id="494" w:name="_Toc2951797"/>
      <w:bookmarkStart w:id="495" w:name="_Toc4506146"/>
      <w:bookmarkStart w:id="496" w:name="_Toc2684056"/>
      <w:bookmarkStart w:id="497" w:name="_Toc2593156"/>
      <w:bookmarkStart w:id="498" w:name="_Toc2674718"/>
      <w:bookmarkStart w:id="499" w:name="_Toc522285674"/>
      <w:bookmarkStart w:id="500" w:name="_Toc2674923"/>
      <w:r>
        <w:rPr>
          <w:rFonts w:hint="eastAsia" w:ascii="宋体" w:hAnsi="宋体" w:eastAsia="宋体" w:cs="宋体"/>
          <w:b/>
          <w:color w:val="auto"/>
          <w:sz w:val="32"/>
          <w:szCs w:val="32"/>
          <w:highlight w:val="none"/>
        </w:rPr>
        <w:br w:type="page"/>
      </w:r>
      <w:bookmarkStart w:id="501" w:name="_Toc24085"/>
      <w:r>
        <w:rPr>
          <w:rFonts w:hint="eastAsia" w:ascii="宋体" w:hAnsi="宋体" w:eastAsia="宋体" w:cs="宋体"/>
          <w:b/>
          <w:color w:val="auto"/>
          <w:sz w:val="32"/>
          <w:szCs w:val="32"/>
          <w:highlight w:val="none"/>
        </w:rPr>
        <w:t xml:space="preserve">附件13-2 </w:t>
      </w:r>
      <w:bookmarkEnd w:id="494"/>
      <w:bookmarkEnd w:id="495"/>
      <w:bookmarkEnd w:id="496"/>
      <w:bookmarkEnd w:id="497"/>
      <w:bookmarkEnd w:id="498"/>
      <w:bookmarkEnd w:id="499"/>
      <w:bookmarkEnd w:id="500"/>
      <w:r>
        <w:rPr>
          <w:rFonts w:hint="eastAsia" w:ascii="宋体" w:hAnsi="宋体" w:eastAsia="宋体" w:cs="宋体"/>
          <w:b/>
          <w:color w:val="auto"/>
          <w:sz w:val="32"/>
          <w:szCs w:val="32"/>
          <w:highlight w:val="none"/>
        </w:rPr>
        <w:t>分项价格表</w:t>
      </w:r>
      <w:bookmarkEnd w:id="501"/>
    </w:p>
    <w:p w14:paraId="268FC6DF">
      <w:pPr>
        <w:pStyle w:val="9"/>
        <w:spacing w:line="440" w:lineRule="exact"/>
        <w:rPr>
          <w:rFonts w:hint="eastAsia" w:ascii="宋体" w:hAnsi="宋体" w:eastAsia="宋体" w:cs="宋体"/>
          <w:b/>
          <w:bCs/>
          <w:color w:val="auto"/>
          <w:sz w:val="24"/>
          <w:szCs w:val="24"/>
          <w:highlight w:val="none"/>
          <w:shd w:val="clear" w:color="auto" w:fill="FFFFFF"/>
        </w:rPr>
      </w:pPr>
    </w:p>
    <w:p w14:paraId="69782193">
      <w:pPr>
        <w:pStyle w:val="9"/>
        <w:spacing w:line="500" w:lineRule="exact"/>
        <w:ind w:firstLine="200"/>
        <w:rPr>
          <w:rFonts w:hint="eastAsia" w:ascii="宋体" w:hAnsi="宋体" w:eastAsia="宋体" w:cs="宋体"/>
          <w:color w:val="auto"/>
          <w:highlight w:val="none"/>
        </w:rPr>
      </w:pPr>
    </w:p>
    <w:p w14:paraId="7827D6D5">
      <w:pPr>
        <w:pStyle w:val="9"/>
        <w:spacing w:line="500" w:lineRule="exact"/>
        <w:ind w:firstLine="200"/>
        <w:rPr>
          <w:rFonts w:hint="eastAsia" w:ascii="宋体" w:hAnsi="宋体" w:eastAsia="宋体" w:cs="宋体"/>
          <w:color w:val="auto"/>
          <w:highlight w:val="none"/>
        </w:rPr>
      </w:pPr>
    </w:p>
    <w:p w14:paraId="2F83C373">
      <w:pPr>
        <w:pStyle w:val="9"/>
        <w:spacing w:line="500" w:lineRule="exact"/>
        <w:ind w:firstLine="200"/>
        <w:rPr>
          <w:rFonts w:hint="eastAsia" w:ascii="宋体" w:hAnsi="宋体" w:eastAsia="宋体" w:cs="宋体"/>
          <w:color w:val="auto"/>
          <w:highlight w:val="none"/>
        </w:rPr>
      </w:pPr>
    </w:p>
    <w:p w14:paraId="54370AA2">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投标人名称（盖公章）：</w:t>
      </w:r>
      <w:r>
        <w:rPr>
          <w:rFonts w:hint="eastAsia" w:ascii="宋体" w:hAnsi="宋体" w:eastAsia="宋体" w:cs="宋体"/>
          <w:color w:val="auto"/>
          <w:kern w:val="0"/>
          <w:szCs w:val="21"/>
          <w:highlight w:val="none"/>
          <w:u w:val="single"/>
        </w:rPr>
        <w:t xml:space="preserve">                 </w:t>
      </w:r>
    </w:p>
    <w:p w14:paraId="703497FD">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w:t>
      </w:r>
      <w:r>
        <w:rPr>
          <w:rFonts w:hint="eastAsia" w:ascii="宋体" w:hAnsi="宋体" w:eastAsia="宋体" w:cs="宋体"/>
          <w:color w:val="auto"/>
          <w:szCs w:val="21"/>
          <w:highlight w:val="none"/>
          <w:u w:val="single"/>
        </w:rPr>
        <w:t xml:space="preserve">       </w:t>
      </w:r>
    </w:p>
    <w:p w14:paraId="0DCEA5DC">
      <w:pPr>
        <w:pStyle w:val="9"/>
        <w:spacing w:line="440" w:lineRule="exact"/>
        <w:rPr>
          <w:rFonts w:hint="eastAsia" w:ascii="宋体" w:hAnsi="宋体" w:eastAsia="宋体" w:cs="宋体"/>
          <w:b/>
          <w:bCs/>
          <w:color w:val="auto"/>
          <w:sz w:val="21"/>
          <w:highlight w:val="none"/>
          <w:shd w:val="clear" w:color="auto" w:fill="FFFFFF"/>
        </w:rPr>
      </w:pPr>
      <w:r>
        <w:rPr>
          <w:rFonts w:hint="eastAsia" w:ascii="宋体" w:hAnsi="宋体" w:eastAsia="宋体" w:cs="宋体"/>
          <w:color w:val="auto"/>
          <w:sz w:val="21"/>
          <w:highlight w:val="none"/>
        </w:rPr>
        <w:t>日期：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年</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月</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日</w:t>
      </w:r>
    </w:p>
    <w:p w14:paraId="00CBFAD8">
      <w:pPr>
        <w:pStyle w:val="9"/>
        <w:spacing w:line="440" w:lineRule="exact"/>
        <w:ind w:firstLine="200"/>
        <w:rPr>
          <w:rFonts w:hint="eastAsia" w:ascii="宋体" w:hAnsi="宋体" w:eastAsia="宋体" w:cs="宋体"/>
          <w:color w:val="auto"/>
          <w:highlight w:val="none"/>
        </w:rPr>
      </w:pPr>
    </w:p>
    <w:p w14:paraId="360ED4EA">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799F6D9A">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6B9494FB">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2347B97A">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3B1ABAA2">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21380A03">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554ADD4F">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13261163">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071D264E">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0118E976">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7856082F">
      <w:pPr>
        <w:pStyle w:val="9"/>
        <w:spacing w:line="440" w:lineRule="exact"/>
        <w:ind w:firstLine="200"/>
        <w:rPr>
          <w:rFonts w:hint="eastAsia" w:ascii="宋体" w:hAnsi="宋体" w:eastAsia="宋体" w:cs="宋体"/>
          <w:b/>
          <w:bCs/>
          <w:color w:val="auto"/>
          <w:sz w:val="24"/>
          <w:szCs w:val="24"/>
          <w:highlight w:val="none"/>
          <w:shd w:val="clear" w:color="auto" w:fill="FFFFFF"/>
        </w:rPr>
      </w:pPr>
    </w:p>
    <w:p w14:paraId="0CD97B2A">
      <w:pPr>
        <w:adjustRightInd w:val="0"/>
        <w:snapToGrid w:val="0"/>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bCs/>
          <w:color w:val="auto"/>
          <w:sz w:val="24"/>
          <w:highlight w:val="none"/>
          <w:shd w:val="clear" w:color="auto" w:fill="FFFFFF"/>
        </w:rPr>
        <w:br w:type="page"/>
      </w:r>
      <w:bookmarkStart w:id="502" w:name="_Toc2951799"/>
      <w:bookmarkStart w:id="503" w:name="_Toc2684058"/>
      <w:bookmarkStart w:id="504" w:name="_Toc496459191"/>
      <w:bookmarkStart w:id="505" w:name="_Toc462074647"/>
      <w:bookmarkStart w:id="506" w:name="_Toc465362711"/>
      <w:bookmarkStart w:id="507" w:name="_Toc465878295"/>
      <w:bookmarkStart w:id="508" w:name="_Toc454904338"/>
      <w:bookmarkStart w:id="509" w:name="_Toc2593158"/>
      <w:bookmarkStart w:id="510" w:name="_Toc2674925"/>
      <w:bookmarkStart w:id="511" w:name="_Toc483385954"/>
      <w:bookmarkStart w:id="512" w:name="_Toc522285676"/>
      <w:bookmarkStart w:id="513" w:name="_Toc498186747"/>
      <w:bookmarkStart w:id="514" w:name="_Toc497049079"/>
      <w:bookmarkStart w:id="515" w:name="_Toc2674720"/>
      <w:bookmarkStart w:id="516" w:name="_Toc12518"/>
      <w:bookmarkStart w:id="517" w:name="_Toc521048970"/>
      <w:bookmarkStart w:id="518" w:name="_Toc4506148"/>
      <w:r>
        <w:rPr>
          <w:rFonts w:hint="eastAsia" w:ascii="宋体" w:hAnsi="宋体" w:eastAsia="宋体" w:cs="宋体"/>
          <w:b/>
          <w:color w:val="auto"/>
          <w:sz w:val="32"/>
          <w:szCs w:val="32"/>
          <w:highlight w:val="none"/>
        </w:rPr>
        <w:t>六、投标人认为需要提供的其它资料</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6F0FB4F9">
      <w:pPr>
        <w:adjustRightInd w:val="0"/>
        <w:snapToGrid w:val="0"/>
        <w:spacing w:line="440" w:lineRule="exact"/>
        <w:jc w:val="center"/>
        <w:rPr>
          <w:rFonts w:hint="eastAsia" w:ascii="宋体" w:hAnsi="宋体" w:eastAsia="宋体" w:cs="宋体"/>
          <w:color w:val="auto"/>
          <w:sz w:val="28"/>
          <w:szCs w:val="28"/>
          <w:highlight w:val="none"/>
        </w:rPr>
      </w:pPr>
    </w:p>
    <w:p w14:paraId="3F1B2E4D">
      <w:pPr>
        <w:adjustRightInd w:val="0"/>
        <w:snapToGrid w:val="0"/>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szCs w:val="21"/>
          <w:highlight w:val="none"/>
        </w:rPr>
        <w:br w:type="page"/>
      </w:r>
      <w:bookmarkStart w:id="519" w:name="_Toc5653"/>
      <w:r>
        <w:rPr>
          <w:rFonts w:hint="eastAsia" w:ascii="宋体" w:hAnsi="宋体" w:eastAsia="宋体" w:cs="宋体"/>
          <w:b/>
          <w:color w:val="auto"/>
          <w:sz w:val="32"/>
          <w:szCs w:val="32"/>
          <w:highlight w:val="none"/>
        </w:rPr>
        <w:t>七、最后报价（格式）</w:t>
      </w:r>
      <w:bookmarkEnd w:id="519"/>
    </w:p>
    <w:p w14:paraId="395703B3">
      <w:pPr>
        <w:adjustRightInd w:val="0"/>
        <w:snapToGrid w:val="0"/>
        <w:spacing w:line="360" w:lineRule="auto"/>
        <w:jc w:val="center"/>
        <w:outlineLvl w:val="0"/>
        <w:rPr>
          <w:rFonts w:hint="eastAsia" w:ascii="宋体" w:hAnsi="宋体" w:eastAsia="宋体" w:cs="宋体"/>
          <w:b/>
          <w:color w:val="auto"/>
          <w:sz w:val="32"/>
          <w:szCs w:val="32"/>
          <w:highlight w:val="none"/>
        </w:rPr>
      </w:pPr>
      <w:bookmarkStart w:id="520" w:name="_Toc19221"/>
      <w:bookmarkStart w:id="521" w:name="_Toc29946"/>
      <w:r>
        <w:rPr>
          <w:rFonts w:hint="eastAsia" w:ascii="宋体" w:hAnsi="宋体" w:eastAsia="宋体" w:cs="宋体"/>
          <w:b/>
          <w:color w:val="auto"/>
          <w:sz w:val="32"/>
          <w:szCs w:val="32"/>
          <w:highlight w:val="none"/>
        </w:rPr>
        <w:t>最后报价表</w:t>
      </w:r>
      <w:bookmarkEnd w:id="520"/>
      <w:bookmarkEnd w:id="521"/>
    </w:p>
    <w:tbl>
      <w:tblPr>
        <w:tblStyle w:val="19"/>
        <w:tblW w:w="921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93"/>
        <w:gridCol w:w="6326"/>
      </w:tblGrid>
      <w:tr w14:paraId="74FF9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2893" w:type="dxa"/>
            <w:vAlign w:val="center"/>
          </w:tcPr>
          <w:p w14:paraId="3065FB7D">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采购项目名称</w:t>
            </w:r>
          </w:p>
        </w:tc>
        <w:tc>
          <w:tcPr>
            <w:tcW w:w="6326" w:type="dxa"/>
            <w:vAlign w:val="center"/>
          </w:tcPr>
          <w:p w14:paraId="628935B1">
            <w:pPr>
              <w:spacing w:line="360" w:lineRule="exact"/>
              <w:rPr>
                <w:rFonts w:hint="eastAsia" w:ascii="宋体" w:hAnsi="宋体" w:eastAsia="宋体" w:cs="宋体"/>
                <w:color w:val="auto"/>
                <w:szCs w:val="21"/>
                <w:highlight w:val="none"/>
              </w:rPr>
            </w:pPr>
          </w:p>
        </w:tc>
      </w:tr>
      <w:tr w14:paraId="075050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vAlign w:val="center"/>
          </w:tcPr>
          <w:p w14:paraId="275A43AC">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采购计划编号</w:t>
            </w:r>
          </w:p>
        </w:tc>
        <w:tc>
          <w:tcPr>
            <w:tcW w:w="6326" w:type="dxa"/>
            <w:vAlign w:val="center"/>
          </w:tcPr>
          <w:p w14:paraId="34F3219F">
            <w:pPr>
              <w:spacing w:line="360" w:lineRule="exact"/>
              <w:rPr>
                <w:rFonts w:hint="eastAsia" w:ascii="宋体" w:hAnsi="宋体" w:eastAsia="宋体" w:cs="宋体"/>
                <w:color w:val="auto"/>
                <w:szCs w:val="21"/>
                <w:highlight w:val="none"/>
              </w:rPr>
            </w:pPr>
          </w:p>
        </w:tc>
      </w:tr>
      <w:tr w14:paraId="3C6382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vAlign w:val="center"/>
          </w:tcPr>
          <w:p w14:paraId="3BACC2CA">
            <w:pPr>
              <w:spacing w:line="3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采购代理机构编号</w:t>
            </w:r>
          </w:p>
        </w:tc>
        <w:tc>
          <w:tcPr>
            <w:tcW w:w="6326" w:type="dxa"/>
            <w:vAlign w:val="center"/>
          </w:tcPr>
          <w:p w14:paraId="1BA96395">
            <w:pPr>
              <w:spacing w:line="360" w:lineRule="exact"/>
              <w:rPr>
                <w:rFonts w:hint="eastAsia" w:ascii="宋体" w:hAnsi="宋体" w:eastAsia="宋体" w:cs="宋体"/>
                <w:color w:val="auto"/>
                <w:szCs w:val="21"/>
                <w:highlight w:val="none"/>
              </w:rPr>
            </w:pPr>
          </w:p>
        </w:tc>
      </w:tr>
      <w:tr w14:paraId="39179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vAlign w:val="center"/>
          </w:tcPr>
          <w:p w14:paraId="1869897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投标总报价</w:t>
            </w:r>
          </w:p>
        </w:tc>
        <w:tc>
          <w:tcPr>
            <w:tcW w:w="6326" w:type="dxa"/>
          </w:tcPr>
          <w:p w14:paraId="00957E54">
            <w:pPr>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p>
          <w:p w14:paraId="4953BEBA">
            <w:pPr>
              <w:spacing w:line="50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小写：</w:t>
            </w:r>
          </w:p>
        </w:tc>
      </w:tr>
      <w:tr w14:paraId="521B29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9" w:hRule="atLeast"/>
          <w:jc w:val="center"/>
        </w:trPr>
        <w:tc>
          <w:tcPr>
            <w:tcW w:w="2893" w:type="dxa"/>
            <w:vAlign w:val="center"/>
          </w:tcPr>
          <w:p w14:paraId="07E8FD6B">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w:t>
            </w:r>
            <w:r>
              <w:rPr>
                <w:rFonts w:hint="eastAsia" w:ascii="宋体" w:hAnsi="宋体" w:cs="宋体"/>
                <w:color w:val="auto"/>
                <w:szCs w:val="21"/>
                <w:highlight w:val="none"/>
                <w:lang w:val="en-US" w:eastAsia="zh-CN"/>
              </w:rPr>
              <w:t>天</w:t>
            </w:r>
            <w:r>
              <w:rPr>
                <w:rFonts w:hint="eastAsia" w:ascii="宋体" w:hAnsi="宋体" w:eastAsia="宋体" w:cs="宋体"/>
                <w:color w:val="auto"/>
                <w:szCs w:val="21"/>
                <w:highlight w:val="none"/>
              </w:rPr>
              <w:t>）</w:t>
            </w:r>
          </w:p>
        </w:tc>
        <w:tc>
          <w:tcPr>
            <w:tcW w:w="6326" w:type="dxa"/>
          </w:tcPr>
          <w:p w14:paraId="0E156F51">
            <w:pPr>
              <w:spacing w:line="500" w:lineRule="exact"/>
              <w:rPr>
                <w:rFonts w:hint="eastAsia" w:ascii="宋体" w:hAnsi="宋体" w:eastAsia="宋体" w:cs="宋体"/>
                <w:b/>
                <w:color w:val="auto"/>
                <w:szCs w:val="21"/>
                <w:highlight w:val="none"/>
              </w:rPr>
            </w:pPr>
          </w:p>
        </w:tc>
      </w:tr>
      <w:tr w14:paraId="796DD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2893" w:type="dxa"/>
            <w:vAlign w:val="center"/>
          </w:tcPr>
          <w:p w14:paraId="6B0270E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项目负责人及联系手机</w:t>
            </w:r>
          </w:p>
        </w:tc>
        <w:tc>
          <w:tcPr>
            <w:tcW w:w="6326" w:type="dxa"/>
          </w:tcPr>
          <w:p w14:paraId="69C226DB">
            <w:pPr>
              <w:spacing w:line="500" w:lineRule="exact"/>
              <w:rPr>
                <w:rFonts w:hint="eastAsia" w:ascii="宋体" w:hAnsi="宋体" w:eastAsia="宋体" w:cs="宋体"/>
                <w:b/>
                <w:color w:val="auto"/>
                <w:szCs w:val="21"/>
                <w:highlight w:val="none"/>
              </w:rPr>
            </w:pPr>
          </w:p>
        </w:tc>
      </w:tr>
      <w:tr w14:paraId="631E94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8" w:hRule="atLeast"/>
          <w:jc w:val="center"/>
        </w:trPr>
        <w:tc>
          <w:tcPr>
            <w:tcW w:w="2893" w:type="dxa"/>
            <w:vAlign w:val="center"/>
          </w:tcPr>
          <w:p w14:paraId="7BA3DD6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326" w:type="dxa"/>
          </w:tcPr>
          <w:p w14:paraId="5B4EBEB7">
            <w:pPr>
              <w:spacing w:line="360" w:lineRule="exact"/>
              <w:rPr>
                <w:rFonts w:hint="eastAsia" w:ascii="宋体" w:hAnsi="宋体" w:eastAsia="宋体" w:cs="宋体"/>
                <w:color w:val="auto"/>
                <w:szCs w:val="21"/>
                <w:highlight w:val="none"/>
              </w:rPr>
            </w:pPr>
          </w:p>
        </w:tc>
      </w:tr>
    </w:tbl>
    <w:p w14:paraId="6F72CC16">
      <w:pPr>
        <w:adjustRightInd w:val="0"/>
        <w:snapToGrid w:val="0"/>
        <w:spacing w:line="440" w:lineRule="exact"/>
        <w:rPr>
          <w:rFonts w:hint="eastAsia" w:ascii="宋体" w:hAnsi="宋体" w:eastAsia="宋体" w:cs="宋体"/>
          <w:color w:val="auto"/>
          <w:szCs w:val="21"/>
          <w:highlight w:val="none"/>
        </w:rPr>
      </w:pPr>
    </w:p>
    <w:p w14:paraId="2625DD88">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r>
        <w:rPr>
          <w:rFonts w:hint="eastAsia" w:ascii="宋体" w:hAnsi="宋体" w:eastAsia="宋体" w:cs="宋体"/>
          <w:color w:val="auto"/>
          <w:kern w:val="0"/>
          <w:szCs w:val="21"/>
          <w:highlight w:val="none"/>
          <w:u w:val="single"/>
        </w:rPr>
        <w:t xml:space="preserve">                 </w:t>
      </w:r>
    </w:p>
    <w:p w14:paraId="7C1E796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法定代表人或其委托代理人签字：</w:t>
      </w:r>
      <w:r>
        <w:rPr>
          <w:rFonts w:hint="eastAsia" w:ascii="宋体" w:hAnsi="宋体" w:eastAsia="宋体" w:cs="宋体"/>
          <w:color w:val="auto"/>
          <w:szCs w:val="21"/>
          <w:highlight w:val="none"/>
          <w:u w:val="single"/>
        </w:rPr>
        <w:t xml:space="preserve">          </w:t>
      </w:r>
    </w:p>
    <w:p w14:paraId="13DF5750">
      <w:pPr>
        <w:adjustRightInd w:val="0"/>
        <w:snapToGrid w:val="0"/>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FA3046F">
      <w:pPr>
        <w:adjustRightInd w:val="0"/>
        <w:snapToGrid w:val="0"/>
        <w:spacing w:line="440" w:lineRule="exact"/>
        <w:rPr>
          <w:rFonts w:hint="eastAsia" w:ascii="宋体" w:hAnsi="宋体" w:eastAsia="宋体" w:cs="宋体"/>
          <w:color w:val="auto"/>
          <w:highlight w:val="none"/>
        </w:rPr>
      </w:pPr>
    </w:p>
    <w:p w14:paraId="15738F4F">
      <w:pPr>
        <w:adjustRightInd w:val="0"/>
        <w:snapToGrid w:val="0"/>
        <w:spacing w:line="44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说明：最后报价无需在响应文件中填写，开标当天最后报价在电子交易平台线上上传。</w:t>
      </w:r>
    </w:p>
    <w:p w14:paraId="32C384FF">
      <w:pPr>
        <w:spacing w:line="440" w:lineRule="exact"/>
        <w:rPr>
          <w:rFonts w:hint="eastAsia" w:ascii="宋体" w:hAnsi="宋体" w:eastAsia="宋体" w:cs="宋体"/>
          <w:color w:val="auto"/>
          <w:highlight w:val="none"/>
        </w:rPr>
      </w:pPr>
    </w:p>
    <w:p w14:paraId="2C598BD9">
      <w:pPr>
        <w:pStyle w:val="5"/>
        <w:rPr>
          <w:rFonts w:hint="eastAsia" w:ascii="宋体" w:hAnsi="宋体" w:eastAsia="宋体" w:cs="宋体"/>
          <w:color w:val="auto"/>
          <w:highlight w:val="none"/>
        </w:rPr>
      </w:pPr>
    </w:p>
    <w:bookmarkEnd w:id="1"/>
    <w:p w14:paraId="06D19A22">
      <w:pPr>
        <w:rPr>
          <w:rFonts w:hint="eastAsia" w:ascii="宋体" w:hAnsi="宋体" w:eastAsia="宋体" w:cs="宋体"/>
          <w:color w:val="auto"/>
          <w:highlight w:val="none"/>
        </w:rPr>
      </w:pPr>
    </w:p>
    <w:sectPr>
      <w:footerReference r:id="rId5" w:type="default"/>
      <w:pgSz w:w="11906" w:h="16838"/>
      <w:pgMar w:top="1440" w:right="1531" w:bottom="1361" w:left="1531" w:header="851" w:footer="992"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10002FF" w:usb1="4000FCFF" w:usb2="00000009" w:usb3="00000000" w:csb0="6000019F" w:csb1="DFD70000"/>
  </w:font>
  <w:font w:name="Arial Unicode MS">
    <w:altName w:val="宋体"/>
    <w:panose1 w:val="020B0604020202020204"/>
    <w:charset w:val="86"/>
    <w:family w:val="roman"/>
    <w:pitch w:val="default"/>
    <w:sig w:usb0="00000000" w:usb1="00000000" w:usb2="0000003F" w:usb3="00000000" w:csb0="603F01FF" w:csb1="FFFF0000"/>
  </w:font>
  <w:font w:name="Cambria">
    <w:panose1 w:val="02040503050406030204"/>
    <w:charset w:val="00"/>
    <w:family w:val="roman"/>
    <w:pitch w:val="default"/>
    <w:sig w:usb0="E00002FF" w:usb1="400004FF" w:usb2="00000000" w:usb3="00000000" w:csb0="2000019F" w:csb1="00000000"/>
  </w:font>
  <w:font w:name="Glyphicons Halfling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BCD0F">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95026C">
                          <w:pPr>
                            <w:pStyle w:val="10"/>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xGWcABAACN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ZyDUgvDkmLFz6yagT1FwMp1QYzRuV1+DxvWQ9/EXb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6pebnPAAAABQEAAA8AAAAAAAAAAQAgAAAAIgAAAGRycy9kb3ducmV2LnhtbFBLAQIUABQA&#10;AAAIAIdO4kBaXEZZwAEAAI0DAAAOAAAAAAAAAAEAIAAAAB4BAABkcnMvZTJvRG9jLnhtbFBLBQYA&#10;AAAABgAGAFkBAABQBQAAAAA=&#10;">
              <v:fill on="f" focussize="0,0"/>
              <v:stroke on="f"/>
              <v:imagedata o:title=""/>
              <o:lock v:ext="edit" aspectratio="f"/>
              <v:textbox inset="0mm,0mm,0mm,0mm" style="mso-fit-shape-to-text:t;">
                <w:txbxContent>
                  <w:p w14:paraId="0695026C">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53179">
    <w:pPr>
      <w:pStyle w:val="10"/>
      <w:jc w:val="right"/>
      <w:rPr>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E2FF93">
                          <w:pPr>
                            <w:pStyle w:val="10"/>
                          </w:pPr>
                          <w:r>
                            <w:fldChar w:fldCharType="begin"/>
                          </w:r>
                          <w:r>
                            <w:instrText xml:space="preserve"> PAGE  \* MERGEFORMAT </w:instrText>
                          </w:r>
                          <w:r>
                            <w:fldChar w:fldCharType="separate"/>
                          </w:r>
                          <w:r>
                            <w:t>45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28E2FF93">
                    <w:pPr>
                      <w:pStyle w:val="10"/>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1CDFC">
    <w:pPr>
      <w:pStyle w:val="10"/>
      <w:jc w:val="right"/>
      <w:rPr>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C0BB6E">
                          <w:pPr>
                            <w:pStyle w:val="10"/>
                          </w:pPr>
                          <w:r>
                            <w:fldChar w:fldCharType="begin"/>
                          </w:r>
                          <w:r>
                            <w:instrText xml:space="preserve"> PAGE  \* MERGEFORMAT </w:instrText>
                          </w:r>
                          <w:r>
                            <w:fldChar w:fldCharType="separate"/>
                          </w:r>
                          <w:r>
                            <w:t>54</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79C0BB6E">
                    <w:pPr>
                      <w:pStyle w:val="1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2"/>
    <w:multiLevelType w:val="multilevel"/>
    <w:tmpl w:val="00000012"/>
    <w:lvl w:ilvl="0" w:tentative="0">
      <w:start w:val="1"/>
      <w:numFmt w:val="decimal"/>
      <w:lvlText w:val="%1"/>
      <w:lvlJc w:val="left"/>
      <w:pPr>
        <w:tabs>
          <w:tab w:val="left" w:pos="180"/>
        </w:tabs>
        <w:ind w:left="180" w:firstLine="0"/>
      </w:pPr>
      <w:rPr>
        <w:rFonts w:hint="eastAsia"/>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1">
    <w:nsid w:val="539296C8"/>
    <w:multiLevelType w:val="singleLevel"/>
    <w:tmpl w:val="539296C8"/>
    <w:lvl w:ilvl="0" w:tentative="0">
      <w:start w:val="1"/>
      <w:numFmt w:val="decimal"/>
      <w:suff w:val="nothing"/>
      <w:lvlText w:val="%1、"/>
      <w:lvlJc w:val="left"/>
    </w:lvl>
  </w:abstractNum>
  <w:abstractNum w:abstractNumId="2">
    <w:nsid w:val="59D7B5DE"/>
    <w:multiLevelType w:val="singleLevel"/>
    <w:tmpl w:val="59D7B5DE"/>
    <w:lvl w:ilvl="0" w:tentative="0">
      <w:start w:val="1"/>
      <w:numFmt w:val="decimal"/>
      <w:suff w:val="nothing"/>
      <w:lvlText w:val="%1、"/>
      <w:lvlJc w:val="left"/>
    </w:lvl>
  </w:abstractNum>
  <w:abstractNum w:abstractNumId="3">
    <w:nsid w:val="62861CC1"/>
    <w:multiLevelType w:val="singleLevel"/>
    <w:tmpl w:val="62861CC1"/>
    <w:lvl w:ilvl="0" w:tentative="0">
      <w:start w:val="5"/>
      <w:numFmt w:val="decimal"/>
      <w:suff w:val="nothing"/>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3NTRmN2M0ZmM3ZDM4NGFkMjU0ZjZmYzhhZDViYzQifQ=="/>
    <w:docVar w:name="KSO_WPS_MARK_KEY" w:val="4612dcbd-4e94-4742-a5fb-c7167b89e5a9"/>
  </w:docVars>
  <w:rsids>
    <w:rsidRoot w:val="00442652"/>
    <w:rsid w:val="00167CEA"/>
    <w:rsid w:val="003D657F"/>
    <w:rsid w:val="00442652"/>
    <w:rsid w:val="00532A13"/>
    <w:rsid w:val="00695DC2"/>
    <w:rsid w:val="009145B2"/>
    <w:rsid w:val="009F4768"/>
    <w:rsid w:val="00AB1812"/>
    <w:rsid w:val="00AC006B"/>
    <w:rsid w:val="00BE56A7"/>
    <w:rsid w:val="00F314AB"/>
    <w:rsid w:val="016C3730"/>
    <w:rsid w:val="026949E0"/>
    <w:rsid w:val="026D4C21"/>
    <w:rsid w:val="03831DD7"/>
    <w:rsid w:val="03B57347"/>
    <w:rsid w:val="04D32185"/>
    <w:rsid w:val="056F486B"/>
    <w:rsid w:val="05A54A82"/>
    <w:rsid w:val="05B9052D"/>
    <w:rsid w:val="05F736FA"/>
    <w:rsid w:val="06400C4E"/>
    <w:rsid w:val="08065580"/>
    <w:rsid w:val="08365E65"/>
    <w:rsid w:val="097526EE"/>
    <w:rsid w:val="09AD65FB"/>
    <w:rsid w:val="09B5725D"/>
    <w:rsid w:val="09E75075"/>
    <w:rsid w:val="0A081A83"/>
    <w:rsid w:val="0B163D2C"/>
    <w:rsid w:val="0BCD76CD"/>
    <w:rsid w:val="0CEB5C70"/>
    <w:rsid w:val="0D387B8D"/>
    <w:rsid w:val="0E2B3F92"/>
    <w:rsid w:val="0E9438E5"/>
    <w:rsid w:val="0EE4486D"/>
    <w:rsid w:val="0F783207"/>
    <w:rsid w:val="0FBD50BE"/>
    <w:rsid w:val="100C0E83"/>
    <w:rsid w:val="11D81048"/>
    <w:rsid w:val="12F2321E"/>
    <w:rsid w:val="13A37E6F"/>
    <w:rsid w:val="1403482F"/>
    <w:rsid w:val="15007F26"/>
    <w:rsid w:val="15B14D7D"/>
    <w:rsid w:val="16751139"/>
    <w:rsid w:val="17850EA6"/>
    <w:rsid w:val="17B84AE8"/>
    <w:rsid w:val="17CB2353"/>
    <w:rsid w:val="18504D21"/>
    <w:rsid w:val="185906CF"/>
    <w:rsid w:val="1877646F"/>
    <w:rsid w:val="18785D4C"/>
    <w:rsid w:val="19B05A3C"/>
    <w:rsid w:val="19D96F98"/>
    <w:rsid w:val="19EE47F1"/>
    <w:rsid w:val="1C661089"/>
    <w:rsid w:val="1C9755BD"/>
    <w:rsid w:val="1D3D339A"/>
    <w:rsid w:val="1DDB508D"/>
    <w:rsid w:val="1ED32208"/>
    <w:rsid w:val="1F686DF4"/>
    <w:rsid w:val="1FBF7A2A"/>
    <w:rsid w:val="20293BC0"/>
    <w:rsid w:val="20967991"/>
    <w:rsid w:val="21333223"/>
    <w:rsid w:val="21DD672A"/>
    <w:rsid w:val="222A2833"/>
    <w:rsid w:val="223873C6"/>
    <w:rsid w:val="22E62289"/>
    <w:rsid w:val="242A750C"/>
    <w:rsid w:val="24DA7BC0"/>
    <w:rsid w:val="252E213C"/>
    <w:rsid w:val="25360FFE"/>
    <w:rsid w:val="26F328D9"/>
    <w:rsid w:val="27992E5B"/>
    <w:rsid w:val="27D72D69"/>
    <w:rsid w:val="282615FA"/>
    <w:rsid w:val="29214463"/>
    <w:rsid w:val="29387837"/>
    <w:rsid w:val="2A305485"/>
    <w:rsid w:val="2B602759"/>
    <w:rsid w:val="2C3979F2"/>
    <w:rsid w:val="2C632EF0"/>
    <w:rsid w:val="2CB242A4"/>
    <w:rsid w:val="2CBF5C3B"/>
    <w:rsid w:val="2D73175B"/>
    <w:rsid w:val="2DEC6CC7"/>
    <w:rsid w:val="2E782484"/>
    <w:rsid w:val="2E864BA1"/>
    <w:rsid w:val="2EE20B74"/>
    <w:rsid w:val="2F5F7199"/>
    <w:rsid w:val="2F805A94"/>
    <w:rsid w:val="30047828"/>
    <w:rsid w:val="303D3985"/>
    <w:rsid w:val="3092452F"/>
    <w:rsid w:val="315A11D4"/>
    <w:rsid w:val="327B5D0C"/>
    <w:rsid w:val="33DB72D3"/>
    <w:rsid w:val="357B4D9C"/>
    <w:rsid w:val="36AD7556"/>
    <w:rsid w:val="3768564A"/>
    <w:rsid w:val="39C3314D"/>
    <w:rsid w:val="39CF6183"/>
    <w:rsid w:val="3A682219"/>
    <w:rsid w:val="3ACE6BA5"/>
    <w:rsid w:val="3AE82854"/>
    <w:rsid w:val="3B9577BF"/>
    <w:rsid w:val="3C4131D2"/>
    <w:rsid w:val="3C476706"/>
    <w:rsid w:val="3CE236F1"/>
    <w:rsid w:val="3DEB7637"/>
    <w:rsid w:val="3E782B24"/>
    <w:rsid w:val="3EDC483C"/>
    <w:rsid w:val="3F2055BA"/>
    <w:rsid w:val="40296018"/>
    <w:rsid w:val="4056382B"/>
    <w:rsid w:val="40667434"/>
    <w:rsid w:val="40A4113B"/>
    <w:rsid w:val="40EF7D91"/>
    <w:rsid w:val="41315241"/>
    <w:rsid w:val="4367668E"/>
    <w:rsid w:val="44E234C9"/>
    <w:rsid w:val="45521D07"/>
    <w:rsid w:val="45DC5BB2"/>
    <w:rsid w:val="465C14F6"/>
    <w:rsid w:val="47441472"/>
    <w:rsid w:val="4826149E"/>
    <w:rsid w:val="4839282C"/>
    <w:rsid w:val="48EA0AD9"/>
    <w:rsid w:val="4A5C5659"/>
    <w:rsid w:val="4C0F09B4"/>
    <w:rsid w:val="4C131B6D"/>
    <w:rsid w:val="4D1E654F"/>
    <w:rsid w:val="4DDC6134"/>
    <w:rsid w:val="4E3E6DEE"/>
    <w:rsid w:val="4E59718C"/>
    <w:rsid w:val="4EDD3CC0"/>
    <w:rsid w:val="512C73D2"/>
    <w:rsid w:val="532729ED"/>
    <w:rsid w:val="534A1D91"/>
    <w:rsid w:val="53F54D4D"/>
    <w:rsid w:val="54C724C3"/>
    <w:rsid w:val="55425416"/>
    <w:rsid w:val="55587CC4"/>
    <w:rsid w:val="557E4B16"/>
    <w:rsid w:val="57373679"/>
    <w:rsid w:val="58256661"/>
    <w:rsid w:val="58E216C4"/>
    <w:rsid w:val="593A1E5E"/>
    <w:rsid w:val="593D67F3"/>
    <w:rsid w:val="599B50E2"/>
    <w:rsid w:val="59B92392"/>
    <w:rsid w:val="5AA90AA3"/>
    <w:rsid w:val="5AC47E7A"/>
    <w:rsid w:val="5ACF6AC6"/>
    <w:rsid w:val="5AE801A2"/>
    <w:rsid w:val="5B7A6F8C"/>
    <w:rsid w:val="5C1E4273"/>
    <w:rsid w:val="5C9D7E8D"/>
    <w:rsid w:val="5D0B07E3"/>
    <w:rsid w:val="5DD456E3"/>
    <w:rsid w:val="5E0B4A2A"/>
    <w:rsid w:val="60CA384F"/>
    <w:rsid w:val="612B5AFA"/>
    <w:rsid w:val="61DA69D6"/>
    <w:rsid w:val="628F156F"/>
    <w:rsid w:val="633D546F"/>
    <w:rsid w:val="64BB489D"/>
    <w:rsid w:val="64DF67AE"/>
    <w:rsid w:val="65514673"/>
    <w:rsid w:val="66157F98"/>
    <w:rsid w:val="661E3335"/>
    <w:rsid w:val="66834CF0"/>
    <w:rsid w:val="66A67171"/>
    <w:rsid w:val="6760172C"/>
    <w:rsid w:val="676254A4"/>
    <w:rsid w:val="678D1082"/>
    <w:rsid w:val="678F7822"/>
    <w:rsid w:val="68703BF0"/>
    <w:rsid w:val="68895658"/>
    <w:rsid w:val="6A7747FB"/>
    <w:rsid w:val="6B50377B"/>
    <w:rsid w:val="6C1D7BEB"/>
    <w:rsid w:val="6CE647C4"/>
    <w:rsid w:val="6CEB0D0F"/>
    <w:rsid w:val="6DFB5D0A"/>
    <w:rsid w:val="6E1C77A4"/>
    <w:rsid w:val="6EB34837"/>
    <w:rsid w:val="6F524050"/>
    <w:rsid w:val="6FFE7240"/>
    <w:rsid w:val="70106B24"/>
    <w:rsid w:val="70FF1E62"/>
    <w:rsid w:val="718A12D3"/>
    <w:rsid w:val="72397009"/>
    <w:rsid w:val="731848D6"/>
    <w:rsid w:val="73422F2E"/>
    <w:rsid w:val="73896CD6"/>
    <w:rsid w:val="73C948C4"/>
    <w:rsid w:val="75395E16"/>
    <w:rsid w:val="75837CDD"/>
    <w:rsid w:val="75907680"/>
    <w:rsid w:val="75B74AC0"/>
    <w:rsid w:val="76515061"/>
    <w:rsid w:val="765E152C"/>
    <w:rsid w:val="76D8308D"/>
    <w:rsid w:val="77AF37F7"/>
    <w:rsid w:val="7848341B"/>
    <w:rsid w:val="7927654D"/>
    <w:rsid w:val="79423A77"/>
    <w:rsid w:val="7A166377"/>
    <w:rsid w:val="7B0A1C83"/>
    <w:rsid w:val="7B181C3B"/>
    <w:rsid w:val="7B963516"/>
    <w:rsid w:val="7C6B6751"/>
    <w:rsid w:val="7CC34961"/>
    <w:rsid w:val="7D615540"/>
    <w:rsid w:val="7E171E3C"/>
    <w:rsid w:val="7EB659F0"/>
    <w:rsid w:val="7ED74BE4"/>
    <w:rsid w:val="7EEB3B79"/>
    <w:rsid w:val="7F1A58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4">
    <w:name w:val="Body text|1"/>
    <w:basedOn w:val="1"/>
    <w:qFormat/>
    <w:uiPriority w:val="0"/>
    <w:pPr>
      <w:widowControl w:val="0"/>
      <w:shd w:val="clear" w:color="auto" w:fill="auto"/>
      <w:spacing w:line="422" w:lineRule="auto"/>
      <w:ind w:firstLine="400"/>
    </w:pPr>
    <w:rPr>
      <w:rFonts w:ascii="宋体" w:hAnsi="宋体" w:eastAsia="宋体" w:cs="宋体"/>
      <w:sz w:val="30"/>
      <w:szCs w:val="30"/>
      <w:u w:val="none"/>
      <w:shd w:val="clear" w:color="auto" w:fill="auto"/>
      <w:lang w:val="zh-TW" w:eastAsia="zh-TW" w:bidi="zh-TW"/>
    </w:rPr>
  </w:style>
  <w:style w:type="paragraph" w:styleId="6">
    <w:name w:val="Normal Indent"/>
    <w:basedOn w:val="1"/>
    <w:qFormat/>
    <w:uiPriority w:val="0"/>
    <w:pPr>
      <w:adjustRightInd w:val="0"/>
      <w:spacing w:line="312" w:lineRule="atLeast"/>
      <w:ind w:firstLine="420"/>
      <w:textAlignment w:val="baseline"/>
    </w:pPr>
    <w:rPr>
      <w:kern w:val="0"/>
      <w:szCs w:val="20"/>
    </w:rPr>
  </w:style>
  <w:style w:type="paragraph" w:styleId="7">
    <w:name w:val="Body Text"/>
    <w:basedOn w:val="1"/>
    <w:next w:val="1"/>
    <w:qFormat/>
    <w:uiPriority w:val="0"/>
    <w:pPr>
      <w:spacing w:after="120"/>
    </w:pPr>
  </w:style>
  <w:style w:type="paragraph" w:styleId="8">
    <w:name w:val="Body Text Indent"/>
    <w:basedOn w:val="1"/>
    <w:qFormat/>
    <w:uiPriority w:val="0"/>
    <w:pPr>
      <w:spacing w:after="120"/>
      <w:ind w:left="420" w:leftChars="200"/>
    </w:pPr>
  </w:style>
  <w:style w:type="paragraph" w:styleId="9">
    <w:name w:val="Plain Text"/>
    <w:basedOn w:val="1"/>
    <w:qFormat/>
    <w:uiPriority w:val="0"/>
    <w:rPr>
      <w:rFonts w:ascii="宋体" w:hAnsi="Courier New"/>
      <w:kern w:val="0"/>
      <w:sz w:val="20"/>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semiHidden/>
    <w:qFormat/>
    <w:uiPriority w:val="0"/>
    <w:rPr>
      <w:rFonts w:ascii="仿宋_GB2312" w:eastAsia="仿宋_GB2312"/>
      <w:sz w:val="24"/>
    </w:rPr>
  </w:style>
  <w:style w:type="paragraph" w:styleId="13">
    <w:name w:val="Body Text Indent 3"/>
    <w:basedOn w:val="1"/>
    <w:next w:val="14"/>
    <w:qFormat/>
    <w:uiPriority w:val="0"/>
    <w:pPr>
      <w:spacing w:after="120"/>
      <w:ind w:left="420" w:leftChars="200"/>
    </w:pPr>
    <w:rPr>
      <w:sz w:val="16"/>
      <w:szCs w:val="16"/>
    </w:rPr>
  </w:style>
  <w:style w:type="paragraph" w:customStyle="1" w:styleId="14">
    <w:name w:val="Style23"/>
    <w:basedOn w:val="1"/>
    <w:next w:val="1"/>
    <w:unhideWhenUsed/>
    <w:qFormat/>
    <w:uiPriority w:val="0"/>
  </w:style>
  <w:style w:type="paragraph" w:styleId="15">
    <w:name w:val="toc 2"/>
    <w:basedOn w:val="1"/>
    <w:next w:val="1"/>
    <w:qFormat/>
    <w:uiPriority w:val="0"/>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7">
    <w:name w:val="Body Text First Indent"/>
    <w:basedOn w:val="7"/>
    <w:qFormat/>
    <w:uiPriority w:val="0"/>
    <w:pPr>
      <w:ind w:firstLine="480" w:firstLineChars="200"/>
    </w:pPr>
  </w:style>
  <w:style w:type="paragraph" w:styleId="18">
    <w:name w:val="Body Text First Indent 2"/>
    <w:basedOn w:val="8"/>
    <w:qFormat/>
    <w:uiPriority w:val="0"/>
    <w:pPr>
      <w:ind w:firstLine="420" w:firstLineChars="200"/>
    </w:pPr>
  </w:style>
  <w:style w:type="character" w:styleId="21">
    <w:name w:val="Strong"/>
    <w:basedOn w:val="20"/>
    <w:qFormat/>
    <w:uiPriority w:val="0"/>
    <w:rPr>
      <w:b/>
      <w:bCs/>
    </w:rPr>
  </w:style>
  <w:style w:type="character" w:styleId="22">
    <w:name w:val="FollowedHyperlink"/>
    <w:basedOn w:val="20"/>
    <w:qFormat/>
    <w:uiPriority w:val="0"/>
    <w:rPr>
      <w:color w:val="337AB7"/>
      <w:u w:val="none"/>
    </w:rPr>
  </w:style>
  <w:style w:type="character" w:styleId="23">
    <w:name w:val="Emphasis"/>
    <w:basedOn w:val="20"/>
    <w:qFormat/>
    <w:uiPriority w:val="0"/>
  </w:style>
  <w:style w:type="character" w:styleId="24">
    <w:name w:val="HTML Definition"/>
    <w:basedOn w:val="20"/>
    <w:qFormat/>
    <w:uiPriority w:val="0"/>
    <w:rPr>
      <w:i/>
      <w:iCs/>
    </w:rPr>
  </w:style>
  <w:style w:type="character" w:styleId="25">
    <w:name w:val="Hyperlink"/>
    <w:basedOn w:val="20"/>
    <w:qFormat/>
    <w:uiPriority w:val="0"/>
    <w:rPr>
      <w:color w:val="337AB7"/>
      <w:u w:val="none"/>
    </w:rPr>
  </w:style>
  <w:style w:type="character" w:styleId="26">
    <w:name w:val="HTML Code"/>
    <w:basedOn w:val="20"/>
    <w:qFormat/>
    <w:uiPriority w:val="0"/>
    <w:rPr>
      <w:rFonts w:hint="default" w:ascii="Consolas" w:hAnsi="Consolas" w:eastAsia="Consolas" w:cs="Consolas"/>
      <w:color w:val="C7254E"/>
      <w:sz w:val="21"/>
      <w:szCs w:val="21"/>
      <w:shd w:val="clear" w:color="auto" w:fill="F9F2F4"/>
    </w:rPr>
  </w:style>
  <w:style w:type="character" w:styleId="27">
    <w:name w:val="HTML Keyboard"/>
    <w:basedOn w:val="20"/>
    <w:qFormat/>
    <w:uiPriority w:val="0"/>
    <w:rPr>
      <w:rFonts w:hint="default" w:ascii="Consolas" w:hAnsi="Consolas" w:eastAsia="Consolas" w:cs="Consolas"/>
      <w:color w:val="FFFFFF"/>
      <w:sz w:val="21"/>
      <w:szCs w:val="21"/>
      <w:shd w:val="clear" w:color="auto" w:fill="333333"/>
    </w:rPr>
  </w:style>
  <w:style w:type="character" w:styleId="28">
    <w:name w:val="HTML Sample"/>
    <w:basedOn w:val="20"/>
    <w:qFormat/>
    <w:uiPriority w:val="0"/>
    <w:rPr>
      <w:rFonts w:ascii="Consolas" w:hAnsi="Consolas" w:eastAsia="Consolas" w:cs="Consolas"/>
      <w:sz w:val="21"/>
      <w:szCs w:val="21"/>
    </w:rPr>
  </w:style>
  <w:style w:type="paragraph" w:customStyle="1" w:styleId="29">
    <w:name w:val="正文首行缩进 21"/>
    <w:basedOn w:val="1"/>
    <w:qFormat/>
    <w:uiPriority w:val="0"/>
    <w:pPr>
      <w:spacing w:after="120"/>
      <w:ind w:left="420" w:leftChars="200" w:firstLine="420" w:firstLineChars="200"/>
    </w:pPr>
    <w:rPr>
      <w:rFonts w:hint="eastAsia"/>
    </w:rPr>
  </w:style>
  <w:style w:type="paragraph" w:customStyle="1" w:styleId="30">
    <w:name w:val="正文首行缩进1"/>
    <w:basedOn w:val="1"/>
    <w:qFormat/>
    <w:uiPriority w:val="99"/>
    <w:pPr>
      <w:spacing w:after="120"/>
      <w:ind w:firstLine="420" w:firstLineChars="100"/>
    </w:pPr>
  </w:style>
  <w:style w:type="paragraph" w:customStyle="1" w:styleId="3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32">
    <w:name w:val="WPSOffice手动目录 1"/>
    <w:qFormat/>
    <w:uiPriority w:val="0"/>
    <w:rPr>
      <w:rFonts w:ascii="Times New Roman" w:hAnsi="Times New Roman" w:eastAsia="宋体" w:cs="Times New Roman"/>
      <w:lang w:val="en-US" w:eastAsia="zh-CN" w:bidi="ar-SA"/>
    </w:rPr>
  </w:style>
  <w:style w:type="paragraph" w:customStyle="1" w:styleId="3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4">
    <w:name w:val="NormalCharacter"/>
    <w:qFormat/>
    <w:uiPriority w:val="99"/>
    <w:rPr>
      <w:rFonts w:ascii="Times New Roman" w:hAnsi="Times New Roman" w:eastAsia="宋体" w:cs="Times New Roman"/>
      <w:kern w:val="2"/>
      <w:sz w:val="24"/>
      <w:szCs w:val="24"/>
      <w:lang w:val="en-US" w:eastAsia="zh-CN"/>
    </w:rPr>
  </w:style>
  <w:style w:type="paragraph" w:customStyle="1" w:styleId="35">
    <w:name w:val="正文格式"/>
    <w:basedOn w:val="1"/>
    <w:qFormat/>
    <w:uiPriority w:val="0"/>
    <w:pPr>
      <w:widowControl/>
      <w:adjustRightInd w:val="0"/>
      <w:snapToGrid w:val="0"/>
      <w:spacing w:line="400" w:lineRule="atLeast"/>
      <w:ind w:firstLine="482"/>
      <w:textAlignment w:val="baseline"/>
    </w:pPr>
    <w:rPr>
      <w:kern w:val="0"/>
      <w:sz w:val="24"/>
    </w:rPr>
  </w:style>
  <w:style w:type="paragraph" w:customStyle="1" w:styleId="36">
    <w:name w:val="p0"/>
    <w:basedOn w:val="1"/>
    <w:qFormat/>
    <w:uiPriority w:val="0"/>
    <w:pPr>
      <w:widowControl/>
    </w:pPr>
    <w:rPr>
      <w:kern w:val="0"/>
      <w:szCs w:val="21"/>
    </w:rPr>
  </w:style>
  <w:style w:type="paragraph" w:customStyle="1" w:styleId="37">
    <w:name w:val="Table Paragraph"/>
    <w:basedOn w:val="1"/>
    <w:qFormat/>
    <w:uiPriority w:val="1"/>
    <w:rPr>
      <w:rFonts w:ascii="Calibri" w:hAnsi="Calibri"/>
    </w:rPr>
  </w:style>
  <w:style w:type="paragraph" w:customStyle="1" w:styleId="38">
    <w:name w:val="列出段落1"/>
    <w:basedOn w:val="39"/>
    <w:qFormat/>
    <w:uiPriority w:val="0"/>
    <w:pPr>
      <w:ind w:firstLine="420" w:firstLineChars="200"/>
    </w:pPr>
    <w:rPr>
      <w:szCs w:val="21"/>
    </w:rPr>
  </w:style>
  <w:style w:type="paragraph" w:customStyle="1" w:styleId="39">
    <w:name w:val="正文1"/>
    <w:next w:val="38"/>
    <w:qFormat/>
    <w:uiPriority w:val="0"/>
    <w:pPr>
      <w:widowControl w:val="0"/>
      <w:suppressAutoHyphens w:val="0"/>
      <w:bidi w:val="0"/>
      <w:spacing w:before="0" w:after="0"/>
      <w:jc w:val="both"/>
    </w:pPr>
    <w:rPr>
      <w:rFonts w:ascii="Calibri" w:hAnsi="Calibri" w:eastAsia="宋体" w:cs="Calibri"/>
      <w:color w:val="auto"/>
      <w:kern w:val="2"/>
      <w:sz w:val="21"/>
      <w:szCs w:val="21"/>
      <w:lang w:val="en-US" w:eastAsia="zh-CN" w:bidi="ar-SA"/>
    </w:rPr>
  </w:style>
  <w:style w:type="paragraph" w:customStyle="1" w:styleId="40">
    <w:name w:val="Normal Indent1"/>
    <w:basedOn w:val="1"/>
    <w:qFormat/>
    <w:uiPriority w:val="0"/>
    <w:pPr>
      <w:adjustRightInd w:val="0"/>
      <w:spacing w:line="312" w:lineRule="atLeast"/>
      <w:ind w:firstLine="420"/>
      <w:textAlignment w:val="baseline"/>
    </w:pPr>
    <w:rPr>
      <w:kern w:val="0"/>
      <w:szCs w:val="20"/>
    </w:rPr>
  </w:style>
  <w:style w:type="paragraph" w:customStyle="1" w:styleId="41">
    <w:name w:val="Table Text"/>
    <w:basedOn w:val="1"/>
    <w:semiHidden/>
    <w:qFormat/>
    <w:uiPriority w:val="0"/>
    <w:rPr>
      <w:rFonts w:ascii="宋体" w:hAnsi="宋体" w:cs="宋体"/>
      <w:szCs w:val="21"/>
      <w:lang w:eastAsia="en-US"/>
    </w:rPr>
  </w:style>
  <w:style w:type="character" w:customStyle="1" w:styleId="42">
    <w:name w:val="p12"/>
    <w:qFormat/>
    <w:uiPriority w:val="0"/>
  </w:style>
  <w:style w:type="paragraph" w:customStyle="1" w:styleId="43">
    <w:name w:val="Normal_1_0"/>
    <w:next w:val="4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Heading 2_0"/>
    <w:next w:val="43"/>
    <w:qFormat/>
    <w:uiPriority w:val="0"/>
    <w:pPr>
      <w:keepNext/>
      <w:keepLines/>
      <w:pageBreakBefore/>
      <w:widowControl w:val="0"/>
      <w:spacing w:before="260" w:after="260" w:line="413" w:lineRule="auto"/>
      <w:jc w:val="both"/>
      <w:outlineLvl w:val="1"/>
    </w:pPr>
    <w:rPr>
      <w:rFonts w:ascii="Cambria" w:hAnsi="Cambria" w:eastAsia="宋体" w:cs="Times New Roman"/>
      <w:b/>
      <w:bCs/>
      <w:kern w:val="2"/>
      <w:sz w:val="32"/>
      <w:szCs w:val="32"/>
      <w:lang w:val="en-US" w:eastAsia="zh-CN" w:bidi="ar-SA"/>
    </w:rPr>
  </w:style>
  <w:style w:type="character" w:customStyle="1" w:styleId="45">
    <w:name w:val="more"/>
    <w:basedOn w:val="20"/>
    <w:qFormat/>
    <w:uiPriority w:val="0"/>
  </w:style>
  <w:style w:type="character" w:customStyle="1" w:styleId="46">
    <w:name w:val="hover5"/>
    <w:basedOn w:val="20"/>
    <w:qFormat/>
    <w:uiPriority w:val="0"/>
    <w:rPr>
      <w:shd w:val="clear" w:fill="E1E1E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61</Pages>
  <Words>16504</Words>
  <Characters>17879</Characters>
  <Lines>275</Lines>
  <Paragraphs>77</Paragraphs>
  <TotalTime>4</TotalTime>
  <ScaleCrop>false</ScaleCrop>
  <LinksUpToDate>false</LinksUpToDate>
  <CharactersWithSpaces>18121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2024-07-20T08:12:00Z</dcterms:created>
  <dc:creator>Administrator.PC-20211225XTAT</dc:creator>
  <cp:lastModifiedBy>Administrator</cp:lastModifiedBy>
  <cp:lastPrinted>2024-11-26T06:09:00Z</cp:lastPrinted>
  <dcterms:modified xsi:type="dcterms:W3CDTF">2025-11-21T01:22:17Z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4F6AFFE2125A4633BF1291A80D3158FF_13</vt:lpwstr>
  </property>
  <property fmtid="{D5CDD505-2E9C-101B-9397-08002B2CF9AE}" pid="4" name="KSOTemplateDocerSaveRecord">
    <vt:lpwstr>eyJoZGlkIjoiZWY5Yjk5MGQ5N2I0MmUwNDg1ZGNiYTg1ODNhNTY2MDQiLCJ1c2VySWQiOiIzOTE2OTg0NTEifQ==</vt:lpwstr>
  </property>
</Properties>
</file>