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keepNext/>
        <w:jc w:val="center"/>
        <w:outlineLvl w:val="0"/>
        <w:rPr>
          <w:rFonts w:ascii="黑体" w:hAnsi="黑体" w:eastAsia="黑体"/>
          <w:b/>
          <w:bCs/>
          <w:sz w:val="32"/>
          <w:szCs w:val="32"/>
        </w:rPr>
      </w:pPr>
      <w:bookmarkStart w:id="0" w:name="_Toc25776"/>
      <w:bookmarkStart w:id="13" w:name="_GoBack"/>
      <w:bookmarkEnd w:id="13"/>
      <w:r>
        <w:rPr>
          <w:rFonts w:hint="eastAsia" w:ascii="黑体" w:hAnsi="黑体" w:eastAsia="黑体"/>
          <w:b/>
          <w:bCs/>
          <w:sz w:val="32"/>
          <w:szCs w:val="32"/>
        </w:rPr>
        <w:t>采购需求</w:t>
      </w:r>
      <w:bookmarkEnd w:id="0"/>
    </w:p>
    <w:p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bookmarkStart w:id="1" w:name="_Toc31588"/>
      <w:r>
        <w:rPr>
          <w:rFonts w:hint="eastAsia" w:ascii="黑体" w:hAnsi="黑体" w:eastAsia="黑体"/>
          <w:b/>
          <w:bCs/>
          <w:sz w:val="28"/>
          <w:szCs w:val="28"/>
        </w:rPr>
        <w:t>第一节 采购清单一览表</w:t>
      </w:r>
      <w:bookmarkEnd w:id="1"/>
    </w:p>
    <w:tbl>
      <w:tblPr>
        <w:tblStyle w:val="4"/>
        <w:tblW w:w="9375" w:type="dxa"/>
        <w:tblInd w:w="-139" w:type="dxa"/>
        <w:tblBorders>
          <w:top w:val="double" w:color="auto" w:sz="4" w:space="0"/>
          <w:left w:val="double" w:color="auto" w:sz="4" w:space="0"/>
          <w:bottom w:val="double" w:color="auto" w:sz="4" w:space="0"/>
          <w:right w:val="double" w:color="auto" w:sz="4" w:space="0"/>
          <w:insideH w:val="single" w:color="auto" w:sz="6" w:space="0"/>
          <w:insideV w:val="single" w:color="auto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2"/>
        <w:gridCol w:w="1864"/>
        <w:gridCol w:w="1728"/>
        <w:gridCol w:w="1834"/>
        <w:gridCol w:w="902"/>
        <w:gridCol w:w="1195"/>
        <w:gridCol w:w="1160"/>
      </w:tblGrid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92" w:hRule="atLeast"/>
        </w:trPr>
        <w:tc>
          <w:tcPr>
            <w:tcW w:w="692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 xml:space="preserve">包号 </w:t>
            </w:r>
          </w:p>
        </w:tc>
        <w:tc>
          <w:tcPr>
            <w:tcW w:w="1864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包名称</w:t>
            </w:r>
          </w:p>
        </w:tc>
        <w:tc>
          <w:tcPr>
            <w:tcW w:w="1728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标的名称</w:t>
            </w:r>
            <w:r>
              <w:rPr>
                <w:rStyle w:val="6"/>
                <w:rFonts w:hint="default" w:ascii="helvetica" w:hAnsi="helvetica" w:eastAsia="helvetica" w:cs="helvetica"/>
                <w:b/>
                <w:bCs/>
                <w:color w:val="0E2D5F"/>
                <w:sz w:val="24"/>
                <w:szCs w:val="24"/>
              </w:rPr>
              <w:t> </w:t>
            </w:r>
          </w:p>
        </w:tc>
        <w:tc>
          <w:tcPr>
            <w:tcW w:w="1834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简要技术要求</w:t>
            </w:r>
          </w:p>
        </w:tc>
        <w:tc>
          <w:tcPr>
            <w:tcW w:w="902" w:type="dxa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ascii="宋体" w:hAnsi="宋体" w:cs="宋体"/>
                <w:kern w:val="0"/>
                <w:szCs w:val="21"/>
              </w:rPr>
            </w:pPr>
            <w:r>
              <w:rPr>
                <w:rFonts w:hint="eastAsia"/>
                <w:szCs w:val="21"/>
              </w:rPr>
              <w:t>数量</w:t>
            </w:r>
          </w:p>
        </w:tc>
        <w:tc>
          <w:tcPr>
            <w:tcW w:w="1195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节能产品</w:t>
            </w:r>
          </w:p>
        </w:tc>
        <w:tc>
          <w:tcPr>
            <w:tcW w:w="1160" w:type="dxa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进口产品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56" w:hRule="atLeast"/>
        </w:trPr>
        <w:tc>
          <w:tcPr>
            <w:tcW w:w="692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1</w:t>
            </w:r>
          </w:p>
        </w:tc>
        <w:tc>
          <w:tcPr>
            <w:tcW w:w="1864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/>
                <w:szCs w:val="21"/>
              </w:rPr>
              <w:t xml:space="preserve"> </w:t>
            </w:r>
            <w:r>
              <w:rPr>
                <w:rFonts w:hint="eastAsia"/>
                <w:szCs w:val="21"/>
                <w:lang w:eastAsia="zh-CN"/>
              </w:rPr>
              <w:t>株洲市公安局枪弹库智能枪弹柜升级改造项目采购</w:t>
            </w:r>
          </w:p>
        </w:tc>
        <w:tc>
          <w:tcPr>
            <w:tcW w:w="1728" w:type="dxa"/>
            <w:vMerge w:val="restart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株洲市公安局枪弹库智能枪弹柜升级改造项目采购</w:t>
            </w:r>
          </w:p>
        </w:tc>
        <w:tc>
          <w:tcPr>
            <w:tcW w:w="1834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  <w:r>
              <w:rPr>
                <w:rFonts w:hint="eastAsia"/>
                <w:szCs w:val="21"/>
              </w:rPr>
              <w:t>详见采购文件</w:t>
            </w:r>
          </w:p>
        </w:tc>
        <w:tc>
          <w:tcPr>
            <w:tcW w:w="902" w:type="dxa"/>
            <w:vMerge w:val="restart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default" w:eastAsia="宋体"/>
                <w:szCs w:val="21"/>
                <w:lang w:val="en-US" w:eastAsia="zh-CN"/>
              </w:rPr>
            </w:pPr>
            <w:r>
              <w:rPr>
                <w:rFonts w:hint="eastAsia"/>
                <w:color w:val="auto"/>
                <w:szCs w:val="21"/>
                <w:lang w:val="en-US" w:eastAsia="zh-CN"/>
              </w:rPr>
              <w:t>52台</w:t>
            </w:r>
          </w:p>
        </w:tc>
        <w:tc>
          <w:tcPr>
            <w:tcW w:w="1195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56" w:beforeLines="50" w:line="360" w:lineRule="auto"/>
              <w:rPr>
                <w:rFonts w:hint="eastAsia" w:eastAsia="宋体"/>
                <w:szCs w:val="21"/>
                <w:lang w:val="en-US" w:eastAsia="zh-CN"/>
              </w:rPr>
            </w:pPr>
            <w:r>
              <w:rPr>
                <w:rFonts w:hint="eastAsia" w:ascii="宋体" w:hAnsi="宋体"/>
                <w:iCs/>
                <w:szCs w:val="21"/>
              </w:rPr>
              <w:sym w:font="Wingdings" w:char="00A8"/>
            </w:r>
            <w:r>
              <w:rPr>
                <w:rFonts w:hint="eastAsia" w:ascii="宋体" w:hAnsi="宋体"/>
                <w:iCs/>
                <w:szCs w:val="21"/>
                <w:lang w:val="en-US" w:eastAsia="zh-CN"/>
              </w:rPr>
              <w:t>是</w:t>
            </w:r>
          </w:p>
        </w:tc>
        <w:tc>
          <w:tcPr>
            <w:tcW w:w="1160" w:type="dxa"/>
            <w:tcBorders>
              <w:bottom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56" w:beforeLines="50" w:line="360" w:lineRule="auto"/>
              <w:rPr>
                <w:rFonts w:hint="eastAsia" w:eastAsia="宋体"/>
                <w:szCs w:val="21"/>
                <w:lang w:eastAsia="zh-CN"/>
              </w:rPr>
            </w:pPr>
            <w:r>
              <w:rPr>
                <w:rFonts w:hint="eastAsia" w:ascii="宋体" w:hAnsi="宋体"/>
                <w:iCs/>
                <w:szCs w:val="21"/>
              </w:rPr>
              <w:sym w:font="Wingdings" w:char="00A8"/>
            </w:r>
            <w:r>
              <w:rPr>
                <w:rFonts w:hint="eastAsia" w:ascii="宋体" w:hAnsi="宋体"/>
                <w:iCs/>
                <w:szCs w:val="21"/>
                <w:lang w:eastAsia="zh-CN"/>
              </w:rPr>
              <w:t>是</w:t>
            </w:r>
          </w:p>
        </w:tc>
      </w:tr>
      <w:tr>
        <w:tblPrEx>
          <w:tblBorders>
            <w:top w:val="double" w:color="auto" w:sz="4" w:space="0"/>
            <w:left w:val="double" w:color="auto" w:sz="4" w:space="0"/>
            <w:bottom w:val="double" w:color="auto" w:sz="4" w:space="0"/>
            <w:right w:val="double" w:color="auto" w:sz="4" w:space="0"/>
            <w:insideH w:val="single" w:color="auto" w:sz="6" w:space="0"/>
            <w:insideV w:val="single" w:color="auto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28" w:hRule="atLeast"/>
        </w:trPr>
        <w:tc>
          <w:tcPr>
            <w:tcW w:w="692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64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728" w:type="dxa"/>
            <w:vMerge w:val="continue"/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834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902" w:type="dxa"/>
            <w:vMerge w:val="continue"/>
            <w:tcBorders>
              <w:left w:val="single" w:color="auto" w:sz="4" w:space="0"/>
            </w:tcBorders>
            <w:noWrap w:val="0"/>
            <w:vAlign w:val="center"/>
          </w:tcPr>
          <w:p>
            <w:pPr>
              <w:adjustRightInd w:val="0"/>
              <w:snapToGrid w:val="0"/>
              <w:jc w:val="center"/>
              <w:rPr>
                <w:rFonts w:hint="eastAsia"/>
                <w:szCs w:val="21"/>
              </w:rPr>
            </w:pPr>
          </w:p>
        </w:tc>
        <w:tc>
          <w:tcPr>
            <w:tcW w:w="1195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56" w:beforeLines="50" w:line="360" w:lineRule="auto"/>
              <w:rPr>
                <w:rFonts w:hint="eastAsia" w:ascii="宋体" w:hAnsi="宋体" w:eastAsia="宋体"/>
                <w:iCs/>
                <w:szCs w:val="21"/>
                <w:lang w:eastAsia="zh-CN"/>
              </w:rPr>
            </w:pPr>
            <w:r>
              <w:rPr>
                <w:rFonts w:hint="eastAsia" w:ascii="宋体" w:hAnsi="宋体"/>
                <w:iCs/>
                <w:szCs w:val="21"/>
              </w:rPr>
              <w:sym w:font="Wingdings" w:char="00FE"/>
            </w:r>
            <w:r>
              <w:rPr>
                <w:rFonts w:hint="eastAsia" w:ascii="宋体" w:hAnsi="宋体"/>
                <w:iCs/>
                <w:szCs w:val="21"/>
                <w:lang w:eastAsia="zh-CN"/>
              </w:rPr>
              <w:t>否</w:t>
            </w:r>
          </w:p>
        </w:tc>
        <w:tc>
          <w:tcPr>
            <w:tcW w:w="1160" w:type="dxa"/>
            <w:tcBorders>
              <w:top w:val="single" w:color="auto" w:sz="4" w:space="0"/>
            </w:tcBorders>
            <w:noWrap w:val="0"/>
            <w:vAlign w:val="top"/>
          </w:tcPr>
          <w:p>
            <w:pPr>
              <w:adjustRightInd w:val="0"/>
              <w:snapToGrid w:val="0"/>
              <w:spacing w:before="156" w:beforeLines="50" w:line="360" w:lineRule="auto"/>
              <w:rPr>
                <w:rFonts w:hint="eastAsia" w:ascii="宋体" w:hAnsi="宋体" w:eastAsia="宋体"/>
                <w:iCs/>
                <w:szCs w:val="21"/>
                <w:lang w:eastAsia="zh-CN"/>
              </w:rPr>
            </w:pPr>
            <w:r>
              <w:rPr>
                <w:rFonts w:hint="eastAsia" w:ascii="宋体" w:hAnsi="宋体"/>
                <w:iCs/>
                <w:szCs w:val="21"/>
              </w:rPr>
              <w:sym w:font="Wingdings" w:char="00FE"/>
            </w:r>
            <w:r>
              <w:rPr>
                <w:rFonts w:hint="eastAsia" w:ascii="宋体" w:hAnsi="宋体"/>
                <w:iCs/>
                <w:szCs w:val="21"/>
                <w:lang w:eastAsia="zh-CN"/>
              </w:rPr>
              <w:t>否</w:t>
            </w:r>
          </w:p>
        </w:tc>
      </w:tr>
    </w:tbl>
    <w:p>
      <w:pPr>
        <w:adjustRightInd w:val="0"/>
        <w:snapToGrid w:val="0"/>
        <w:spacing w:before="156" w:beforeLines="50" w:line="360" w:lineRule="auto"/>
        <w:rPr>
          <w:rFonts w:hint="eastAsia" w:ascii="宋体" w:hAnsi="宋体"/>
          <w:b/>
          <w:bCs/>
          <w:szCs w:val="21"/>
        </w:rPr>
      </w:pPr>
      <w:r>
        <w:rPr>
          <w:rFonts w:hint="eastAsia" w:ascii="宋体" w:hAnsi="宋体"/>
          <w:b/>
          <w:bCs/>
          <w:szCs w:val="21"/>
        </w:rPr>
        <w:t>详细清单：</w:t>
      </w:r>
    </w:p>
    <w:tbl>
      <w:tblPr>
        <w:tblStyle w:val="4"/>
        <w:tblW w:w="939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55"/>
        <w:gridCol w:w="1983"/>
        <w:gridCol w:w="5278"/>
        <w:gridCol w:w="128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5" w:hRule="atLeast"/>
          <w:jc w:val="center"/>
        </w:trPr>
        <w:tc>
          <w:tcPr>
            <w:tcW w:w="8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bookmarkStart w:id="2" w:name="OLE_LINK37"/>
            <w:r>
              <w:rPr>
                <w:rFonts w:hint="eastAsia" w:ascii="宋体" w:hAnsi="宋体" w:cs="宋体"/>
                <w:b/>
                <w:bCs/>
                <w:szCs w:val="21"/>
              </w:rPr>
              <w:t>序 号</w:t>
            </w:r>
          </w:p>
        </w:tc>
        <w:tc>
          <w:tcPr>
            <w:tcW w:w="7261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标的名称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93" w:hRule="atLeast"/>
          <w:jc w:val="center"/>
        </w:trPr>
        <w:tc>
          <w:tcPr>
            <w:tcW w:w="855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bookmarkStart w:id="3" w:name="OLE_LINK20" w:colFirst="4" w:colLast="4"/>
            <w:bookmarkStart w:id="4" w:name="OLE_LINK79" w:colFirst="1" w:colLast="2"/>
            <w:bookmarkStart w:id="5" w:name="OLE_LINK32" w:colFirst="0" w:colLast="0"/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198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株洲市公安局枪弹库智能枪弹柜升级改造项目采购</w:t>
            </w:r>
          </w:p>
        </w:tc>
        <w:tc>
          <w:tcPr>
            <w:tcW w:w="5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智能枪弹柜主控制器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  <w:lang w:val="en-US" w:eastAsia="zh-CN"/>
              </w:rPr>
              <w:t>52台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79" w:hRule="atLeast"/>
          <w:jc w:val="center"/>
        </w:trPr>
        <w:tc>
          <w:tcPr>
            <w:tcW w:w="855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98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旧设备零配件更换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  <w:lang w:val="en-US" w:eastAsia="zh-CN"/>
              </w:rPr>
              <w:t>52台</w:t>
            </w:r>
          </w:p>
        </w:tc>
      </w:tr>
      <w:bookmarkEnd w:id="3"/>
      <w:bookmarkEnd w:id="4"/>
      <w:bookmarkEnd w:id="5"/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04" w:hRule="atLeast"/>
          <w:jc w:val="center"/>
        </w:trPr>
        <w:tc>
          <w:tcPr>
            <w:tcW w:w="855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98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527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硬件设备调试(换新)及枪支4.0系统接入调试</w:t>
            </w:r>
          </w:p>
        </w:tc>
        <w:tc>
          <w:tcPr>
            <w:tcW w:w="12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b w:val="0"/>
                <w:bCs w:val="0"/>
                <w:color w:val="auto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  <w:lang w:val="en-US" w:eastAsia="zh-CN"/>
              </w:rPr>
              <w:t>52</w:t>
            </w:r>
            <w:bookmarkStart w:id="6" w:name="OLE_LINK6"/>
            <w:r>
              <w:rPr>
                <w:rFonts w:hint="eastAsia" w:ascii="宋体" w:hAnsi="宋体" w:cs="宋体"/>
                <w:b w:val="0"/>
                <w:bCs w:val="0"/>
                <w:color w:val="auto"/>
                <w:szCs w:val="21"/>
                <w:lang w:val="en-US" w:eastAsia="zh-CN"/>
              </w:rPr>
              <w:t>台</w:t>
            </w:r>
            <w:bookmarkEnd w:id="6"/>
          </w:p>
        </w:tc>
      </w:tr>
      <w:bookmarkEnd w:id="2"/>
    </w:tbl>
    <w:p>
      <w:pPr>
        <w:adjustRightInd w:val="0"/>
        <w:snapToGrid w:val="0"/>
        <w:spacing w:before="156" w:beforeLines="50" w:line="360" w:lineRule="auto"/>
        <w:rPr>
          <w:rFonts w:ascii="宋体" w:hAnsi="宋体"/>
          <w:szCs w:val="21"/>
        </w:rPr>
      </w:pPr>
      <w:r>
        <w:rPr>
          <w:rFonts w:hint="eastAsia" w:ascii="宋体" w:hAnsi="宋体"/>
          <w:szCs w:val="21"/>
        </w:rPr>
        <w:t>注：1.“包”为最小合同单位。每“包”内容应细化到具体的标的。</w:t>
      </w:r>
    </w:p>
    <w:p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/>
          <w:szCs w:val="21"/>
        </w:rPr>
        <w:t>2.货物的主要技术参数或规格：</w:t>
      </w:r>
      <w:r>
        <w:rPr>
          <w:rFonts w:ascii="宋体" w:hAnsi="宋体" w:cs="宋体"/>
          <w:kern w:val="0"/>
          <w:szCs w:val="21"/>
        </w:rPr>
        <w:t>详见“技术要求”中的具体技术参数</w:t>
      </w:r>
      <w:r>
        <w:rPr>
          <w:rFonts w:hint="eastAsia" w:ascii="宋体" w:hAnsi="宋体" w:cs="宋体"/>
          <w:kern w:val="0"/>
          <w:szCs w:val="21"/>
        </w:rPr>
        <w:t>。</w:t>
      </w:r>
    </w:p>
    <w:p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 w:cs="宋体"/>
          <w:kern w:val="0"/>
          <w:szCs w:val="21"/>
        </w:rPr>
      </w:pPr>
      <w:r>
        <w:rPr>
          <w:rFonts w:hint="eastAsia" w:ascii="宋体" w:hAnsi="宋体" w:cs="宋体"/>
          <w:bCs/>
          <w:kern w:val="0"/>
          <w:szCs w:val="21"/>
        </w:rPr>
        <w:t>3.供应商应</w:t>
      </w:r>
      <w:r>
        <w:rPr>
          <w:rFonts w:hint="eastAsia" w:ascii="宋体" w:hAnsi="宋体" w:cs="宋体"/>
          <w:kern w:val="0"/>
          <w:szCs w:val="21"/>
        </w:rPr>
        <w:t>在响应文件</w:t>
      </w:r>
      <w:r>
        <w:rPr>
          <w:rFonts w:hint="eastAsia" w:ascii="华文中宋" w:hAnsi="华文中宋" w:eastAsia="华文中宋" w:cs="宋体"/>
          <w:kern w:val="0"/>
          <w:szCs w:val="21"/>
        </w:rPr>
        <w:t>“</w:t>
      </w:r>
      <w:r>
        <w:rPr>
          <w:rFonts w:hint="eastAsia" w:ascii="宋体" w:hAnsi="宋体" w:cs="宋体"/>
          <w:kern w:val="0"/>
          <w:szCs w:val="21"/>
        </w:rPr>
        <w:t>分项报价明细表</w:t>
      </w:r>
      <w:r>
        <w:rPr>
          <w:rFonts w:hint="eastAsia" w:ascii="华文中宋" w:hAnsi="华文中宋" w:eastAsia="华文中宋" w:cs="宋体"/>
          <w:kern w:val="0"/>
          <w:szCs w:val="21"/>
        </w:rPr>
        <w:t>”</w:t>
      </w:r>
      <w:r>
        <w:rPr>
          <w:rFonts w:hint="eastAsia" w:ascii="宋体" w:hAnsi="宋体" w:cs="宋体"/>
          <w:kern w:val="0"/>
          <w:szCs w:val="21"/>
        </w:rPr>
        <w:t>中按</w:t>
      </w:r>
      <w:r>
        <w:rPr>
          <w:rFonts w:hint="eastAsia" w:ascii="宋体" w:hAnsi="宋体"/>
          <w:szCs w:val="21"/>
        </w:rPr>
        <w:t>标的名称</w:t>
      </w:r>
      <w:r>
        <w:rPr>
          <w:rFonts w:hint="eastAsia" w:ascii="宋体" w:hAnsi="宋体" w:cs="宋体"/>
          <w:kern w:val="0"/>
          <w:szCs w:val="21"/>
        </w:rPr>
        <w:t>顺序逐项填写，且每个标的均需按谈判文件规定报价。如有缺项、漏项，其</w:t>
      </w:r>
      <w:r>
        <w:rPr>
          <w:rFonts w:hint="eastAsia" w:ascii="宋体" w:hAnsi="宋体" w:cs="宋体"/>
          <w:b/>
          <w:kern w:val="0"/>
          <w:szCs w:val="21"/>
        </w:rPr>
        <w:t>响应无效</w:t>
      </w:r>
      <w:r>
        <w:rPr>
          <w:rFonts w:hint="eastAsia" w:ascii="宋体" w:hAnsi="宋体" w:cs="宋体"/>
          <w:kern w:val="0"/>
          <w:szCs w:val="21"/>
        </w:rPr>
        <w:t>。</w:t>
      </w:r>
    </w:p>
    <w:p>
      <w:pPr>
        <w:adjustRightInd w:val="0"/>
        <w:snapToGrid w:val="0"/>
        <w:spacing w:before="156" w:beforeLines="50" w:line="360" w:lineRule="auto"/>
        <w:ind w:firstLine="420" w:firstLineChars="200"/>
        <w:rPr>
          <w:rFonts w:ascii="宋体" w:hAnsi="宋体" w:cs="宋体"/>
          <w:kern w:val="0"/>
          <w:szCs w:val="21"/>
        </w:rPr>
        <w:sectPr>
          <w:pgSz w:w="11906" w:h="16838"/>
          <w:pgMar w:top="1474" w:right="1474" w:bottom="1474" w:left="1588" w:header="851" w:footer="992" w:gutter="0"/>
          <w:cols w:space="720" w:num="1"/>
          <w:docGrid w:type="lines" w:linePitch="312" w:charSpace="0"/>
        </w:sectPr>
      </w:pPr>
    </w:p>
    <w:p>
      <w:pPr>
        <w:keepNext/>
        <w:keepLines/>
        <w:adjustRightInd w:val="0"/>
        <w:snapToGrid w:val="0"/>
        <w:spacing w:before="156" w:beforeLines="50" w:line="360" w:lineRule="auto"/>
        <w:jc w:val="center"/>
        <w:outlineLvl w:val="1"/>
        <w:rPr>
          <w:rFonts w:ascii="黑体" w:hAnsi="黑体" w:eastAsia="黑体"/>
          <w:b/>
          <w:bCs/>
          <w:sz w:val="28"/>
          <w:szCs w:val="28"/>
        </w:rPr>
      </w:pPr>
      <w:bookmarkStart w:id="7" w:name="_Toc702"/>
      <w:r>
        <w:rPr>
          <w:rFonts w:hint="eastAsia" w:ascii="黑体" w:hAnsi="黑体" w:eastAsia="黑体"/>
          <w:b/>
          <w:bCs/>
          <w:sz w:val="28"/>
          <w:szCs w:val="28"/>
        </w:rPr>
        <w:t xml:space="preserve">第二节 </w:t>
      </w:r>
      <w:r>
        <w:rPr>
          <w:rFonts w:ascii="黑体" w:hAnsi="黑体" w:eastAsia="黑体"/>
          <w:b/>
          <w:bCs/>
          <w:sz w:val="28"/>
          <w:szCs w:val="28"/>
        </w:rPr>
        <w:t>技术要求</w:t>
      </w:r>
      <w:bookmarkEnd w:id="7"/>
    </w:p>
    <w:p>
      <w:pPr>
        <w:pStyle w:val="2"/>
        <w:spacing w:line="260" w:lineRule="exact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一、技术参数要求</w:t>
      </w:r>
    </w:p>
    <w:tbl>
      <w:tblPr>
        <w:tblStyle w:val="4"/>
        <w:tblW w:w="9300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57" w:type="dxa"/>
          <w:bottom w:w="0" w:type="dxa"/>
          <w:right w:w="57" w:type="dxa"/>
        </w:tblCellMar>
      </w:tblPr>
      <w:tblGrid>
        <w:gridCol w:w="719"/>
        <w:gridCol w:w="3592"/>
        <w:gridCol w:w="754"/>
        <w:gridCol w:w="731"/>
        <w:gridCol w:w="350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472" w:hRule="atLeast"/>
          <w:jc w:val="center"/>
        </w:trPr>
        <w:tc>
          <w:tcPr>
            <w:tcW w:w="719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序号</w:t>
            </w:r>
          </w:p>
        </w:tc>
        <w:tc>
          <w:tcPr>
            <w:tcW w:w="3592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项目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名称</w:t>
            </w:r>
          </w:p>
        </w:tc>
        <w:tc>
          <w:tcPr>
            <w:tcW w:w="754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数量</w:t>
            </w:r>
          </w:p>
        </w:tc>
        <w:tc>
          <w:tcPr>
            <w:tcW w:w="731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单位</w:t>
            </w:r>
          </w:p>
        </w:tc>
        <w:tc>
          <w:tcPr>
            <w:tcW w:w="3504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设备</w:t>
            </w:r>
            <w:r>
              <w:rPr>
                <w:rFonts w:hint="eastAsia" w:ascii="宋体" w:hAnsi="宋体" w:cs="宋体"/>
                <w:b/>
                <w:bCs/>
                <w:szCs w:val="21"/>
              </w:rPr>
              <w:t>参数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57" w:type="dxa"/>
            <w:bottom w:w="0" w:type="dxa"/>
            <w:right w:w="57" w:type="dxa"/>
          </w:tblCellMar>
        </w:tblPrEx>
        <w:trPr>
          <w:trHeight w:val="501" w:hRule="atLeast"/>
          <w:jc w:val="center"/>
        </w:trPr>
        <w:tc>
          <w:tcPr>
            <w:tcW w:w="719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 w:ascii="宋体" w:hAnsi="宋体" w:cs="宋体"/>
                <w:szCs w:val="21"/>
              </w:rPr>
              <w:t>1</w:t>
            </w:r>
          </w:p>
        </w:tc>
        <w:tc>
          <w:tcPr>
            <w:tcW w:w="3592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株洲市公安局枪弹库智能枪弹柜升级改造项目采购</w:t>
            </w:r>
          </w:p>
        </w:tc>
        <w:tc>
          <w:tcPr>
            <w:tcW w:w="754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52</w:t>
            </w:r>
          </w:p>
        </w:tc>
        <w:tc>
          <w:tcPr>
            <w:tcW w:w="731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台</w:t>
            </w:r>
          </w:p>
        </w:tc>
        <w:tc>
          <w:tcPr>
            <w:tcW w:w="3504" w:type="dxa"/>
            <w:noWrap w:val="0"/>
            <w:tcMar>
              <w:top w:w="0" w:type="dxa"/>
              <w:left w:w="57" w:type="dxa"/>
              <w:bottom w:w="0" w:type="dxa"/>
              <w:right w:w="57" w:type="dxa"/>
            </w:tcMar>
            <w:vAlign w:val="center"/>
          </w:tcPr>
          <w:p>
            <w:pPr>
              <w:spacing w:line="260" w:lineRule="exact"/>
              <w:jc w:val="center"/>
              <w:rPr>
                <w:rFonts w:hint="eastAsia" w:ascii="宋体" w:hAnsi="宋体" w:eastAsia="宋体" w:cs="宋体"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szCs w:val="21"/>
                <w:lang w:eastAsia="zh-CN"/>
              </w:rPr>
              <w:t>详见技术要求</w:t>
            </w:r>
          </w:p>
        </w:tc>
      </w:tr>
    </w:tbl>
    <w:p>
      <w:pPr>
        <w:pStyle w:val="2"/>
        <w:numPr>
          <w:ilvl w:val="0"/>
          <w:numId w:val="1"/>
        </w:numPr>
        <w:spacing w:line="360" w:lineRule="auto"/>
        <w:jc w:val="both"/>
        <w:rPr>
          <w:rFonts w:hint="eastAsia" w:ascii="宋体" w:hAnsi="宋体" w:cs="宋体"/>
          <w:sz w:val="21"/>
          <w:szCs w:val="21"/>
        </w:rPr>
      </w:pPr>
      <w:r>
        <w:rPr>
          <w:rFonts w:hint="eastAsia" w:ascii="宋体" w:hAnsi="宋体" w:cs="宋体"/>
          <w:sz w:val="21"/>
          <w:szCs w:val="21"/>
        </w:rPr>
        <w:t>设备参数</w:t>
      </w:r>
    </w:p>
    <w:tbl>
      <w:tblPr>
        <w:tblStyle w:val="4"/>
        <w:tblW w:w="926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63"/>
        <w:gridCol w:w="988"/>
        <w:gridCol w:w="1570"/>
        <w:gridCol w:w="5005"/>
        <w:gridCol w:w="837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5" w:hRule="atLeast"/>
          <w:jc w:val="center"/>
        </w:trPr>
        <w:tc>
          <w:tcPr>
            <w:tcW w:w="86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序 号</w:t>
            </w:r>
          </w:p>
        </w:tc>
        <w:tc>
          <w:tcPr>
            <w:tcW w:w="2558" w:type="dxa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b/>
                <w:bCs/>
                <w:szCs w:val="21"/>
                <w:lang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名称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/</w:t>
            </w: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标的名称（中小企业划分均为工业）</w:t>
            </w:r>
          </w:p>
        </w:tc>
        <w:tc>
          <w:tcPr>
            <w:tcW w:w="5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default" w:ascii="宋体" w:hAnsi="宋体" w:eastAsia="宋体" w:cs="宋体"/>
                <w:b/>
                <w:bCs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  <w:lang w:eastAsia="zh-CN"/>
              </w:rPr>
              <w:t>产品规格、技术参数</w:t>
            </w:r>
            <w:r>
              <w:rPr>
                <w:rFonts w:hint="eastAsia" w:ascii="宋体" w:hAnsi="宋体" w:cs="宋体"/>
                <w:b/>
                <w:bCs/>
                <w:szCs w:val="21"/>
                <w:lang w:val="en-US" w:eastAsia="zh-CN"/>
              </w:rPr>
              <w:t>及要求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b/>
                <w:bCs/>
                <w:szCs w:val="21"/>
              </w:rPr>
            </w:pPr>
            <w:r>
              <w:rPr>
                <w:rFonts w:hint="eastAsia" w:ascii="宋体" w:hAnsi="宋体" w:cs="宋体"/>
                <w:b/>
                <w:bCs/>
                <w:szCs w:val="21"/>
              </w:rPr>
              <w:t>数量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887" w:hRule="atLeast"/>
          <w:jc w:val="center"/>
        </w:trPr>
        <w:tc>
          <w:tcPr>
            <w:tcW w:w="863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numPr>
                <w:ilvl w:val="0"/>
                <w:numId w:val="0"/>
              </w:numPr>
              <w:ind w:leftChars="0"/>
              <w:jc w:val="center"/>
              <w:rPr>
                <w:rFonts w:hint="eastAsia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1</w:t>
            </w:r>
          </w:p>
        </w:tc>
        <w:tc>
          <w:tcPr>
            <w:tcW w:w="988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  <w:r>
              <w:rPr>
                <w:rFonts w:hint="eastAsia"/>
                <w:szCs w:val="21"/>
                <w:lang w:eastAsia="zh-CN"/>
              </w:rPr>
              <w:t>株洲市公安局枪弹库智能枪弹柜升级改造项目采购</w:t>
            </w:r>
          </w:p>
        </w:tc>
        <w:tc>
          <w:tcPr>
            <w:tcW w:w="1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智能枪弹柜主控制器</w:t>
            </w:r>
          </w:p>
        </w:tc>
        <w:tc>
          <w:tcPr>
            <w:tcW w:w="5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操作系统:Linux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主板:RK3568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主芯片:CortexA55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 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4核64位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ARM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2.0G 运行主频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 xml:space="preserve">内存:DDR 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 xml:space="preserve"> 1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GB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Flash: 8GB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显示:12寸高亮液晶屏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交互:12寸电容触摸屏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报警输入/出:1路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备用电池:锂电池备电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生物识别:电容指纹仪识别、人脸识别、密码识别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工作温度:-20-60℃</w:t>
            </w:r>
          </w:p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高清摄像头图片抓拍、实时监控、酒精检测。</w:t>
            </w:r>
          </w:p>
          <w:p>
            <w:pPr>
              <w:spacing w:line="260" w:lineRule="exact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对接能力：支持与全国枪支管理信息系统4.0平台无缝对接。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52台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028" w:hRule="atLeast"/>
          <w:jc w:val="center"/>
        </w:trPr>
        <w:tc>
          <w:tcPr>
            <w:tcW w:w="863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988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旧设备零配件更换</w:t>
            </w:r>
          </w:p>
        </w:tc>
        <w:tc>
          <w:tcPr>
            <w:tcW w:w="5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default" w:ascii="Times New Roman" w:hAnsi="Times New Roman" w:eastAsia="宋体" w:cs="Times New Roman"/>
                <w:szCs w:val="21"/>
                <w:lang w:val="en-US"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智能枪锁、子弹称重抽屉、电源盒、智能电机锁及辅材、线束等。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52台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271" w:hRule="atLeast"/>
          <w:jc w:val="center"/>
        </w:trPr>
        <w:tc>
          <w:tcPr>
            <w:tcW w:w="863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jc w:val="center"/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988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eastAsia" w:ascii="宋体" w:hAnsi="宋体" w:cs="宋体"/>
                <w:szCs w:val="21"/>
              </w:rPr>
            </w:pPr>
          </w:p>
        </w:tc>
        <w:tc>
          <w:tcPr>
            <w:tcW w:w="157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硬件设备调试（换新）及枪支4.0系统接入调试</w:t>
            </w:r>
          </w:p>
        </w:tc>
        <w:tc>
          <w:tcPr>
            <w:tcW w:w="500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spacing w:line="260" w:lineRule="exact"/>
              <w:jc w:val="left"/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</w:pP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新设备拆卸、安装、测试、人员培训、人员信息录入、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枪支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信息录入、智能枪弹柜、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智能网关并直接接入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4.0系统调试</w:t>
            </w:r>
            <w:r>
              <w:rPr>
                <w:rFonts w:hint="eastAsia" w:ascii="Times New Roman" w:hAnsi="Times New Roman" w:eastAsia="宋体" w:cs="Times New Roman"/>
                <w:szCs w:val="21"/>
                <w:lang w:val="en-US" w:eastAsia="zh-CN"/>
              </w:rPr>
              <w:t>及运维</w:t>
            </w:r>
            <w:r>
              <w:rPr>
                <w:rFonts w:hint="eastAsia" w:ascii="Times New Roman" w:hAnsi="Times New Roman" w:eastAsia="宋体" w:cs="Times New Roman"/>
                <w:szCs w:val="21"/>
                <w:lang w:eastAsia="zh-CN"/>
              </w:rPr>
              <w:t>。</w:t>
            </w:r>
          </w:p>
        </w:tc>
        <w:tc>
          <w:tcPr>
            <w:tcW w:w="83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noWrap w:val="0"/>
            <w:vAlign w:val="center"/>
          </w:tcPr>
          <w:p>
            <w:pPr>
              <w:rPr>
                <w:rFonts w:hint="default" w:ascii="宋体" w:hAnsi="宋体" w:eastAsia="宋体" w:cs="宋体"/>
                <w:szCs w:val="21"/>
                <w:lang w:val="en-US" w:eastAsia="zh-CN"/>
              </w:rPr>
            </w:pPr>
            <w:r>
              <w:rPr>
                <w:rFonts w:hint="eastAsia" w:ascii="宋体" w:hAnsi="宋体" w:cs="宋体"/>
                <w:szCs w:val="21"/>
                <w:lang w:val="en-US" w:eastAsia="zh-CN"/>
              </w:rPr>
              <w:t>52台</w:t>
            </w:r>
          </w:p>
        </w:tc>
      </w:tr>
    </w:tbl>
    <w:p>
      <w:pPr>
        <w:numPr>
          <w:ilvl w:val="0"/>
          <w:numId w:val="0"/>
        </w:numPr>
        <w:rPr>
          <w:rFonts w:hint="eastAsia"/>
        </w:rPr>
      </w:pPr>
    </w:p>
    <w:p>
      <w:pPr>
        <w:keepNext/>
        <w:keepLines/>
        <w:spacing w:line="360" w:lineRule="auto"/>
        <w:jc w:val="center"/>
        <w:outlineLvl w:val="1"/>
        <w:rPr>
          <w:rFonts w:hint="eastAsia" w:ascii="黑体" w:hAnsi="黑体" w:eastAsia="黑体"/>
          <w:b/>
          <w:bCs/>
          <w:sz w:val="28"/>
          <w:szCs w:val="28"/>
        </w:rPr>
      </w:pPr>
      <w:bookmarkStart w:id="8" w:name="_Toc107998022"/>
      <w:bookmarkStart w:id="9" w:name="_Toc11134"/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pStyle w:val="7"/>
        <w:rPr>
          <w:rFonts w:hint="eastAsia"/>
        </w:rPr>
      </w:pPr>
    </w:p>
    <w:p>
      <w:pPr>
        <w:keepNext/>
        <w:keepLines/>
        <w:spacing w:line="360" w:lineRule="auto"/>
        <w:jc w:val="center"/>
        <w:outlineLvl w:val="1"/>
      </w:pPr>
      <w:r>
        <w:rPr>
          <w:rFonts w:hint="eastAsia" w:ascii="黑体" w:hAnsi="黑体" w:eastAsia="黑体"/>
          <w:b/>
          <w:bCs/>
          <w:sz w:val="28"/>
          <w:szCs w:val="28"/>
        </w:rPr>
        <w:t>第三节 商务</w:t>
      </w:r>
      <w:r>
        <w:rPr>
          <w:rFonts w:ascii="黑体" w:hAnsi="黑体" w:eastAsia="黑体"/>
          <w:b/>
          <w:bCs/>
          <w:sz w:val="28"/>
          <w:szCs w:val="28"/>
        </w:rPr>
        <w:t>要求</w:t>
      </w:r>
      <w:bookmarkEnd w:id="8"/>
      <w:bookmarkEnd w:id="9"/>
    </w:p>
    <w:p>
      <w:pPr>
        <w:pStyle w:val="8"/>
        <w:ind w:left="280" w:firstLine="0" w:firstLineChars="0"/>
        <w:jc w:val="left"/>
        <w:rPr>
          <w:rFonts w:hint="eastAsia"/>
          <w:szCs w:val="21"/>
        </w:rPr>
      </w:pPr>
      <w:r>
        <w:rPr>
          <w:rFonts w:hint="eastAsia"/>
          <w:b/>
          <w:bCs/>
          <w:szCs w:val="21"/>
        </w:rPr>
        <w:t>一、项目概况：</w:t>
      </w:r>
    </w:p>
    <w:p>
      <w:pPr>
        <w:ind w:firstLine="210" w:firstLineChars="100"/>
        <w:jc w:val="left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</w:rPr>
        <w:t>1、项目名称：</w:t>
      </w:r>
      <w:r>
        <w:rPr>
          <w:rFonts w:hint="eastAsia"/>
          <w:szCs w:val="21"/>
          <w:lang w:eastAsia="zh-CN"/>
        </w:rPr>
        <w:t>株洲市公安局枪弹库智能枪弹柜升级改造项目采购</w:t>
      </w:r>
    </w:p>
    <w:p>
      <w:pPr>
        <w:ind w:firstLine="210" w:firstLineChars="100"/>
        <w:jc w:val="left"/>
        <w:rPr>
          <w:szCs w:val="21"/>
        </w:rPr>
      </w:pPr>
      <w:r>
        <w:rPr>
          <w:rFonts w:hint="eastAsia"/>
          <w:szCs w:val="21"/>
        </w:rPr>
        <w:t>2、项目预算：</w:t>
      </w:r>
      <w:r>
        <w:rPr>
          <w:rFonts w:hint="eastAsia"/>
          <w:szCs w:val="21"/>
          <w:lang w:val="en-US" w:eastAsia="zh-CN"/>
        </w:rPr>
        <w:t>5356</w:t>
      </w:r>
      <w:r>
        <w:rPr>
          <w:rFonts w:hint="eastAsia"/>
          <w:szCs w:val="21"/>
        </w:rPr>
        <w:t>00.00元；最高限价：</w:t>
      </w:r>
      <w:r>
        <w:rPr>
          <w:rFonts w:hint="eastAsia"/>
          <w:szCs w:val="21"/>
          <w:lang w:val="en-US" w:eastAsia="zh-CN"/>
        </w:rPr>
        <w:t>53560</w:t>
      </w:r>
      <w:r>
        <w:rPr>
          <w:rFonts w:hint="eastAsia"/>
          <w:szCs w:val="21"/>
        </w:rPr>
        <w:t>0.00</w:t>
      </w:r>
      <w:r>
        <w:rPr>
          <w:rFonts w:hint="eastAsia"/>
          <w:szCs w:val="21"/>
          <w:lang w:eastAsia="zh-CN"/>
        </w:rPr>
        <w:t>元</w:t>
      </w:r>
      <w:r>
        <w:rPr>
          <w:rFonts w:hint="eastAsia"/>
          <w:szCs w:val="21"/>
        </w:rPr>
        <w:t>（</w:t>
      </w:r>
      <w:r>
        <w:rPr>
          <w:rFonts w:hint="eastAsia"/>
          <w:szCs w:val="21"/>
          <w:lang w:eastAsia="zh-CN"/>
        </w:rPr>
        <w:t>供应商</w:t>
      </w:r>
      <w:r>
        <w:rPr>
          <w:rFonts w:hint="eastAsia"/>
          <w:szCs w:val="21"/>
        </w:rPr>
        <w:t>报价超过最高限价</w:t>
      </w:r>
      <w:r>
        <w:rPr>
          <w:rFonts w:hint="eastAsia"/>
          <w:szCs w:val="21"/>
          <w:lang w:eastAsia="zh-CN"/>
        </w:rPr>
        <w:t>的，视为无效响应</w:t>
      </w:r>
      <w:r>
        <w:rPr>
          <w:rFonts w:hint="eastAsia"/>
          <w:szCs w:val="21"/>
        </w:rPr>
        <w:t>）</w:t>
      </w:r>
    </w:p>
    <w:p>
      <w:pPr>
        <w:ind w:firstLine="210" w:firstLineChars="100"/>
        <w:jc w:val="left"/>
        <w:rPr>
          <w:rFonts w:hint="eastAsia"/>
          <w:szCs w:val="21"/>
          <w:lang w:eastAsia="zh-CN"/>
        </w:rPr>
      </w:pPr>
      <w:r>
        <w:rPr>
          <w:rFonts w:hint="eastAsia"/>
          <w:szCs w:val="21"/>
          <w:lang w:val="en-US" w:eastAsia="zh-CN"/>
        </w:rPr>
        <w:t>3</w:t>
      </w:r>
      <w:r>
        <w:rPr>
          <w:rFonts w:hint="eastAsia"/>
          <w:szCs w:val="21"/>
        </w:rPr>
        <w:t>、完成时间：</w:t>
      </w:r>
      <w:r>
        <w:rPr>
          <w:rFonts w:hint="eastAsia"/>
          <w:szCs w:val="21"/>
          <w:lang w:eastAsia="zh-CN"/>
        </w:rPr>
        <w:t>签订合同之日起</w:t>
      </w:r>
      <w:r>
        <w:rPr>
          <w:rFonts w:hint="eastAsia"/>
          <w:szCs w:val="21"/>
        </w:rPr>
        <w:t>30天内交货</w:t>
      </w:r>
      <w:r>
        <w:rPr>
          <w:rFonts w:hint="eastAsia"/>
          <w:szCs w:val="21"/>
          <w:lang w:eastAsia="zh-CN"/>
        </w:rPr>
        <w:t>并安装调试完成。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  <w:lang w:val="en-US" w:eastAsia="zh-CN"/>
        </w:rPr>
        <w:t>4</w:t>
      </w:r>
      <w:r>
        <w:rPr>
          <w:rFonts w:hint="eastAsia"/>
          <w:szCs w:val="21"/>
        </w:rPr>
        <w:t>、付款方式：</w:t>
      </w:r>
    </w:p>
    <w:p>
      <w:pPr>
        <w:ind w:firstLine="210" w:firstLineChars="100"/>
        <w:jc w:val="left"/>
        <w:rPr>
          <w:rFonts w:hint="eastAsia" w:ascii="Times New Roman" w:hAnsi="Times New Roman" w:eastAsia="宋体" w:cs="Times New Roman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szCs w:val="21"/>
        </w:rPr>
        <w:t>（1）验收合格付合同金额的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95</w:t>
      </w:r>
      <w:r>
        <w:rPr>
          <w:rFonts w:hint="eastAsia" w:ascii="Times New Roman" w:hAnsi="Times New Roman" w:eastAsia="宋体" w:cs="Times New Roman"/>
          <w:szCs w:val="21"/>
        </w:rPr>
        <w:t>%</w:t>
      </w:r>
      <w:r>
        <w:rPr>
          <w:rFonts w:hint="eastAsia" w:ascii="Times New Roman" w:hAnsi="Times New Roman" w:eastAsia="宋体" w:cs="Times New Roman"/>
          <w:szCs w:val="21"/>
          <w:lang w:eastAsia="zh-CN"/>
        </w:rPr>
        <w:t>。</w:t>
      </w:r>
    </w:p>
    <w:p>
      <w:pPr>
        <w:ind w:firstLine="210" w:firstLineChars="100"/>
        <w:jc w:val="left"/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</w:pPr>
      <w:r>
        <w:rPr>
          <w:rFonts w:hint="eastAsia" w:ascii="Times New Roman" w:hAnsi="Times New Roman" w:eastAsia="宋体" w:cs="Times New Roman"/>
          <w:color w:val="000000"/>
          <w:szCs w:val="21"/>
        </w:rPr>
        <w:t>（2）合同金额的</w:t>
      </w: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>5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%作为质量保证金</w:t>
      </w:r>
      <w:r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  <w:t>，质保期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满后无质量问题</w:t>
      </w:r>
      <w:r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  <w:t>、经济纠纷问题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，</w:t>
      </w:r>
      <w:r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  <w:t>采购人一个月内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一次</w:t>
      </w:r>
      <w:r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  <w:t>性</w:t>
      </w:r>
      <w:r>
        <w:rPr>
          <w:rFonts w:hint="eastAsia" w:ascii="Times New Roman" w:hAnsi="Times New Roman" w:eastAsia="宋体" w:cs="Times New Roman"/>
          <w:color w:val="000000"/>
          <w:szCs w:val="21"/>
        </w:rPr>
        <w:t>无息付清</w:t>
      </w:r>
      <w:r>
        <w:rPr>
          <w:rFonts w:hint="eastAsia" w:ascii="Times New Roman" w:hAnsi="Times New Roman" w:eastAsia="宋体" w:cs="Times New Roman"/>
          <w:color w:val="000000"/>
          <w:szCs w:val="21"/>
          <w:lang w:eastAsia="zh-CN"/>
        </w:rPr>
        <w:t>。</w:t>
      </w:r>
    </w:p>
    <w:p>
      <w:pPr>
        <w:widowControl/>
        <w:ind w:firstLine="211" w:firstLineChars="100"/>
        <w:jc w:val="left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>二、安装调试及技术服务(含培训)要求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1、设备安装调试要求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（1）供应商负责货物的生产、运输、安装及调试，须加强</w:t>
      </w:r>
      <w:r>
        <w:rPr>
          <w:rFonts w:hint="eastAsia"/>
          <w:szCs w:val="21"/>
          <w:lang w:eastAsia="zh-CN"/>
        </w:rPr>
        <w:t>运输、安装、</w:t>
      </w:r>
      <w:r>
        <w:rPr>
          <w:rFonts w:hint="eastAsia"/>
          <w:szCs w:val="21"/>
        </w:rPr>
        <w:t>施工的组织管理，所有施工人员须遵守文明安全施工的有关规章制度，持证上岗（如有）</w:t>
      </w:r>
      <w:r>
        <w:rPr>
          <w:rFonts w:hint="eastAsia"/>
          <w:szCs w:val="21"/>
          <w:lang w:eastAsia="zh-CN"/>
        </w:rPr>
        <w:t>，运输、安装地点由采购人指定地点</w:t>
      </w:r>
      <w:r>
        <w:rPr>
          <w:rFonts w:hint="eastAsia"/>
          <w:szCs w:val="21"/>
        </w:rPr>
        <w:t>（2）项目完成后，供应商应将项目有关的全部资料，包括产品资料、技术文档、图纸（如有）等，移交采购人。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2、技术支持要求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（1）提供 7×24 小时的技术咨询服务；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（2）提供 7×24 小时的故障服务受理，48 小时内排除故障；</w:t>
      </w:r>
    </w:p>
    <w:p>
      <w:pPr>
        <w:ind w:firstLine="210" w:firstLineChars="100"/>
        <w:jc w:val="left"/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（3）</w:t>
      </w:r>
      <w:bookmarkStart w:id="10" w:name="OLE_LINK11"/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特殊紧急情况时，供应商应及时提供技术支持并处理问题。</w:t>
      </w:r>
      <w:bookmarkEnd w:id="10"/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3、人员培训要求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供应商应负责培训采购人指定操作管理及维护人员，达到熟练掌握产品性能、操作技能及排除一般故障的程度。</w:t>
      </w:r>
    </w:p>
    <w:p>
      <w:pPr>
        <w:widowControl/>
        <w:ind w:firstLine="211" w:firstLineChars="100"/>
        <w:jc w:val="left"/>
        <w:rPr>
          <w:rFonts w:hint="eastAsia"/>
          <w:b/>
          <w:bCs/>
          <w:szCs w:val="21"/>
        </w:rPr>
      </w:pPr>
      <w:r>
        <w:rPr>
          <w:rFonts w:hint="eastAsia"/>
          <w:b/>
          <w:bCs/>
          <w:szCs w:val="21"/>
        </w:rPr>
        <w:t>三、质量保证期、售后服务要求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1、质量保证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（1）供应商提供的产品应是原装正品，符合国家质量检测标准，具有出厂合格证或国家鉴定合格证。</w:t>
      </w:r>
    </w:p>
    <w:p>
      <w:pPr>
        <w:ind w:firstLine="210" w:firstLineChars="100"/>
        <w:jc w:val="left"/>
        <w:rPr>
          <w:rFonts w:hint="default" w:eastAsia="宋体"/>
          <w:b w:val="0"/>
          <w:bCs w:val="0"/>
          <w:color w:val="000000"/>
          <w:szCs w:val="21"/>
          <w:lang w:val="en-US" w:eastAsia="zh-CN"/>
        </w:rPr>
      </w:pPr>
      <w:r>
        <w:rPr>
          <w:rFonts w:hint="eastAsia"/>
          <w:b w:val="0"/>
          <w:bCs w:val="0"/>
          <w:color w:val="000000"/>
          <w:szCs w:val="21"/>
        </w:rPr>
        <w:t>（2）本项目整体的质保期为自验收通过之日起</w:t>
      </w:r>
      <w:r>
        <w:rPr>
          <w:rFonts w:hint="eastAsia"/>
          <w:b w:val="0"/>
          <w:bCs w:val="0"/>
          <w:color w:val="000000"/>
          <w:szCs w:val="21"/>
          <w:lang w:eastAsia="zh-CN"/>
        </w:rPr>
        <w:t>不少于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szCs w:val="21"/>
          <w:lang w:eastAsia="zh-CN"/>
        </w:rPr>
        <w:t>二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szCs w:val="21"/>
        </w:rPr>
        <w:t>年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szCs w:val="21"/>
          <w:lang w:eastAsia="zh-CN"/>
        </w:rPr>
        <w:t>，如产品质保期自身质保大于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szCs w:val="21"/>
          <w:lang w:val="en-US" w:eastAsia="zh-CN"/>
        </w:rPr>
        <w:t>2年的，以产品自身的质保期限作为保修期限，在硬件设备不变的情况下，供应商提供枪支管理系统5年内的软件升级服务。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b w:val="0"/>
          <w:bCs w:val="0"/>
          <w:szCs w:val="21"/>
        </w:rPr>
        <w:t>（3）质保期内所有设备（含系统软件</w:t>
      </w:r>
      <w:r>
        <w:rPr>
          <w:rFonts w:hint="eastAsia"/>
          <w:szCs w:val="21"/>
        </w:rPr>
        <w:t>）维护等要求免费上门服务。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（4）质量保修期内对由于产品设计、安装工艺、材料、配套件的缺陷、制造、运输和安装调试等原因而造成的系统故障或部件损坏，负责免费排除或维修，并无偿更换由此所发生的备品备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件。</w:t>
      </w:r>
    </w:p>
    <w:p>
      <w:pPr>
        <w:ind w:firstLine="210" w:firstLineChars="100"/>
        <w:jc w:val="left"/>
        <w:rPr>
          <w:rFonts w:hint="eastAsia" w:eastAsia="宋体"/>
          <w:szCs w:val="21"/>
          <w:lang w:eastAsia="zh-CN"/>
        </w:rPr>
      </w:pPr>
      <w:r>
        <w:rPr>
          <w:rFonts w:hint="eastAsia"/>
          <w:szCs w:val="21"/>
        </w:rPr>
        <w:t>（5）质保期内出现任何质量问题（人为破坏或自然灾害等不可抗力除外），由中标（成交）供应商负责全免费（免全部工时费、材料费、管理费、财务费等等）更换或维修</w:t>
      </w:r>
      <w:bookmarkStart w:id="11" w:name="OLE_LINK16"/>
      <w:r>
        <w:rPr>
          <w:rFonts w:hint="eastAsia"/>
          <w:szCs w:val="21"/>
          <w:lang w:eastAsia="zh-CN"/>
        </w:rPr>
        <w:t>。</w:t>
      </w:r>
    </w:p>
    <w:bookmarkEnd w:id="11"/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2、售后服务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（1）提供 7×24 小时的故障服务受理，48 小时内排除故障；</w:t>
      </w: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特殊紧急情况时，供应商应及时提供技术支持并排除故障问题。</w:t>
      </w:r>
    </w:p>
    <w:p>
      <w:pPr>
        <w:ind w:firstLine="210" w:firstLineChars="100"/>
        <w:jc w:val="left"/>
        <w:rPr>
          <w:rFonts w:hint="eastAsia"/>
          <w:szCs w:val="21"/>
        </w:rPr>
      </w:pPr>
      <w:r>
        <w:rPr>
          <w:rFonts w:hint="eastAsia"/>
          <w:szCs w:val="21"/>
        </w:rPr>
        <w:t>（2）质保期内出现任何质量问题（人为破坏或自然灾害等不可抗力除外），由供应商负责全免费（免全部工时费、</w:t>
      </w:r>
      <w:r>
        <w:rPr>
          <w:rFonts w:hint="eastAsia"/>
          <w:szCs w:val="21"/>
          <w:lang w:val="en-US" w:eastAsia="zh-CN"/>
        </w:rPr>
        <w:t>配件、</w:t>
      </w:r>
      <w:r>
        <w:rPr>
          <w:rFonts w:hint="eastAsia"/>
          <w:szCs w:val="21"/>
        </w:rPr>
        <w:t>材料费、管理费、</w:t>
      </w:r>
      <w:r>
        <w:rPr>
          <w:rFonts w:hint="eastAsia"/>
          <w:szCs w:val="21"/>
          <w:lang w:eastAsia="zh-CN"/>
        </w:rPr>
        <w:t>人工、技术服务、</w:t>
      </w:r>
      <w:r>
        <w:rPr>
          <w:rFonts w:hint="eastAsia"/>
          <w:szCs w:val="21"/>
        </w:rPr>
        <w:t>财务费等等）更换或维修。</w:t>
      </w:r>
    </w:p>
    <w:p>
      <w:pPr>
        <w:numPr>
          <w:ilvl w:val="0"/>
          <w:numId w:val="2"/>
        </w:numPr>
        <w:spacing w:line="312" w:lineRule="auto"/>
        <w:ind w:right="23" w:rightChars="11" w:firstLine="422" w:firstLineChars="200"/>
        <w:jc w:val="left"/>
        <w:rPr>
          <w:rFonts w:hint="eastAsia" w:ascii="宋体" w:hAnsi="宋体" w:cs="宋体"/>
          <w:b/>
          <w:bCs w:val="0"/>
          <w:color w:val="auto"/>
          <w:szCs w:val="21"/>
        </w:rPr>
      </w:pPr>
      <w:bookmarkStart w:id="12" w:name="_Toc73617573"/>
      <w:r>
        <w:rPr>
          <w:rFonts w:hint="eastAsia" w:ascii="宋体" w:hAnsi="宋体" w:cs="宋体"/>
          <w:b/>
          <w:bCs w:val="0"/>
          <w:color w:val="auto"/>
          <w:szCs w:val="21"/>
        </w:rPr>
        <w:t>其他要求</w:t>
      </w:r>
      <w:bookmarkEnd w:id="12"/>
    </w:p>
    <w:p>
      <w:pPr>
        <w:widowControl/>
        <w:wordWrap w:val="0"/>
        <w:spacing w:before="75" w:line="23" w:lineRule="atLeast"/>
        <w:ind w:firstLine="422" w:firstLineChars="200"/>
        <w:jc w:val="left"/>
        <w:rPr>
          <w:b/>
          <w:bCs w:val="0"/>
          <w:color w:val="auto"/>
          <w:sz w:val="19"/>
          <w:szCs w:val="19"/>
        </w:rPr>
      </w:pPr>
      <w:r>
        <w:rPr>
          <w:rFonts w:hint="eastAsia" w:ascii="宋体" w:hAnsi="宋体" w:cs="宋体"/>
          <w:b/>
          <w:bCs w:val="0"/>
          <w:color w:val="auto"/>
          <w:kern w:val="0"/>
          <w:szCs w:val="21"/>
        </w:rPr>
        <w:t>1、报价要求</w:t>
      </w:r>
      <w:r>
        <w:rPr>
          <w:rFonts w:hint="eastAsia"/>
          <w:b/>
          <w:bCs w:val="0"/>
          <w:color w:val="auto"/>
          <w:szCs w:val="21"/>
        </w:rPr>
        <w:t>：</w:t>
      </w:r>
      <w:r>
        <w:rPr>
          <w:rFonts w:hint="eastAsia"/>
          <w:b/>
          <w:bCs w:val="0"/>
          <w:color w:val="auto"/>
          <w:szCs w:val="21"/>
          <w:lang w:eastAsia="zh-CN"/>
        </w:rPr>
        <w:t>本项目</w:t>
      </w:r>
      <w:r>
        <w:rPr>
          <w:rFonts w:hint="eastAsia"/>
          <w:b/>
          <w:bCs w:val="0"/>
          <w:color w:val="auto"/>
          <w:szCs w:val="21"/>
        </w:rPr>
        <w:t>供应商的中标（成交）价为</w:t>
      </w:r>
      <w:r>
        <w:rPr>
          <w:rFonts w:hint="eastAsia"/>
          <w:b/>
          <w:bCs w:val="0"/>
          <w:color w:val="auto"/>
          <w:szCs w:val="21"/>
          <w:lang w:eastAsia="zh-CN"/>
        </w:rPr>
        <w:t>总</w:t>
      </w:r>
      <w:r>
        <w:rPr>
          <w:rFonts w:hint="eastAsia"/>
          <w:b/>
          <w:bCs w:val="0"/>
          <w:color w:val="auto"/>
          <w:szCs w:val="21"/>
        </w:rPr>
        <w:t>包干价,包含</w:t>
      </w:r>
      <w:r>
        <w:rPr>
          <w:rFonts w:hint="eastAsia"/>
          <w:b/>
          <w:bCs w:val="0"/>
          <w:color w:val="auto"/>
          <w:szCs w:val="21"/>
          <w:lang w:val="en-US" w:eastAsia="zh-CN"/>
        </w:rPr>
        <w:t>本次采购标的</w:t>
      </w:r>
      <w:r>
        <w:rPr>
          <w:rFonts w:hint="eastAsia"/>
          <w:b/>
          <w:bCs w:val="0"/>
          <w:color w:val="auto"/>
          <w:szCs w:val="21"/>
        </w:rPr>
        <w:t>全部货物</w:t>
      </w:r>
      <w:r>
        <w:rPr>
          <w:rFonts w:hint="eastAsia"/>
          <w:b/>
          <w:bCs w:val="0"/>
          <w:color w:val="auto"/>
          <w:szCs w:val="21"/>
          <w:lang w:val="en-US" w:eastAsia="zh-CN"/>
        </w:rPr>
        <w:t>和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val="en-US" w:eastAsia="zh-CN"/>
        </w:rPr>
        <w:t>项目验收之日起两年内所有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eastAsia="zh-CN"/>
        </w:rPr>
        <w:t>旧设备零配件（智能枪锁、子弹称重抽屉、电源盒、智能电机锁及辅材、线束等零配件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val="en-US" w:eastAsia="zh-CN"/>
        </w:rPr>
        <w:t>均由成交供应商提供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eastAsia="zh-CN"/>
        </w:rPr>
        <w:t>）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val="en-US" w:eastAsia="zh-CN"/>
        </w:rPr>
        <w:t>的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eastAsia="zh-CN"/>
        </w:rPr>
        <w:t>更换</w:t>
      </w:r>
      <w:r>
        <w:rPr>
          <w:rFonts w:hint="eastAsia" w:ascii="Times New Roman" w:hAnsi="Times New Roman" w:eastAsia="宋体" w:cs="Times New Roman"/>
          <w:b/>
          <w:bCs w:val="0"/>
          <w:color w:val="auto"/>
          <w:szCs w:val="21"/>
          <w:lang w:val="en-US" w:eastAsia="zh-CN"/>
        </w:rPr>
        <w:t>、运维</w:t>
      </w:r>
      <w:r>
        <w:rPr>
          <w:rFonts w:hint="eastAsia"/>
          <w:b/>
          <w:bCs w:val="0"/>
          <w:color w:val="auto"/>
          <w:szCs w:val="21"/>
        </w:rPr>
        <w:t>服务</w:t>
      </w:r>
      <w:r>
        <w:rPr>
          <w:rFonts w:hint="eastAsia"/>
          <w:b/>
          <w:bCs w:val="0"/>
          <w:color w:val="auto"/>
          <w:szCs w:val="21"/>
          <w:lang w:eastAsia="zh-CN"/>
        </w:rPr>
        <w:t>等，以及货物的</w:t>
      </w:r>
      <w:r>
        <w:rPr>
          <w:rFonts w:hint="eastAsia"/>
          <w:b/>
          <w:bCs w:val="0"/>
          <w:color w:val="auto"/>
          <w:szCs w:val="21"/>
        </w:rPr>
        <w:t>运输、装卸、</w:t>
      </w:r>
      <w:r>
        <w:rPr>
          <w:rFonts w:hint="eastAsia"/>
          <w:b/>
          <w:bCs w:val="0"/>
          <w:color w:val="auto"/>
          <w:szCs w:val="21"/>
          <w:lang w:eastAsia="zh-CN"/>
        </w:rPr>
        <w:t>保管保险、</w:t>
      </w:r>
      <w:r>
        <w:rPr>
          <w:rFonts w:hint="eastAsia"/>
          <w:b/>
          <w:bCs w:val="0"/>
          <w:color w:val="auto"/>
          <w:szCs w:val="21"/>
        </w:rPr>
        <w:t>税费</w:t>
      </w:r>
      <w:r>
        <w:rPr>
          <w:rFonts w:hint="eastAsia"/>
          <w:b/>
          <w:bCs w:val="0"/>
          <w:color w:val="auto"/>
          <w:szCs w:val="21"/>
          <w:lang w:eastAsia="zh-CN"/>
        </w:rPr>
        <w:t>、人工、安装调试、技术服务、设备软件系统</w:t>
      </w:r>
      <w:r>
        <w:rPr>
          <w:rFonts w:hint="eastAsia"/>
          <w:b/>
          <w:bCs w:val="0"/>
          <w:color w:val="auto"/>
          <w:szCs w:val="21"/>
          <w:lang w:val="en-US" w:eastAsia="zh-CN"/>
        </w:rPr>
        <w:t>五年内的软件升级服务</w:t>
      </w:r>
      <w:r>
        <w:rPr>
          <w:rFonts w:hint="eastAsia"/>
          <w:b/>
          <w:bCs w:val="0"/>
          <w:color w:val="auto"/>
          <w:szCs w:val="21"/>
        </w:rPr>
        <w:t>等各项相关</w:t>
      </w:r>
      <w:r>
        <w:rPr>
          <w:rFonts w:hint="eastAsia"/>
          <w:b/>
          <w:bCs w:val="0"/>
          <w:color w:val="auto"/>
          <w:szCs w:val="21"/>
          <w:lang w:eastAsia="zh-CN"/>
        </w:rPr>
        <w:t>一切</w:t>
      </w:r>
      <w:r>
        <w:rPr>
          <w:rFonts w:hint="eastAsia"/>
          <w:b/>
          <w:bCs w:val="0"/>
          <w:color w:val="auto"/>
          <w:szCs w:val="21"/>
        </w:rPr>
        <w:t>费用,采购人不再另行支付</w:t>
      </w:r>
      <w:r>
        <w:rPr>
          <w:rFonts w:hint="eastAsia"/>
          <w:b/>
          <w:bCs w:val="0"/>
          <w:color w:val="auto"/>
          <w:szCs w:val="21"/>
          <w:lang w:val="en-US" w:eastAsia="zh-CN"/>
        </w:rPr>
        <w:t>任何费用。</w:t>
      </w:r>
    </w:p>
    <w:p>
      <w:pPr>
        <w:ind w:firstLine="421"/>
        <w:jc w:val="left"/>
        <w:rPr>
          <w:rFonts w:hint="eastAsia" w:ascii="Times New Roman" w:hAnsi="Times New Roman" w:eastAsia="宋体" w:cs="Times New Roman"/>
          <w:szCs w:val="21"/>
          <w:lang w:val="en-US" w:eastAsia="zh-CN"/>
        </w:rPr>
      </w:pPr>
      <w:r>
        <w:rPr>
          <w:rFonts w:hint="eastAsia" w:ascii="Times New Roman" w:hAnsi="Times New Roman" w:eastAsia="宋体" w:cs="Times New Roman"/>
          <w:color w:val="000000"/>
          <w:szCs w:val="21"/>
          <w:lang w:val="en-US" w:eastAsia="zh-CN"/>
        </w:rPr>
        <w:t>2、验收方式及标准：由采购人组织验收，验收标准以采购文件、响应文件以及符合国家法律法</w:t>
      </w:r>
      <w:r>
        <w:rPr>
          <w:rFonts w:hint="eastAsia" w:ascii="Times New Roman" w:hAnsi="Times New Roman" w:eastAsia="宋体" w:cs="Times New Roman"/>
          <w:szCs w:val="21"/>
          <w:lang w:val="en-US" w:eastAsia="zh-CN"/>
        </w:rPr>
        <w:t>规规定的要求。</w:t>
      </w:r>
    </w:p>
    <w:p>
      <w:pPr>
        <w:pStyle w:val="7"/>
        <w:ind w:firstLine="420" w:firstLineChars="200"/>
        <w:jc w:val="left"/>
        <w:rPr>
          <w:rFonts w:hint="default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kern w:val="2"/>
          <w:sz w:val="21"/>
          <w:szCs w:val="21"/>
          <w:lang w:val="en-US" w:eastAsia="zh-CN" w:bidi="ar-SA"/>
        </w:rPr>
        <w:t>3、</w:t>
      </w:r>
      <w:r>
        <w:rPr>
          <w:rFonts w:hint="eastAsia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供应商对派出的工作人员（安装调试、维护、售后等人员）的安全，由供应商自行承担责任。</w:t>
      </w:r>
    </w:p>
    <w:p>
      <w:pPr>
        <w:ind w:firstLine="421"/>
        <w:jc w:val="left"/>
        <w:rPr>
          <w:rFonts w:hint="eastAsia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4、中标（成交）供应商在项目实施及服务期间，应当做好相应的保密措施。</w:t>
      </w:r>
    </w:p>
    <w:p>
      <w:pPr>
        <w:ind w:firstLine="421"/>
        <w:jc w:val="left"/>
        <w:rPr>
          <w:rFonts w:hint="default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</w:pPr>
      <w:r>
        <w:rPr>
          <w:rFonts w:hint="eastAsia" w:ascii="Times New Roman" w:hAnsi="Times New Roman" w:eastAsia="宋体" w:cs="Times New Roman"/>
          <w:b w:val="0"/>
          <w:bCs w:val="0"/>
          <w:kern w:val="2"/>
          <w:sz w:val="21"/>
          <w:szCs w:val="21"/>
          <w:lang w:val="en-US" w:eastAsia="zh-CN" w:bidi="ar-SA"/>
        </w:rPr>
        <w:t>5、</w:t>
      </w:r>
      <w:r>
        <w:rPr>
          <w:rFonts w:hint="eastAsia" w:ascii="Times New Roman" w:hAnsi="Times New Roman" w:eastAsia="宋体" w:cs="Times New Roman"/>
          <w:b w:val="0"/>
          <w:bCs w:val="0"/>
          <w:color w:val="000000"/>
          <w:kern w:val="2"/>
          <w:sz w:val="21"/>
          <w:szCs w:val="21"/>
          <w:lang w:val="en-US" w:eastAsia="zh-CN" w:bidi="ar-SA"/>
        </w:rPr>
        <w:t>供应商在响应文件中提供本节所有条款的书面承诺函，并承诺满足及响应以上所有条款。承诺函格式自拟。</w:t>
      </w: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AFF" w:usb1="C0007841" w:usb2="00000009" w:usb3="00000000" w:csb0="400001FF" w:csb1="FFFF0000"/>
  </w:font>
  <w:font w:name="宋体">
    <w:panose1 w:val="02010600030101010101"/>
    <w:charset w:val="50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helvetica">
    <w:altName w:val="Segoe Print"/>
    <w:panose1 w:val="00000000000000000000"/>
    <w:charset w:val="00"/>
    <w:family w:val="auto"/>
    <w:pitch w:val="default"/>
    <w:sig w:usb0="00000000" w:usb1="00000000" w:usb2="00000000" w:usb3="00000000" w:csb0="00040001" w:csb1="0000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14D66320"/>
    <w:multiLevelType w:val="singleLevel"/>
    <w:tmpl w:val="14D66320"/>
    <w:lvl w:ilvl="0" w:tentative="0">
      <w:start w:val="4"/>
      <w:numFmt w:val="chineseCounting"/>
      <w:suff w:val="nothing"/>
      <w:lvlText w:val="%1、"/>
      <w:lvlJc w:val="left"/>
      <w:rPr>
        <w:rFonts w:hint="eastAsia"/>
      </w:rPr>
    </w:lvl>
  </w:abstractNum>
  <w:abstractNum w:abstractNumId="1">
    <w:nsid w:val="1EEF2CE1"/>
    <w:multiLevelType w:val="singleLevel"/>
    <w:tmpl w:val="1EEF2CE1"/>
    <w:lvl w:ilvl="0" w:tentative="0">
      <w:start w:val="2"/>
      <w:numFmt w:val="chineseCounting"/>
      <w:suff w:val="nothing"/>
      <w:lvlText w:val="%1、"/>
      <w:lvlJc w:val="left"/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Mzk1NTc4ZWVhNWY4Y2Y4MzQ0N2VjYjE4N2Y5M2QxZDYifQ=="/>
  </w:docVars>
  <w:rsids>
    <w:rsidRoot w:val="00000000"/>
    <w:rsid w:val="22C90567"/>
    <w:rsid w:val="411422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autoRedefine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keepNext/>
      <w:jc w:val="center"/>
      <w:outlineLvl w:val="0"/>
    </w:pPr>
    <w:rPr>
      <w:b/>
      <w:bCs/>
      <w:sz w:val="24"/>
      <w:szCs w:val="20"/>
    </w:rPr>
  </w:style>
  <w:style w:type="character" w:default="1" w:styleId="5">
    <w:name w:val="Default Paragraph Font"/>
    <w:autoRedefine/>
    <w:semiHidden/>
    <w:qFormat/>
    <w:uiPriority w:val="0"/>
  </w:style>
  <w:style w:type="table" w:default="1" w:styleId="4">
    <w:name w:val="Normal Table"/>
    <w:autoRedefine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6">
    <w:name w:val="datagrid-sort-icon5"/>
    <w:basedOn w:val="5"/>
    <w:autoRedefine/>
    <w:qFormat/>
    <w:uiPriority w:val="0"/>
  </w:style>
  <w:style w:type="paragraph" w:customStyle="1" w:styleId="7">
    <w:name w:val="Default"/>
    <w:autoRedefine/>
    <w:qFormat/>
    <w:uiPriority w:val="0"/>
    <w:pPr>
      <w:widowControl w:val="0"/>
      <w:autoSpaceDE w:val="0"/>
      <w:autoSpaceDN w:val="0"/>
      <w:adjustRightInd w:val="0"/>
    </w:pPr>
    <w:rPr>
      <w:rFonts w:ascii="黑体" w:hAnsi="Times New Roman" w:eastAsia="黑体" w:cs="Times New Roman"/>
      <w:lang w:val="en-US" w:eastAsia="zh-CN" w:bidi="ar-SA"/>
    </w:rPr>
  </w:style>
  <w:style w:type="paragraph" w:styleId="8">
    <w:name w:val="List Paragraph"/>
    <w:basedOn w:val="1"/>
    <w:autoRedefine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Office_12.1.0.16250_F1E327BC-269C-435d-A152-05C5408002CA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2025-07-09T07:36:00Z</dcterms:created>
  <dc:creator>Administrator</dc:creator>
  <cp:lastModifiedBy>雨下有辰</cp:lastModifiedBy>
  <dcterms:modified xsi:type="dcterms:W3CDTF">2025-07-09T07:53:15Z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2052-12.1.0.16250</vt:lpwstr>
  </property>
  <property fmtid="{D5CDD505-2E9C-101B-9397-08002B2CF9AE}" pid="3" name="ICV">
    <vt:lpwstr>97DED9A9B1644563A67C124408DA6734_12</vt:lpwstr>
  </property>
</Properties>
</file>