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F6FEE">
      <w:pPr>
        <w:adjustRightInd w:val="0"/>
        <w:spacing w:after="0" w:line="360" w:lineRule="auto"/>
        <w:jc w:val="center"/>
        <w:textAlignment w:val="baseline"/>
        <w:outlineLvl w:val="0"/>
        <w:rPr>
          <w:rFonts w:hint="eastAsia" w:ascii="仿宋" w:hAnsi="仿宋" w:eastAsia="仿宋" w:cs="仿宋"/>
          <w:b/>
          <w:bCs/>
          <w:color w:val="auto"/>
          <w:sz w:val="36"/>
          <w:szCs w:val="36"/>
          <w:highlight w:val="none"/>
          <w:u w:val="none"/>
          <w:lang w:val="en-US" w:eastAsia="zh-CN"/>
        </w:rPr>
      </w:pPr>
      <w:r>
        <w:rPr>
          <w:rFonts w:hint="eastAsia" w:ascii="宋体" w:hAnsi="宋体" w:cs="宋体"/>
          <w:b/>
          <w:bCs/>
          <w:kern w:val="0"/>
          <w:sz w:val="72"/>
          <w:szCs w:val="72"/>
          <w:highlight w:val="none"/>
        </w:rPr>
        <w:drawing>
          <wp:anchor distT="0" distB="0" distL="114300" distR="114300" simplePos="0" relativeHeight="251659264" behindDoc="1" locked="0" layoutInCell="1" allowOverlap="1">
            <wp:simplePos x="0" y="0"/>
            <wp:positionH relativeFrom="column">
              <wp:posOffset>1329055</wp:posOffset>
            </wp:positionH>
            <wp:positionV relativeFrom="paragraph">
              <wp:posOffset>705485</wp:posOffset>
            </wp:positionV>
            <wp:extent cx="3565525" cy="2551430"/>
            <wp:effectExtent l="0" t="0" r="3175" b="1270"/>
            <wp:wrapNone/>
            <wp:docPr id="13" name="图片 2" descr="logo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logo - 副本"/>
                    <pic:cNvPicPr>
                      <a:picLocks noChangeAspect="1"/>
                    </pic:cNvPicPr>
                  </pic:nvPicPr>
                  <pic:blipFill>
                    <a:blip r:embed="rId21"/>
                    <a:stretch>
                      <a:fillRect/>
                    </a:stretch>
                  </pic:blipFill>
                  <pic:spPr>
                    <a:xfrm>
                      <a:off x="0" y="0"/>
                      <a:ext cx="3565525" cy="2551430"/>
                    </a:xfrm>
                    <a:prstGeom prst="rect">
                      <a:avLst/>
                    </a:prstGeom>
                    <a:noFill/>
                    <a:ln>
                      <a:noFill/>
                    </a:ln>
                  </pic:spPr>
                </pic:pic>
              </a:graphicData>
            </a:graphic>
          </wp:anchor>
        </w:drawing>
      </w:r>
      <w:r>
        <w:rPr>
          <w:rFonts w:hint="eastAsia" w:ascii="仿宋" w:hAnsi="仿宋" w:eastAsia="仿宋" w:cs="仿宋"/>
          <w:b/>
          <w:bCs/>
          <w:color w:val="auto"/>
          <w:sz w:val="36"/>
          <w:szCs w:val="36"/>
          <w:highlight w:val="none"/>
          <w:u w:val="none"/>
          <w:lang w:val="en-US" w:eastAsia="zh-CN"/>
        </w:rPr>
        <w:t>楚雄彝族自治州人民医院2026年肝胆外二科电子十二指肠镜系统采购项目（公立医院改革与高质量发展示范项目—肿瘤防治中心）</w:t>
      </w:r>
    </w:p>
    <w:p w14:paraId="200868B9">
      <w:pPr>
        <w:adjustRightInd w:val="0"/>
        <w:spacing w:after="0" w:line="360" w:lineRule="auto"/>
        <w:jc w:val="center"/>
        <w:textAlignment w:val="baseline"/>
        <w:outlineLvl w:val="9"/>
        <w:rPr>
          <w:rFonts w:hint="eastAsia" w:ascii="仿宋" w:hAnsi="仿宋" w:eastAsia="仿宋" w:cs="仿宋"/>
          <w:b/>
          <w:bCs/>
          <w:color w:val="auto"/>
          <w:sz w:val="40"/>
          <w:szCs w:val="40"/>
          <w:highlight w:val="none"/>
          <w:lang w:val="en-US" w:eastAsia="zh-CN"/>
        </w:rPr>
      </w:pPr>
      <w:bookmarkStart w:id="0" w:name="_Toc4744"/>
      <w:bookmarkStart w:id="1" w:name="_Toc30222"/>
    </w:p>
    <w:bookmarkEnd w:id="0"/>
    <w:bookmarkEnd w:id="1"/>
    <w:p w14:paraId="7094580C">
      <w:pPr>
        <w:pStyle w:val="5"/>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p>
    <w:p w14:paraId="3AFADACC">
      <w:pPr>
        <w:pStyle w:val="5"/>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p>
    <w:p w14:paraId="31D908BC">
      <w:pPr>
        <w:pStyle w:val="5"/>
        <w:spacing w:line="240" w:lineRule="auto"/>
        <w:ind w:left="0" w:leftChars="0" w:firstLine="0" w:firstLineChars="0"/>
        <w:jc w:val="center"/>
        <w:rPr>
          <w:rFonts w:hint="eastAsia" w:ascii="仿宋" w:hAnsi="仿宋" w:eastAsia="仿宋" w:cs="仿宋"/>
          <w:b/>
          <w:bCs/>
          <w:i w:val="0"/>
          <w:iCs w:val="0"/>
          <w:color w:val="auto"/>
          <w:kern w:val="0"/>
          <w:sz w:val="48"/>
          <w:szCs w:val="48"/>
          <w:highlight w:val="none"/>
          <w:lang w:eastAsia="zh-CN"/>
        </w:rPr>
      </w:pPr>
      <w:r>
        <w:rPr>
          <w:rFonts w:hint="eastAsia" w:ascii="仿宋" w:hAnsi="仿宋" w:eastAsia="仿宋" w:cs="仿宋"/>
          <w:b/>
          <w:bCs/>
          <w:color w:val="auto"/>
          <w:kern w:val="0"/>
          <w:sz w:val="84"/>
          <w:szCs w:val="84"/>
          <w:highlight w:val="none"/>
          <w:lang w:eastAsia="zh-CN"/>
        </w:rPr>
        <w:t>招标文件</w:t>
      </w:r>
      <w:r>
        <w:rPr>
          <w:rFonts w:hint="eastAsia" w:ascii="仿宋" w:hAnsi="仿宋" w:eastAsia="仿宋" w:cs="仿宋"/>
          <w:b/>
          <w:bCs/>
          <w:color w:val="auto"/>
          <w:kern w:val="0"/>
          <w:sz w:val="72"/>
          <w:szCs w:val="72"/>
          <w:highlight w:val="none"/>
        </w:rPr>
        <w:br w:type="textWrapping"/>
      </w:r>
      <w:r>
        <w:rPr>
          <w:rFonts w:hint="eastAsia" w:ascii="仿宋" w:hAnsi="仿宋" w:eastAsia="仿宋" w:cs="仿宋"/>
          <w:b/>
          <w:bCs/>
          <w:i w:val="0"/>
          <w:iCs w:val="0"/>
          <w:color w:val="auto"/>
          <w:kern w:val="0"/>
          <w:sz w:val="44"/>
          <w:szCs w:val="44"/>
          <w:highlight w:val="none"/>
          <w:lang w:eastAsia="zh-CN"/>
        </w:rPr>
        <w:t>（</w:t>
      </w:r>
      <w:r>
        <w:rPr>
          <w:rFonts w:hint="eastAsia" w:ascii="仿宋" w:hAnsi="仿宋" w:eastAsia="仿宋" w:cs="仿宋"/>
          <w:b/>
          <w:bCs/>
          <w:i w:val="0"/>
          <w:iCs w:val="0"/>
          <w:color w:val="auto"/>
          <w:kern w:val="0"/>
          <w:sz w:val="44"/>
          <w:szCs w:val="44"/>
          <w:highlight w:val="none"/>
          <w:lang w:val="en-US" w:eastAsia="zh-CN"/>
        </w:rPr>
        <w:t>货物类</w:t>
      </w:r>
      <w:r>
        <w:rPr>
          <w:rFonts w:hint="eastAsia" w:ascii="仿宋" w:hAnsi="仿宋" w:eastAsia="仿宋" w:cs="仿宋"/>
          <w:b/>
          <w:bCs/>
          <w:i w:val="0"/>
          <w:iCs w:val="0"/>
          <w:color w:val="auto"/>
          <w:kern w:val="0"/>
          <w:sz w:val="44"/>
          <w:szCs w:val="44"/>
          <w:highlight w:val="none"/>
          <w:lang w:eastAsia="zh-CN"/>
        </w:rPr>
        <w:t>）</w:t>
      </w:r>
    </w:p>
    <w:p w14:paraId="347352A7">
      <w:pPr>
        <w:rPr>
          <w:rFonts w:hint="eastAsia" w:ascii="仿宋" w:hAnsi="仿宋" w:eastAsia="仿宋" w:cs="仿宋"/>
          <w:b/>
          <w:bCs/>
          <w:color w:val="auto"/>
          <w:kern w:val="0"/>
          <w:sz w:val="32"/>
          <w:szCs w:val="32"/>
          <w:highlight w:val="none"/>
          <w:lang w:val="en-US" w:eastAsia="zh-CN" w:bidi="ar-SA"/>
        </w:rPr>
      </w:pPr>
    </w:p>
    <w:p w14:paraId="3C08464E">
      <w:pPr>
        <w:pStyle w:val="5"/>
        <w:spacing w:line="480" w:lineRule="auto"/>
        <w:ind w:left="0" w:leftChars="0" w:firstLine="0" w:firstLineChars="0"/>
        <w:jc w:val="center"/>
        <w:rPr>
          <w:rFonts w:hint="eastAsia" w:ascii="仿宋" w:hAnsi="仿宋" w:eastAsia="仿宋" w:cs="仿宋"/>
          <w:b/>
          <w:bCs/>
          <w:color w:val="auto"/>
          <w:kern w:val="0"/>
          <w:sz w:val="32"/>
          <w:szCs w:val="32"/>
          <w:highlight w:val="none"/>
          <w:lang w:val="en-US" w:eastAsia="zh-CN" w:bidi="ar-SA"/>
        </w:rPr>
      </w:pPr>
      <w:r>
        <w:rPr>
          <w:rFonts w:hint="eastAsia" w:ascii="仿宋" w:hAnsi="仿宋" w:eastAsia="仿宋" w:cs="仿宋"/>
          <w:b/>
          <w:bCs/>
          <w:color w:val="auto"/>
          <w:kern w:val="0"/>
          <w:sz w:val="32"/>
          <w:szCs w:val="32"/>
          <w:highlight w:val="none"/>
          <w:lang w:val="en-US" w:eastAsia="zh-CN" w:bidi="ar-SA"/>
        </w:rPr>
        <w:t>项目编号：</w:t>
      </w:r>
      <w:bookmarkStart w:id="2" w:name="_Toc26457"/>
      <w:bookmarkStart w:id="3" w:name="_Toc16360"/>
      <w:bookmarkStart w:id="4" w:name="_Toc21180"/>
      <w:bookmarkStart w:id="5" w:name="_Toc5104"/>
      <w:bookmarkStart w:id="6" w:name="_Toc1342"/>
      <w:bookmarkStart w:id="7" w:name="_Toc15549"/>
      <w:bookmarkStart w:id="8" w:name="_Toc21631"/>
      <w:bookmarkStart w:id="9" w:name="_Toc11585"/>
      <w:bookmarkStart w:id="10" w:name="_Toc23991"/>
      <w:bookmarkStart w:id="11" w:name="_Toc28537"/>
      <w:bookmarkStart w:id="12" w:name="_Toc18751"/>
      <w:r>
        <w:rPr>
          <w:rFonts w:hint="eastAsia" w:ascii="仿宋" w:hAnsi="仿宋" w:eastAsia="仿宋" w:cs="仿宋"/>
          <w:b/>
          <w:bCs/>
          <w:color w:val="auto"/>
          <w:kern w:val="0"/>
          <w:sz w:val="32"/>
          <w:szCs w:val="32"/>
          <w:highlight w:val="none"/>
          <w:lang w:val="en-US" w:eastAsia="zh-CN" w:bidi="ar-SA"/>
        </w:rPr>
        <w:t>CXZC2026-G1-00364-YNTH-0005</w:t>
      </w:r>
    </w:p>
    <w:p w14:paraId="7C03764E">
      <w:pPr>
        <w:pStyle w:val="5"/>
        <w:spacing w:line="480" w:lineRule="auto"/>
        <w:ind w:left="0" w:leftChars="0" w:firstLine="0" w:firstLineChars="0"/>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政府采购计划编号</w:t>
      </w:r>
      <w:r>
        <w:rPr>
          <w:rFonts w:hint="eastAsia" w:ascii="仿宋" w:hAnsi="仿宋" w:eastAsia="仿宋" w:cs="仿宋"/>
          <w:b/>
          <w:bCs/>
          <w:color w:val="auto"/>
          <w:sz w:val="32"/>
          <w:szCs w:val="32"/>
          <w:highlight w:val="none"/>
          <w:lang w:eastAsia="zh-CN"/>
        </w:rPr>
        <w:t>：</w:t>
      </w:r>
      <w:bookmarkEnd w:id="2"/>
      <w:bookmarkEnd w:id="3"/>
      <w:bookmarkEnd w:id="4"/>
      <w:bookmarkEnd w:id="5"/>
      <w:bookmarkEnd w:id="6"/>
      <w:bookmarkEnd w:id="7"/>
      <w:bookmarkEnd w:id="8"/>
      <w:bookmarkEnd w:id="9"/>
      <w:bookmarkEnd w:id="10"/>
      <w:bookmarkEnd w:id="11"/>
      <w:bookmarkEnd w:id="12"/>
      <w:r>
        <w:rPr>
          <w:rFonts w:hint="eastAsia" w:ascii="仿宋" w:hAnsi="仿宋" w:eastAsia="仿宋" w:cs="仿宋"/>
          <w:b/>
          <w:bCs/>
          <w:color w:val="auto"/>
          <w:sz w:val="32"/>
          <w:szCs w:val="32"/>
          <w:highlight w:val="none"/>
          <w:lang w:eastAsia="zh-CN"/>
        </w:rPr>
        <w:t>4532300JH202601086</w:t>
      </w:r>
    </w:p>
    <w:p w14:paraId="53EB7034">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outlineLvl w:val="0"/>
        <w:rPr>
          <w:rFonts w:hint="eastAsia" w:ascii="仿宋" w:hAnsi="仿宋" w:eastAsia="仿宋" w:cs="仿宋"/>
          <w:b/>
          <w:bCs/>
          <w:color w:val="auto"/>
          <w:sz w:val="32"/>
          <w:szCs w:val="32"/>
          <w:highlight w:val="none"/>
          <w:lang w:eastAsia="zh-CN"/>
        </w:rPr>
      </w:pPr>
      <w:bookmarkStart w:id="13" w:name="_Toc13877"/>
      <w:bookmarkStart w:id="14" w:name="_Toc16827"/>
      <w:bookmarkStart w:id="15" w:name="_Toc5498"/>
      <w:bookmarkStart w:id="16" w:name="_Toc5320"/>
      <w:bookmarkStart w:id="17" w:name="_Toc28442"/>
      <w:bookmarkStart w:id="18" w:name="_Toc14120"/>
      <w:bookmarkStart w:id="19" w:name="_Toc26511"/>
      <w:bookmarkStart w:id="20" w:name="_Toc3978"/>
      <w:bookmarkStart w:id="21" w:name="_Toc16390"/>
      <w:bookmarkStart w:id="22" w:name="_Toc18384"/>
      <w:bookmarkStart w:id="23" w:name="_Toc1909"/>
    </w:p>
    <w:p w14:paraId="007796F0">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outlineLvl w:val="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采购人</w:t>
      </w:r>
      <w:r>
        <w:rPr>
          <w:rFonts w:hint="eastAsia" w:ascii="仿宋" w:hAnsi="仿宋" w:eastAsia="仿宋" w:cs="仿宋"/>
          <w:b/>
          <w:bCs/>
          <w:color w:val="auto"/>
          <w:sz w:val="32"/>
          <w:szCs w:val="32"/>
          <w:highlight w:val="none"/>
        </w:rPr>
        <w:t>：</w:t>
      </w:r>
      <w:bookmarkEnd w:id="13"/>
      <w:bookmarkEnd w:id="14"/>
      <w:bookmarkEnd w:id="15"/>
      <w:bookmarkEnd w:id="16"/>
      <w:bookmarkEnd w:id="17"/>
      <w:bookmarkEnd w:id="18"/>
      <w:bookmarkEnd w:id="19"/>
      <w:bookmarkEnd w:id="20"/>
      <w:bookmarkEnd w:id="21"/>
      <w:bookmarkEnd w:id="22"/>
      <w:bookmarkEnd w:id="23"/>
      <w:r>
        <w:rPr>
          <w:rFonts w:hint="eastAsia" w:ascii="仿宋" w:hAnsi="仿宋" w:eastAsia="仿宋" w:cs="仿宋"/>
          <w:b/>
          <w:bCs/>
          <w:color w:val="auto"/>
          <w:sz w:val="32"/>
          <w:szCs w:val="32"/>
          <w:highlight w:val="none"/>
          <w:lang w:eastAsia="zh-CN"/>
        </w:rPr>
        <w:t>楚雄彝族自治州人民医院</w:t>
      </w:r>
    </w:p>
    <w:p w14:paraId="5A780839">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eastAsia="zh-CN"/>
        </w:rPr>
      </w:pPr>
    </w:p>
    <w:p w14:paraId="1FF159D8">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285" w:firstLineChars="400"/>
        <w:jc w:val="both"/>
        <w:textAlignment w:val="baseline"/>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采购代理机构</w:t>
      </w:r>
      <w:r>
        <w:rPr>
          <w:rFonts w:hint="eastAsia" w:ascii="仿宋" w:hAnsi="仿宋" w:eastAsia="仿宋" w:cs="仿宋"/>
          <w:b/>
          <w:bCs/>
          <w:color w:val="auto"/>
          <w:sz w:val="32"/>
          <w:szCs w:val="32"/>
          <w:highlight w:val="none"/>
        </w:rPr>
        <w:t>：</w:t>
      </w:r>
      <w:r>
        <w:rPr>
          <w:rFonts w:hint="eastAsia" w:ascii="仿宋" w:hAnsi="仿宋" w:eastAsia="仿宋" w:cs="仿宋"/>
          <w:b/>
          <w:color w:val="auto"/>
          <w:sz w:val="32"/>
          <w:szCs w:val="32"/>
          <w:highlight w:val="none"/>
          <w:lang w:val="en-US" w:eastAsia="zh-CN"/>
        </w:rPr>
        <w:t>云南拓航工程管理咨询有限公司</w:t>
      </w:r>
    </w:p>
    <w:p w14:paraId="12393EA7">
      <w:pPr>
        <w:keepNext w:val="0"/>
        <w:keepLines w:val="0"/>
        <w:pageBreakBefore w:val="0"/>
        <w:widowControl w:val="0"/>
        <w:kinsoku/>
        <w:wordWrap w:val="0"/>
        <w:overflowPunct/>
        <w:topLinePunct/>
        <w:autoSpaceDE/>
        <w:autoSpaceDN/>
        <w:bidi w:val="0"/>
        <w:adjustRightInd/>
        <w:snapToGrid/>
        <w:spacing w:line="360" w:lineRule="auto"/>
        <w:ind w:right="0"/>
        <w:jc w:val="center"/>
        <w:outlineLvl w:val="0"/>
        <w:rPr>
          <w:rFonts w:hint="eastAsia" w:ascii="仿宋" w:hAnsi="仿宋" w:eastAsia="仿宋" w:cs="仿宋"/>
          <w:b/>
          <w:color w:val="auto"/>
          <w:sz w:val="32"/>
          <w:szCs w:val="32"/>
          <w:highlight w:val="none"/>
        </w:rPr>
        <w:sectPr>
          <w:footerReference r:id="rId3" w:type="first"/>
          <w:pgSz w:w="11906" w:h="16838"/>
          <w:pgMar w:top="1440" w:right="1080" w:bottom="1440" w:left="1080" w:header="851" w:footer="907" w:gutter="0"/>
          <w:cols w:space="425" w:num="1"/>
          <w:docGrid w:type="lines" w:linePitch="312" w:charSpace="0"/>
        </w:sectPr>
      </w:pPr>
      <w:bookmarkStart w:id="24" w:name="_Toc15683"/>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u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u w:val="none"/>
          <w:lang w:val="en-US" w:eastAsia="zh-CN"/>
        </w:rPr>
        <w:t>六</w:t>
      </w:r>
      <w:r>
        <w:rPr>
          <w:rFonts w:hint="eastAsia" w:ascii="仿宋" w:hAnsi="仿宋" w:eastAsia="仿宋" w:cs="仿宋"/>
          <w:b/>
          <w:color w:val="auto"/>
          <w:sz w:val="32"/>
          <w:szCs w:val="32"/>
          <w:highlight w:val="none"/>
        </w:rPr>
        <w:t>月</w:t>
      </w:r>
      <w:bookmarkEnd w:id="24"/>
    </w:p>
    <w:sdt>
      <w:sdtPr>
        <w:rPr>
          <w:rFonts w:hint="eastAsia" w:ascii="仿宋" w:hAnsi="仿宋" w:eastAsia="仿宋" w:cs="仿宋"/>
          <w:snapToGrid w:val="0"/>
          <w:color w:val="000000"/>
          <w:sz w:val="21"/>
          <w:szCs w:val="21"/>
          <w:lang w:val="en-US" w:eastAsia="en-US" w:bidi="ar-SA"/>
        </w:rPr>
        <w:id w:val="147475452"/>
        <w15:color w:val="DBDBDB"/>
        <w:docPartObj>
          <w:docPartGallery w:val="Table of Contents"/>
          <w:docPartUnique/>
        </w:docPartObj>
      </w:sdtPr>
      <w:sdtEndPr>
        <w:rPr>
          <w:rFonts w:hint="eastAsia" w:ascii="仿宋" w:hAnsi="仿宋" w:eastAsia="仿宋" w:cs="仿宋"/>
          <w:b/>
          <w:snapToGrid w:val="0"/>
          <w:color w:val="auto"/>
          <w:sz w:val="21"/>
          <w:szCs w:val="32"/>
          <w:highlight w:val="none"/>
          <w:lang w:val="en-US" w:eastAsia="zh-CN" w:bidi="ar-SA"/>
        </w:rPr>
      </w:sdtEndPr>
      <w:sdtContent>
        <w:p w14:paraId="14FA76E7">
          <w:pPr>
            <w:spacing w:before="0" w:beforeLines="0" w:after="0" w:afterLines="0" w:line="240" w:lineRule="auto"/>
            <w:ind w:left="0" w:leftChars="0" w:right="0" w:rightChars="0" w:firstLine="0" w:firstLineChars="0"/>
            <w:jc w:val="center"/>
            <w:rPr>
              <w:rFonts w:hint="eastAsia" w:ascii="仿宋" w:hAnsi="仿宋" w:eastAsia="仿宋" w:cs="仿宋"/>
              <w:b/>
            </w:rPr>
          </w:pPr>
          <w:r>
            <w:rPr>
              <w:rFonts w:hint="eastAsia" w:ascii="仿宋" w:hAnsi="仿宋" w:eastAsia="仿宋" w:cs="仿宋"/>
              <w:b/>
              <w:bCs/>
              <w:sz w:val="32"/>
              <w:szCs w:val="32"/>
            </w:rPr>
            <w:t>目</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录</w:t>
          </w:r>
          <w:r>
            <w:rPr>
              <w:rFonts w:hint="eastAsia" w:ascii="仿宋" w:hAnsi="仿宋" w:eastAsia="仿宋" w:cs="仿宋"/>
              <w:b/>
              <w:color w:val="auto"/>
              <w:sz w:val="32"/>
              <w:szCs w:val="32"/>
              <w:highlight w:val="none"/>
              <w:lang w:eastAsia="zh-CN"/>
            </w:rPr>
            <w:fldChar w:fldCharType="begin"/>
          </w:r>
          <w:r>
            <w:rPr>
              <w:rFonts w:hint="eastAsia" w:ascii="仿宋" w:hAnsi="仿宋" w:eastAsia="仿宋" w:cs="仿宋"/>
              <w:b/>
              <w:color w:val="auto"/>
              <w:sz w:val="32"/>
              <w:szCs w:val="32"/>
              <w:highlight w:val="none"/>
              <w:lang w:eastAsia="zh-CN"/>
            </w:rPr>
            <w:instrText xml:space="preserve">TOC \o "1-2" \h \u </w:instrText>
          </w:r>
          <w:r>
            <w:rPr>
              <w:rFonts w:hint="eastAsia" w:ascii="仿宋" w:hAnsi="仿宋" w:eastAsia="仿宋" w:cs="仿宋"/>
              <w:b/>
              <w:color w:val="auto"/>
              <w:sz w:val="32"/>
              <w:szCs w:val="32"/>
              <w:highlight w:val="none"/>
              <w:lang w:eastAsia="zh-CN"/>
            </w:rPr>
            <w:fldChar w:fldCharType="separate"/>
          </w:r>
        </w:p>
        <w:p w14:paraId="26B1917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_Toc6369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szCs w:val="32"/>
              <w:lang w:eastAsia="zh-CN"/>
            </w:rPr>
            <w:t xml:space="preserve">第一章 </w:t>
          </w:r>
          <w:r>
            <w:rPr>
              <w:rFonts w:hint="eastAsia" w:ascii="仿宋" w:hAnsi="仿宋" w:eastAsia="仿宋" w:cs="仿宋"/>
              <w:b/>
              <w:bCs/>
              <w:szCs w:val="32"/>
              <w:highlight w:val="none"/>
              <w:lang w:eastAsia="zh-CN"/>
            </w:rPr>
            <w:t>招标公告</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_Toc6369 \h </w:instrText>
          </w:r>
          <w:r>
            <w:rPr>
              <w:rFonts w:hint="eastAsia" w:ascii="仿宋" w:hAnsi="仿宋" w:eastAsia="仿宋" w:cs="仿宋"/>
              <w:b/>
              <w:bCs/>
            </w:rPr>
            <w:fldChar w:fldCharType="separate"/>
          </w:r>
          <w:r>
            <w:rPr>
              <w:rFonts w:hint="eastAsia" w:ascii="仿宋" w:hAnsi="仿宋" w:eastAsia="仿宋" w:cs="仿宋"/>
              <w:b/>
              <w:bCs/>
            </w:rPr>
            <w:t>1</w:t>
          </w:r>
          <w:r>
            <w:rPr>
              <w:rFonts w:hint="eastAsia" w:ascii="仿宋" w:hAnsi="仿宋" w:eastAsia="仿宋" w:cs="仿宋"/>
              <w:b/>
              <w:bCs/>
            </w:rPr>
            <w:fldChar w:fldCharType="end"/>
          </w:r>
          <w:r>
            <w:rPr>
              <w:rFonts w:hint="eastAsia" w:ascii="仿宋" w:hAnsi="仿宋" w:eastAsia="仿宋" w:cs="仿宋"/>
              <w:b/>
              <w:bCs/>
              <w:color w:val="auto"/>
              <w:szCs w:val="32"/>
              <w:highlight w:val="none"/>
              <w:lang w:eastAsia="zh-CN"/>
            </w:rPr>
            <w:fldChar w:fldCharType="end"/>
          </w:r>
        </w:p>
        <w:p w14:paraId="7D4EB615">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_Toc3210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项目概况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_Toc3210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3C7CDA2E">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_Toc24498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一、项目基本情况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_Toc24498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0EE80870">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_Toc28445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二、</w:t>
          </w:r>
          <w:r>
            <w:rPr>
              <w:rFonts w:hint="eastAsia" w:ascii="仿宋" w:hAnsi="仿宋" w:eastAsia="仿宋" w:cs="仿宋"/>
              <w:szCs w:val="21"/>
              <w:highlight w:val="none"/>
              <w:lang w:val="en-US" w:eastAsia="zh-CN"/>
            </w:rPr>
            <w:t>投标人</w:t>
          </w:r>
          <w:r>
            <w:rPr>
              <w:rFonts w:hint="eastAsia" w:ascii="仿宋" w:hAnsi="仿宋" w:eastAsia="仿宋" w:cs="仿宋"/>
              <w:szCs w:val="21"/>
              <w:highlight w:val="none"/>
              <w:lang w:eastAsia="zh-CN"/>
            </w:rPr>
            <w:t>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_Toc28445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3B3A31A9">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_Toc32718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三、获取招标文件</w:t>
          </w:r>
          <w:r>
            <w:rPr>
              <w:rFonts w:hint="eastAsia" w:ascii="仿宋" w:hAnsi="仿宋" w:eastAsia="仿宋" w:cs="仿宋"/>
            </w:rPr>
            <w:tab/>
          </w:r>
          <w:r>
            <w:rPr>
              <w:rFonts w:hint="eastAsia" w:ascii="仿宋" w:hAnsi="仿宋" w:eastAsia="仿宋" w:cs="仿宋"/>
              <w:lang w:val="en-US" w:eastAsia="zh-CN"/>
            </w:rPr>
            <w:t>1</w:t>
          </w:r>
          <w:r>
            <w:rPr>
              <w:rFonts w:hint="eastAsia" w:ascii="仿宋" w:hAnsi="仿宋" w:eastAsia="仿宋" w:cs="仿宋"/>
              <w:color w:val="auto"/>
              <w:szCs w:val="32"/>
              <w:highlight w:val="none"/>
              <w:lang w:eastAsia="zh-CN"/>
            </w:rPr>
            <w:fldChar w:fldCharType="end"/>
          </w:r>
        </w:p>
        <w:p w14:paraId="2F8DEFF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_Toc2364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四、提交投标文件截止时间、开标时间和地点</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634B51C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_Toc8289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五、公告期限</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73B5DB09">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_Toc20184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六、其他补充事宜</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019F5D30">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_Toc17573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lang w:eastAsia="zh-CN"/>
            </w:rPr>
            <w:t>、对本次招标提出询问，请按以下方式联系</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p>
        <w:p w14:paraId="76A9B7E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_Toc14272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szCs w:val="32"/>
              <w:highlight w:val="none"/>
              <w:lang w:eastAsia="zh-CN"/>
            </w:rPr>
            <w:t>第二章</w:t>
          </w:r>
          <w:r>
            <w:rPr>
              <w:rFonts w:hint="eastAsia" w:ascii="仿宋" w:hAnsi="仿宋" w:eastAsia="仿宋" w:cs="仿宋"/>
              <w:b/>
              <w:bCs/>
              <w:szCs w:val="32"/>
              <w:highlight w:val="none"/>
              <w:lang w:val="en-US" w:eastAsia="zh-CN"/>
            </w:rPr>
            <w:t xml:space="preserve"> </w:t>
          </w:r>
          <w:r>
            <w:rPr>
              <w:rFonts w:hint="eastAsia" w:ascii="仿宋" w:hAnsi="仿宋" w:eastAsia="仿宋" w:cs="仿宋"/>
              <w:b/>
              <w:bCs/>
              <w:szCs w:val="32"/>
              <w:highlight w:val="none"/>
              <w:lang w:eastAsia="zh-CN"/>
            </w:rPr>
            <w:t>投标人须知</w:t>
          </w:r>
          <w:r>
            <w:rPr>
              <w:rFonts w:hint="eastAsia" w:ascii="仿宋" w:hAnsi="仿宋" w:eastAsia="仿宋" w:cs="仿宋"/>
              <w:b/>
              <w:bCs/>
            </w:rPr>
            <w:tab/>
          </w:r>
          <w:r>
            <w:rPr>
              <w:rFonts w:hint="eastAsia" w:ascii="仿宋" w:hAnsi="仿宋" w:eastAsia="仿宋" w:cs="仿宋"/>
              <w:b/>
              <w:bCs/>
              <w:lang w:val="en-US" w:eastAsia="zh-CN"/>
            </w:rPr>
            <w:t>4</w:t>
          </w:r>
          <w:r>
            <w:rPr>
              <w:rFonts w:hint="eastAsia" w:ascii="仿宋" w:hAnsi="仿宋" w:eastAsia="仿宋" w:cs="仿宋"/>
              <w:b/>
              <w:bCs/>
              <w:color w:val="auto"/>
              <w:szCs w:val="32"/>
              <w:highlight w:val="none"/>
              <w:lang w:eastAsia="zh-CN"/>
            </w:rPr>
            <w:fldChar w:fldCharType="end"/>
          </w:r>
        </w:p>
        <w:p w14:paraId="4E9A3BDC">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_Toc32551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一、投标人须知前附表</w:t>
          </w:r>
          <w:r>
            <w:rPr>
              <w:rFonts w:hint="eastAsia" w:ascii="仿宋" w:hAnsi="仿宋" w:eastAsia="仿宋" w:cs="仿宋"/>
              <w:szCs w:val="32"/>
              <w:highlight w:val="none"/>
              <w:lang w:eastAsia="zh-CN"/>
            </w:rPr>
            <w:tab/>
          </w:r>
          <w:r>
            <w:rPr>
              <w:rFonts w:hint="eastAsia" w:ascii="仿宋" w:hAnsi="仿宋" w:eastAsia="仿宋" w:cs="仿宋"/>
              <w:szCs w:val="32"/>
              <w:highlight w:val="none"/>
              <w:lang w:val="en-US" w:eastAsia="zh-CN"/>
            </w:rPr>
            <w:t>4</w:t>
          </w:r>
          <w:r>
            <w:rPr>
              <w:rFonts w:hint="eastAsia" w:ascii="仿宋" w:hAnsi="仿宋" w:eastAsia="仿宋" w:cs="仿宋"/>
              <w:szCs w:val="32"/>
              <w:highlight w:val="none"/>
              <w:lang w:eastAsia="zh-CN"/>
            </w:rPr>
            <w:fldChar w:fldCharType="end"/>
          </w:r>
        </w:p>
        <w:p w14:paraId="03A8E8AF">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_Toc3899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二、</w:t>
          </w:r>
          <w:r>
            <w:rPr>
              <w:rFonts w:hint="eastAsia" w:ascii="仿宋" w:hAnsi="仿宋" w:eastAsia="仿宋" w:cs="仿宋"/>
              <w:szCs w:val="32"/>
              <w:highlight w:val="none"/>
              <w:lang w:val="en-US" w:eastAsia="zh-CN"/>
            </w:rPr>
            <w:t>总则</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_Toc3899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11</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2C513E3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_Toc12698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三、投标</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_Toc12698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17</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44D783B3">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default" w:ascii="仿宋" w:hAnsi="仿宋" w:eastAsia="仿宋" w:cs="仿宋"/>
              <w:szCs w:val="32"/>
              <w:highlight w:val="none"/>
              <w:lang w:val="en-US"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_Toc22194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四、</w:t>
          </w:r>
          <w:r>
            <w:rPr>
              <w:rFonts w:hint="eastAsia" w:ascii="仿宋" w:hAnsi="仿宋" w:eastAsia="仿宋" w:cs="仿宋"/>
              <w:szCs w:val="32"/>
              <w:highlight w:val="none"/>
              <w:lang w:eastAsia="zh-CN"/>
            </w:rPr>
            <w:t>开标</w:t>
          </w:r>
          <w:r>
            <w:rPr>
              <w:rFonts w:hint="eastAsia" w:ascii="仿宋" w:hAnsi="仿宋" w:eastAsia="仿宋" w:cs="仿宋"/>
              <w:szCs w:val="32"/>
              <w:highlight w:val="none"/>
              <w:lang w:eastAsia="zh-CN"/>
            </w:rPr>
            <w:tab/>
          </w:r>
          <w:r>
            <w:rPr>
              <w:rFonts w:hint="eastAsia" w:ascii="仿宋" w:hAnsi="仿宋" w:eastAsia="仿宋" w:cs="仿宋"/>
              <w:szCs w:val="32"/>
              <w:highlight w:val="none"/>
              <w:lang w:val="en-US" w:eastAsia="zh-CN"/>
            </w:rPr>
            <w:t>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val="en-US" w:eastAsia="zh-CN"/>
            </w:rPr>
            <w:t>0</w:t>
          </w:r>
        </w:p>
        <w:p w14:paraId="2DD4EF8A">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_Toc13398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五、评标</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_Toc13398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20</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56C07587">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_Toc16364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六、</w:t>
          </w:r>
          <w:r>
            <w:rPr>
              <w:rFonts w:hint="eastAsia" w:ascii="仿宋" w:hAnsi="仿宋" w:eastAsia="仿宋" w:cs="仿宋"/>
              <w:szCs w:val="32"/>
              <w:highlight w:val="none"/>
              <w:lang w:eastAsia="zh-CN"/>
            </w:rPr>
            <w:t>意外情况的情形和处理</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_Toc16364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2F4AAA94">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_Toc27922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七、中标和合同</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_Toc27922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7AB4ACC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_Toc30113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八、询问、质疑</w:t>
          </w:r>
          <w:r>
            <w:rPr>
              <w:rFonts w:hint="eastAsia" w:ascii="仿宋" w:hAnsi="仿宋" w:eastAsia="仿宋" w:cs="仿宋"/>
              <w:szCs w:val="32"/>
              <w:highlight w:val="none"/>
              <w:lang w:val="en-US" w:eastAsia="zh-CN"/>
            </w:rPr>
            <w:t>和投诉</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_Toc30113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23</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74439D7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_Toc21802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九、</w:t>
          </w:r>
          <w:r>
            <w:rPr>
              <w:rFonts w:hint="eastAsia" w:ascii="仿宋" w:hAnsi="仿宋" w:eastAsia="仿宋" w:cs="仿宋"/>
              <w:szCs w:val="32"/>
              <w:highlight w:val="none"/>
              <w:lang w:val="en-US" w:eastAsia="zh-CN"/>
            </w:rPr>
            <w:t>其他事项</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_Toc21802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23</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6236F27A">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b/>
              <w:bCs w:val="0"/>
              <w:lang w:val="en-US"/>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szCs w:val="32"/>
              <w:highlight w:val="none"/>
              <w:lang w:eastAsia="zh-CN"/>
            </w:rPr>
            <w:instrText xml:space="preserve"> HYPERLINK \l _Toc8111 </w:instrText>
          </w:r>
          <w:r>
            <w:rPr>
              <w:rFonts w:hint="eastAsia" w:ascii="仿宋" w:hAnsi="仿宋" w:eastAsia="仿宋" w:cs="仿宋"/>
              <w:b/>
              <w:bCs w:val="0"/>
              <w:szCs w:val="32"/>
              <w:highlight w:val="none"/>
              <w:lang w:eastAsia="zh-CN"/>
            </w:rPr>
            <w:fldChar w:fldCharType="separate"/>
          </w:r>
          <w:r>
            <w:rPr>
              <w:rFonts w:hint="eastAsia" w:ascii="仿宋" w:hAnsi="仿宋" w:eastAsia="仿宋" w:cs="仿宋"/>
              <w:b/>
              <w:bCs w:val="0"/>
              <w:szCs w:val="28"/>
              <w:highlight w:val="none"/>
              <w:lang w:eastAsia="zh-CN"/>
            </w:rPr>
            <w:t>第</w:t>
          </w:r>
          <w:r>
            <w:rPr>
              <w:rFonts w:hint="eastAsia" w:ascii="仿宋" w:hAnsi="仿宋" w:eastAsia="仿宋" w:cs="仿宋"/>
              <w:b/>
              <w:bCs w:val="0"/>
              <w:szCs w:val="28"/>
              <w:highlight w:val="none"/>
              <w:lang w:val="en-US" w:eastAsia="zh-CN"/>
            </w:rPr>
            <w:t>三</w:t>
          </w:r>
          <w:r>
            <w:rPr>
              <w:rFonts w:hint="eastAsia" w:ascii="仿宋" w:hAnsi="仿宋" w:eastAsia="仿宋" w:cs="仿宋"/>
              <w:b/>
              <w:bCs w:val="0"/>
              <w:szCs w:val="28"/>
              <w:highlight w:val="none"/>
              <w:lang w:eastAsia="zh-CN"/>
            </w:rPr>
            <w:t>章 采购需求及要求</w:t>
          </w:r>
          <w:r>
            <w:rPr>
              <w:rFonts w:hint="eastAsia" w:ascii="仿宋" w:hAnsi="仿宋" w:eastAsia="仿宋" w:cs="仿宋"/>
              <w:b/>
              <w:bCs w:val="0"/>
            </w:rPr>
            <w:tab/>
          </w:r>
          <w:r>
            <w:rPr>
              <w:rFonts w:hint="eastAsia" w:ascii="仿宋" w:hAnsi="仿宋" w:eastAsia="仿宋" w:cs="仿宋"/>
              <w:b/>
              <w:bCs w:val="0"/>
              <w:lang w:val="en-US" w:eastAsia="zh-CN"/>
            </w:rPr>
            <w:t>2</w:t>
          </w:r>
          <w:r>
            <w:rPr>
              <w:rFonts w:hint="eastAsia" w:ascii="仿宋" w:hAnsi="仿宋" w:eastAsia="仿宋" w:cs="仿宋"/>
              <w:b/>
              <w:bCs w:val="0"/>
              <w:color w:val="auto"/>
              <w:szCs w:val="32"/>
              <w:highlight w:val="none"/>
              <w:lang w:eastAsia="zh-CN"/>
            </w:rPr>
            <w:fldChar w:fldCharType="end"/>
          </w:r>
          <w:r>
            <w:rPr>
              <w:rFonts w:hint="eastAsia" w:ascii="仿宋" w:hAnsi="仿宋" w:eastAsia="仿宋" w:cs="仿宋"/>
              <w:b/>
              <w:bCs w:val="0"/>
              <w:color w:val="auto"/>
              <w:szCs w:val="32"/>
              <w:highlight w:val="none"/>
              <w:lang w:val="en-US" w:eastAsia="zh-CN"/>
            </w:rPr>
            <w:t>7</w:t>
          </w:r>
        </w:p>
        <w:p w14:paraId="4EE4CED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_Toc4747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一、特别说明与规定</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7</w:t>
          </w:r>
        </w:p>
        <w:p w14:paraId="05E61F9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_Toc30589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二、技术要求</w:t>
          </w:r>
          <w:r>
            <w:rPr>
              <w:rFonts w:hint="eastAsia" w:ascii="仿宋" w:hAnsi="仿宋" w:eastAsia="仿宋" w:cs="仿宋"/>
            </w:rPr>
            <w:tab/>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28</w:t>
          </w:r>
        </w:p>
        <w:p w14:paraId="01CB3A9F">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_Toc26309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lang w:val="en-US" w:eastAsia="zh-CN"/>
            </w:rPr>
            <w:t>三、★商务要求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_Toc26309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06A086C6">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val="0"/>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szCs w:val="32"/>
              <w:highlight w:val="none"/>
              <w:lang w:eastAsia="zh-CN"/>
            </w:rPr>
            <w:instrText xml:space="preserve"> HYPERLINK \l _Toc2054 </w:instrText>
          </w:r>
          <w:r>
            <w:rPr>
              <w:rFonts w:hint="eastAsia" w:ascii="仿宋" w:hAnsi="仿宋" w:eastAsia="仿宋" w:cs="仿宋"/>
              <w:b/>
              <w:bCs w:val="0"/>
              <w:szCs w:val="32"/>
              <w:highlight w:val="none"/>
              <w:lang w:eastAsia="zh-CN"/>
            </w:rPr>
            <w:fldChar w:fldCharType="separate"/>
          </w:r>
          <w:r>
            <w:rPr>
              <w:rFonts w:hint="eastAsia" w:ascii="仿宋" w:hAnsi="仿宋" w:eastAsia="仿宋" w:cs="仿宋"/>
              <w:b/>
              <w:bCs w:val="0"/>
              <w:szCs w:val="32"/>
              <w:lang w:val="en-US" w:eastAsia="zh-CN"/>
            </w:rPr>
            <w:t>第四章 评审办法</w:t>
          </w:r>
          <w:r>
            <w:rPr>
              <w:rFonts w:hint="eastAsia" w:ascii="仿宋" w:hAnsi="仿宋" w:eastAsia="仿宋" w:cs="仿宋"/>
              <w:b/>
              <w:bCs w:val="0"/>
            </w:rPr>
            <w:tab/>
          </w:r>
          <w:r>
            <w:rPr>
              <w:rFonts w:hint="eastAsia" w:ascii="仿宋" w:hAnsi="仿宋" w:eastAsia="仿宋" w:cs="仿宋"/>
              <w:b/>
              <w:bCs w:val="0"/>
            </w:rPr>
            <w:fldChar w:fldCharType="begin"/>
          </w:r>
          <w:r>
            <w:rPr>
              <w:rFonts w:hint="eastAsia" w:ascii="仿宋" w:hAnsi="仿宋" w:eastAsia="仿宋" w:cs="仿宋"/>
              <w:b/>
              <w:bCs w:val="0"/>
            </w:rPr>
            <w:instrText xml:space="preserve"> PAGEREF _Toc2054 \h </w:instrText>
          </w:r>
          <w:r>
            <w:rPr>
              <w:rFonts w:hint="eastAsia" w:ascii="仿宋" w:hAnsi="仿宋" w:eastAsia="仿宋" w:cs="仿宋"/>
              <w:b/>
              <w:bCs w:val="0"/>
            </w:rPr>
            <w:fldChar w:fldCharType="separate"/>
          </w:r>
          <w:r>
            <w:rPr>
              <w:rFonts w:hint="eastAsia" w:ascii="仿宋" w:hAnsi="仿宋" w:eastAsia="仿宋" w:cs="仿宋"/>
              <w:b/>
              <w:bCs w:val="0"/>
            </w:rPr>
            <w:t>25</w:t>
          </w:r>
          <w:r>
            <w:rPr>
              <w:rFonts w:hint="eastAsia" w:ascii="仿宋" w:hAnsi="仿宋" w:eastAsia="仿宋" w:cs="仿宋"/>
              <w:b/>
              <w:bCs w:val="0"/>
            </w:rPr>
            <w:fldChar w:fldCharType="end"/>
          </w:r>
          <w:r>
            <w:rPr>
              <w:rFonts w:hint="eastAsia" w:ascii="仿宋" w:hAnsi="仿宋" w:eastAsia="仿宋" w:cs="仿宋"/>
              <w:b/>
              <w:bCs w:val="0"/>
              <w:color w:val="auto"/>
              <w:szCs w:val="32"/>
              <w:highlight w:val="none"/>
              <w:lang w:eastAsia="zh-CN"/>
            </w:rPr>
            <w:fldChar w:fldCharType="end"/>
          </w:r>
        </w:p>
        <w:p w14:paraId="683FC5D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_Toc25184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一、</w:t>
          </w:r>
          <w:r>
            <w:rPr>
              <w:rFonts w:hint="eastAsia" w:ascii="仿宋" w:hAnsi="仿宋" w:eastAsia="仿宋" w:cs="仿宋"/>
              <w:szCs w:val="21"/>
              <w:highlight w:val="none"/>
              <w:lang w:eastAsia="zh-CN"/>
            </w:rPr>
            <w:t>资格审查</w:t>
          </w:r>
          <w:r>
            <w:rPr>
              <w:rFonts w:hint="eastAsia" w:ascii="仿宋" w:hAnsi="仿宋" w:eastAsia="仿宋" w:cs="仿宋"/>
              <w:szCs w:val="21"/>
              <w:highlight w:val="none"/>
              <w:lang w:val="en-US" w:eastAsia="zh-CN"/>
            </w:rPr>
            <w:t>标准</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6</w:t>
          </w:r>
        </w:p>
        <w:p w14:paraId="08ABA2C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_Toc19870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1"/>
              <w:highlight w:val="none"/>
              <w:lang w:val="en-US" w:eastAsia="zh-CN"/>
            </w:rPr>
            <w:t>二、</w:t>
          </w:r>
          <w:r>
            <w:rPr>
              <w:rFonts w:hint="eastAsia" w:ascii="仿宋" w:hAnsi="仿宋" w:eastAsia="仿宋" w:cs="仿宋"/>
              <w:bCs/>
              <w:szCs w:val="21"/>
              <w:highlight w:val="none"/>
              <w:lang w:eastAsia="zh-CN"/>
            </w:rPr>
            <w:t>符合性评审标准</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8</w:t>
          </w:r>
        </w:p>
        <w:p w14:paraId="602810D4">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_Toc13039 </w:instrText>
          </w:r>
          <w:r>
            <w:rPr>
              <w:rFonts w:hint="eastAsia" w:ascii="仿宋" w:hAnsi="仿宋" w:eastAsia="仿宋" w:cs="仿宋"/>
              <w:szCs w:val="32"/>
              <w:highlight w:val="none"/>
              <w:lang w:eastAsia="zh-CN"/>
            </w:rPr>
            <w:fldChar w:fldCharType="separate"/>
          </w:r>
          <w:r>
            <w:rPr>
              <w:rFonts w:hint="eastAsia" w:ascii="仿宋" w:hAnsi="仿宋" w:eastAsia="仿宋" w:cs="仿宋"/>
              <w:bCs/>
              <w:spacing w:val="0"/>
              <w:w w:val="100"/>
              <w:position w:val="0"/>
              <w:szCs w:val="21"/>
              <w:lang w:val="en-US" w:eastAsia="zh-CN"/>
            </w:rPr>
            <w:t>三、评分标准</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9</w:t>
          </w:r>
        </w:p>
        <w:p w14:paraId="7C6FC81C">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color w:val="auto"/>
              <w:szCs w:val="32"/>
              <w:highlight w:val="none"/>
              <w:lang w:val="en-US"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_Toc16237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lang w:val="en-US" w:eastAsia="zh-CN"/>
            </w:rPr>
            <w:t>四、评标程序</w:t>
          </w:r>
          <w:r>
            <w:rPr>
              <w:rFonts w:hint="eastAsia" w:ascii="仿宋" w:hAnsi="仿宋" w:eastAsia="仿宋" w:cs="仿宋"/>
            </w:rPr>
            <w:tab/>
          </w:r>
          <w:r>
            <w:rPr>
              <w:rFonts w:hint="eastAsia" w:ascii="仿宋" w:hAnsi="仿宋" w:eastAsia="仿宋" w:cs="仿宋"/>
              <w:lang w:val="en-US" w:eastAsia="zh-CN"/>
            </w:rPr>
            <w:t>4</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1</w:t>
          </w:r>
        </w:p>
        <w:p w14:paraId="6F279037">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_Toc31363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color w:val="auto"/>
              <w:sz w:val="20"/>
              <w:szCs w:val="32"/>
              <w:highlight w:val="none"/>
              <w:lang w:val="en-US" w:eastAsia="zh-CN"/>
            </w:rPr>
            <w:t>第五章</w:t>
          </w:r>
          <w:r>
            <w:rPr>
              <w:rFonts w:hint="eastAsia" w:ascii="仿宋" w:hAnsi="仿宋" w:eastAsia="仿宋" w:cs="仿宋"/>
              <w:b/>
              <w:bCs/>
              <w:color w:val="auto"/>
              <w:sz w:val="20"/>
              <w:szCs w:val="32"/>
              <w:highlight w:val="none"/>
              <w:lang w:eastAsia="zh-CN"/>
            </w:rPr>
            <w:t xml:space="preserve"> 拟签订的合同文本</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_Toc31363 \h </w:instrText>
          </w:r>
          <w:r>
            <w:rPr>
              <w:rFonts w:hint="eastAsia" w:ascii="仿宋" w:hAnsi="仿宋" w:eastAsia="仿宋" w:cs="仿宋"/>
              <w:b/>
              <w:bCs/>
            </w:rPr>
            <w:fldChar w:fldCharType="separate"/>
          </w:r>
          <w:r>
            <w:rPr>
              <w:rFonts w:hint="eastAsia" w:ascii="仿宋" w:hAnsi="仿宋" w:eastAsia="仿宋" w:cs="仿宋"/>
              <w:b/>
              <w:bCs/>
            </w:rPr>
            <w:t>36</w:t>
          </w:r>
          <w:r>
            <w:rPr>
              <w:rFonts w:hint="eastAsia" w:ascii="仿宋" w:hAnsi="仿宋" w:eastAsia="仿宋" w:cs="仿宋"/>
              <w:b/>
              <w:bCs/>
            </w:rPr>
            <w:fldChar w:fldCharType="end"/>
          </w:r>
          <w:r>
            <w:rPr>
              <w:rFonts w:hint="eastAsia" w:ascii="仿宋" w:hAnsi="仿宋" w:eastAsia="仿宋" w:cs="仿宋"/>
              <w:b/>
              <w:bCs/>
              <w:color w:val="auto"/>
              <w:szCs w:val="32"/>
              <w:highlight w:val="none"/>
              <w:lang w:eastAsia="zh-CN"/>
            </w:rPr>
            <w:fldChar w:fldCharType="end"/>
          </w:r>
        </w:p>
        <w:p w14:paraId="5080487D">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rPr>
          </w:pPr>
          <w:r>
            <w:rPr>
              <w:rFonts w:hint="eastAsia" w:ascii="仿宋" w:hAnsi="仿宋" w:eastAsia="仿宋" w:cs="仿宋"/>
              <w:b/>
              <w:color w:val="auto"/>
              <w:szCs w:val="32"/>
              <w:highlight w:val="none"/>
              <w:lang w:eastAsia="zh-CN"/>
            </w:rPr>
            <w:fldChar w:fldCharType="begin"/>
          </w:r>
          <w:r>
            <w:rPr>
              <w:rFonts w:hint="eastAsia" w:ascii="仿宋" w:hAnsi="仿宋" w:eastAsia="仿宋" w:cs="仿宋"/>
              <w:b/>
              <w:szCs w:val="32"/>
              <w:highlight w:val="none"/>
              <w:lang w:eastAsia="zh-CN"/>
            </w:rPr>
            <w:instrText xml:space="preserve"> HYPERLINK \l _Toc17934 </w:instrText>
          </w:r>
          <w:r>
            <w:rPr>
              <w:rFonts w:hint="eastAsia" w:ascii="仿宋" w:hAnsi="仿宋" w:eastAsia="仿宋" w:cs="仿宋"/>
              <w:b/>
              <w:szCs w:val="32"/>
              <w:highlight w:val="none"/>
              <w:lang w:eastAsia="zh-CN"/>
            </w:rPr>
            <w:fldChar w:fldCharType="separate"/>
          </w:r>
          <w:r>
            <w:rPr>
              <w:rFonts w:hint="eastAsia" w:ascii="仿宋" w:hAnsi="仿宋" w:eastAsia="仿宋" w:cs="仿宋"/>
              <w:b/>
              <w:szCs w:val="32"/>
              <w:highlight w:val="none"/>
              <w:lang w:eastAsia="zh-CN"/>
            </w:rPr>
            <w:t>第六章</w:t>
          </w:r>
          <w:r>
            <w:rPr>
              <w:rFonts w:hint="eastAsia" w:ascii="仿宋" w:hAnsi="仿宋" w:eastAsia="仿宋" w:cs="仿宋"/>
              <w:b/>
              <w:szCs w:val="32"/>
              <w:highlight w:val="none"/>
              <w:lang w:val="en-US" w:eastAsia="zh-CN"/>
            </w:rPr>
            <w:t xml:space="preserve"> </w:t>
          </w:r>
          <w:r>
            <w:rPr>
              <w:rFonts w:hint="eastAsia" w:ascii="仿宋" w:hAnsi="仿宋" w:eastAsia="仿宋" w:cs="仿宋"/>
              <w:b/>
              <w:szCs w:val="32"/>
              <w:highlight w:val="none"/>
              <w:lang w:eastAsia="zh-CN"/>
            </w:rPr>
            <w:t>投标文件格式</w:t>
          </w:r>
          <w:r>
            <w:rPr>
              <w:rFonts w:hint="eastAsia" w:ascii="仿宋" w:hAnsi="仿宋" w:eastAsia="仿宋" w:cs="仿宋"/>
              <w:b/>
            </w:rPr>
            <w:tab/>
          </w:r>
          <w:r>
            <w:rPr>
              <w:rFonts w:hint="eastAsia" w:ascii="仿宋" w:hAnsi="仿宋" w:eastAsia="仿宋" w:cs="仿宋"/>
              <w:b/>
            </w:rPr>
            <w:fldChar w:fldCharType="begin"/>
          </w:r>
          <w:r>
            <w:rPr>
              <w:rFonts w:hint="eastAsia" w:ascii="仿宋" w:hAnsi="仿宋" w:eastAsia="仿宋" w:cs="仿宋"/>
              <w:b/>
            </w:rPr>
            <w:instrText xml:space="preserve"> PAGEREF _Toc17934 \h </w:instrText>
          </w:r>
          <w:r>
            <w:rPr>
              <w:rFonts w:hint="eastAsia" w:ascii="仿宋" w:hAnsi="仿宋" w:eastAsia="仿宋" w:cs="仿宋"/>
              <w:b/>
            </w:rPr>
            <w:fldChar w:fldCharType="separate"/>
          </w:r>
          <w:r>
            <w:rPr>
              <w:rFonts w:hint="eastAsia" w:ascii="仿宋" w:hAnsi="仿宋" w:eastAsia="仿宋" w:cs="仿宋"/>
              <w:b/>
            </w:rPr>
            <w:t>46</w:t>
          </w:r>
          <w:r>
            <w:rPr>
              <w:rFonts w:hint="eastAsia" w:ascii="仿宋" w:hAnsi="仿宋" w:eastAsia="仿宋" w:cs="仿宋"/>
              <w:b/>
            </w:rPr>
            <w:fldChar w:fldCharType="end"/>
          </w:r>
          <w:r>
            <w:rPr>
              <w:rFonts w:hint="eastAsia" w:ascii="仿宋" w:hAnsi="仿宋" w:eastAsia="仿宋" w:cs="仿宋"/>
              <w:b/>
              <w:color w:val="auto"/>
              <w:szCs w:val="32"/>
              <w:highlight w:val="none"/>
              <w:lang w:eastAsia="zh-CN"/>
            </w:rPr>
            <w:fldChar w:fldCharType="end"/>
          </w:r>
        </w:p>
        <w:p w14:paraId="616FC88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_Toc13272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资格审查部分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_Toc13272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0BF7246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color w:val="auto"/>
              <w:szCs w:val="32"/>
              <w:highlight w:val="none"/>
              <w:lang w:val="en-US"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_Toc15822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44"/>
              <w:lang w:val="en-US" w:eastAsia="zh-CN"/>
            </w:rPr>
            <w:t>报价</w:t>
          </w:r>
          <w:r>
            <w:rPr>
              <w:rFonts w:hint="eastAsia" w:ascii="仿宋" w:hAnsi="仿宋" w:eastAsia="仿宋" w:cs="仿宋"/>
              <w:bCs/>
              <w:szCs w:val="44"/>
              <w:lang w:eastAsia="zh-CN"/>
            </w:rPr>
            <w:t>部分</w:t>
          </w:r>
          <w:r>
            <w:rPr>
              <w:rFonts w:hint="eastAsia" w:ascii="仿宋" w:hAnsi="仿宋" w:eastAsia="仿宋" w:cs="仿宋"/>
            </w:rPr>
            <w:tab/>
          </w:r>
          <w:r>
            <w:rPr>
              <w:rFonts w:hint="eastAsia" w:ascii="仿宋" w:hAnsi="仿宋" w:eastAsia="仿宋" w:cs="仿宋"/>
              <w:lang w:val="en-US" w:eastAsia="zh-CN"/>
            </w:rPr>
            <w:t>6</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7</w:t>
          </w:r>
        </w:p>
        <w:p w14:paraId="4F9D06C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sz w:val="32"/>
              <w:szCs w:val="32"/>
              <w:highlight w:val="none"/>
              <w:lang w:eastAsia="zh-CN"/>
            </w:rPr>
            <w:sectPr>
              <w:pgSz w:w="11906" w:h="16838"/>
              <w:pgMar w:top="1440" w:right="1080" w:bottom="1440" w:left="1080" w:header="851" w:footer="907" w:gutter="0"/>
              <w:cols w:space="425" w:num="1"/>
              <w:docGrid w:type="lines" w:linePitch="312" w:charSpace="0"/>
            </w:sect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_Toc13841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技术、</w:t>
          </w:r>
          <w:r>
            <w:rPr>
              <w:rFonts w:hint="eastAsia" w:ascii="仿宋" w:hAnsi="仿宋" w:eastAsia="仿宋" w:cs="仿宋"/>
              <w:highlight w:val="none"/>
              <w:lang w:val="en-US" w:eastAsia="zh-CN"/>
            </w:rPr>
            <w:t>商务</w:t>
          </w:r>
          <w:r>
            <w:rPr>
              <w:rFonts w:hint="eastAsia" w:ascii="仿宋" w:hAnsi="仿宋" w:eastAsia="仿宋" w:cs="仿宋"/>
              <w:highlight w:val="none"/>
              <w:lang w:eastAsia="zh-CN"/>
            </w:rPr>
            <w:t>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_Toc13841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r>
            <w:rPr>
              <w:rFonts w:hint="eastAsia" w:ascii="仿宋" w:hAnsi="仿宋" w:eastAsia="仿宋" w:cs="仿宋"/>
              <w:b/>
              <w:color w:val="auto"/>
              <w:szCs w:val="32"/>
              <w:highlight w:val="none"/>
              <w:lang w:eastAsia="zh-CN"/>
            </w:rPr>
            <w:fldChar w:fldCharType="end"/>
          </w:r>
        </w:p>
      </w:sdtContent>
    </w:sdt>
    <w:p w14:paraId="46A15FE2">
      <w:pPr>
        <w:pStyle w:val="3"/>
        <w:keepNext w:val="0"/>
        <w:keepLines w:val="0"/>
        <w:pageBreakBefore w:val="0"/>
        <w:widowControl w:val="0"/>
        <w:numPr>
          <w:ilvl w:val="0"/>
          <w:numId w:val="1"/>
        </w:numPr>
        <w:kinsoku/>
        <w:wordWrap w:val="0"/>
        <w:overflowPunct/>
        <w:topLinePunct/>
        <w:autoSpaceDE/>
        <w:autoSpaceDN/>
        <w:bidi w:val="0"/>
        <w:adjustRightInd/>
        <w:snapToGrid/>
        <w:spacing w:before="0" w:after="0" w:line="420" w:lineRule="exact"/>
        <w:ind w:left="0" w:leftChars="0" w:right="0"/>
        <w:textAlignment w:val="auto"/>
        <w:outlineLvl w:val="0"/>
        <w:rPr>
          <w:rStyle w:val="21"/>
          <w:rFonts w:hint="eastAsia" w:ascii="仿宋" w:hAnsi="仿宋" w:eastAsia="仿宋" w:cs="仿宋"/>
          <w:b/>
          <w:color w:val="auto"/>
          <w:sz w:val="32"/>
          <w:szCs w:val="32"/>
          <w:highlight w:val="none"/>
          <w:lang w:eastAsia="zh-CN"/>
        </w:rPr>
      </w:pPr>
      <w:bookmarkStart w:id="25" w:name="_Toc6369"/>
      <w:bookmarkStart w:id="26" w:name="_Toc4465"/>
      <w:bookmarkStart w:id="27" w:name="_Toc7692"/>
      <w:bookmarkStart w:id="28" w:name="_Hlk145057294"/>
      <w:r>
        <w:rPr>
          <w:rStyle w:val="21"/>
          <w:rFonts w:hint="eastAsia" w:ascii="仿宋" w:hAnsi="仿宋" w:eastAsia="仿宋" w:cs="仿宋"/>
          <w:b/>
          <w:color w:val="auto"/>
          <w:sz w:val="32"/>
          <w:szCs w:val="32"/>
          <w:highlight w:val="none"/>
          <w:lang w:eastAsia="zh-CN"/>
        </w:rPr>
        <w:t>招标公告</w:t>
      </w:r>
      <w:bookmarkEnd w:id="25"/>
      <w:bookmarkEnd w:id="26"/>
      <w:bookmarkEnd w:id="27"/>
    </w:p>
    <w:bookmarkEnd w:id="28"/>
    <w:p w14:paraId="000137B5">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29" w:name="_Toc3811"/>
      <w:bookmarkStart w:id="30" w:name="_Toc16584"/>
      <w:bookmarkStart w:id="31" w:name="_Toc145067542"/>
      <w:bookmarkStart w:id="32" w:name="_Toc88646720"/>
      <w:bookmarkStart w:id="33" w:name="_Toc144646644"/>
      <w:bookmarkStart w:id="34" w:name="_Toc3210"/>
      <w:bookmarkStart w:id="35" w:name="_Toc88638735"/>
      <w:bookmarkStart w:id="36" w:name="_Toc9329733"/>
      <w:bookmarkStart w:id="37" w:name="_Hlk66894590"/>
      <w:r>
        <w:rPr>
          <w:rFonts w:hint="eastAsia" w:ascii="仿宋" w:hAnsi="仿宋" w:eastAsia="仿宋" w:cs="仿宋"/>
          <w:color w:val="auto"/>
          <w:sz w:val="21"/>
          <w:szCs w:val="21"/>
          <w:highlight w:val="none"/>
          <w:lang w:eastAsia="zh-CN"/>
        </w:rPr>
        <w:t>项目概况</w:t>
      </w:r>
      <w:bookmarkEnd w:id="29"/>
      <w:bookmarkEnd w:id="30"/>
      <w:bookmarkEnd w:id="31"/>
      <w:bookmarkEnd w:id="32"/>
      <w:bookmarkEnd w:id="33"/>
      <w:bookmarkEnd w:id="34"/>
      <w:bookmarkEnd w:id="35"/>
    </w:p>
    <w:p w14:paraId="48137C8D">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u w:val="none"/>
          <w:lang w:eastAsia="zh-CN"/>
        </w:rPr>
        <w:t>楚雄彝族自治州人民医院2026年肝胆外二科电子十二指肠镜系统采购项目（公立医院改革与高质量发展示范项目—肿瘤防治中心）</w:t>
      </w:r>
      <w:r>
        <w:rPr>
          <w:rFonts w:hint="eastAsia" w:ascii="仿宋" w:hAnsi="仿宋" w:eastAsia="仿宋" w:cs="仿宋"/>
          <w:color w:val="auto"/>
          <w:sz w:val="21"/>
          <w:szCs w:val="21"/>
          <w:highlight w:val="none"/>
          <w:lang w:eastAsia="zh-CN"/>
        </w:rPr>
        <w:t>的潜在</w:t>
      </w:r>
      <w:r>
        <w:rPr>
          <w:rFonts w:hint="eastAsia" w:ascii="仿宋" w:hAnsi="仿宋" w:eastAsia="仿宋" w:cs="仿宋"/>
          <w:color w:val="auto"/>
          <w:sz w:val="21"/>
          <w:szCs w:val="21"/>
          <w:highlight w:val="none"/>
          <w:lang w:val="en-US" w:eastAsia="zh-CN"/>
        </w:rPr>
        <w:t>投标人应在云南省政府采购电子交易平台（政采云https://www.zcygov.cn/）线上获取招标文件</w:t>
      </w:r>
      <w:r>
        <w:rPr>
          <w:rFonts w:hint="eastAsia" w:ascii="仿宋" w:hAnsi="仿宋" w:eastAsia="仿宋" w:cs="仿宋"/>
          <w:color w:val="auto"/>
          <w:sz w:val="21"/>
          <w:szCs w:val="21"/>
          <w:highlight w:val="none"/>
          <w:lang w:eastAsia="zh-CN"/>
        </w:rPr>
        <w:t>，并于</w:t>
      </w:r>
      <w:bookmarkStart w:id="38" w:name="_Hlk146221035"/>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6</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7</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8</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09</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u w:val="none"/>
          <w:lang w:eastAsia="zh-CN"/>
        </w:rPr>
        <w:t>分</w:t>
      </w:r>
      <w:bookmarkEnd w:id="38"/>
      <w:r>
        <w:rPr>
          <w:rFonts w:hint="eastAsia" w:ascii="仿宋" w:hAnsi="仿宋" w:eastAsia="仿宋" w:cs="仿宋"/>
          <w:color w:val="auto"/>
          <w:sz w:val="21"/>
          <w:szCs w:val="21"/>
          <w:highlight w:val="none"/>
          <w:lang w:eastAsia="zh-CN"/>
        </w:rPr>
        <w:t>（北京时间）前递交投标文件。</w:t>
      </w:r>
    </w:p>
    <w:p w14:paraId="503382A0">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39" w:name="_Toc88646721"/>
      <w:bookmarkStart w:id="40" w:name="_Toc25290"/>
      <w:bookmarkStart w:id="41" w:name="_Toc17484"/>
      <w:bookmarkStart w:id="42" w:name="_Toc88638737"/>
      <w:bookmarkStart w:id="43" w:name="_Toc24498"/>
      <w:bookmarkStart w:id="44" w:name="_Toc145067543"/>
      <w:r>
        <w:rPr>
          <w:rFonts w:hint="eastAsia" w:ascii="仿宋" w:hAnsi="仿宋" w:eastAsia="仿宋" w:cs="仿宋"/>
          <w:color w:val="auto"/>
          <w:sz w:val="21"/>
          <w:szCs w:val="21"/>
          <w:highlight w:val="none"/>
          <w:lang w:eastAsia="zh-CN"/>
        </w:rPr>
        <w:t>一</w:t>
      </w:r>
      <w:bookmarkEnd w:id="36"/>
      <w:r>
        <w:rPr>
          <w:rFonts w:hint="eastAsia" w:ascii="仿宋" w:hAnsi="仿宋" w:eastAsia="仿宋" w:cs="仿宋"/>
          <w:color w:val="auto"/>
          <w:sz w:val="21"/>
          <w:szCs w:val="21"/>
          <w:highlight w:val="none"/>
          <w:lang w:eastAsia="zh-CN"/>
        </w:rPr>
        <w:t>、项目基本情况</w:t>
      </w:r>
      <w:bookmarkEnd w:id="39"/>
      <w:bookmarkEnd w:id="40"/>
      <w:bookmarkEnd w:id="41"/>
      <w:bookmarkEnd w:id="42"/>
      <w:bookmarkEnd w:id="43"/>
      <w:bookmarkEnd w:id="44"/>
    </w:p>
    <w:p w14:paraId="3CE70E9B">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1.项目编号：CXZC2026-G1-00364-YNTH-0005；</w:t>
      </w:r>
    </w:p>
    <w:p w14:paraId="0DDC8FDB">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2.项目名称：</w:t>
      </w:r>
      <w:r>
        <w:rPr>
          <w:rFonts w:hint="eastAsia" w:cs="仿宋"/>
          <w:color w:val="auto"/>
          <w:sz w:val="21"/>
          <w:szCs w:val="21"/>
          <w:highlight w:val="none"/>
          <w:lang w:eastAsia="zh-CN"/>
        </w:rPr>
        <w:t>楚雄彝族自治州人民医院2026年肝胆外二科电子十二指肠镜系统采购项目（公立医院改革与高质量发展示范项目—肿瘤防治中心）</w:t>
      </w:r>
      <w:r>
        <w:rPr>
          <w:rFonts w:hint="eastAsia" w:ascii="仿宋" w:hAnsi="仿宋" w:eastAsia="仿宋" w:cs="仿宋"/>
          <w:color w:val="auto"/>
          <w:sz w:val="21"/>
          <w:szCs w:val="21"/>
          <w:highlight w:val="none"/>
          <w:lang w:val="en-US" w:eastAsia="zh-CN"/>
        </w:rPr>
        <w:t>；</w:t>
      </w:r>
    </w:p>
    <w:p w14:paraId="69D22788">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3.预算金额</w:t>
      </w:r>
      <w:r>
        <w:rPr>
          <w:rFonts w:hint="eastAsia" w:cs="仿宋"/>
          <w:color w:val="auto"/>
          <w:sz w:val="21"/>
          <w:szCs w:val="21"/>
          <w:highlight w:val="none"/>
          <w:lang w:eastAsia="zh-CN"/>
        </w:rPr>
        <w:t>（</w:t>
      </w:r>
      <w:r>
        <w:rPr>
          <w:rFonts w:hint="eastAsia" w:cs="仿宋"/>
          <w:color w:val="auto"/>
          <w:sz w:val="21"/>
          <w:szCs w:val="21"/>
          <w:highlight w:val="none"/>
          <w:lang w:val="en-US" w:eastAsia="zh-CN"/>
        </w:rPr>
        <w:t>万元</w:t>
      </w:r>
      <w:r>
        <w:rPr>
          <w:rFonts w:hint="eastAsia" w:cs="仿宋"/>
          <w:color w:val="auto"/>
          <w:sz w:val="21"/>
          <w:szCs w:val="21"/>
          <w:highlight w:val="none"/>
          <w:lang w:eastAsia="zh-CN"/>
        </w:rPr>
        <w:t>）</w:t>
      </w:r>
      <w:r>
        <w:rPr>
          <w:rFonts w:hint="eastAsia" w:ascii="仿宋" w:hAnsi="仿宋" w:eastAsia="仿宋" w:cs="仿宋"/>
          <w:color w:val="auto"/>
          <w:sz w:val="21"/>
          <w:szCs w:val="21"/>
          <w:highlight w:val="none"/>
          <w:lang w:eastAsia="zh-CN"/>
        </w:rPr>
        <w:t>：</w:t>
      </w:r>
      <w:r>
        <w:rPr>
          <w:rFonts w:hint="eastAsia" w:cs="仿宋"/>
          <w:color w:val="auto"/>
          <w:sz w:val="21"/>
          <w:szCs w:val="21"/>
          <w:highlight w:val="none"/>
          <w:lang w:val="en-US" w:eastAsia="zh-CN"/>
        </w:rPr>
        <w:t>88.00</w:t>
      </w:r>
      <w:r>
        <w:rPr>
          <w:rFonts w:hint="eastAsia" w:ascii="仿宋" w:hAnsi="仿宋" w:eastAsia="仿宋" w:cs="仿宋"/>
          <w:color w:val="auto"/>
          <w:sz w:val="21"/>
          <w:szCs w:val="21"/>
          <w:highlight w:val="none"/>
          <w:lang w:eastAsia="zh-CN"/>
        </w:rPr>
        <w:t>；</w:t>
      </w:r>
    </w:p>
    <w:p w14:paraId="1E48BE4A">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4.最高限价（万元）：88.00；</w:t>
      </w:r>
    </w:p>
    <w:p w14:paraId="31FAC1BE">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5.采购需求：</w:t>
      </w:r>
    </w:p>
    <w:tbl>
      <w:tblPr>
        <w:tblStyle w:val="17"/>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762"/>
        <w:gridCol w:w="695"/>
        <w:gridCol w:w="675"/>
        <w:gridCol w:w="1700"/>
        <w:gridCol w:w="1075"/>
        <w:gridCol w:w="1113"/>
        <w:gridCol w:w="1063"/>
      </w:tblGrid>
      <w:tr w14:paraId="2734D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noWrap w:val="0"/>
            <w:vAlign w:val="center"/>
          </w:tcPr>
          <w:p w14:paraId="3A5E686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标项</w:t>
            </w:r>
          </w:p>
        </w:tc>
        <w:tc>
          <w:tcPr>
            <w:tcW w:w="2762" w:type="dxa"/>
            <w:noWrap w:val="0"/>
            <w:vAlign w:val="center"/>
          </w:tcPr>
          <w:p w14:paraId="17458E5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产品名称</w:t>
            </w:r>
          </w:p>
        </w:tc>
        <w:tc>
          <w:tcPr>
            <w:tcW w:w="695" w:type="dxa"/>
            <w:noWrap w:val="0"/>
            <w:vAlign w:val="center"/>
          </w:tcPr>
          <w:p w14:paraId="7EC3E8F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数量</w:t>
            </w:r>
          </w:p>
        </w:tc>
        <w:tc>
          <w:tcPr>
            <w:tcW w:w="675" w:type="dxa"/>
            <w:noWrap w:val="0"/>
            <w:vAlign w:val="center"/>
          </w:tcPr>
          <w:p w14:paraId="3ACE897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计量</w:t>
            </w:r>
          </w:p>
          <w:p w14:paraId="3700100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单位</w:t>
            </w:r>
          </w:p>
        </w:tc>
        <w:tc>
          <w:tcPr>
            <w:tcW w:w="1700" w:type="dxa"/>
            <w:noWrap w:val="0"/>
            <w:vAlign w:val="center"/>
          </w:tcPr>
          <w:p w14:paraId="3C17E12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简要需求或要求</w:t>
            </w:r>
          </w:p>
        </w:tc>
        <w:tc>
          <w:tcPr>
            <w:tcW w:w="1075" w:type="dxa"/>
            <w:noWrap w:val="0"/>
            <w:vAlign w:val="center"/>
          </w:tcPr>
          <w:p w14:paraId="1462160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预算单价（万元）</w:t>
            </w:r>
          </w:p>
        </w:tc>
        <w:tc>
          <w:tcPr>
            <w:tcW w:w="1113" w:type="dxa"/>
            <w:noWrap w:val="0"/>
            <w:vAlign w:val="center"/>
          </w:tcPr>
          <w:p w14:paraId="2DC9633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预算总价</w:t>
            </w:r>
          </w:p>
          <w:p w14:paraId="10527E8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（万元）</w:t>
            </w:r>
          </w:p>
        </w:tc>
        <w:tc>
          <w:tcPr>
            <w:tcW w:w="1063" w:type="dxa"/>
            <w:noWrap w:val="0"/>
            <w:vAlign w:val="center"/>
          </w:tcPr>
          <w:p w14:paraId="099E2EA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是否接受进口产品</w:t>
            </w:r>
          </w:p>
        </w:tc>
      </w:tr>
      <w:tr w14:paraId="3A09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noWrap w:val="0"/>
            <w:vAlign w:val="center"/>
          </w:tcPr>
          <w:p w14:paraId="4BD6640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2762" w:type="dxa"/>
            <w:noWrap w:val="0"/>
            <w:vAlign w:val="center"/>
          </w:tcPr>
          <w:p w14:paraId="70A6846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电子十二指肠镜系统</w:t>
            </w:r>
          </w:p>
        </w:tc>
        <w:tc>
          <w:tcPr>
            <w:tcW w:w="695" w:type="dxa"/>
            <w:noWrap w:val="0"/>
            <w:vAlign w:val="center"/>
          </w:tcPr>
          <w:p w14:paraId="01905A6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675" w:type="dxa"/>
            <w:noWrap w:val="0"/>
            <w:vAlign w:val="center"/>
          </w:tcPr>
          <w:p w14:paraId="5531723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700" w:type="dxa"/>
            <w:noWrap w:val="0"/>
            <w:vAlign w:val="center"/>
          </w:tcPr>
          <w:p w14:paraId="772B54F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详见招标文件“第三章 采购需求及要求”</w:t>
            </w:r>
          </w:p>
        </w:tc>
        <w:tc>
          <w:tcPr>
            <w:tcW w:w="1075" w:type="dxa"/>
            <w:noWrap w:val="0"/>
            <w:vAlign w:val="center"/>
          </w:tcPr>
          <w:p w14:paraId="34D7DCA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88.00</w:t>
            </w:r>
          </w:p>
        </w:tc>
        <w:tc>
          <w:tcPr>
            <w:tcW w:w="1113" w:type="dxa"/>
            <w:noWrap w:val="0"/>
            <w:vAlign w:val="center"/>
          </w:tcPr>
          <w:p w14:paraId="640B6E1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88.00</w:t>
            </w:r>
          </w:p>
        </w:tc>
        <w:tc>
          <w:tcPr>
            <w:tcW w:w="1063" w:type="dxa"/>
            <w:noWrap w:val="0"/>
            <w:vAlign w:val="center"/>
          </w:tcPr>
          <w:p w14:paraId="7C3C7DD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bl>
    <w:p w14:paraId="480A62A2">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.合同履行期限：自合同生效之日起至合同全部权利义务履行完毕之日止；</w:t>
      </w:r>
    </w:p>
    <w:p w14:paraId="35B2B2AA">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45" w:name="_Toc27864"/>
      <w:bookmarkStart w:id="46" w:name="_Toc6993"/>
      <w:bookmarkStart w:id="47" w:name="_Toc13401"/>
      <w:bookmarkStart w:id="48" w:name="_Toc30169"/>
      <w:bookmarkStart w:id="49" w:name="_Toc30799"/>
      <w:bookmarkStart w:id="50" w:name="_Toc13622"/>
      <w:bookmarkStart w:id="51" w:name="_Toc3633"/>
      <w:bookmarkStart w:id="52" w:name="_Toc31239"/>
      <w:bookmarkStart w:id="53" w:name="_Toc21532"/>
      <w:bookmarkStart w:id="54" w:name="_Toc11531"/>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.本项目</w:t>
      </w:r>
      <w:r>
        <w:rPr>
          <w:rFonts w:hint="eastAsia" w:ascii="仿宋" w:hAnsi="仿宋" w:eastAsia="仿宋" w:cs="仿宋"/>
          <w:b/>
          <w:bCs/>
          <w:color w:val="auto"/>
          <w:sz w:val="21"/>
          <w:szCs w:val="21"/>
          <w:highlight w:val="none"/>
          <w:lang w:eastAsia="zh-CN"/>
        </w:rPr>
        <w:t>（否）</w:t>
      </w:r>
      <w:r>
        <w:rPr>
          <w:rFonts w:hint="eastAsia" w:ascii="仿宋" w:hAnsi="仿宋" w:eastAsia="仿宋" w:cs="仿宋"/>
          <w:color w:val="auto"/>
          <w:sz w:val="21"/>
          <w:szCs w:val="21"/>
          <w:highlight w:val="none"/>
          <w:lang w:eastAsia="zh-CN"/>
        </w:rPr>
        <w:t>接受联合体投标。</w:t>
      </w:r>
      <w:bookmarkEnd w:id="45"/>
      <w:bookmarkEnd w:id="46"/>
      <w:bookmarkEnd w:id="47"/>
      <w:bookmarkEnd w:id="48"/>
      <w:bookmarkEnd w:id="49"/>
      <w:bookmarkEnd w:id="50"/>
      <w:bookmarkEnd w:id="51"/>
      <w:bookmarkEnd w:id="52"/>
      <w:bookmarkEnd w:id="53"/>
      <w:bookmarkEnd w:id="54"/>
    </w:p>
    <w:p w14:paraId="09BB5631">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55" w:name="_Toc28445"/>
      <w:bookmarkStart w:id="56" w:name="_Toc88646722"/>
      <w:bookmarkStart w:id="57" w:name="_Toc4705"/>
      <w:bookmarkStart w:id="58" w:name="_Toc88638738"/>
      <w:bookmarkStart w:id="59" w:name="_Toc22213"/>
      <w:bookmarkStart w:id="60" w:name="_Toc145067544"/>
      <w:r>
        <w:rPr>
          <w:rFonts w:hint="eastAsia" w:ascii="仿宋" w:hAnsi="仿宋" w:eastAsia="仿宋" w:cs="仿宋"/>
          <w:color w:val="auto"/>
          <w:sz w:val="21"/>
          <w:szCs w:val="21"/>
          <w:highlight w:val="none"/>
          <w:lang w:eastAsia="zh-CN"/>
        </w:rPr>
        <w:t>二、申请人的资格要求</w:t>
      </w:r>
      <w:bookmarkEnd w:id="55"/>
      <w:bookmarkEnd w:id="56"/>
      <w:bookmarkEnd w:id="57"/>
      <w:bookmarkEnd w:id="58"/>
      <w:bookmarkEnd w:id="59"/>
      <w:bookmarkEnd w:id="60"/>
    </w:p>
    <w:p w14:paraId="6DC81F98">
      <w:pPr>
        <w:pStyle w:val="7"/>
        <w:keepNext w:val="0"/>
        <w:keepLines w:val="0"/>
        <w:pageBreakBefore w:val="0"/>
        <w:widowControl w:val="0"/>
        <w:tabs>
          <w:tab w:val="left" w:pos="2412"/>
        </w:tabs>
        <w:kinsoku/>
        <w:wordWrap w:val="0"/>
        <w:overflowPunct/>
        <w:topLinePunct/>
        <w:autoSpaceDE/>
        <w:autoSpaceDN/>
        <w:bidi w:val="0"/>
        <w:adjustRightInd/>
        <w:snapToGrid/>
        <w:spacing w:line="360" w:lineRule="exact"/>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61" w:name="_Toc12895"/>
      <w:bookmarkStart w:id="62" w:name="_Toc27552"/>
      <w:bookmarkStart w:id="63" w:name="_Toc18413"/>
      <w:bookmarkStart w:id="64" w:name="_Toc3268"/>
      <w:bookmarkStart w:id="65" w:name="_Toc7349"/>
      <w:bookmarkStart w:id="66" w:name="_Toc16725"/>
      <w:bookmarkStart w:id="67" w:name="_Toc4717"/>
      <w:bookmarkStart w:id="68" w:name="_Toc18326"/>
      <w:bookmarkStart w:id="69" w:name="_Toc19533"/>
      <w:bookmarkStart w:id="70" w:name="_Toc3038"/>
      <w:bookmarkStart w:id="71" w:name="_Toc7073"/>
      <w:bookmarkStart w:id="72" w:name="_Toc11436"/>
      <w:bookmarkStart w:id="73" w:name="_Toc11633"/>
      <w:bookmarkStart w:id="74" w:name="_Toc27003"/>
      <w:bookmarkStart w:id="75" w:name="_Toc22018"/>
      <w:bookmarkStart w:id="76" w:name="_Toc13679"/>
      <w:bookmarkStart w:id="77" w:name="_Toc32482"/>
      <w:bookmarkStart w:id="78" w:name="_Toc6293"/>
      <w:bookmarkStart w:id="79" w:name="_Toc1678"/>
      <w:bookmarkStart w:id="80" w:name="_Toc30773"/>
      <w:bookmarkStart w:id="81" w:name="_Toc21500"/>
      <w:bookmarkStart w:id="82" w:name="_Toc3720"/>
      <w:bookmarkStart w:id="83" w:name="_Toc28501"/>
      <w:bookmarkStart w:id="84" w:name="_Toc4523"/>
      <w:bookmarkStart w:id="85" w:name="_Toc12260"/>
      <w:bookmarkStart w:id="86" w:name="_Toc23258"/>
      <w:bookmarkStart w:id="87" w:name="_Toc20770"/>
      <w:bookmarkStart w:id="88" w:name="_Toc525"/>
      <w:bookmarkStart w:id="89" w:name="_Toc19792"/>
      <w:bookmarkStart w:id="90" w:name="_Toc20588"/>
      <w:bookmarkStart w:id="91" w:name="_Toc27648"/>
      <w:bookmarkStart w:id="92" w:name="_Toc21596"/>
      <w:bookmarkStart w:id="93" w:name="_Toc13026"/>
      <w:bookmarkStart w:id="94" w:name="_Toc2450"/>
      <w:r>
        <w:rPr>
          <w:rFonts w:hint="eastAsia" w:ascii="仿宋" w:hAnsi="仿宋" w:eastAsia="仿宋" w:cs="仿宋"/>
          <w:b w:val="0"/>
          <w:bCs w:val="0"/>
          <w:color w:val="auto"/>
          <w:sz w:val="21"/>
          <w:szCs w:val="21"/>
          <w:highlight w:val="none"/>
          <w:lang w:eastAsia="zh-CN"/>
        </w:rPr>
        <w:t>1.满足《中华人民共和国政府采购法》第二十二条规定；</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Start w:id="95" w:name="_Toc21835"/>
      <w:bookmarkStart w:id="96" w:name="_Toc18951"/>
      <w:bookmarkStart w:id="97" w:name="_Toc8275"/>
      <w:bookmarkStart w:id="98" w:name="_Toc20673"/>
      <w:bookmarkStart w:id="99" w:name="_Toc10628"/>
      <w:bookmarkStart w:id="100" w:name="_Toc26864"/>
      <w:bookmarkStart w:id="101" w:name="_Toc568"/>
      <w:bookmarkStart w:id="102" w:name="_Toc7143"/>
    </w:p>
    <w:p w14:paraId="488230F2">
      <w:pPr>
        <w:pStyle w:val="7"/>
        <w:keepNext w:val="0"/>
        <w:keepLines w:val="0"/>
        <w:pageBreakBefore w:val="0"/>
        <w:widowControl w:val="0"/>
        <w:tabs>
          <w:tab w:val="left" w:pos="2412"/>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eastAsia="zh-CN"/>
        </w:rPr>
      </w:pPr>
      <w:bookmarkStart w:id="103" w:name="_Toc11050"/>
      <w:bookmarkStart w:id="104" w:name="_Toc5617"/>
      <w:bookmarkStart w:id="105" w:name="_Toc14096"/>
      <w:bookmarkStart w:id="106" w:name="_Toc4631"/>
      <w:bookmarkStart w:id="107" w:name="_Toc25972"/>
      <w:bookmarkStart w:id="108" w:name="_Toc22456"/>
      <w:bookmarkStart w:id="109" w:name="_Toc1855"/>
      <w:bookmarkStart w:id="110" w:name="_Toc24495"/>
      <w:bookmarkStart w:id="111" w:name="_Toc19813"/>
      <w:bookmarkStart w:id="112" w:name="_Toc22475"/>
      <w:bookmarkStart w:id="113" w:name="_Toc1443"/>
      <w:bookmarkStart w:id="114" w:name="_Toc15381"/>
      <w:bookmarkStart w:id="115" w:name="_Toc20300"/>
      <w:bookmarkStart w:id="116" w:name="_Toc16652"/>
      <w:bookmarkStart w:id="117" w:name="_Toc31284"/>
      <w:bookmarkStart w:id="118" w:name="_Toc9407"/>
      <w:bookmarkStart w:id="119" w:name="_Toc28179"/>
      <w:bookmarkStart w:id="120" w:name="_Toc168"/>
      <w:bookmarkStart w:id="121" w:name="_Toc11026"/>
      <w:bookmarkStart w:id="122" w:name="_Toc2818"/>
      <w:bookmarkStart w:id="123" w:name="_Toc4693"/>
      <w:bookmarkStart w:id="124" w:name="_Toc19263"/>
      <w:bookmarkStart w:id="125" w:name="_Toc29269"/>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.落实政府采购政策需满足的资格要求：</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仿宋" w:hAnsi="仿宋" w:eastAsia="仿宋" w:cs="仿宋"/>
          <w:b w:val="0"/>
          <w:bCs w:val="0"/>
          <w:color w:val="auto"/>
          <w:sz w:val="21"/>
          <w:szCs w:val="21"/>
          <w:highlight w:val="none"/>
          <w:lang w:eastAsia="zh-CN"/>
        </w:rPr>
        <w:t>本项目</w:t>
      </w:r>
      <w:r>
        <w:rPr>
          <w:rFonts w:hint="eastAsia" w:ascii="仿宋" w:hAnsi="仿宋" w:eastAsia="仿宋" w:cs="仿宋"/>
          <w:b/>
          <w:bCs/>
          <w:i w:val="0"/>
          <w:iCs w:val="0"/>
          <w:color w:val="auto"/>
          <w:sz w:val="21"/>
          <w:szCs w:val="21"/>
          <w:highlight w:val="none"/>
          <w:u w:val="none"/>
          <w:lang w:eastAsia="zh-CN"/>
        </w:rPr>
        <w:t>（不属于）</w:t>
      </w:r>
      <w:r>
        <w:rPr>
          <w:rFonts w:hint="eastAsia" w:ascii="仿宋" w:hAnsi="仿宋" w:eastAsia="仿宋" w:cs="仿宋"/>
          <w:b w:val="0"/>
          <w:bCs w:val="0"/>
          <w:color w:val="auto"/>
          <w:sz w:val="21"/>
          <w:szCs w:val="21"/>
          <w:highlight w:val="none"/>
          <w:lang w:eastAsia="zh-CN"/>
        </w:rPr>
        <w:t xml:space="preserve">专门面向中小企业采购的项目。 </w:t>
      </w:r>
    </w:p>
    <w:p w14:paraId="48B0F4DB">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val="0"/>
          <w:color w:val="auto"/>
          <w:sz w:val="21"/>
          <w:szCs w:val="21"/>
          <w:highlight w:val="none"/>
          <w:lang w:eastAsia="zh-CN"/>
        </w:rPr>
      </w:pPr>
      <w:bookmarkStart w:id="126" w:name="_Toc17970"/>
      <w:bookmarkStart w:id="127" w:name="_Toc28915"/>
      <w:bookmarkStart w:id="128" w:name="_Toc23913"/>
      <w:bookmarkStart w:id="129" w:name="_Toc2461"/>
      <w:bookmarkStart w:id="130" w:name="_Toc15921"/>
      <w:bookmarkStart w:id="131" w:name="_Toc28890"/>
      <w:bookmarkStart w:id="132" w:name="_Toc8016"/>
      <w:bookmarkStart w:id="133" w:name="_Toc1089"/>
      <w:bookmarkStart w:id="134" w:name="_Toc162"/>
      <w:bookmarkStart w:id="135" w:name="_Toc26630"/>
      <w:bookmarkStart w:id="136" w:name="_Toc19915"/>
      <w:bookmarkStart w:id="137" w:name="_Toc15686"/>
      <w:bookmarkStart w:id="138" w:name="_Toc13138"/>
      <w:bookmarkStart w:id="139" w:name="_Toc18699"/>
      <w:bookmarkStart w:id="140" w:name="_Toc25518"/>
      <w:bookmarkStart w:id="141" w:name="_Toc24946"/>
      <w:bookmarkStart w:id="142" w:name="_Toc16609"/>
      <w:bookmarkStart w:id="143" w:name="_Toc9787"/>
      <w:bookmarkStart w:id="144" w:name="_Toc575"/>
      <w:bookmarkStart w:id="145" w:name="_Toc30118"/>
      <w:bookmarkStart w:id="146" w:name="_Toc19225"/>
      <w:bookmarkStart w:id="147" w:name="_Toc16706"/>
      <w:bookmarkStart w:id="148" w:name="_Toc12116"/>
      <w:bookmarkStart w:id="149" w:name="_Toc30599"/>
      <w:bookmarkStart w:id="150" w:name="_Toc6423"/>
      <w:bookmarkStart w:id="151" w:name="_Toc16668"/>
      <w:bookmarkStart w:id="152" w:name="_Toc19103"/>
      <w:bookmarkStart w:id="153" w:name="_Toc9689"/>
      <w:bookmarkStart w:id="154" w:name="_Toc16739"/>
      <w:bookmarkStart w:id="155" w:name="_Toc20720"/>
      <w:bookmarkStart w:id="156" w:name="_Toc1066"/>
      <w:bookmarkStart w:id="157" w:name="_Toc25407"/>
      <w:bookmarkStart w:id="158" w:name="_Toc8165"/>
      <w:bookmarkStart w:id="159" w:name="_Toc18135"/>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.本项目的特定资格要求：</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Start w:id="160" w:name="OLE_LINK6"/>
    </w:p>
    <w:bookmarkEnd w:id="160"/>
    <w:p w14:paraId="742783C6">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bookmarkStart w:id="161" w:name="_Toc145067545"/>
      <w:bookmarkStart w:id="162" w:name="_Toc19391"/>
      <w:bookmarkStart w:id="163" w:name="_Toc88646723"/>
      <w:bookmarkStart w:id="164" w:name="_Toc88638742"/>
      <w:bookmarkStart w:id="165" w:name="_Toc32718"/>
      <w:bookmarkStart w:id="166" w:name="_Toc2684"/>
      <w:r>
        <w:rPr>
          <w:rFonts w:hint="eastAsia" w:cs="仿宋"/>
          <w:b w:val="0"/>
          <w:bCs/>
          <w:snapToGrid w:val="0"/>
          <w:color w:val="auto"/>
          <w:sz w:val="21"/>
          <w:szCs w:val="21"/>
          <w:highlight w:val="none"/>
          <w:lang w:val="en-US" w:eastAsia="zh-CN" w:bidi="ar-SA"/>
        </w:rPr>
        <w:t>（1）投标人如果是代理商或经销商且所投产品为医疗器械的须提供</w:t>
      </w:r>
      <w:r>
        <w:rPr>
          <w:rFonts w:hint="eastAsia" w:ascii="仿宋" w:hAnsi="仿宋" w:eastAsia="仿宋" w:cs="仿宋"/>
          <w:b w:val="0"/>
          <w:bCs/>
          <w:snapToGrid w:val="0"/>
          <w:color w:val="auto"/>
          <w:sz w:val="21"/>
          <w:szCs w:val="21"/>
          <w:highlight w:val="none"/>
          <w:lang w:val="en-US" w:eastAsia="zh-CN" w:bidi="ar-SA"/>
        </w:rPr>
        <w:t>：</w:t>
      </w:r>
    </w:p>
    <w:p w14:paraId="2007F532">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①有效的医疗器械经营许可证(或备案证明)；</w:t>
      </w:r>
    </w:p>
    <w:p w14:paraId="6F856847">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②所投产品医疗器械生产许可证(或备案证明)(制造商工商注册地在中华人民共和国境外的，不做此要求)；</w:t>
      </w:r>
    </w:p>
    <w:p w14:paraId="57E2AA8F">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③所投产品为一类医疗器械的，提供有效的一类医疗器械的备案凭证(或备案信息)，如有变更的必须提供有效的变更证明文件；</w:t>
      </w:r>
    </w:p>
    <w:p w14:paraId="7EBC0AAF">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72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4"/>
          <w:szCs w:val="24"/>
          <w:highlight w:val="none"/>
          <w:lang w:val="en-US" w:eastAsia="zh-CN" w:bidi="ar-SA"/>
        </w:rPr>
        <w:t>④</w:t>
      </w:r>
      <w:r>
        <w:rPr>
          <w:rFonts w:hint="eastAsia" w:ascii="仿宋" w:hAnsi="仿宋" w:eastAsia="仿宋" w:cs="仿宋"/>
          <w:b w:val="0"/>
          <w:bCs/>
          <w:snapToGrid w:val="0"/>
          <w:color w:val="auto"/>
          <w:sz w:val="21"/>
          <w:szCs w:val="21"/>
          <w:highlight w:val="none"/>
          <w:lang w:val="en-US" w:eastAsia="zh-CN" w:bidi="ar-SA"/>
        </w:rPr>
        <w:t>所投产品为二类(或三类)医疗器械的，提供有效的二类(或三类)医疗器械注册证，如有变更的必须提供有效的变更证明文件；</w:t>
      </w:r>
    </w:p>
    <w:p w14:paraId="5002ED3C">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cs="仿宋"/>
          <w:b w:val="0"/>
          <w:bCs/>
          <w:snapToGrid w:val="0"/>
          <w:color w:val="auto"/>
          <w:sz w:val="21"/>
          <w:szCs w:val="21"/>
          <w:highlight w:val="none"/>
          <w:lang w:val="en-US" w:eastAsia="zh-CN" w:bidi="ar-SA"/>
        </w:rPr>
        <w:t>（2）</w:t>
      </w:r>
      <w:r>
        <w:rPr>
          <w:rFonts w:hint="eastAsia" w:ascii="仿宋" w:hAnsi="仿宋" w:eastAsia="仿宋" w:cs="仿宋"/>
          <w:b w:val="0"/>
          <w:bCs/>
          <w:snapToGrid w:val="0"/>
          <w:color w:val="auto"/>
          <w:sz w:val="21"/>
          <w:szCs w:val="21"/>
          <w:highlight w:val="none"/>
          <w:lang w:val="en-US" w:eastAsia="zh-CN" w:bidi="ar-SA"/>
        </w:rPr>
        <w:t>投标人如果是制造商且所投产品为医疗器械的须提供：</w:t>
      </w:r>
    </w:p>
    <w:p w14:paraId="6C447882">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①有效的医疗器械生产许可证(或备案证明)(制造商工商注册地在中华人民共和国境外的，不做此要求)；</w:t>
      </w:r>
    </w:p>
    <w:p w14:paraId="40D887F1">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②所投产品为一类医疗器械的，提供有效的一类医疗器械的备案凭证(或备案信息)，如有变更的必须提供有效的变更证明文件；</w:t>
      </w:r>
    </w:p>
    <w:p w14:paraId="0FCF98B0">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③所投产品为二类(或三类)医疗器械的，提供有效的二类(或三类)医疗器械注册证，如有变更的必须提供有效的变更证明文件；</w:t>
      </w:r>
      <w:bookmarkStart w:id="1846" w:name="_GoBack"/>
      <w:bookmarkEnd w:id="1846"/>
    </w:p>
    <w:p w14:paraId="7731299F">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cs="仿宋"/>
          <w:b w:val="0"/>
          <w:bCs/>
          <w:snapToGrid w:val="0"/>
          <w:color w:val="auto"/>
          <w:sz w:val="21"/>
          <w:szCs w:val="21"/>
          <w:highlight w:val="none"/>
          <w:lang w:val="en-US" w:eastAsia="zh-CN" w:bidi="ar-SA"/>
        </w:rPr>
        <w:t>注：</w:t>
      </w:r>
      <w:r>
        <w:rPr>
          <w:rFonts w:hint="eastAsia" w:ascii="仿宋" w:hAnsi="仿宋" w:eastAsia="仿宋" w:cs="仿宋"/>
          <w:b w:val="0"/>
          <w:bCs/>
          <w:snapToGrid w:val="0"/>
          <w:color w:val="auto"/>
          <w:sz w:val="21"/>
          <w:szCs w:val="21"/>
          <w:highlight w:val="none"/>
          <w:lang w:val="en-US" w:eastAsia="zh-CN" w:bidi="ar-SA"/>
        </w:rPr>
        <w:t>所投产品不属于医疗器械，不用提供任何证明材料。</w:t>
      </w:r>
    </w:p>
    <w:p w14:paraId="514F308E">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三、获取</w:t>
      </w:r>
      <w:bookmarkEnd w:id="161"/>
      <w:bookmarkEnd w:id="162"/>
      <w:bookmarkEnd w:id="163"/>
      <w:bookmarkEnd w:id="164"/>
      <w:r>
        <w:rPr>
          <w:rFonts w:hint="eastAsia" w:ascii="仿宋" w:hAnsi="仿宋" w:eastAsia="仿宋" w:cs="仿宋"/>
          <w:color w:val="auto"/>
          <w:sz w:val="21"/>
          <w:szCs w:val="21"/>
          <w:highlight w:val="none"/>
          <w:lang w:eastAsia="zh-CN"/>
        </w:rPr>
        <w:t>招标文件</w:t>
      </w:r>
      <w:bookmarkEnd w:id="165"/>
      <w:bookmarkEnd w:id="166"/>
    </w:p>
    <w:bookmarkEnd w:id="37"/>
    <w:p w14:paraId="3A9EA7EF">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1.时间：</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b w:val="0"/>
          <w:bCs w:val="0"/>
          <w:color w:val="auto"/>
          <w:sz w:val="21"/>
          <w:szCs w:val="21"/>
          <w:highlight w:val="none"/>
          <w:u w:val="single"/>
          <w:lang w:val="en-US" w:eastAsia="zh-CN"/>
        </w:rPr>
        <w:t xml:space="preserve">6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6</w:t>
      </w:r>
      <w:r>
        <w:rPr>
          <w:rFonts w:hint="eastAsia" w:ascii="仿宋" w:hAnsi="仿宋" w:eastAsia="仿宋" w:cs="仿宋"/>
          <w:color w:val="auto"/>
          <w:sz w:val="21"/>
          <w:szCs w:val="21"/>
          <w:highlight w:val="none"/>
          <w:u w:val="none"/>
          <w:lang w:val="en-US" w:eastAsia="zh-CN"/>
        </w:rPr>
        <w:t>月</w:t>
      </w:r>
      <w:r>
        <w:rPr>
          <w:rFonts w:hint="eastAsia" w:cs="仿宋"/>
          <w:b w:val="0"/>
          <w:bCs w:val="0"/>
          <w:color w:val="auto"/>
          <w:sz w:val="21"/>
          <w:szCs w:val="21"/>
          <w:highlight w:val="none"/>
          <w:u w:val="single"/>
          <w:lang w:val="en-US" w:eastAsia="zh-CN"/>
        </w:rPr>
        <w:t>16</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u w:val="single"/>
          <w:lang w:eastAsia="zh-CN"/>
        </w:rPr>
        <w:t>06</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u w:val="single"/>
          <w:lang w:eastAsia="zh-CN"/>
        </w:rPr>
        <w:t>00</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至</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6</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6</w:t>
      </w:r>
      <w:r>
        <w:rPr>
          <w:rFonts w:hint="eastAsia" w:ascii="仿宋" w:hAnsi="仿宋" w:eastAsia="仿宋" w:cs="仿宋"/>
          <w:color w:val="auto"/>
          <w:sz w:val="21"/>
          <w:szCs w:val="21"/>
          <w:highlight w:val="none"/>
          <w:lang w:val="en-US" w:eastAsia="zh-CN"/>
        </w:rPr>
        <w:t>月</w:t>
      </w:r>
      <w:r>
        <w:rPr>
          <w:rFonts w:hint="eastAsia" w:cs="仿宋"/>
          <w:b w:val="0"/>
          <w:bCs w:val="0"/>
          <w:color w:val="auto"/>
          <w:sz w:val="21"/>
          <w:szCs w:val="21"/>
          <w:highlight w:val="none"/>
          <w:u w:val="single"/>
          <w:lang w:val="en-US" w:eastAsia="zh-CN"/>
        </w:rPr>
        <w:t>24</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u w:val="single"/>
          <w:lang w:eastAsia="zh-CN"/>
        </w:rPr>
        <w:t>23</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u w:val="single"/>
          <w:lang w:eastAsia="zh-CN"/>
        </w:rPr>
        <w:t>59</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，每天上午06:00至12:00，下午12:00至23:59（北京时间，法定节假日除外）。</w:t>
      </w:r>
    </w:p>
    <w:p w14:paraId="5FDCD945">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r>
        <w:rPr>
          <w:rFonts w:hint="eastAsia" w:ascii="仿宋" w:hAnsi="仿宋" w:eastAsia="仿宋" w:cs="仿宋"/>
          <w:color w:val="auto"/>
          <w:sz w:val="21"/>
          <w:szCs w:val="21"/>
          <w:highlight w:val="none"/>
          <w:lang w:val="en-US" w:eastAsia="zh-CN"/>
        </w:rPr>
        <w:t>云南省政府采购电子交易平台（政采云https://www.zcygov.cn/）线上获取</w:t>
      </w:r>
      <w:r>
        <w:rPr>
          <w:rFonts w:hint="eastAsia" w:ascii="仿宋" w:hAnsi="仿宋" w:eastAsia="仿宋" w:cs="仿宋"/>
          <w:color w:val="auto"/>
          <w:sz w:val="21"/>
          <w:szCs w:val="21"/>
          <w:highlight w:val="none"/>
          <w:lang w:eastAsia="zh-CN"/>
        </w:rPr>
        <w:t>。</w:t>
      </w:r>
    </w:p>
    <w:p w14:paraId="79377549">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3.方式：</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凡有意参加投标者，须在政采云平台办理数字证书（CA），并在政采云绑定数字证书（CA）后线上获取招标文件及其他采购资料。CA申领链接：https://middle.zcygov.cn/ca/apply/list?_app_=zcy.sys，CA申领后需</w:t>
      </w:r>
      <w:r>
        <w:rPr>
          <w:rFonts w:hint="eastAsia" w:cs="仿宋"/>
          <w:color w:val="auto"/>
          <w:sz w:val="21"/>
          <w:szCs w:val="21"/>
          <w:highlight w:val="none"/>
          <w:lang w:val="en-US" w:eastAsia="zh-CN"/>
        </w:rPr>
        <w:t>登录</w:t>
      </w:r>
      <w:r>
        <w:rPr>
          <w:rFonts w:hint="eastAsia" w:ascii="仿宋" w:hAnsi="仿宋" w:eastAsia="仿宋" w:cs="仿宋"/>
          <w:color w:val="auto"/>
          <w:sz w:val="21"/>
          <w:szCs w:val="21"/>
          <w:highlight w:val="none"/>
          <w:lang w:eastAsia="zh-CN"/>
        </w:rPr>
        <w:t>政采云平台完成数字证书（CA）绑定才可以使用，数字证书（CA）详见其办理流程。（</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）按上述要求获取文件的</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lang w:eastAsia="zh-CN"/>
        </w:rPr>
        <w:t>视为合法获取了本项目招标文件，具备本项目的投标资格。</w:t>
      </w:r>
    </w:p>
    <w:p w14:paraId="6D2B5688">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67" w:name="_Toc7684"/>
      <w:bookmarkStart w:id="168" w:name="_Toc8739"/>
      <w:bookmarkStart w:id="169" w:name="_Toc11065"/>
      <w:bookmarkStart w:id="170" w:name="_Toc24443"/>
      <w:bookmarkStart w:id="171" w:name="_Toc15378"/>
      <w:bookmarkStart w:id="172" w:name="_Toc17290"/>
      <w:bookmarkStart w:id="173" w:name="_Toc25968"/>
      <w:bookmarkStart w:id="174" w:name="_Toc16301"/>
      <w:bookmarkStart w:id="175" w:name="_Toc3043"/>
      <w:bookmarkStart w:id="176" w:name="_Toc12123"/>
      <w:r>
        <w:rPr>
          <w:rFonts w:hint="eastAsia" w:ascii="仿宋" w:hAnsi="仿宋" w:eastAsia="仿宋" w:cs="仿宋"/>
          <w:color w:val="auto"/>
          <w:sz w:val="21"/>
          <w:szCs w:val="21"/>
          <w:highlight w:val="none"/>
          <w:lang w:eastAsia="zh-CN"/>
        </w:rPr>
        <w:t>4.售价：0.00元。</w:t>
      </w:r>
      <w:bookmarkEnd w:id="167"/>
      <w:bookmarkEnd w:id="168"/>
      <w:bookmarkEnd w:id="169"/>
      <w:bookmarkEnd w:id="170"/>
      <w:bookmarkEnd w:id="171"/>
      <w:bookmarkEnd w:id="172"/>
      <w:bookmarkEnd w:id="173"/>
      <w:bookmarkEnd w:id="174"/>
      <w:bookmarkEnd w:id="175"/>
      <w:bookmarkEnd w:id="176"/>
    </w:p>
    <w:p w14:paraId="3A40F325">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77" w:name="_Toc88638747"/>
      <w:bookmarkStart w:id="178" w:name="_Toc2364"/>
      <w:bookmarkStart w:id="179" w:name="_Toc145067546"/>
      <w:bookmarkStart w:id="180" w:name="_Toc88646724"/>
      <w:bookmarkStart w:id="181" w:name="_Toc16746"/>
      <w:bookmarkStart w:id="182" w:name="_Toc7549"/>
      <w:bookmarkStart w:id="183" w:name="_Toc9280"/>
      <w:bookmarkStart w:id="184" w:name="_Toc9161"/>
      <w:r>
        <w:rPr>
          <w:rFonts w:hint="eastAsia" w:ascii="仿宋" w:hAnsi="仿宋" w:eastAsia="仿宋" w:cs="仿宋"/>
          <w:color w:val="auto"/>
          <w:sz w:val="21"/>
          <w:szCs w:val="21"/>
          <w:highlight w:val="none"/>
          <w:lang w:eastAsia="zh-CN"/>
        </w:rPr>
        <w:t>四、提交投标文件截止时间、开标时间和地点</w:t>
      </w:r>
      <w:bookmarkEnd w:id="177"/>
      <w:bookmarkEnd w:id="178"/>
      <w:bookmarkEnd w:id="179"/>
      <w:bookmarkEnd w:id="180"/>
      <w:bookmarkEnd w:id="181"/>
      <w:bookmarkEnd w:id="182"/>
      <w:bookmarkEnd w:id="183"/>
      <w:bookmarkEnd w:id="184"/>
    </w:p>
    <w:p w14:paraId="3A217208">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185" w:name="_Toc88638749"/>
      <w:r>
        <w:rPr>
          <w:rFonts w:hint="eastAsia" w:ascii="仿宋" w:hAnsi="仿宋" w:eastAsia="仿宋" w:cs="仿宋"/>
          <w:color w:val="auto"/>
          <w:sz w:val="21"/>
          <w:szCs w:val="21"/>
          <w:highlight w:val="none"/>
          <w:lang w:eastAsia="zh-CN"/>
        </w:rPr>
        <w:t>1.投标文件递交的截止时间及开标时间：</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u w:val="none"/>
          <w:lang w:eastAsia="zh-CN"/>
        </w:rPr>
        <w:t>年</w:t>
      </w:r>
      <w:r>
        <w:rPr>
          <w:rFonts w:hint="eastAsia" w:cs="仿宋"/>
          <w:color w:val="auto"/>
          <w:sz w:val="21"/>
          <w:szCs w:val="21"/>
          <w:highlight w:val="none"/>
          <w:u w:val="single"/>
          <w:lang w:val="en-US" w:eastAsia="zh-CN"/>
        </w:rPr>
        <w:t>7</w:t>
      </w:r>
      <w:r>
        <w:rPr>
          <w:rFonts w:hint="eastAsia" w:ascii="仿宋" w:hAnsi="仿宋" w:eastAsia="仿宋" w:cs="仿宋"/>
          <w:color w:val="auto"/>
          <w:sz w:val="21"/>
          <w:szCs w:val="21"/>
          <w:highlight w:val="none"/>
          <w:u w:val="none"/>
          <w:lang w:val="en-US" w:eastAsia="zh-CN"/>
        </w:rPr>
        <w:t>月</w:t>
      </w:r>
      <w:r>
        <w:rPr>
          <w:rFonts w:hint="eastAsia" w:cs="仿宋"/>
          <w:color w:val="auto"/>
          <w:sz w:val="21"/>
          <w:szCs w:val="21"/>
          <w:highlight w:val="none"/>
          <w:u w:val="single"/>
          <w:lang w:val="en-US" w:eastAsia="zh-CN"/>
        </w:rPr>
        <w:t>8</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w:t>
      </w:r>
      <w:r>
        <w:rPr>
          <w:rFonts w:hint="eastAsia" w:cs="仿宋"/>
          <w:color w:val="auto"/>
          <w:sz w:val="21"/>
          <w:szCs w:val="21"/>
          <w:highlight w:val="none"/>
          <w:u w:val="single"/>
          <w:lang w:val="en-US" w:eastAsia="zh-CN"/>
        </w:rPr>
        <w:t>09</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w:t>
      </w:r>
      <w:r>
        <w:rPr>
          <w:rFonts w:hint="eastAsia" w:cs="仿宋"/>
          <w:color w:val="auto"/>
          <w:sz w:val="21"/>
          <w:szCs w:val="21"/>
          <w:highlight w:val="none"/>
          <w:u w:val="single"/>
          <w:lang w:val="en-US" w:eastAsia="zh-CN"/>
        </w:rPr>
        <w:t>00</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p>
    <w:p w14:paraId="54C97ABE">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bookmarkEnd w:id="185"/>
      <w:r>
        <w:rPr>
          <w:rFonts w:hint="eastAsia" w:ascii="仿宋" w:hAnsi="仿宋" w:eastAsia="仿宋" w:cs="仿宋"/>
          <w:color w:val="auto"/>
          <w:sz w:val="21"/>
          <w:szCs w:val="21"/>
          <w:highlight w:val="none"/>
          <w:lang w:eastAsia="zh-CN"/>
        </w:rPr>
        <w:t>请登录云南省政府采购电子交易平台（政采云）投标客户端投标。</w:t>
      </w:r>
    </w:p>
    <w:p w14:paraId="0370B2FB">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bookmarkStart w:id="186" w:name="_Toc89951815"/>
      <w:bookmarkStart w:id="187" w:name="_Toc145067547"/>
      <w:bookmarkStart w:id="188" w:name="_Toc8289"/>
      <w:bookmarkStart w:id="189" w:name="_Toc20150"/>
      <w:bookmarkStart w:id="190" w:name="_Toc843"/>
      <w:bookmarkStart w:id="191" w:name="_Toc24587"/>
      <w:bookmarkStart w:id="192" w:name="_Toc19357"/>
      <w:r>
        <w:rPr>
          <w:rFonts w:hint="eastAsia" w:ascii="仿宋" w:hAnsi="仿宋" w:eastAsia="仿宋" w:cs="仿宋"/>
          <w:color w:val="000000" w:themeColor="text1"/>
          <w:sz w:val="21"/>
          <w:szCs w:val="21"/>
          <w:highlight w:val="none"/>
          <w:lang w:eastAsia="zh-CN"/>
          <w14:textFill>
            <w14:solidFill>
              <w14:schemeClr w14:val="tx1"/>
            </w14:solidFill>
          </w14:textFill>
        </w:rPr>
        <w:t>五、公告期限</w:t>
      </w:r>
      <w:bookmarkEnd w:id="186"/>
      <w:bookmarkEnd w:id="187"/>
      <w:bookmarkEnd w:id="188"/>
      <w:bookmarkEnd w:id="189"/>
      <w:bookmarkEnd w:id="190"/>
      <w:bookmarkEnd w:id="191"/>
      <w:bookmarkEnd w:id="192"/>
    </w:p>
    <w:p w14:paraId="657127A7">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自本公告发布之日起5个工作日。</w:t>
      </w:r>
    </w:p>
    <w:p w14:paraId="4A0E6EFC">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193" w:name="_Toc20184"/>
      <w:bookmarkStart w:id="194" w:name="_Toc665"/>
      <w:bookmarkStart w:id="195" w:name="_Toc11766"/>
      <w:bookmarkStart w:id="196" w:name="_Toc11846"/>
      <w:bookmarkStart w:id="197" w:name="_Toc89951816"/>
      <w:bookmarkStart w:id="198" w:name="_Toc23745"/>
      <w:bookmarkStart w:id="199" w:name="_Toc145067548"/>
      <w:r>
        <w:rPr>
          <w:rFonts w:hint="eastAsia" w:ascii="仿宋" w:hAnsi="仿宋" w:eastAsia="仿宋" w:cs="仿宋"/>
          <w:color w:val="000000" w:themeColor="text1"/>
          <w:sz w:val="21"/>
          <w:szCs w:val="21"/>
          <w:highlight w:val="none"/>
          <w:lang w:val="en-US" w:eastAsia="zh-CN"/>
          <w14:textFill>
            <w14:solidFill>
              <w14:schemeClr w14:val="tx1"/>
            </w14:solidFill>
          </w14:textFill>
        </w:rPr>
        <w:t>六、其他补充事宜</w:t>
      </w:r>
      <w:bookmarkEnd w:id="193"/>
      <w:bookmarkEnd w:id="194"/>
      <w:bookmarkEnd w:id="195"/>
      <w:bookmarkEnd w:id="196"/>
    </w:p>
    <w:p w14:paraId="2B718072">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1.</w:t>
      </w:r>
      <w:r>
        <w:rPr>
          <w:rFonts w:hint="eastAsia" w:ascii="仿宋" w:hAnsi="仿宋" w:eastAsia="仿宋" w:cs="仿宋"/>
          <w:color w:val="000000" w:themeColor="text1"/>
          <w:sz w:val="21"/>
          <w:szCs w:val="21"/>
          <w:highlight w:val="none"/>
          <w:lang w:eastAsia="zh-CN"/>
          <w14:textFill>
            <w14:solidFill>
              <w14:schemeClr w14:val="tx1"/>
            </w14:solidFill>
          </w14:textFill>
        </w:rPr>
        <w:t>开标方式：网上开标；</w:t>
      </w:r>
    </w:p>
    <w:p w14:paraId="66EB869A">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2.</w:t>
      </w:r>
      <w:r>
        <w:rPr>
          <w:rFonts w:hint="eastAsia" w:ascii="仿宋" w:hAnsi="仿宋" w:eastAsia="仿宋" w:cs="仿宋"/>
          <w:bCs/>
          <w:color w:val="000000" w:themeColor="text1"/>
          <w:sz w:val="21"/>
          <w:szCs w:val="21"/>
          <w:highlight w:val="none"/>
          <w:lang w:bidi="ar"/>
          <w14:textFill>
            <w14:solidFill>
              <w14:schemeClr w14:val="tx1"/>
            </w14:solidFill>
          </w14:textFill>
        </w:rPr>
        <w:t>是否需要缴纳投标保证金：</w:t>
      </w:r>
      <w:r>
        <w:rPr>
          <w:rFonts w:hint="eastAsia" w:ascii="仿宋" w:hAnsi="仿宋" w:eastAsia="仿宋" w:cs="仿宋"/>
          <w:b w:val="0"/>
          <w:bCs/>
          <w:i w:val="0"/>
          <w:iCs w:val="0"/>
          <w:color w:val="000000" w:themeColor="text1"/>
          <w:sz w:val="21"/>
          <w:szCs w:val="21"/>
          <w:highlight w:val="none"/>
          <w:lang w:bidi="ar"/>
          <w14:textFill>
            <w14:solidFill>
              <w14:schemeClr w14:val="tx1"/>
            </w14:solidFill>
          </w14:textFill>
        </w:rPr>
        <w:t>是</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w:t>
      </w:r>
    </w:p>
    <w:p w14:paraId="0420AAB6">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楚雄彝族自治州人民医院2026年肝胆外二科电子十二指肠镜系统采购项目（公立医院改革与高质量发展示范项目—肿瘤防治中心）：</w:t>
      </w:r>
    </w:p>
    <w:p w14:paraId="4AEFADAF">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保证金金额：8800.00元；</w:t>
      </w:r>
    </w:p>
    <w:p w14:paraId="6AA71666">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bidi="ar"/>
          <w14:textFill>
            <w14:solidFill>
              <w14:schemeClr w14:val="tx1"/>
            </w14:solidFill>
          </w14:textFill>
        </w:rPr>
        <w:t>保证金缴纳方式：支票、汇票、本票、保函或者网银转账、电汇等形式</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，投标人可根据实际情况，选择保证金的缴纳方式；</w:t>
      </w:r>
    </w:p>
    <w:p w14:paraId="276B577F">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000000" w:themeColor="text1"/>
          <w:sz w:val="21"/>
          <w:szCs w:val="21"/>
          <w:highlight w:val="none"/>
          <w:lang w:bidi="ar"/>
          <w14:textFill>
            <w14:solidFill>
              <w14:schemeClr w14:val="tx1"/>
            </w14:solidFill>
          </w14:textFill>
        </w:rPr>
        <w:t>投标保证金缴纳截止时间：</w:t>
      </w:r>
      <w:r>
        <w:rPr>
          <w:rFonts w:hint="eastAsia" w:ascii="仿宋" w:hAnsi="仿宋" w:eastAsia="仿宋" w:cs="仿宋"/>
          <w:bCs/>
          <w:color w:val="auto"/>
          <w:sz w:val="21"/>
          <w:szCs w:val="21"/>
          <w:highlight w:val="none"/>
          <w:u w:val="single"/>
          <w:lang w:val="en-US" w:eastAsia="zh-CN" w:bidi="ar"/>
        </w:rPr>
        <w:t xml:space="preserve"> </w:t>
      </w:r>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7</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8</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09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r>
        <w:rPr>
          <w:rFonts w:hint="eastAsia" w:ascii="仿宋" w:hAnsi="仿宋" w:eastAsia="仿宋" w:cs="仿宋"/>
          <w:color w:val="auto"/>
          <w:sz w:val="21"/>
          <w:szCs w:val="21"/>
          <w:highlight w:val="none"/>
        </w:rPr>
        <w:t>。</w:t>
      </w:r>
    </w:p>
    <w:p w14:paraId="6DD4BDE4">
      <w:pPr>
        <w:keepNext w:val="0"/>
        <w:keepLines w:val="0"/>
        <w:pageBreakBefore w:val="0"/>
        <w:widowControl w:val="0"/>
        <w:numPr>
          <w:ilvl w:val="0"/>
          <w:numId w:val="0"/>
        </w:numPr>
        <w:kinsoku/>
        <w:wordWrap w:val="0"/>
        <w:overflowPunct/>
        <w:topLinePunct/>
        <w:autoSpaceDE/>
        <w:autoSpaceDN/>
        <w:bidi w:val="0"/>
        <w:adjustRightInd/>
        <w:snapToGrid/>
        <w:spacing w:line="36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200" w:name="_Toc14568"/>
      <w:bookmarkStart w:id="201" w:name="_Toc17994"/>
      <w:bookmarkStart w:id="202" w:name="_Toc9055"/>
      <w:bookmarkStart w:id="203" w:name="_Toc13168"/>
      <w:bookmarkStart w:id="204" w:name="_Toc5027"/>
      <w:bookmarkStart w:id="205" w:name="_Toc206"/>
      <w:bookmarkStart w:id="206" w:name="_Toc2052"/>
      <w:bookmarkStart w:id="207" w:name="_Toc13407"/>
      <w:bookmarkStart w:id="208" w:name="_Toc25877"/>
      <w:bookmarkStart w:id="209" w:name="_Toc22547"/>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其他：</w:t>
      </w:r>
      <w:bookmarkEnd w:id="200"/>
      <w:bookmarkEnd w:id="201"/>
      <w:bookmarkEnd w:id="202"/>
      <w:bookmarkEnd w:id="203"/>
      <w:bookmarkEnd w:id="204"/>
      <w:bookmarkEnd w:id="205"/>
      <w:bookmarkEnd w:id="206"/>
      <w:bookmarkEnd w:id="207"/>
      <w:bookmarkEnd w:id="208"/>
      <w:bookmarkEnd w:id="209"/>
    </w:p>
    <w:p w14:paraId="6560F81C">
      <w:pPr>
        <w:keepNext w:val="0"/>
        <w:keepLines w:val="0"/>
        <w:pageBreakBefore w:val="0"/>
        <w:widowControl w:val="0"/>
        <w:numPr>
          <w:ilvl w:val="0"/>
          <w:numId w:val="0"/>
        </w:numPr>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val="0"/>
          <w:color w:val="auto"/>
          <w:sz w:val="21"/>
          <w:szCs w:val="21"/>
          <w:highlight w:val="none"/>
          <w:lang w:val="en-US" w:eastAsia="zh-CN"/>
        </w:rPr>
      </w:pPr>
      <w:bookmarkStart w:id="210" w:name="_Toc6513"/>
      <w:bookmarkStart w:id="211" w:name="_Toc8808"/>
      <w:bookmarkStart w:id="212" w:name="_Toc26527"/>
      <w:bookmarkStart w:id="213" w:name="_Toc17573"/>
      <w:r>
        <w:rPr>
          <w:rFonts w:hint="eastAsia" w:ascii="仿宋" w:hAnsi="仿宋" w:eastAsia="仿宋" w:cs="仿宋"/>
          <w:b w:val="0"/>
          <w:bCs w:val="0"/>
          <w:color w:val="auto"/>
          <w:sz w:val="21"/>
          <w:szCs w:val="21"/>
          <w:highlight w:val="none"/>
          <w:lang w:val="en-US" w:eastAsia="zh-CN"/>
        </w:rPr>
        <w:t xml:space="preserve">3.1 发布公告的媒介：本次招标公告在《云南省政府采购网》、《政府采购云平台》上发布，采购人及采购代理机构对其他网站发布或转载的公告内容不承担任何责任。 </w:t>
      </w:r>
    </w:p>
    <w:p w14:paraId="2DF91003">
      <w:pPr>
        <w:keepNext w:val="0"/>
        <w:keepLines w:val="0"/>
        <w:pageBreakBefore w:val="0"/>
        <w:widowControl w:val="0"/>
        <w:numPr>
          <w:ilvl w:val="0"/>
          <w:numId w:val="0"/>
        </w:numPr>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3.2本项目实行网上投标，采用电子投标文件； </w:t>
      </w:r>
    </w:p>
    <w:p w14:paraId="795DFC19">
      <w:pPr>
        <w:keepNext w:val="0"/>
        <w:keepLines w:val="0"/>
        <w:pageBreakBefore w:val="0"/>
        <w:widowControl w:val="0"/>
        <w:numPr>
          <w:ilvl w:val="0"/>
          <w:numId w:val="0"/>
        </w:numPr>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 </w:t>
      </w:r>
    </w:p>
    <w:p w14:paraId="7F4C1DB2">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770497E">
      <w:pPr>
        <w:pStyle w:val="3"/>
        <w:keepNext w:val="0"/>
        <w:keepLines w:val="0"/>
        <w:pageBreakBefore w:val="0"/>
        <w:widowControl w:val="0"/>
        <w:kinsoku/>
        <w:wordWrap w:val="0"/>
        <w:overflowPunct/>
        <w:topLinePunct/>
        <w:autoSpaceDE/>
        <w:autoSpaceDN/>
        <w:bidi w:val="0"/>
        <w:adjustRightInd/>
        <w:snapToGrid/>
        <w:spacing w:before="0" w:after="0" w:line="360" w:lineRule="exact"/>
        <w:ind w:left="0" w:righ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lang w:eastAsia="zh-CN"/>
        </w:rPr>
        <w:t>、对本次招标提出询问，请按以下方式联系</w:t>
      </w:r>
      <w:bookmarkEnd w:id="197"/>
      <w:bookmarkEnd w:id="198"/>
      <w:bookmarkEnd w:id="199"/>
      <w:bookmarkEnd w:id="210"/>
      <w:bookmarkEnd w:id="211"/>
      <w:bookmarkEnd w:id="212"/>
      <w:bookmarkEnd w:id="213"/>
    </w:p>
    <w:p w14:paraId="048D76F0">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14" w:name="_Toc23581"/>
      <w:bookmarkStart w:id="215" w:name="_Toc21117"/>
      <w:bookmarkStart w:id="216" w:name="_Toc20671"/>
      <w:bookmarkStart w:id="217" w:name="_Toc30923"/>
      <w:bookmarkStart w:id="218" w:name="_Toc18986"/>
      <w:bookmarkStart w:id="219" w:name="_Toc4152"/>
      <w:bookmarkStart w:id="220" w:name="_Toc27405"/>
      <w:bookmarkStart w:id="221" w:name="_Toc32512"/>
      <w:bookmarkStart w:id="222" w:name="_Toc14432"/>
      <w:bookmarkStart w:id="223" w:name="_Toc20322"/>
      <w:bookmarkStart w:id="224" w:name="_Toc2842"/>
      <w:bookmarkStart w:id="225" w:name="_Toc29920"/>
      <w:bookmarkStart w:id="226" w:name="_Toc13650"/>
      <w:bookmarkStart w:id="227" w:name="_Toc13623"/>
      <w:bookmarkStart w:id="228" w:name="_Toc18988"/>
      <w:bookmarkStart w:id="229" w:name="_Toc3120"/>
      <w:bookmarkStart w:id="230" w:name="_Toc29317"/>
      <w:bookmarkStart w:id="231" w:name="_Toc29602"/>
      <w:bookmarkStart w:id="232" w:name="_Toc4060"/>
      <w:bookmarkStart w:id="233" w:name="_Toc15330"/>
      <w:bookmarkStart w:id="234" w:name="_Toc2753"/>
      <w:bookmarkStart w:id="235" w:name="_Toc15037"/>
      <w:bookmarkStart w:id="236" w:name="_Toc31871"/>
      <w:bookmarkStart w:id="237" w:name="_Toc17041"/>
      <w:bookmarkStart w:id="238" w:name="_Toc30836"/>
      <w:bookmarkStart w:id="239" w:name="_Toc17790"/>
      <w:bookmarkStart w:id="240" w:name="_Toc7985"/>
      <w:bookmarkStart w:id="241" w:name="_Toc20672"/>
      <w:bookmarkStart w:id="242" w:name="_Toc8969"/>
      <w:bookmarkStart w:id="243" w:name="_Toc7929"/>
      <w:bookmarkStart w:id="244" w:name="_Toc8117"/>
      <w:bookmarkStart w:id="245" w:name="_Toc10177"/>
      <w:bookmarkStart w:id="246" w:name="_Toc2554"/>
      <w:bookmarkStart w:id="247" w:name="_Toc1032"/>
      <w:bookmarkStart w:id="248" w:name="_Toc13429"/>
      <w:bookmarkStart w:id="249" w:name="_Toc20492"/>
      <w:bookmarkStart w:id="250" w:name="_Toc9957"/>
      <w:bookmarkStart w:id="251" w:name="_Toc17354"/>
      <w:bookmarkStart w:id="252" w:name="_Toc4751"/>
      <w:bookmarkStart w:id="253" w:name="_Toc27795"/>
      <w:bookmarkStart w:id="254" w:name="_Toc23038"/>
      <w:bookmarkStart w:id="255" w:name="_Toc26358"/>
      <w:bookmarkStart w:id="256" w:name="_Toc26411"/>
      <w:bookmarkStart w:id="257" w:name="_Toc981"/>
      <w:bookmarkStart w:id="258" w:name="_Toc31870"/>
      <w:bookmarkStart w:id="259" w:name="_Toc14289"/>
      <w:bookmarkStart w:id="260" w:name="_Toc29685"/>
      <w:bookmarkStart w:id="261" w:name="_Toc31963"/>
      <w:bookmarkStart w:id="262" w:name="_Toc30252"/>
      <w:bookmarkStart w:id="263" w:name="_Toc17368"/>
      <w:bookmarkStart w:id="264" w:name="_Toc22215"/>
      <w:bookmarkStart w:id="265" w:name="_Toc3586"/>
      <w:bookmarkStart w:id="266" w:name="_Toc29508"/>
      <w:bookmarkStart w:id="267" w:name="_Toc3653"/>
      <w:bookmarkStart w:id="268" w:name="_Toc6763"/>
      <w:bookmarkStart w:id="269" w:name="_Toc10625"/>
      <w:bookmarkStart w:id="270" w:name="_Toc11211"/>
      <w:r>
        <w:rPr>
          <w:rFonts w:hint="eastAsia" w:ascii="仿宋" w:hAnsi="仿宋" w:eastAsia="仿宋" w:cs="仿宋"/>
          <w:b/>
          <w:bCs w:val="0"/>
          <w:color w:val="auto"/>
          <w:sz w:val="21"/>
          <w:szCs w:val="21"/>
          <w:highlight w:val="none"/>
          <w:lang w:val="en-US" w:eastAsia="zh-CN"/>
        </w:rPr>
        <w:t>1.采购人信息</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C5D8138">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名    称</w:t>
      </w:r>
      <w:r>
        <w:rPr>
          <w:rFonts w:hint="eastAsia" w:ascii="仿宋" w:hAnsi="仿宋" w:eastAsia="仿宋" w:cs="仿宋"/>
          <w:b w:val="0"/>
          <w:bCs/>
          <w:color w:val="auto"/>
          <w:sz w:val="21"/>
          <w:szCs w:val="21"/>
          <w:highlight w:val="none"/>
          <w:lang w:eastAsia="zh-CN"/>
        </w:rPr>
        <w:t>：楚雄彝族自治州人民医院</w:t>
      </w:r>
    </w:p>
    <w:p w14:paraId="28DC173F">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地</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址：云南省楚雄市鹿城南路317号</w:t>
      </w:r>
    </w:p>
    <w:p w14:paraId="2D5180FF">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w:t>
      </w:r>
      <w:r>
        <w:rPr>
          <w:rFonts w:hint="eastAsia" w:ascii="仿宋" w:hAnsi="仿宋" w:eastAsia="仿宋" w:cs="仿宋"/>
          <w:color w:val="auto"/>
          <w:sz w:val="21"/>
          <w:szCs w:val="21"/>
          <w:highlight w:val="none"/>
          <w:lang w:val="en-US" w:eastAsia="zh-CN"/>
        </w:rPr>
        <w:t>方式</w:t>
      </w:r>
      <w:r>
        <w:rPr>
          <w:rFonts w:hint="eastAsia" w:ascii="仿宋" w:hAnsi="仿宋" w:eastAsia="仿宋" w:cs="仿宋"/>
          <w:color w:val="auto"/>
          <w:sz w:val="21"/>
          <w:szCs w:val="21"/>
          <w:highlight w:val="none"/>
          <w:lang w:eastAsia="zh-CN"/>
        </w:rPr>
        <w:t>：0878-3113019</w:t>
      </w:r>
    </w:p>
    <w:p w14:paraId="77C43D06">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71" w:name="_Toc7344"/>
      <w:bookmarkStart w:id="272" w:name="_Toc3270"/>
      <w:bookmarkStart w:id="273" w:name="_Toc12715"/>
      <w:bookmarkStart w:id="274" w:name="_Toc15284"/>
      <w:bookmarkStart w:id="275" w:name="_Toc14384"/>
      <w:bookmarkStart w:id="276" w:name="_Toc30653"/>
      <w:bookmarkStart w:id="277" w:name="_Toc30344"/>
      <w:bookmarkStart w:id="278" w:name="_Toc16577"/>
      <w:bookmarkStart w:id="279" w:name="_Toc24218"/>
      <w:bookmarkStart w:id="280" w:name="_Toc12646"/>
      <w:bookmarkStart w:id="281" w:name="_Toc11632"/>
      <w:bookmarkStart w:id="282" w:name="_Toc815"/>
      <w:bookmarkStart w:id="283" w:name="_Toc22224"/>
      <w:bookmarkStart w:id="284" w:name="_Toc579"/>
      <w:bookmarkStart w:id="285" w:name="_Toc31458"/>
      <w:bookmarkStart w:id="286" w:name="_Toc30797"/>
      <w:bookmarkStart w:id="287" w:name="_Toc14613"/>
      <w:bookmarkStart w:id="288" w:name="_Toc23063"/>
      <w:bookmarkStart w:id="289" w:name="_Toc19335"/>
      <w:bookmarkStart w:id="290" w:name="_Toc20740"/>
      <w:bookmarkStart w:id="291" w:name="_Toc14446"/>
      <w:bookmarkStart w:id="292" w:name="_Toc18377"/>
      <w:bookmarkStart w:id="293" w:name="_Toc23936"/>
      <w:bookmarkStart w:id="294" w:name="_Toc23934"/>
      <w:bookmarkStart w:id="295" w:name="_Toc17270"/>
      <w:bookmarkStart w:id="296" w:name="_Toc16296"/>
      <w:bookmarkStart w:id="297" w:name="_Toc22272"/>
      <w:bookmarkStart w:id="298" w:name="_Toc13117"/>
      <w:bookmarkStart w:id="299" w:name="_Toc16278"/>
      <w:bookmarkStart w:id="300" w:name="_Toc2801"/>
      <w:bookmarkStart w:id="301" w:name="_Toc28076"/>
      <w:bookmarkStart w:id="302" w:name="_Toc15130"/>
      <w:bookmarkStart w:id="303" w:name="_Toc22792"/>
      <w:bookmarkStart w:id="304" w:name="_Toc11511"/>
      <w:bookmarkStart w:id="305" w:name="_Toc2924"/>
      <w:bookmarkStart w:id="306" w:name="_Toc23275"/>
      <w:bookmarkStart w:id="307" w:name="_Toc26452"/>
      <w:bookmarkStart w:id="308" w:name="_Toc27813"/>
      <w:bookmarkStart w:id="309" w:name="_Toc16712"/>
      <w:bookmarkStart w:id="310" w:name="_Toc15470"/>
      <w:bookmarkStart w:id="311" w:name="_Toc16095"/>
      <w:bookmarkStart w:id="312" w:name="_Toc1725"/>
      <w:bookmarkStart w:id="313" w:name="_Toc6206"/>
      <w:bookmarkStart w:id="314" w:name="_Toc6941"/>
      <w:bookmarkStart w:id="315" w:name="_Toc32538"/>
      <w:bookmarkStart w:id="316" w:name="_Toc26355"/>
      <w:bookmarkStart w:id="317" w:name="_Toc19890"/>
      <w:bookmarkStart w:id="318" w:name="_Toc31520"/>
      <w:bookmarkStart w:id="319" w:name="_Toc32028"/>
      <w:bookmarkStart w:id="320" w:name="_Toc7669"/>
      <w:bookmarkStart w:id="321" w:name="_Toc19348"/>
      <w:bookmarkStart w:id="322" w:name="_Toc5354"/>
      <w:bookmarkStart w:id="323" w:name="_Toc598"/>
      <w:bookmarkStart w:id="324" w:name="_Toc17569"/>
      <w:bookmarkStart w:id="325" w:name="_Toc25855"/>
      <w:bookmarkStart w:id="326" w:name="_Toc18785"/>
      <w:bookmarkStart w:id="327" w:name="_Toc1068"/>
      <w:r>
        <w:rPr>
          <w:rFonts w:hint="eastAsia" w:ascii="仿宋" w:hAnsi="仿宋" w:eastAsia="仿宋" w:cs="仿宋"/>
          <w:b/>
          <w:bCs w:val="0"/>
          <w:color w:val="auto"/>
          <w:sz w:val="21"/>
          <w:szCs w:val="21"/>
          <w:highlight w:val="none"/>
          <w:lang w:val="en-US" w:eastAsia="zh-CN"/>
        </w:rPr>
        <w:t>2.</w:t>
      </w:r>
      <w:r>
        <w:rPr>
          <w:rFonts w:hint="eastAsia" w:cs="仿宋"/>
          <w:b/>
          <w:bCs w:val="0"/>
          <w:color w:val="auto"/>
          <w:sz w:val="21"/>
          <w:szCs w:val="21"/>
          <w:highlight w:val="none"/>
          <w:lang w:val="en-US" w:eastAsia="zh-CN"/>
        </w:rPr>
        <w:t>采购</w:t>
      </w:r>
      <w:r>
        <w:rPr>
          <w:rFonts w:hint="eastAsia" w:ascii="仿宋" w:hAnsi="仿宋" w:eastAsia="仿宋" w:cs="仿宋"/>
          <w:b/>
          <w:bCs w:val="0"/>
          <w:color w:val="auto"/>
          <w:sz w:val="21"/>
          <w:szCs w:val="21"/>
          <w:highlight w:val="none"/>
          <w:lang w:val="en-US" w:eastAsia="zh-CN"/>
        </w:rPr>
        <w:t>代理机构信息</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1146E71F">
      <w:pPr>
        <w:keepNext w:val="0"/>
        <w:keepLines w:val="0"/>
        <w:pageBreakBefore w:val="0"/>
        <w:widowControl w:val="0"/>
        <w:kinsoku/>
        <w:wordWrap w:val="0"/>
        <w:overflowPunct/>
        <w:topLinePunct/>
        <w:autoSpaceDE/>
        <w:autoSpaceDN/>
        <w:bidi w:val="0"/>
        <w:adjustRightInd/>
        <w:snapToGrid/>
        <w:spacing w:line="36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bookmarkStart w:id="328" w:name="_Toc26738"/>
      <w:bookmarkStart w:id="329" w:name="_Toc13241"/>
      <w:bookmarkStart w:id="330" w:name="_Toc266"/>
      <w:bookmarkStart w:id="331" w:name="_Toc12514"/>
      <w:bookmarkStart w:id="332" w:name="_Toc1050"/>
      <w:bookmarkStart w:id="333" w:name="_Toc5487"/>
      <w:bookmarkStart w:id="334" w:name="_Toc19261"/>
      <w:bookmarkStart w:id="335" w:name="_Toc5067"/>
      <w:bookmarkStart w:id="336" w:name="_Toc27292"/>
      <w:bookmarkStart w:id="337" w:name="_Toc3104"/>
      <w:bookmarkStart w:id="338" w:name="_Toc28765"/>
      <w:bookmarkStart w:id="339" w:name="_Toc28359010"/>
      <w:bookmarkStart w:id="340" w:name="_Toc13945"/>
      <w:bookmarkStart w:id="341" w:name="_Toc15169"/>
      <w:bookmarkStart w:id="342" w:name="_Toc12019"/>
      <w:bookmarkStart w:id="343" w:name="_Toc26158"/>
      <w:bookmarkStart w:id="344" w:name="_Toc12487"/>
      <w:bookmarkStart w:id="345" w:name="_Toc25419"/>
      <w:bookmarkStart w:id="346" w:name="_Toc8379"/>
      <w:bookmarkStart w:id="347" w:name="_Toc21036"/>
      <w:bookmarkStart w:id="348" w:name="_Toc11645"/>
      <w:bookmarkStart w:id="349" w:name="_Toc4864"/>
      <w:bookmarkStart w:id="350" w:name="_Toc7450"/>
      <w:bookmarkStart w:id="351" w:name="_Toc19424"/>
      <w:bookmarkStart w:id="352" w:name="_Toc32077"/>
      <w:bookmarkStart w:id="353" w:name="_Toc8748"/>
      <w:bookmarkStart w:id="354" w:name="_Toc22759"/>
      <w:bookmarkStart w:id="355" w:name="_Toc7911"/>
      <w:bookmarkStart w:id="356" w:name="_Toc12438"/>
      <w:bookmarkStart w:id="357" w:name="_Toc29134"/>
      <w:bookmarkStart w:id="358" w:name="_Toc9560"/>
      <w:bookmarkStart w:id="359" w:name="_Toc4004"/>
      <w:bookmarkStart w:id="360" w:name="_Toc25623"/>
      <w:bookmarkStart w:id="361" w:name="_Toc894"/>
      <w:bookmarkStart w:id="362" w:name="_Toc17293"/>
      <w:bookmarkStart w:id="363" w:name="_Toc10182"/>
      <w:bookmarkStart w:id="364" w:name="_Toc11728"/>
      <w:bookmarkStart w:id="365" w:name="_Toc21306"/>
      <w:bookmarkStart w:id="366" w:name="_Toc7977"/>
      <w:bookmarkStart w:id="367" w:name="_Toc15604"/>
      <w:bookmarkStart w:id="368" w:name="_Toc17426"/>
      <w:bookmarkStart w:id="369" w:name="_Toc1735"/>
      <w:bookmarkStart w:id="370" w:name="_Toc556"/>
      <w:bookmarkStart w:id="371" w:name="_Toc27231"/>
      <w:bookmarkStart w:id="372" w:name="_Toc20485"/>
      <w:bookmarkStart w:id="373" w:name="_Toc32034"/>
      <w:bookmarkStart w:id="374" w:name="_Toc5611"/>
      <w:bookmarkStart w:id="375" w:name="_Toc19488"/>
      <w:bookmarkStart w:id="376" w:name="_Toc1667"/>
      <w:bookmarkStart w:id="377" w:name="_Toc10316"/>
      <w:bookmarkStart w:id="378" w:name="_Toc13054"/>
      <w:bookmarkStart w:id="379" w:name="_Toc9285"/>
      <w:bookmarkStart w:id="380" w:name="_Toc17609"/>
      <w:bookmarkStart w:id="381" w:name="_Toc5284"/>
      <w:bookmarkStart w:id="382" w:name="_Toc11563"/>
      <w:bookmarkStart w:id="383" w:name="_Toc2557"/>
      <w:bookmarkStart w:id="384" w:name="_Toc28359087"/>
      <w:bookmarkStart w:id="385" w:name="_Toc20534"/>
      <w:bookmarkStart w:id="386" w:name="_Toc7185"/>
      <w:r>
        <w:rPr>
          <w:rFonts w:hint="eastAsia" w:ascii="仿宋" w:hAnsi="仿宋" w:eastAsia="仿宋" w:cs="仿宋"/>
          <w:color w:val="auto"/>
          <w:sz w:val="21"/>
          <w:szCs w:val="21"/>
          <w:highlight w:val="none"/>
          <w:lang w:val="en-US" w:eastAsia="zh-CN"/>
        </w:rPr>
        <w:t>名    称：云南拓航工程管理咨询有限公司</w:t>
      </w:r>
    </w:p>
    <w:p w14:paraId="25EE278F">
      <w:pPr>
        <w:keepNext w:val="0"/>
        <w:keepLines w:val="0"/>
        <w:pageBreakBefore w:val="0"/>
        <w:widowControl w:val="0"/>
        <w:kinsoku/>
        <w:wordWrap w:val="0"/>
        <w:overflowPunct/>
        <w:topLinePunct/>
        <w:autoSpaceDE/>
        <w:autoSpaceDN/>
        <w:bidi w:val="0"/>
        <w:adjustRightInd/>
        <w:snapToGrid/>
        <w:spacing w:line="36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址：楚雄高新区永安路512号6楼</w:t>
      </w:r>
    </w:p>
    <w:p w14:paraId="4395AEBD">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387" w:name="_Toc25810"/>
      <w:bookmarkStart w:id="388" w:name="_Toc5172"/>
      <w:bookmarkStart w:id="389" w:name="_Toc25241"/>
      <w:bookmarkStart w:id="390" w:name="_Toc26213"/>
      <w:bookmarkStart w:id="391" w:name="_Toc29244"/>
      <w:bookmarkStart w:id="392" w:name="_Toc7699"/>
      <w:bookmarkStart w:id="393" w:name="_Toc1268"/>
      <w:bookmarkStart w:id="394" w:name="_Toc21607"/>
      <w:bookmarkStart w:id="395" w:name="_Toc1437"/>
      <w:bookmarkStart w:id="396" w:name="_Toc14221"/>
      <w:bookmarkStart w:id="397" w:name="_Toc29417"/>
      <w:bookmarkStart w:id="398" w:name="_Toc7592"/>
      <w:r>
        <w:rPr>
          <w:rFonts w:hint="eastAsia" w:ascii="仿宋" w:hAnsi="仿宋" w:eastAsia="仿宋" w:cs="仿宋"/>
          <w:color w:val="auto"/>
          <w:sz w:val="21"/>
          <w:szCs w:val="21"/>
          <w:highlight w:val="none"/>
          <w:lang w:val="en-US" w:eastAsia="zh-CN"/>
        </w:rPr>
        <w:t>联系方式：</w:t>
      </w:r>
      <w:bookmarkEnd w:id="387"/>
      <w:bookmarkEnd w:id="388"/>
      <w:bookmarkEnd w:id="389"/>
      <w:bookmarkEnd w:id="390"/>
      <w:bookmarkEnd w:id="391"/>
      <w:bookmarkEnd w:id="392"/>
      <w:bookmarkEnd w:id="393"/>
      <w:bookmarkEnd w:id="394"/>
      <w:bookmarkEnd w:id="395"/>
      <w:bookmarkEnd w:id="396"/>
      <w:bookmarkEnd w:id="397"/>
      <w:bookmarkEnd w:id="398"/>
      <w:r>
        <w:rPr>
          <w:rFonts w:hint="eastAsia" w:ascii="仿宋" w:hAnsi="仿宋" w:eastAsia="仿宋" w:cs="仿宋"/>
          <w:color w:val="auto"/>
          <w:sz w:val="21"/>
          <w:szCs w:val="21"/>
          <w:highlight w:val="none"/>
          <w:lang w:val="en-US" w:eastAsia="zh-CN"/>
        </w:rPr>
        <w:t>15758596869、0878-6610881</w:t>
      </w:r>
    </w:p>
    <w:p w14:paraId="02B9DE9A">
      <w:pPr>
        <w:keepNext w:val="0"/>
        <w:keepLines w:val="0"/>
        <w:pageBreakBefore w:val="0"/>
        <w:widowControl w:val="0"/>
        <w:kinsoku/>
        <w:wordWrap w:val="0"/>
        <w:overflowPunct/>
        <w:topLinePunct/>
        <w:autoSpaceDE/>
        <w:autoSpaceDN/>
        <w:bidi w:val="0"/>
        <w:adjustRightInd/>
        <w:snapToGrid/>
        <w:spacing w:line="360" w:lineRule="exact"/>
        <w:ind w:left="0" w:right="0" w:firstLine="422" w:firstLineChars="200"/>
        <w:jc w:val="left"/>
        <w:textAlignment w:val="auto"/>
        <w:outlineLvl w:val="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3.项目联系方式</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2D75EA02">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项目联系人：王涛</w:t>
      </w:r>
    </w:p>
    <w:p w14:paraId="5AEC3164">
      <w:pPr>
        <w:pStyle w:val="7"/>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default" w:ascii="仿宋" w:hAnsi="仿宋" w:eastAsia="仿宋" w:cs="仿宋"/>
          <w:b/>
          <w:color w:val="auto"/>
          <w:sz w:val="32"/>
          <w:szCs w:val="32"/>
          <w:highlight w:val="none"/>
          <w:lang w:val="en-US" w:eastAsia="zh-CN"/>
        </w:rPr>
        <w:sectPr>
          <w:footerReference r:id="rId4" w:type="default"/>
          <w:pgSz w:w="11906" w:h="16838"/>
          <w:pgMar w:top="1440" w:right="1080" w:bottom="1440" w:left="1080" w:header="851" w:footer="907" w:gutter="0"/>
          <w:pgNumType w:fmt="decimal" w:start="1"/>
          <w:cols w:space="425" w:num="1"/>
          <w:docGrid w:type="lines" w:linePitch="312" w:charSpace="0"/>
        </w:sectPr>
      </w:pPr>
      <w:r>
        <w:rPr>
          <w:rFonts w:hint="eastAsia" w:ascii="仿宋" w:hAnsi="仿宋" w:eastAsia="仿宋" w:cs="仿宋"/>
          <w:color w:val="auto"/>
          <w:sz w:val="21"/>
          <w:szCs w:val="21"/>
          <w:highlight w:val="none"/>
          <w:lang w:val="en-US" w:eastAsia="zh-CN"/>
        </w:rPr>
        <w:t>电话：15758596869、0878-6610881</w:t>
      </w:r>
    </w:p>
    <w:p w14:paraId="4E2005D2">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leftChars="0" w:right="0"/>
        <w:textAlignment w:val="auto"/>
        <w:outlineLvl w:val="0"/>
        <w:rPr>
          <w:rFonts w:hint="eastAsia" w:ascii="仿宋" w:hAnsi="仿宋" w:eastAsia="仿宋" w:cs="仿宋"/>
          <w:bCs/>
          <w:color w:val="auto"/>
          <w:sz w:val="40"/>
          <w:highlight w:val="none"/>
          <w:lang w:eastAsia="zh-CN"/>
        </w:rPr>
      </w:pPr>
      <w:bookmarkStart w:id="399" w:name="_Toc23491"/>
      <w:bookmarkStart w:id="400" w:name="_Toc497486316"/>
      <w:bookmarkStart w:id="401" w:name="_Toc14419"/>
      <w:bookmarkStart w:id="402" w:name="_Toc14272"/>
      <w:r>
        <w:rPr>
          <w:rStyle w:val="21"/>
          <w:rFonts w:hint="eastAsia" w:ascii="仿宋" w:hAnsi="仿宋" w:eastAsia="仿宋" w:cs="仿宋"/>
          <w:b/>
          <w:color w:val="auto"/>
          <w:sz w:val="32"/>
          <w:szCs w:val="32"/>
          <w:highlight w:val="none"/>
          <w:lang w:eastAsia="zh-CN"/>
        </w:rPr>
        <w:t>第二章</w:t>
      </w:r>
      <w:r>
        <w:rPr>
          <w:rStyle w:val="21"/>
          <w:rFonts w:hint="eastAsia" w:ascii="仿宋" w:hAnsi="仿宋" w:eastAsia="仿宋" w:cs="仿宋"/>
          <w:b/>
          <w:color w:val="auto"/>
          <w:sz w:val="32"/>
          <w:szCs w:val="32"/>
          <w:highlight w:val="none"/>
          <w:lang w:val="en-US" w:eastAsia="zh-CN"/>
        </w:rPr>
        <w:t xml:space="preserve"> </w:t>
      </w:r>
      <w:bookmarkEnd w:id="399"/>
      <w:bookmarkEnd w:id="400"/>
      <w:bookmarkEnd w:id="401"/>
      <w:r>
        <w:rPr>
          <w:rStyle w:val="21"/>
          <w:rFonts w:hint="eastAsia" w:ascii="仿宋" w:hAnsi="仿宋" w:eastAsia="仿宋" w:cs="仿宋"/>
          <w:b/>
          <w:color w:val="auto"/>
          <w:sz w:val="32"/>
          <w:szCs w:val="32"/>
          <w:highlight w:val="none"/>
          <w:lang w:eastAsia="zh-CN"/>
        </w:rPr>
        <w:t>投标人须知</w:t>
      </w:r>
      <w:bookmarkEnd w:id="402"/>
    </w:p>
    <w:p w14:paraId="455B8E08">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20" w:firstLineChars="200"/>
        <w:jc w:val="both"/>
        <w:textAlignment w:val="auto"/>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pPr>
      <w:bookmarkStart w:id="403" w:name="_Toc88646729"/>
      <w:bookmarkStart w:id="404" w:name="_Toc88638755"/>
      <w:bookmarkStart w:id="405" w:name="_Toc24669"/>
      <w:bookmarkStart w:id="406" w:name="_Toc1955"/>
      <w:bookmarkStart w:id="407" w:name="_Toc145067563"/>
      <w:bookmarkStart w:id="408" w:name="_Toc32551"/>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一、投标人须知</w:t>
      </w:r>
      <w:bookmarkEnd w:id="403"/>
      <w:bookmarkEnd w:id="404"/>
      <w:bookmarkEnd w:id="405"/>
      <w:bookmarkEnd w:id="406"/>
      <w:bookmarkEnd w:id="407"/>
      <w:bookmarkEnd w:id="408"/>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前附表</w:t>
      </w:r>
    </w:p>
    <w:p w14:paraId="6720103B">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本表是对</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的具体补充和修改，如有矛盾，均以本资料表为准。标记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的选项意为适用于本项目，标记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的选项意为不适用于本项目。</w:t>
      </w:r>
    </w:p>
    <w:tbl>
      <w:tblPr>
        <w:tblStyle w:val="16"/>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41"/>
        <w:gridCol w:w="7946"/>
      </w:tblGrid>
      <w:tr w14:paraId="11E38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1941" w:type="dxa"/>
            <w:noWrap w:val="0"/>
            <w:vAlign w:val="center"/>
          </w:tcPr>
          <w:p w14:paraId="5204087A">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b/>
                <w:color w:val="auto"/>
                <w:sz w:val="21"/>
                <w:szCs w:val="21"/>
                <w:highlight w:val="none"/>
              </w:rPr>
            </w:pPr>
            <w:bookmarkStart w:id="409" w:name="_Toc88638759"/>
            <w:bookmarkStart w:id="410" w:name="OLE_LINK3"/>
            <w:bookmarkStart w:id="411" w:name="_Toc88646733"/>
            <w:bookmarkStart w:id="412" w:name="_Toc14464667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条款名称</w:t>
            </w:r>
          </w:p>
        </w:tc>
        <w:tc>
          <w:tcPr>
            <w:tcW w:w="7946" w:type="dxa"/>
            <w:noWrap w:val="0"/>
            <w:vAlign w:val="center"/>
          </w:tcPr>
          <w:p w14:paraId="22946940">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编列内容</w:t>
            </w:r>
          </w:p>
        </w:tc>
      </w:tr>
      <w:tr w14:paraId="53B02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jc w:val="center"/>
        </w:trPr>
        <w:tc>
          <w:tcPr>
            <w:tcW w:w="1941" w:type="dxa"/>
            <w:noWrap w:val="0"/>
            <w:vAlign w:val="center"/>
          </w:tcPr>
          <w:p w14:paraId="234BB21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7946" w:type="dxa"/>
            <w:noWrap w:val="0"/>
            <w:vAlign w:val="center"/>
          </w:tcPr>
          <w:p w14:paraId="0FF76BE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名    称</w:t>
            </w:r>
            <w:r>
              <w:rPr>
                <w:rFonts w:hint="eastAsia" w:ascii="仿宋" w:hAnsi="仿宋" w:eastAsia="仿宋" w:cs="仿宋"/>
                <w:color w:val="auto"/>
                <w:sz w:val="21"/>
                <w:szCs w:val="21"/>
                <w:highlight w:val="none"/>
                <w:lang w:eastAsia="zh-CN"/>
              </w:rPr>
              <w:t>：楚雄彝族自治州人民医院</w:t>
            </w:r>
          </w:p>
          <w:p w14:paraId="7A23B1A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    址：云南省楚雄市鹿城南路317号</w:t>
            </w:r>
          </w:p>
          <w:p w14:paraId="2CD8C7B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联 系 人：</w:t>
            </w:r>
            <w:r>
              <w:rPr>
                <w:rFonts w:hint="eastAsia" w:ascii="仿宋" w:hAnsi="仿宋" w:eastAsia="仿宋" w:cs="仿宋"/>
                <w:color w:val="auto"/>
                <w:sz w:val="21"/>
                <w:szCs w:val="21"/>
                <w:highlight w:val="none"/>
                <w:lang w:val="en-US" w:eastAsia="zh-CN"/>
              </w:rPr>
              <w:t>杨</w:t>
            </w:r>
            <w:r>
              <w:rPr>
                <w:rFonts w:hint="eastAsia" w:ascii="仿宋" w:hAnsi="仿宋" w:eastAsia="仿宋" w:cs="仿宋"/>
                <w:color w:val="auto"/>
                <w:sz w:val="21"/>
                <w:szCs w:val="21"/>
                <w:highlight w:val="none"/>
                <w:lang w:eastAsia="zh-CN"/>
              </w:rPr>
              <w:t>老师、</w:t>
            </w:r>
            <w:r>
              <w:rPr>
                <w:rFonts w:hint="eastAsia" w:ascii="仿宋" w:hAnsi="仿宋" w:eastAsia="仿宋" w:cs="仿宋"/>
                <w:color w:val="auto"/>
                <w:sz w:val="21"/>
                <w:szCs w:val="21"/>
                <w:highlight w:val="none"/>
                <w:lang w:val="en-US" w:eastAsia="zh-CN"/>
              </w:rPr>
              <w:t>王老师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蔺老师</w:t>
            </w:r>
          </w:p>
          <w:p w14:paraId="16A61D7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电    话：0878-3113019</w:t>
            </w:r>
          </w:p>
        </w:tc>
      </w:tr>
      <w:tr w14:paraId="0B5B8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2E41026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7946" w:type="dxa"/>
            <w:noWrap w:val="0"/>
            <w:vAlign w:val="center"/>
          </w:tcPr>
          <w:p w14:paraId="57592A2C">
            <w:pPr>
              <w:keepNext w:val="0"/>
              <w:keepLines w:val="0"/>
              <w:pageBreakBefore w:val="0"/>
              <w:widowControl w:val="0"/>
              <w:kinsoku/>
              <w:wordWrap w:val="0"/>
              <w:overflowPunct/>
              <w:topLinePunct/>
              <w:autoSpaceDE/>
              <w:autoSpaceDN/>
              <w:bidi w:val="0"/>
              <w:adjustRightInd/>
              <w:snapToGrid/>
              <w:spacing w:line="240" w:lineRule="auto"/>
              <w:ind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称：云南拓航工程管理咨询有限公司</w:t>
            </w:r>
          </w:p>
          <w:p w14:paraId="2855FD79">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地　  址：楚雄高新区永安路512号6楼</w:t>
            </w:r>
          </w:p>
          <w:p w14:paraId="440F9CA1">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项目联系人：王涛</w:t>
            </w:r>
          </w:p>
          <w:p w14:paraId="02F0CFA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    话：15758596869、0878-6610881</w:t>
            </w:r>
          </w:p>
        </w:tc>
      </w:tr>
      <w:tr w14:paraId="7AB5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1941" w:type="dxa"/>
            <w:noWrap w:val="0"/>
            <w:vAlign w:val="center"/>
          </w:tcPr>
          <w:p w14:paraId="644CFEF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项目名称</w:t>
            </w:r>
          </w:p>
        </w:tc>
        <w:tc>
          <w:tcPr>
            <w:tcW w:w="7946" w:type="dxa"/>
            <w:noWrap w:val="0"/>
            <w:vAlign w:val="center"/>
          </w:tcPr>
          <w:p w14:paraId="620C32D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楚雄彝族自治州人民医院2026年肝胆外二科电子十二指肠镜系统采购项目（公立医院改革与高质量发展示范项目—肿瘤防治中心）</w:t>
            </w:r>
          </w:p>
        </w:tc>
      </w:tr>
      <w:tr w14:paraId="5A255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941" w:type="dxa"/>
            <w:noWrap w:val="0"/>
            <w:vAlign w:val="center"/>
          </w:tcPr>
          <w:p w14:paraId="6E4302D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项目编号</w:t>
            </w:r>
          </w:p>
        </w:tc>
        <w:tc>
          <w:tcPr>
            <w:tcW w:w="7946" w:type="dxa"/>
            <w:noWrap w:val="0"/>
            <w:vAlign w:val="center"/>
          </w:tcPr>
          <w:p w14:paraId="4B95F87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CXZC2026-G1-00364-YNTH-0005</w:t>
            </w:r>
          </w:p>
        </w:tc>
      </w:tr>
      <w:tr w14:paraId="4937E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shd w:val="clear" w:color="auto" w:fill="auto"/>
            <w:noWrap w:val="0"/>
            <w:vAlign w:val="center"/>
          </w:tcPr>
          <w:p w14:paraId="43F990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采购预算</w:t>
            </w:r>
          </w:p>
          <w:p w14:paraId="3E72C55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（最高限价）</w:t>
            </w:r>
          </w:p>
        </w:tc>
        <w:tc>
          <w:tcPr>
            <w:tcW w:w="7946" w:type="dxa"/>
            <w:shd w:val="clear" w:color="auto" w:fill="auto"/>
            <w:noWrap w:val="0"/>
            <w:vAlign w:val="center"/>
          </w:tcPr>
          <w:p w14:paraId="09A9418C">
            <w:pPr>
              <w:keepNext w:val="0"/>
              <w:keepLines w:val="0"/>
              <w:pageBreakBefore w:val="0"/>
              <w:widowControl w:val="0"/>
              <w:kinsoku/>
              <w:wordWrap w:val="0"/>
              <w:overflowPunct/>
              <w:topLinePunct/>
              <w:autoSpaceDE/>
              <w:autoSpaceDN/>
              <w:bidi w:val="0"/>
              <w:adjustRightInd/>
              <w:snapToGrid/>
              <w:spacing w:line="240" w:lineRule="auto"/>
              <w:ind w:left="0" w:right="0" w:firstLine="420"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最高限价：88.00万元；</w:t>
            </w:r>
          </w:p>
          <w:p w14:paraId="420106E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2" w:firstLineChars="200"/>
              <w:textAlignment w:val="auto"/>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投标报价超过最高限价的将按无效投标处理。</w:t>
            </w:r>
          </w:p>
        </w:tc>
      </w:tr>
      <w:tr w14:paraId="2016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1941" w:type="dxa"/>
            <w:noWrap w:val="0"/>
            <w:vAlign w:val="center"/>
          </w:tcPr>
          <w:p w14:paraId="69F0DBB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资金落实情况</w:t>
            </w:r>
          </w:p>
        </w:tc>
        <w:tc>
          <w:tcPr>
            <w:tcW w:w="7946" w:type="dxa"/>
            <w:noWrap w:val="0"/>
            <w:vAlign w:val="center"/>
          </w:tcPr>
          <w:p w14:paraId="6A8D287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已落实</w:t>
            </w:r>
          </w:p>
        </w:tc>
      </w:tr>
      <w:tr w14:paraId="2C848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41" w:type="dxa"/>
            <w:noWrap w:val="0"/>
            <w:vAlign w:val="center"/>
          </w:tcPr>
          <w:p w14:paraId="3F321980">
            <w:pPr>
              <w:pStyle w:val="9"/>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资格审查</w:t>
            </w:r>
          </w:p>
        </w:tc>
        <w:tc>
          <w:tcPr>
            <w:tcW w:w="7946" w:type="dxa"/>
            <w:noWrap w:val="0"/>
            <w:vAlign w:val="center"/>
          </w:tcPr>
          <w:p w14:paraId="1301ABB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□采购人审查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bidi="ar-SA"/>
              </w:rPr>
              <w:t>采购人委托采购代理机构进行审查</w:t>
            </w:r>
          </w:p>
        </w:tc>
      </w:tr>
      <w:tr w14:paraId="2AAD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jc w:val="center"/>
        </w:trPr>
        <w:tc>
          <w:tcPr>
            <w:tcW w:w="1941" w:type="dxa"/>
            <w:noWrap w:val="0"/>
            <w:vAlign w:val="center"/>
          </w:tcPr>
          <w:p w14:paraId="0801A08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项目属性</w:t>
            </w:r>
          </w:p>
        </w:tc>
        <w:tc>
          <w:tcPr>
            <w:tcW w:w="7946" w:type="dxa"/>
            <w:noWrap w:val="0"/>
            <w:vAlign w:val="center"/>
          </w:tcPr>
          <w:p w14:paraId="3B5E12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货物：是指各种形态和种类的物品，包括原材料、燃料、设备、产品等。</w:t>
            </w:r>
          </w:p>
          <w:p w14:paraId="062534C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工程：是指建设工程，包括建筑物和构筑物的新建、改建、扩建、装修、拆除、修缮等。</w:t>
            </w:r>
          </w:p>
          <w:p w14:paraId="4B20F82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服务：是指除货物和工程以外的其他采购对象。</w:t>
            </w:r>
          </w:p>
          <w:p w14:paraId="14AD7C8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是否政府购买服务项目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否</w:t>
            </w:r>
          </w:p>
        </w:tc>
      </w:tr>
      <w:tr w14:paraId="28BAD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0" w:hRule="atLeast"/>
          <w:jc w:val="center"/>
        </w:trPr>
        <w:tc>
          <w:tcPr>
            <w:tcW w:w="1941" w:type="dxa"/>
            <w:noWrap w:val="0"/>
            <w:vAlign w:val="center"/>
          </w:tcPr>
          <w:p w14:paraId="7EFD2A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核心产品</w:t>
            </w:r>
          </w:p>
        </w:tc>
        <w:tc>
          <w:tcPr>
            <w:tcW w:w="7946" w:type="dxa"/>
            <w:noWrap w:val="0"/>
            <w:vAlign w:val="center"/>
          </w:tcPr>
          <w:p w14:paraId="6587C985">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□关于核心产品本项目不适用。</w:t>
            </w:r>
          </w:p>
          <w:p w14:paraId="5DDEB705">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w:t>
            </w:r>
            <w:r>
              <w:rPr>
                <w:rFonts w:hint="eastAsia" w:ascii="仿宋" w:hAnsi="仿宋" w:eastAsia="仿宋" w:cs="仿宋"/>
                <w:color w:val="auto"/>
                <w:sz w:val="21"/>
                <w:szCs w:val="21"/>
                <w:highlight w:val="none"/>
                <w:u w:val="single"/>
                <w:lang w:val="en-US" w:eastAsia="zh-CN"/>
              </w:rPr>
              <w:t>楚雄彝族自治州人民医院2026年肝胆外二科电子十二指肠镜系统采购项目（公立医院改革与高质量发展示范项目—肿瘤防治中心）</w:t>
            </w:r>
            <w:r>
              <w:rPr>
                <w:rFonts w:hint="eastAsia" w:ascii="仿宋" w:hAnsi="仿宋" w:eastAsia="仿宋" w:cs="仿宋"/>
                <w:color w:val="auto"/>
                <w:sz w:val="21"/>
                <w:szCs w:val="21"/>
                <w:highlight w:val="none"/>
                <w:lang w:val="en-US" w:eastAsia="zh-CN"/>
              </w:rPr>
              <w:t>为单一产品采购项目。单一货物采购：提供相同品牌产品且通过资格审查、符合性审查的不同投标人参加同一合同项下投标的，按一家投标人计算，评标总得分最高的同品牌投标人获得中标人推荐资格；其他同品牌投标人不作为中标候选人。</w:t>
            </w:r>
          </w:p>
          <w:p w14:paraId="0506CFB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□本项目为非单一产品采购项目，核心产品为：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w:t>
            </w:r>
          </w:p>
        </w:tc>
      </w:tr>
      <w:tr w14:paraId="5230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41" w:type="dxa"/>
            <w:noWrap w:val="0"/>
            <w:vAlign w:val="center"/>
          </w:tcPr>
          <w:p w14:paraId="57D837E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000000" w:themeColor="text1"/>
                <w:kern w:val="0"/>
                <w:sz w:val="21"/>
                <w:szCs w:val="21"/>
                <w:highlight w:val="none"/>
                <w:lang w:val="en-US" w:eastAsia="en-US" w:bidi="ar-SA"/>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现场考察</w:t>
            </w:r>
          </w:p>
        </w:tc>
        <w:tc>
          <w:tcPr>
            <w:tcW w:w="7946" w:type="dxa"/>
            <w:noWrap w:val="0"/>
            <w:vAlign w:val="center"/>
          </w:tcPr>
          <w:p w14:paraId="2B27E2C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不组织</w:t>
            </w:r>
          </w:p>
          <w:p w14:paraId="78BEE128">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组织</w:t>
            </w:r>
          </w:p>
          <w:p w14:paraId="0AAF98CE">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踏勘时间：202</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日，时间</w:t>
            </w:r>
            <w:r>
              <w:rPr>
                <w:rFonts w:hint="eastAsia" w:ascii="仿宋" w:hAnsi="仿宋" w:eastAsia="仿宋" w:cs="仿宋"/>
                <w:color w:val="000000" w:themeColor="text1"/>
                <w:sz w:val="21"/>
                <w:szCs w:val="21"/>
                <w:highlight w:val="none"/>
                <w:lang w:val="en-US" w:eastAsia="zh-CN"/>
                <w14:textFill>
                  <w14:solidFill>
                    <w14:schemeClr w14:val="tx1"/>
                  </w14:solidFill>
                </w14:textFill>
              </w:rPr>
              <w:t>上/下</w:t>
            </w:r>
            <w:r>
              <w:rPr>
                <w:rFonts w:hint="eastAsia" w:ascii="仿宋" w:hAnsi="仿宋" w:eastAsia="仿宋" w:cs="仿宋"/>
                <w:color w:val="000000" w:themeColor="text1"/>
                <w:sz w:val="21"/>
                <w:szCs w:val="21"/>
                <w:highlight w:val="none"/>
                <w14:textFill>
                  <w14:solidFill>
                    <w14:schemeClr w14:val="tx1"/>
                  </w14:solidFill>
                </w14:textFill>
              </w:rPr>
              <w:t>午</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00</w:t>
            </w:r>
            <w:r>
              <w:rPr>
                <w:rFonts w:hint="eastAsia" w:ascii="仿宋" w:hAnsi="仿宋" w:eastAsia="仿宋" w:cs="仿宋"/>
                <w:color w:val="000000" w:themeColor="text1"/>
                <w:sz w:val="21"/>
                <w:szCs w:val="21"/>
                <w:highlight w:val="none"/>
                <w14:textFill>
                  <w14:solidFill>
                    <w14:schemeClr w14:val="tx1"/>
                  </w14:solidFill>
                </w14:textFill>
              </w:rPr>
              <w:t>以前在</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集合，逾期不</w:t>
            </w:r>
            <w:r>
              <w:rPr>
                <w:rFonts w:hint="eastAsia" w:ascii="仿宋" w:hAnsi="仿宋" w:eastAsia="仿宋" w:cs="仿宋"/>
                <w:color w:val="000000" w:themeColor="text1"/>
                <w:sz w:val="21"/>
                <w:szCs w:val="21"/>
                <w:highlight w:val="none"/>
                <w:lang w:eastAsia="zh-CN"/>
                <w14:textFill>
                  <w14:solidFill>
                    <w14:schemeClr w14:val="tx1"/>
                  </w14:solidFill>
                </w14:textFill>
              </w:rPr>
              <w:t>再</w:t>
            </w:r>
            <w:r>
              <w:rPr>
                <w:rFonts w:hint="eastAsia" w:ascii="仿宋" w:hAnsi="仿宋" w:eastAsia="仿宋" w:cs="仿宋"/>
                <w:color w:val="000000" w:themeColor="text1"/>
                <w:sz w:val="21"/>
                <w:szCs w:val="21"/>
                <w:highlight w:val="none"/>
                <w14:textFill>
                  <w14:solidFill>
                    <w14:schemeClr w14:val="tx1"/>
                  </w14:solidFill>
                </w14:textFill>
              </w:rPr>
              <w:t>组织踏勘。现场踏勘所发生的一切费用及安全责任由</w:t>
            </w:r>
            <w:r>
              <w:rPr>
                <w:rFonts w:hint="eastAsia" w:ascii="仿宋" w:hAnsi="仿宋" w:eastAsia="仿宋" w:cs="仿宋"/>
                <w:color w:val="000000" w:themeColor="text1"/>
                <w:sz w:val="21"/>
                <w:szCs w:val="21"/>
                <w:highlight w:val="none"/>
                <w:lang w:eastAsia="zh-CN"/>
                <w14:textFill>
                  <w14:solidFill>
                    <w14:schemeClr w14:val="tx1"/>
                  </w14:solidFill>
                </w14:textFill>
              </w:rPr>
              <w:t>投标人</w:t>
            </w:r>
            <w:r>
              <w:rPr>
                <w:rFonts w:hint="eastAsia" w:ascii="仿宋" w:hAnsi="仿宋" w:eastAsia="仿宋" w:cs="仿宋"/>
                <w:color w:val="000000" w:themeColor="text1"/>
                <w:sz w:val="21"/>
                <w:szCs w:val="21"/>
                <w:highlight w:val="none"/>
                <w14:textFill>
                  <w14:solidFill>
                    <w14:schemeClr w14:val="tx1"/>
                  </w14:solidFill>
                </w14:textFill>
              </w:rPr>
              <w:t>自行承担。</w:t>
            </w:r>
          </w:p>
          <w:p w14:paraId="34770F07">
            <w:pPr>
              <w:pStyle w:val="9"/>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现场</w:t>
            </w:r>
            <w:r>
              <w:rPr>
                <w:rFonts w:hint="eastAsia" w:ascii="仿宋" w:hAnsi="仿宋" w:eastAsia="仿宋" w:cs="仿宋"/>
                <w:color w:val="000000" w:themeColor="text1"/>
                <w:sz w:val="21"/>
                <w:szCs w:val="21"/>
                <w:highlight w:val="none"/>
                <w:lang w:val="zh-CN"/>
                <w14:textFill>
                  <w14:solidFill>
                    <w14:schemeClr w14:val="tx1"/>
                  </w14:solidFill>
                </w14:textFill>
              </w:rPr>
              <w:t>踏勘</w:t>
            </w:r>
            <w:r>
              <w:rPr>
                <w:rFonts w:hint="eastAsia" w:ascii="仿宋" w:hAnsi="仿宋" w:eastAsia="仿宋" w:cs="仿宋"/>
                <w:color w:val="000000" w:themeColor="text1"/>
                <w:sz w:val="21"/>
                <w:szCs w:val="21"/>
                <w:highlight w:val="none"/>
                <w:lang w:val="zh-CN" w:eastAsia="zh-CN"/>
                <w14:textFill>
                  <w14:solidFill>
                    <w14:schemeClr w14:val="tx1"/>
                  </w14:solidFill>
                </w14:textFill>
              </w:rPr>
              <w:t>包括勘查、测量、制平面图、咨询等，</w:t>
            </w:r>
            <w:r>
              <w:rPr>
                <w:rFonts w:hint="eastAsia" w:ascii="仿宋" w:hAnsi="仿宋" w:eastAsia="仿宋" w:cs="仿宋"/>
                <w:color w:val="000000" w:themeColor="text1"/>
                <w:sz w:val="21"/>
                <w:szCs w:val="21"/>
                <w:highlight w:val="none"/>
                <w:lang w:val="zh-CN"/>
                <w14:textFill>
                  <w14:solidFill>
                    <w14:schemeClr w14:val="tx1"/>
                  </w14:solidFill>
                </w14:textFill>
              </w:rPr>
              <w:t>踏勘</w:t>
            </w:r>
            <w:r>
              <w:rPr>
                <w:rFonts w:hint="eastAsia" w:ascii="仿宋" w:hAnsi="仿宋" w:eastAsia="仿宋" w:cs="仿宋"/>
                <w:color w:val="000000" w:themeColor="text1"/>
                <w:sz w:val="21"/>
                <w:szCs w:val="21"/>
                <w:highlight w:val="none"/>
                <w:lang w:val="zh-CN" w:eastAsia="zh-CN"/>
                <w14:textFill>
                  <w14:solidFill>
                    <w14:schemeClr w14:val="tx1"/>
                  </w14:solidFill>
                </w14:textFill>
              </w:rPr>
              <w:t>结果与招标</w:t>
            </w:r>
            <w:r>
              <w:rPr>
                <w:rFonts w:hint="eastAsia" w:ascii="仿宋" w:hAnsi="仿宋" w:eastAsia="仿宋" w:cs="仿宋"/>
                <w:color w:val="000000" w:themeColor="text1"/>
                <w:sz w:val="21"/>
                <w:szCs w:val="21"/>
                <w:highlight w:val="none"/>
                <w:lang w:val="en-US" w:eastAsia="zh-CN"/>
                <w14:textFill>
                  <w14:solidFill>
                    <w14:schemeClr w14:val="tx1"/>
                  </w14:solidFill>
                </w14:textFill>
              </w:rPr>
              <w:t>需求</w:t>
            </w:r>
            <w:r>
              <w:rPr>
                <w:rFonts w:hint="eastAsia" w:ascii="仿宋" w:hAnsi="仿宋" w:eastAsia="仿宋" w:cs="仿宋"/>
                <w:color w:val="000000" w:themeColor="text1"/>
                <w:sz w:val="21"/>
                <w:szCs w:val="21"/>
                <w:highlight w:val="none"/>
                <w:lang w:val="zh-CN" w:eastAsia="zh-CN"/>
                <w14:textFill>
                  <w14:solidFill>
                    <w14:schemeClr w14:val="tx1"/>
                  </w14:solidFill>
                </w14:textFill>
              </w:rPr>
              <w:t>相互补充、支撑共同形成工程完整方案。满足使用功能要求和标准，风险共担，不做调整和签证。</w:t>
            </w:r>
          </w:p>
          <w:p w14:paraId="73384FD8">
            <w:pPr>
              <w:pStyle w:val="9"/>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现场联系电话：</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p>
        </w:tc>
      </w:tr>
      <w:tr w14:paraId="01A1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41" w:type="dxa"/>
            <w:noWrap w:val="0"/>
            <w:vAlign w:val="center"/>
          </w:tcPr>
          <w:p w14:paraId="482355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开标前答疑会</w:t>
            </w:r>
          </w:p>
        </w:tc>
        <w:tc>
          <w:tcPr>
            <w:tcW w:w="7946" w:type="dxa"/>
            <w:noWrap w:val="0"/>
            <w:vAlign w:val="center"/>
          </w:tcPr>
          <w:p w14:paraId="52D3327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不召开</w:t>
            </w:r>
          </w:p>
          <w:p w14:paraId="60750C40">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召开，召开时间：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分</w:t>
            </w:r>
          </w:p>
          <w:p w14:paraId="14D75A9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召开地点：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tc>
      </w:tr>
      <w:tr w14:paraId="478F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41" w:type="dxa"/>
            <w:noWrap w:val="0"/>
            <w:vAlign w:val="center"/>
          </w:tcPr>
          <w:p w14:paraId="48AD2AD0">
            <w:pPr>
              <w:pStyle w:val="9"/>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w:t>
            </w:r>
            <w:r>
              <w:rPr>
                <w:rFonts w:hint="eastAsia" w:ascii="仿宋" w:hAnsi="仿宋" w:eastAsia="仿宋" w:cs="仿宋"/>
                <w:color w:val="auto"/>
                <w:sz w:val="21"/>
                <w:szCs w:val="21"/>
                <w:highlight w:val="none"/>
                <w:lang w:val="en-US" w:eastAsia="zh-CN"/>
              </w:rPr>
              <w:t>属于专门面向中小企业采购项目</w:t>
            </w:r>
          </w:p>
        </w:tc>
        <w:tc>
          <w:tcPr>
            <w:tcW w:w="7946" w:type="dxa"/>
            <w:noWrap w:val="0"/>
            <w:vAlign w:val="center"/>
          </w:tcPr>
          <w:p w14:paraId="5E48FF9C">
            <w:pPr>
              <w:pStyle w:val="9"/>
              <w:keepNext w:val="0"/>
              <w:keepLines w:val="0"/>
              <w:pageBreakBefore w:val="0"/>
              <w:widowControl w:val="0"/>
              <w:kinsoku/>
              <w:wordWrap w:val="0"/>
              <w:overflowPunct/>
              <w:topLinePunct/>
              <w:autoSpaceDE/>
              <w:autoSpaceDN/>
              <w:bidi w:val="0"/>
              <w:adjustRightInd/>
              <w:snapToGrid/>
              <w:spacing w:line="240" w:lineRule="auto"/>
              <w:ind w:left="0" w:right="0"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 xml:space="preserve">属于    </w:t>
            </w:r>
          </w:p>
          <w:p w14:paraId="1CECDF64">
            <w:pPr>
              <w:pStyle w:val="23"/>
              <w:keepNext w:val="0"/>
              <w:keepLines w:val="0"/>
              <w:pageBreakBefore w:val="0"/>
              <w:widowControl w:val="0"/>
              <w:kinsoku/>
              <w:wordWrap w:val="0"/>
              <w:overflowPunct/>
              <w:topLinePunct/>
              <w:autoSpaceDE/>
              <w:autoSpaceDN/>
              <w:bidi w:val="0"/>
              <w:adjustRightInd/>
              <w:snapToGrid/>
              <w:spacing w:after="0" w:line="240" w:lineRule="auto"/>
              <w:ind w:left="0" w:right="0" w:rightChars="0" w:firstLine="422"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0A1FC6C">
            <w:pPr>
              <w:pStyle w:val="23"/>
              <w:keepNext w:val="0"/>
              <w:keepLines w:val="0"/>
              <w:pageBreakBefore w:val="0"/>
              <w:widowControl w:val="0"/>
              <w:kinsoku/>
              <w:wordWrap w:val="0"/>
              <w:overflowPunct/>
              <w:topLinePunct/>
              <w:autoSpaceDE/>
              <w:autoSpaceDN/>
              <w:bidi w:val="0"/>
              <w:adjustRightInd/>
              <w:snapToGrid/>
              <w:spacing w:after="0" w:line="240" w:lineRule="auto"/>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w:t>
            </w:r>
            <w:r>
              <w:rPr>
                <w:rFonts w:hint="eastAsia" w:ascii="仿宋" w:hAnsi="仿宋" w:eastAsia="仿宋" w:cs="仿宋"/>
                <w:bCs/>
                <w:color w:val="auto"/>
                <w:sz w:val="21"/>
                <w:szCs w:val="21"/>
                <w:highlight w:val="none"/>
                <w:lang w:val="en-US" w:eastAsia="zh-CN"/>
              </w:rPr>
              <w:t>属于</w:t>
            </w:r>
          </w:p>
          <w:p w14:paraId="691A8E00">
            <w:pPr>
              <w:pStyle w:val="23"/>
              <w:keepNext w:val="0"/>
              <w:keepLines w:val="0"/>
              <w:pageBreakBefore w:val="0"/>
              <w:widowControl w:val="0"/>
              <w:kinsoku/>
              <w:wordWrap w:val="0"/>
              <w:overflowPunct/>
              <w:topLinePunct/>
              <w:autoSpaceDE/>
              <w:autoSpaceDN/>
              <w:bidi w:val="0"/>
              <w:adjustRightInd/>
              <w:snapToGrid/>
              <w:spacing w:after="0" w:line="240" w:lineRule="auto"/>
              <w:ind w:left="0" w:right="0" w:rightChars="0" w:firstLine="422" w:firstLineChars="200"/>
              <w:contextualSpacing/>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eastAsia="zh-CN"/>
              </w:rPr>
              <w:t>小微企业价格扣除优惠比例：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10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tc>
      </w:tr>
      <w:tr w14:paraId="6FBF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41" w:type="dxa"/>
            <w:noWrap w:val="0"/>
            <w:vAlign w:val="center"/>
          </w:tcPr>
          <w:p w14:paraId="37114B9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rPr>
              <w:t>落实政府采购政策</w:t>
            </w:r>
          </w:p>
        </w:tc>
        <w:tc>
          <w:tcPr>
            <w:tcW w:w="7946" w:type="dxa"/>
            <w:noWrap w:val="0"/>
            <w:vAlign w:val="center"/>
          </w:tcPr>
          <w:p w14:paraId="7B089E23">
            <w:pPr>
              <w:pStyle w:val="23"/>
              <w:keepNext w:val="0"/>
              <w:keepLines w:val="0"/>
              <w:pageBreakBefore w:val="0"/>
              <w:widowControl w:val="0"/>
              <w:kinsoku/>
              <w:wordWrap w:val="0"/>
              <w:overflowPunct/>
              <w:topLinePunct/>
              <w:autoSpaceDE/>
              <w:autoSpaceDN/>
              <w:bidi w:val="0"/>
              <w:adjustRightInd/>
              <w:snapToGrid/>
              <w:spacing w:after="0" w:line="350" w:lineRule="exact"/>
              <w:ind w:left="0" w:leftChars="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lang w:val="en-US" w:eastAsia="zh-CN"/>
              </w:rPr>
            </w:pPr>
            <w:r>
              <w:rPr>
                <w:rFonts w:hint="eastAsia" w:ascii="仿宋" w:hAnsi="仿宋" w:eastAsia="仿宋" w:cs="仿宋"/>
                <w:b/>
                <w:bCs w:val="0"/>
                <w:color w:val="auto"/>
                <w:sz w:val="21"/>
                <w:szCs w:val="21"/>
                <w:highlight w:val="none"/>
                <w:lang w:val="en-US" w:eastAsia="zh-CN"/>
              </w:rPr>
              <w:t>一、</w:t>
            </w:r>
            <w:r>
              <w:rPr>
                <w:rFonts w:hint="eastAsia" w:ascii="仿宋" w:hAnsi="仿宋" w:eastAsia="仿宋" w:cs="仿宋"/>
                <w:b/>
                <w:bCs/>
                <w:snapToGrid w:val="0"/>
                <w:color w:val="auto"/>
                <w:kern w:val="0"/>
                <w:sz w:val="21"/>
                <w:szCs w:val="21"/>
                <w:highlight w:val="none"/>
                <w:lang w:val="en-US" w:eastAsia="zh-CN"/>
              </w:rPr>
              <w:t>中小企业价格扣除评分优惠政策</w:t>
            </w:r>
          </w:p>
          <w:p w14:paraId="3C195EBF">
            <w:pPr>
              <w:pStyle w:val="23"/>
              <w:keepNext w:val="0"/>
              <w:keepLines w:val="0"/>
              <w:pageBreakBefore w:val="0"/>
              <w:widowControl w:val="0"/>
              <w:kinsoku/>
              <w:wordWrap w:val="0"/>
              <w:overflowPunct/>
              <w:topLinePunct/>
              <w:autoSpaceDE/>
              <w:autoSpaceDN/>
              <w:bidi w:val="0"/>
              <w:adjustRightInd/>
              <w:snapToGrid/>
              <w:spacing w:after="0" w:line="350" w:lineRule="exac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snapToGrid w:val="0"/>
                <w:color w:val="auto"/>
                <w:kern w:val="0"/>
                <w:sz w:val="21"/>
                <w:szCs w:val="21"/>
                <w:highlight w:val="none"/>
                <w:lang w:val="en-US" w:eastAsia="zh-CN"/>
              </w:rPr>
              <w:t>。</w:t>
            </w:r>
          </w:p>
          <w:p w14:paraId="526D91AE">
            <w:pPr>
              <w:pStyle w:val="23"/>
              <w:keepNext w:val="0"/>
              <w:keepLines w:val="0"/>
              <w:pageBreakBefore w:val="0"/>
              <w:widowControl w:val="0"/>
              <w:kinsoku/>
              <w:wordWrap w:val="0"/>
              <w:overflowPunct/>
              <w:topLinePunct/>
              <w:autoSpaceDE/>
              <w:autoSpaceDN/>
              <w:bidi w:val="0"/>
              <w:adjustRightInd/>
              <w:snapToGrid/>
              <w:spacing w:after="0" w:line="350" w:lineRule="exac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1BA6B36C">
            <w:pPr>
              <w:keepNext w:val="0"/>
              <w:keepLines w:val="0"/>
              <w:pageBreakBefore w:val="0"/>
              <w:widowControl w:val="0"/>
              <w:kinsoku/>
              <w:wordWrap w:val="0"/>
              <w:overflowPunct/>
              <w:topLinePunct/>
              <w:autoSpaceDE/>
              <w:autoSpaceDN/>
              <w:bidi w:val="0"/>
              <w:adjustRightInd/>
              <w:snapToGrid/>
              <w:spacing w:line="350" w:lineRule="exact"/>
              <w:ind w:left="0" w:right="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w:t>
            </w:r>
          </w:p>
          <w:p w14:paraId="44B1472F">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①中小企业提供《中小企业声明函》时，标的名称须根据本次采购标的名称逐项填写。</w:t>
            </w:r>
          </w:p>
          <w:p w14:paraId="6CCF6614">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②投标人提供声明函内容不实的，属于提供虚假材料谋取中标、成交，依照《中华人民共和国政府采购法》等国家有关规定追究相应责任。</w:t>
            </w:r>
          </w:p>
          <w:p w14:paraId="1676F377">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③中标人享受本办法（财库〔2020〕46号）规定的中小企业扶持政策的，采购代理机构随中标结果公开中标人的《中小企业声明函》，接受社会监督。</w:t>
            </w:r>
          </w:p>
          <w:p w14:paraId="5407FFAE">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、监狱企业价格扣除评分优惠政策</w:t>
            </w:r>
          </w:p>
          <w:p w14:paraId="6D42000B">
            <w:pPr>
              <w:keepNext w:val="0"/>
              <w:keepLines w:val="0"/>
              <w:pageBreakBefore w:val="0"/>
              <w:widowControl w:val="0"/>
              <w:kinsoku/>
              <w:wordWrap w:val="0"/>
              <w:overflowPunct/>
              <w:topLinePunct/>
              <w:autoSpaceDE/>
              <w:autoSpaceDN/>
              <w:bidi w:val="0"/>
              <w:adjustRightInd/>
              <w:snapToGrid/>
              <w:spacing w:line="350" w:lineRule="exac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2B68B6BD">
            <w:pPr>
              <w:pStyle w:val="23"/>
              <w:keepNext w:val="0"/>
              <w:keepLines w:val="0"/>
              <w:pageBreakBefore w:val="0"/>
              <w:widowControl w:val="0"/>
              <w:kinsoku/>
              <w:wordWrap w:val="0"/>
              <w:overflowPunct/>
              <w:topLinePunct/>
              <w:autoSpaceDE/>
              <w:autoSpaceDN/>
              <w:bidi w:val="0"/>
              <w:adjustRightInd/>
              <w:snapToGrid/>
              <w:spacing w:after="0" w:line="350" w:lineRule="exac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投标人如属残疾人福利性单位，产品价格需扣除的，须按照关于促进残疾人就业政府采购政策的通知（财库〔2017〕141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3EB0BD4A">
            <w:pPr>
              <w:pStyle w:val="23"/>
              <w:keepNext w:val="0"/>
              <w:keepLines w:val="0"/>
              <w:pageBreakBefore w:val="0"/>
              <w:widowControl w:val="0"/>
              <w:kinsoku/>
              <w:wordWrap w:val="0"/>
              <w:overflowPunct/>
              <w:topLinePunct/>
              <w:autoSpaceDE/>
              <w:autoSpaceDN/>
              <w:bidi w:val="0"/>
              <w:adjustRightInd/>
              <w:snapToGrid/>
              <w:spacing w:after="0" w:line="350" w:lineRule="exact"/>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注：监狱企业参加政府采购活动时，应当提供由省级以上监狱管理局、戒毒管理局（含新疆生产建设兵团）出具的属于监狱企业的证明文件。</w:t>
            </w:r>
          </w:p>
          <w:p w14:paraId="440D9EB9">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、残疾人福利性单位价格扣除优惠政策</w:t>
            </w:r>
          </w:p>
          <w:p w14:paraId="4A5DA939">
            <w:pPr>
              <w:keepNext w:val="0"/>
              <w:keepLines w:val="0"/>
              <w:pageBreakBefore w:val="0"/>
              <w:widowControl w:val="0"/>
              <w:kinsoku/>
              <w:wordWrap w:val="0"/>
              <w:overflowPunct/>
              <w:topLinePunct/>
              <w:autoSpaceDE/>
              <w:autoSpaceDN/>
              <w:bidi w:val="0"/>
              <w:adjustRightInd/>
              <w:snapToGrid/>
              <w:spacing w:line="35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01068749">
            <w:pPr>
              <w:pStyle w:val="23"/>
              <w:keepNext w:val="0"/>
              <w:keepLines w:val="0"/>
              <w:pageBreakBefore w:val="0"/>
              <w:widowControl w:val="0"/>
              <w:numPr>
                <w:ilvl w:val="0"/>
                <w:numId w:val="0"/>
              </w:numPr>
              <w:kinsoku/>
              <w:wordWrap w:val="0"/>
              <w:overflowPunct/>
              <w:topLinePunct/>
              <w:autoSpaceDE/>
              <w:autoSpaceDN/>
              <w:bidi w:val="0"/>
              <w:adjustRightInd/>
              <w:snapToGrid/>
              <w:spacing w:after="0" w:line="350" w:lineRule="exac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若投标人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7387510E">
            <w:pPr>
              <w:pStyle w:val="23"/>
              <w:keepNext w:val="0"/>
              <w:keepLines w:val="0"/>
              <w:pageBreakBefore w:val="0"/>
              <w:widowControl w:val="0"/>
              <w:numPr>
                <w:ilvl w:val="0"/>
                <w:numId w:val="0"/>
              </w:numPr>
              <w:kinsoku/>
              <w:wordWrap w:val="0"/>
              <w:overflowPunct/>
              <w:topLinePunct/>
              <w:autoSpaceDE/>
              <w:autoSpaceDN/>
              <w:bidi w:val="0"/>
              <w:adjustRightInd/>
              <w:snapToGrid/>
              <w:spacing w:after="0" w:line="350" w:lineRule="exact"/>
              <w:ind w:left="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仿宋" w:hAnsi="仿宋" w:eastAsia="仿宋" w:cs="仿宋"/>
                <w:snapToGrid w:val="0"/>
                <w:color w:val="auto"/>
                <w:kern w:val="0"/>
                <w:sz w:val="21"/>
                <w:szCs w:val="21"/>
                <w:highlight w:val="none"/>
                <w:lang w:val="en-US" w:eastAsia="zh-CN" w:bidi="ar-SA"/>
              </w:rPr>
              <w:t>。</w:t>
            </w:r>
          </w:p>
          <w:p w14:paraId="70B1D8CF">
            <w:pPr>
              <w:pageBreakBefore w:val="0"/>
              <w:overflowPunct/>
              <w:bidi w:val="0"/>
              <w:spacing w:line="350" w:lineRule="exact"/>
              <w:ind w:firstLine="211" w:firstLineChars="100"/>
              <w:rPr>
                <w:rFonts w:hint="default" w:ascii="仿宋" w:hAnsi="仿宋" w:eastAsia="仿宋" w:cs="仿宋"/>
                <w:b/>
                <w:bCs/>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w:t>
            </w:r>
            <w:r>
              <w:rPr>
                <w:rFonts w:hint="eastAsia" w:ascii="仿宋" w:hAnsi="仿宋" w:eastAsia="仿宋" w:cs="仿宋"/>
                <w:b/>
                <w:bCs/>
                <w:color w:val="auto"/>
                <w:sz w:val="21"/>
                <w:szCs w:val="21"/>
                <w:highlight w:val="none"/>
                <w:u w:val="none"/>
              </w:rPr>
              <w:t>监狱企业</w:t>
            </w:r>
            <w:r>
              <w:rPr>
                <w:rFonts w:hint="eastAsia" w:ascii="仿宋" w:hAnsi="仿宋" w:eastAsia="仿宋" w:cs="仿宋"/>
                <w:b/>
                <w:bCs/>
                <w:color w:val="auto"/>
                <w:sz w:val="21"/>
                <w:szCs w:val="21"/>
                <w:highlight w:val="none"/>
                <w:u w:val="none"/>
                <w:lang w:eastAsia="zh-CN"/>
              </w:rPr>
              <w:t>、</w:t>
            </w:r>
            <w:r>
              <w:rPr>
                <w:rFonts w:hint="eastAsia" w:ascii="仿宋" w:hAnsi="仿宋" w:eastAsia="仿宋" w:cs="仿宋"/>
                <w:b/>
                <w:bCs/>
                <w:snapToGrid w:val="0"/>
                <w:color w:val="auto"/>
                <w:kern w:val="0"/>
                <w:sz w:val="21"/>
                <w:szCs w:val="21"/>
                <w:highlight w:val="none"/>
                <w:u w:val="none"/>
                <w:lang w:val="en-US" w:eastAsia="zh-CN"/>
              </w:rPr>
              <w:t>残疾人福利性单位属于小型、微型企业的，不重复享受政策。</w:t>
            </w:r>
          </w:p>
          <w:p w14:paraId="0FA27594">
            <w:pPr>
              <w:pageBreakBefore w:val="0"/>
              <w:overflowPunct/>
              <w:bidi w:val="0"/>
              <w:spacing w:line="350" w:lineRule="exact"/>
              <w:ind w:firstLine="211" w:firstLineChars="100"/>
              <w:rPr>
                <w:rFonts w:hint="eastAsia" w:ascii="仿宋" w:hAnsi="仿宋" w:eastAsia="仿宋" w:cs="仿宋"/>
                <w:b/>
                <w:color w:val="000000"/>
                <w:highlight w:val="none"/>
              </w:rPr>
            </w:pPr>
            <w:r>
              <w:rPr>
                <w:rFonts w:hint="eastAsia" w:ascii="仿宋" w:hAnsi="仿宋" w:eastAsia="仿宋" w:cs="仿宋"/>
                <w:b/>
                <w:bCs/>
                <w:snapToGrid w:val="0"/>
                <w:color w:val="auto"/>
                <w:kern w:val="0"/>
                <w:sz w:val="21"/>
                <w:szCs w:val="21"/>
                <w:highlight w:val="none"/>
                <w:lang w:val="en-US" w:eastAsia="zh-CN" w:bidi="ar-SA"/>
              </w:rPr>
              <w:t>四、</w:t>
            </w:r>
            <w:r>
              <w:rPr>
                <w:rFonts w:hint="eastAsia" w:ascii="仿宋" w:hAnsi="仿宋" w:eastAsia="仿宋" w:cs="仿宋"/>
                <w:b/>
                <w:color w:val="000000"/>
                <w:highlight w:val="none"/>
              </w:rPr>
              <w:t>对符合本国产品标准的产品给予价格扣除评分优惠政策</w:t>
            </w:r>
          </w:p>
          <w:p w14:paraId="1E6EC2EE">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spacing w:val="0"/>
                <w:kern w:val="0"/>
                <w:position w:val="0"/>
                <w:sz w:val="21"/>
                <w:szCs w:val="21"/>
                <w:highlight w:val="none"/>
                <w:lang w:val="en-US" w:eastAsia="zh-CN"/>
              </w:rPr>
            </w:pPr>
            <w:r>
              <w:rPr>
                <w:rFonts w:hint="eastAsia" w:ascii="仿宋" w:hAnsi="仿宋" w:eastAsia="仿宋" w:cs="仿宋"/>
                <w:snapToGrid w:val="0"/>
                <w:color w:val="auto"/>
                <w:spacing w:val="0"/>
                <w:kern w:val="0"/>
                <w:position w:val="0"/>
                <w:sz w:val="21"/>
                <w:szCs w:val="21"/>
                <w:highlight w:val="none"/>
                <w:lang w:val="en-US" w:eastAsia="zh-CN"/>
              </w:rPr>
              <w:t>按照国办发〔2025〕34号《国务院办公厅关于在政府采购中实施本国产品标准及相关政策的通知》的规定提供《关于符合本国产品标准的声明函》，否则评审时不予承认。</w:t>
            </w:r>
          </w:p>
          <w:p w14:paraId="1C43C747">
            <w:pPr>
              <w:keepNext w:val="0"/>
              <w:keepLines w:val="0"/>
              <w:pageBreakBefore w:val="0"/>
              <w:widowControl w:val="0"/>
              <w:kinsoku/>
              <w:wordWrap w:val="0"/>
              <w:overflowPunct/>
              <w:topLinePunct/>
              <w:autoSpaceDE/>
              <w:autoSpaceDN/>
              <w:bidi w:val="0"/>
              <w:adjustRightInd/>
              <w:snapToGrid/>
              <w:spacing w:line="20" w:lineRule="atLeast"/>
              <w:ind w:left="0" w:right="0"/>
              <w:jc w:val="left"/>
              <w:textAlignment w:val="auto"/>
              <w:rPr>
                <w:rFonts w:hint="eastAsia" w:ascii="仿宋" w:hAnsi="仿宋" w:eastAsia="仿宋" w:cs="仿宋"/>
                <w:b/>
                <w:bCs/>
                <w:color w:val="auto"/>
                <w:spacing w:val="0"/>
                <w:position w:val="0"/>
                <w:sz w:val="21"/>
                <w:szCs w:val="21"/>
                <w:highlight w:val="none"/>
                <w:lang w:val="en-US" w:eastAsia="zh-CN"/>
              </w:rPr>
            </w:pPr>
            <w:r>
              <w:rPr>
                <w:rFonts w:hint="eastAsia" w:ascii="仿宋" w:hAnsi="仿宋" w:eastAsia="仿宋" w:cs="仿宋"/>
                <w:b/>
                <w:bCs/>
                <w:color w:val="auto"/>
                <w:spacing w:val="0"/>
                <w:position w:val="0"/>
                <w:sz w:val="21"/>
                <w:szCs w:val="21"/>
                <w:highlight w:val="none"/>
                <w:lang w:val="en-US" w:eastAsia="zh-CN"/>
              </w:rPr>
              <w:t>注：</w:t>
            </w:r>
          </w:p>
          <w:p w14:paraId="1F003F36">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pacing w:val="0"/>
                <w:position w:val="0"/>
                <w:sz w:val="21"/>
                <w:szCs w:val="21"/>
                <w:highlight w:val="none"/>
                <w:lang w:val="en-US" w:eastAsia="zh-CN"/>
              </w:rPr>
            </w:pPr>
            <w:r>
              <w:rPr>
                <w:rFonts w:hint="eastAsia" w:ascii="仿宋" w:hAnsi="仿宋" w:eastAsia="仿宋" w:cs="仿宋"/>
                <w:b/>
                <w:bCs/>
                <w:color w:val="auto"/>
                <w:spacing w:val="0"/>
                <w:position w:val="0"/>
                <w:sz w:val="21"/>
                <w:szCs w:val="21"/>
                <w:highlight w:val="none"/>
                <w:lang w:val="en-US" w:eastAsia="zh-CN"/>
              </w:rPr>
              <w:t>①供应商提供声明函内容不实的，属于提供虚假材料谋取中标、成交，依照《中华人民共和国政府采购法》等国家有关规定追究相应责任。</w:t>
            </w:r>
          </w:p>
          <w:p w14:paraId="390A8EFE">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b/>
                <w:bCs/>
                <w:color w:val="auto"/>
                <w:spacing w:val="0"/>
                <w:position w:val="0"/>
                <w:sz w:val="21"/>
                <w:szCs w:val="21"/>
                <w:highlight w:val="none"/>
                <w:lang w:val="en-US" w:eastAsia="zh-CN"/>
              </w:rPr>
            </w:pPr>
            <w:r>
              <w:rPr>
                <w:rFonts w:hint="eastAsia" w:ascii="仿宋" w:hAnsi="仿宋" w:eastAsia="仿宋" w:cs="仿宋"/>
                <w:b/>
                <w:bCs/>
                <w:color w:val="auto"/>
                <w:spacing w:val="0"/>
                <w:position w:val="0"/>
                <w:sz w:val="21"/>
                <w:szCs w:val="21"/>
                <w:highlight w:val="none"/>
                <w:lang w:val="en-US" w:eastAsia="zh-CN"/>
              </w:rPr>
              <w:t>②中标人享受本办法（国办发〔2025〕34号）规定的扶持政策的，采购代理机构随中标结果公开中标人的《关于符合本国产品标准的声明函》，接受社会监督。</w:t>
            </w:r>
          </w:p>
          <w:p w14:paraId="2E2F7FEF">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五</w:t>
            </w:r>
            <w:r>
              <w:rPr>
                <w:rFonts w:hint="eastAsia" w:ascii="仿宋" w:hAnsi="仿宋" w:eastAsia="仿宋" w:cs="仿宋"/>
                <w:b/>
                <w:color w:val="auto"/>
                <w:sz w:val="21"/>
                <w:szCs w:val="21"/>
                <w:highlight w:val="none"/>
              </w:rPr>
              <w:t>、节能产品、环境标志产品</w:t>
            </w:r>
          </w:p>
          <w:p w14:paraId="0BFD78B4">
            <w:pPr>
              <w:keepNext w:val="0"/>
              <w:keepLines w:val="0"/>
              <w:pageBreakBefore w:val="0"/>
              <w:widowControl w:val="0"/>
              <w:kinsoku/>
              <w:wordWrap w:val="0"/>
              <w:overflowPunct/>
              <w:topLinePunct/>
              <w:autoSpaceDE/>
              <w:autoSpaceDN/>
              <w:bidi w:val="0"/>
              <w:adjustRightInd/>
              <w:snapToGrid/>
              <w:spacing w:line="350" w:lineRule="exac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是否适用于本项目：</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p>
          <w:p w14:paraId="758A34BD">
            <w:pPr>
              <w:keepNext w:val="0"/>
              <w:keepLines w:val="0"/>
              <w:pageBreakBefore w:val="0"/>
              <w:widowControl w:val="0"/>
              <w:kinsoku/>
              <w:wordWrap w:val="0"/>
              <w:overflowPunct/>
              <w:topLinePunct/>
              <w:autoSpaceDE/>
              <w:autoSpaceDN/>
              <w:bidi w:val="0"/>
              <w:adjustRightInd/>
              <w:snapToGrid/>
              <w:spacing w:line="350" w:lineRule="exac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仿宋" w:hAnsi="仿宋" w:eastAsia="仿宋" w:cs="仿宋"/>
                <w:bCs/>
                <w:color w:val="auto"/>
                <w:sz w:val="21"/>
                <w:szCs w:val="21"/>
                <w:highlight w:val="none"/>
                <w:lang w:val="en-US" w:eastAsia="zh-CN"/>
              </w:rPr>
              <w:t>商务</w:t>
            </w:r>
            <w:r>
              <w:rPr>
                <w:rFonts w:hint="eastAsia" w:ascii="仿宋" w:hAnsi="仿宋" w:eastAsia="仿宋" w:cs="仿宋"/>
                <w:bCs/>
                <w:color w:val="auto"/>
                <w:sz w:val="21"/>
                <w:szCs w:val="21"/>
                <w:highlight w:val="none"/>
              </w:rPr>
              <w:t>评分时给予对应的</w:t>
            </w:r>
            <w:r>
              <w:rPr>
                <w:rFonts w:hint="eastAsia" w:ascii="仿宋" w:hAnsi="仿宋" w:eastAsia="仿宋" w:cs="仿宋"/>
                <w:bCs/>
                <w:color w:val="auto"/>
                <w:sz w:val="21"/>
                <w:szCs w:val="21"/>
                <w:highlight w:val="none"/>
                <w:lang w:val="en-US" w:eastAsia="zh-CN"/>
              </w:rPr>
              <w:t>加分</w:t>
            </w:r>
            <w:r>
              <w:rPr>
                <w:rFonts w:hint="eastAsia" w:ascii="仿宋" w:hAnsi="仿宋" w:eastAsia="仿宋" w:cs="仿宋"/>
                <w:bCs/>
                <w:color w:val="auto"/>
                <w:sz w:val="21"/>
                <w:szCs w:val="21"/>
                <w:highlight w:val="none"/>
              </w:rPr>
              <w:t>（若项目需求及技术要求为政府强制采购产品，则不再对节能进行评审价格的扣除）。</w:t>
            </w:r>
          </w:p>
          <w:p w14:paraId="79C9E33E">
            <w:pPr>
              <w:keepNext w:val="0"/>
              <w:keepLines w:val="0"/>
              <w:pageBreakBefore w:val="0"/>
              <w:widowControl w:val="0"/>
              <w:kinsoku/>
              <w:wordWrap w:val="0"/>
              <w:overflowPunct/>
              <w:topLinePunct/>
              <w:autoSpaceDE/>
              <w:autoSpaceDN/>
              <w:bidi w:val="0"/>
              <w:adjustRightInd/>
              <w:snapToGrid/>
              <w:spacing w:line="350" w:lineRule="exac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节能产品、环境标志产品清单可通过中国政府采购网（http://www.ccgp.gov.cn/）、国家发展改革委网站（http://hzs.ndrc.gov.cn/）查阅、下载；</w:t>
            </w:r>
            <w:r>
              <w:rPr>
                <w:rFonts w:hint="eastAsia" w:ascii="仿宋" w:hAnsi="仿宋" w:eastAsia="仿宋" w:cs="仿宋"/>
                <w:bCs/>
                <w:color w:val="auto"/>
                <w:sz w:val="21"/>
                <w:szCs w:val="21"/>
                <w:highlight w:val="none"/>
                <w:lang w:eastAsia="zh-CN"/>
              </w:rPr>
              <w:t>生态环境部</w:t>
            </w:r>
            <w:r>
              <w:rPr>
                <w:rFonts w:hint="eastAsia" w:ascii="仿宋" w:hAnsi="仿宋" w:eastAsia="仿宋" w:cs="仿宋"/>
                <w:bCs/>
                <w:color w:val="auto"/>
                <w:sz w:val="21"/>
                <w:szCs w:val="21"/>
                <w:highlight w:val="none"/>
              </w:rPr>
              <w:t>网（http://www.sepa.gov.cn/）查阅、下载。</w:t>
            </w:r>
          </w:p>
          <w:p w14:paraId="45B4614F">
            <w:pPr>
              <w:keepNext w:val="0"/>
              <w:keepLines w:val="0"/>
              <w:pageBreakBefore w:val="0"/>
              <w:widowControl w:val="0"/>
              <w:kinsoku/>
              <w:wordWrap w:val="0"/>
              <w:overflowPunct/>
              <w:topLinePunct/>
              <w:autoSpaceDE/>
              <w:autoSpaceDN/>
              <w:bidi w:val="0"/>
              <w:adjustRightInd/>
              <w:snapToGrid/>
              <w:spacing w:line="350" w:lineRule="exac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六</w:t>
            </w:r>
            <w:r>
              <w:rPr>
                <w:rFonts w:hint="eastAsia" w:ascii="仿宋" w:hAnsi="仿宋" w:eastAsia="仿宋" w:cs="仿宋"/>
                <w:b/>
                <w:bCs/>
                <w:color w:val="auto"/>
                <w:sz w:val="21"/>
                <w:szCs w:val="21"/>
                <w:highlight w:val="none"/>
              </w:rPr>
              <w:t>、强制采购节能产品</w:t>
            </w:r>
            <w:r>
              <w:rPr>
                <w:rFonts w:hint="eastAsia" w:ascii="仿宋" w:hAnsi="仿宋" w:eastAsia="仿宋" w:cs="仿宋"/>
                <w:b/>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bCs/>
                <w:color w:val="auto"/>
                <w:sz w:val="21"/>
                <w:szCs w:val="21"/>
                <w:highlight w:val="none"/>
                <w:lang w:eastAsia="zh-CN"/>
              </w:rPr>
              <w:t>。</w:t>
            </w:r>
          </w:p>
          <w:p w14:paraId="1CB5CC26">
            <w:pPr>
              <w:pStyle w:val="23"/>
              <w:keepNext w:val="0"/>
              <w:keepLines w:val="0"/>
              <w:pageBreakBefore w:val="0"/>
              <w:widowControl w:val="0"/>
              <w:kinsoku/>
              <w:wordWrap w:val="0"/>
              <w:overflowPunct/>
              <w:topLinePunct/>
              <w:autoSpaceDE/>
              <w:autoSpaceDN/>
              <w:bidi w:val="0"/>
              <w:adjustRightInd/>
              <w:snapToGrid/>
              <w:spacing w:after="0" w:line="350" w:lineRule="exact"/>
              <w:ind w:left="0" w:leftChars="0" w:right="0" w:rightChars="0" w:firstLine="420" w:firstLineChars="200"/>
              <w:contextualSpacing/>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205D8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5" w:hRule="atLeast"/>
          <w:jc w:val="center"/>
        </w:trPr>
        <w:tc>
          <w:tcPr>
            <w:tcW w:w="1941" w:type="dxa"/>
            <w:noWrap w:val="0"/>
            <w:vAlign w:val="center"/>
          </w:tcPr>
          <w:p w14:paraId="705AA8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标的所属行业</w:t>
            </w:r>
          </w:p>
        </w:tc>
        <w:tc>
          <w:tcPr>
            <w:tcW w:w="7946" w:type="dxa"/>
            <w:noWrap w:val="0"/>
            <w:vAlign w:val="center"/>
          </w:tcPr>
          <w:p w14:paraId="4A785CB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10" w:firstLineChars="1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本项目采购标的对应的中小企业划分标准所属行业。</w:t>
            </w:r>
            <w:r>
              <w:rPr>
                <w:rFonts w:hint="eastAsia" w:ascii="仿宋" w:hAnsi="仿宋" w:eastAsia="仿宋" w:cs="仿宋"/>
                <w:b w:val="0"/>
                <w:bCs/>
                <w:color w:val="auto"/>
                <w:sz w:val="21"/>
                <w:szCs w:val="21"/>
                <w:highlight w:val="none"/>
                <w:lang w:val="en-US" w:eastAsia="zh-CN"/>
              </w:rPr>
              <w:t>符合条件的投标人根据下表内容填写《中小企业声明函》</w:t>
            </w:r>
            <w:r>
              <w:rPr>
                <w:rFonts w:hint="eastAsia" w:ascii="仿宋" w:hAnsi="仿宋" w:eastAsia="仿宋" w:cs="仿宋"/>
                <w:color w:val="auto"/>
                <w:sz w:val="21"/>
                <w:szCs w:val="21"/>
                <w:highlight w:val="none"/>
                <w:lang w:val="en-US" w:eastAsia="zh-CN"/>
              </w:rPr>
              <w:t xml:space="preserve">：  </w:t>
            </w:r>
          </w:p>
          <w:tbl>
            <w:tblPr>
              <w:tblStyle w:val="16"/>
              <w:tblW w:w="7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4004"/>
              <w:gridCol w:w="2906"/>
            </w:tblGrid>
            <w:tr w14:paraId="1D76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7910F49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标项</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5E6B730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default" w:ascii="仿宋" w:hAnsi="仿宋" w:eastAsia="仿宋" w:cs="仿宋"/>
                      <w:b/>
                      <w:bCs/>
                      <w:color w:val="auto"/>
                      <w:sz w:val="21"/>
                      <w:szCs w:val="21"/>
                      <w:highlight w:val="none"/>
                      <w:lang w:val="en-US" w:eastAsia="zh-CN"/>
                    </w:rPr>
                    <w:t>标的名称</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2CAB9A5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中小企业划分标准所属行业</w:t>
                  </w:r>
                </w:p>
              </w:tc>
            </w:tr>
            <w:tr w14:paraId="7531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6EB92024">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28FA8D5C">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电子十二指肠镜系统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692DF39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bl>
          <w:p w14:paraId="53C013D3">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val="en-US" w:eastAsia="zh-CN"/>
              </w:rPr>
            </w:pPr>
          </w:p>
        </w:tc>
      </w:tr>
      <w:tr w14:paraId="4487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41" w:type="dxa"/>
            <w:noWrap w:val="0"/>
            <w:vAlign w:val="center"/>
          </w:tcPr>
          <w:p w14:paraId="66DB63DE">
            <w:pPr>
              <w:pStyle w:val="24"/>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b w:val="0"/>
                <w:bCs w:val="0"/>
                <w:color w:val="auto"/>
                <w:sz w:val="21"/>
                <w:szCs w:val="21"/>
                <w:highlight w:val="none"/>
                <w:lang w:val="en-US"/>
              </w:rPr>
              <w:t>政府采购活动中中小企业的判定</w:t>
            </w:r>
          </w:p>
        </w:tc>
        <w:tc>
          <w:tcPr>
            <w:tcW w:w="7946" w:type="dxa"/>
            <w:noWrap w:val="0"/>
            <w:vAlign w:val="center"/>
          </w:tcPr>
          <w:p w14:paraId="2F4E5FC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一、</w:t>
            </w:r>
            <w:r>
              <w:rPr>
                <w:rFonts w:hint="eastAsia" w:ascii="仿宋" w:hAnsi="仿宋" w:eastAsia="仿宋" w:cs="仿宋"/>
                <w:b/>
                <w:bCs/>
                <w:color w:val="auto"/>
                <w:sz w:val="21"/>
                <w:szCs w:val="21"/>
                <w:highlight w:val="none"/>
                <w:lang w:val="en-US"/>
              </w:rPr>
              <w:t>可以判别为中小企业的情形</w:t>
            </w:r>
          </w:p>
          <w:p w14:paraId="75B6A52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b w:val="0"/>
                <w:bCs w:val="0"/>
                <w:color w:val="auto"/>
                <w:sz w:val="21"/>
                <w:szCs w:val="21"/>
                <w:highlight w:val="none"/>
                <w:u w:val="none"/>
                <w:lang w:val="en-US"/>
              </w:rPr>
              <w:t>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中小企业制造，</w:t>
            </w:r>
            <w:r>
              <w:rPr>
                <w:rFonts w:hint="eastAsia" w:ascii="仿宋" w:hAnsi="仿宋" w:eastAsia="仿宋" w:cs="仿宋"/>
                <w:b w:val="0"/>
                <w:bCs w:val="0"/>
                <w:color w:val="auto"/>
                <w:sz w:val="21"/>
                <w:szCs w:val="21"/>
                <w:highlight w:val="none"/>
                <w:u w:val="none"/>
                <w:lang w:val="en-US"/>
              </w:rPr>
              <w:t>即货物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中小企业生产且使用该中小企业商号或注册商标</w:t>
            </w:r>
            <w:r>
              <w:rPr>
                <w:rFonts w:hint="eastAsia" w:ascii="仿宋" w:hAnsi="仿宋" w:eastAsia="仿宋" w:cs="仿宋"/>
                <w:color w:val="auto"/>
                <w:sz w:val="21"/>
                <w:szCs w:val="21"/>
                <w:highlight w:val="none"/>
                <w:lang w:val="en-US" w:eastAsia="zh-CN"/>
              </w:rPr>
              <w:t>；</w:t>
            </w:r>
            <w:r>
              <w:rPr>
                <w:rFonts w:hint="eastAsia" w:ascii="仿宋" w:hAnsi="仿宋" w:eastAsia="仿宋" w:cs="仿宋"/>
                <w:b/>
                <w:bCs/>
                <w:color w:val="auto"/>
                <w:sz w:val="21"/>
                <w:szCs w:val="21"/>
                <w:highlight w:val="none"/>
                <w:lang w:val="en-US" w:eastAsia="zh-CN"/>
              </w:rPr>
              <w:t>（若一个合同项内涉及多个采购标的物的，采购人或采购代理机构应当在招标文件中逐一明确所有采购标的对应的中小企业划分标准所属行业。投标人根据招标文件中明确的行业所对应的划分标准，逐一判断所投标的物是否属于中小企业产品，并进行声明。一般只将采购项目中的主要货物作为标的物，开关等配件一般不作为标的物，也不对其生产厂商做相应要求）</w:t>
            </w:r>
          </w:p>
          <w:p w14:paraId="5851FB8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在工程采购项目中，工程由中小企业承建，即工程施工单位为中小企业</w:t>
            </w:r>
            <w:r>
              <w:rPr>
                <w:rFonts w:hint="eastAsia" w:ascii="仿宋" w:hAnsi="仿宋" w:eastAsia="仿宋" w:cs="仿宋"/>
                <w:color w:val="auto"/>
                <w:sz w:val="21"/>
                <w:szCs w:val="21"/>
                <w:highlight w:val="none"/>
                <w:lang w:val="en-US" w:eastAsia="zh-CN"/>
              </w:rPr>
              <w:t>；</w:t>
            </w:r>
          </w:p>
          <w:p w14:paraId="40CDB1F5">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3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③</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在服务采购项目中，服务由中小企业承接，即提供服务的人员为中小企业依照《中华人民共和国劳动合同法》订立劳动合同的从业人员。</w:t>
            </w:r>
          </w:p>
          <w:p w14:paraId="404F6C7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lang w:val="en-US"/>
              </w:rPr>
              <w:t>不应判别为中小</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微</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企业的情形</w:t>
            </w:r>
          </w:p>
          <w:p w14:paraId="621861D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为中小企业，但所提供的货物为大型企业制造的，即货物由大型企业生产且使用大型企业</w:t>
            </w:r>
            <w:r>
              <w:rPr>
                <w:rFonts w:hint="eastAsia" w:ascii="仿宋" w:hAnsi="仿宋" w:eastAsia="仿宋" w:cs="仿宋"/>
                <w:color w:val="auto"/>
                <w:sz w:val="21"/>
                <w:szCs w:val="21"/>
                <w:highlight w:val="none"/>
                <w:lang w:val="en-US" w:eastAsia="zh-CN"/>
              </w:rPr>
              <w:t>商标</w:t>
            </w:r>
            <w:r>
              <w:rPr>
                <w:rFonts w:hint="eastAsia" w:ascii="仿宋" w:hAnsi="仿宋" w:eastAsia="仿宋" w:cs="仿宋"/>
                <w:color w:val="auto"/>
                <w:sz w:val="21"/>
                <w:szCs w:val="21"/>
                <w:highlight w:val="none"/>
                <w:lang w:val="en-US"/>
              </w:rPr>
              <w:t>或者注册商标的。不享受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rPr>
              <w:t>《办法》规定的中小企业扶持政策。</w:t>
            </w:r>
          </w:p>
          <w:p w14:paraId="590DB9D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提供的货物既有中型企业制造，也有小微企业制造的，不享受《办法》规定的小微企业扶持政策。</w:t>
            </w:r>
          </w:p>
        </w:tc>
      </w:tr>
      <w:tr w14:paraId="3F5FD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941" w:type="dxa"/>
            <w:noWrap w:val="0"/>
            <w:vAlign w:val="center"/>
          </w:tcPr>
          <w:p w14:paraId="1B4833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7946" w:type="dxa"/>
            <w:noWrap w:val="0"/>
            <w:vAlign w:val="center"/>
          </w:tcPr>
          <w:p w14:paraId="0D48366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□接受，应满足下列要求：</w:t>
            </w:r>
          </w:p>
        </w:tc>
      </w:tr>
      <w:tr w14:paraId="5538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2596A1B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7946" w:type="dxa"/>
            <w:noWrap w:val="0"/>
            <w:vAlign w:val="center"/>
          </w:tcPr>
          <w:p w14:paraId="06289C5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■不允许</w:t>
            </w:r>
          </w:p>
          <w:p w14:paraId="555F56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□允许，分包内容要求：</w:t>
            </w:r>
            <w:r>
              <w:rPr>
                <w:rFonts w:hint="eastAsia" w:ascii="仿宋" w:hAnsi="仿宋" w:eastAsia="仿宋" w:cs="仿宋"/>
                <w:color w:val="auto"/>
                <w:sz w:val="21"/>
                <w:szCs w:val="21"/>
                <w:highlight w:val="none"/>
                <w:u w:val="single"/>
                <w:lang w:eastAsia="zh-CN"/>
              </w:rPr>
              <w:t>/</w:t>
            </w:r>
          </w:p>
          <w:p w14:paraId="202F853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分包金额要求：</w:t>
            </w:r>
            <w:r>
              <w:rPr>
                <w:rFonts w:hint="eastAsia" w:ascii="仿宋" w:hAnsi="仿宋" w:eastAsia="仿宋" w:cs="仿宋"/>
                <w:color w:val="auto"/>
                <w:sz w:val="21"/>
                <w:szCs w:val="21"/>
                <w:highlight w:val="none"/>
                <w:u w:val="single"/>
                <w:lang w:eastAsia="zh-CN"/>
              </w:rPr>
              <w:t>/</w:t>
            </w:r>
          </w:p>
          <w:p w14:paraId="34412B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对分包人的资质要求：</w:t>
            </w:r>
            <w:r>
              <w:rPr>
                <w:rFonts w:hint="eastAsia" w:ascii="仿宋" w:hAnsi="仿宋" w:eastAsia="仿宋" w:cs="仿宋"/>
                <w:color w:val="auto"/>
                <w:sz w:val="21"/>
                <w:szCs w:val="21"/>
                <w:highlight w:val="none"/>
                <w:u w:val="single"/>
                <w:lang w:eastAsia="zh-CN"/>
              </w:rPr>
              <w:t>/</w:t>
            </w:r>
          </w:p>
        </w:tc>
      </w:tr>
      <w:tr w14:paraId="6261A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6181F9C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7946" w:type="dxa"/>
            <w:noWrap w:val="0"/>
            <w:vAlign w:val="center"/>
          </w:tcPr>
          <w:p w14:paraId="61C7061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开标时间：同投标文件提交截止时间；</w:t>
            </w:r>
          </w:p>
          <w:p w14:paraId="5F59794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default"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开标地点：同投标文件提交地点</w:t>
            </w:r>
          </w:p>
          <w:p w14:paraId="5110DEB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注：投标人无需到现场开标。</w:t>
            </w:r>
          </w:p>
          <w:p w14:paraId="6D74882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投标人应按照本项目招标文件和“政采云”平台的要求编制、加密后在投标文件提交截止时间前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内完成投标文件解密，则视为无效投标，不再进入评审阶段。投标人在“政采云”平台提交电子版投标文件时，请填写参加远程采购活动经办人联系方式。</w:t>
            </w:r>
          </w:p>
        </w:tc>
      </w:tr>
      <w:tr w14:paraId="2030E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shd w:val="clear" w:color="auto" w:fill="auto"/>
            <w:noWrap w:val="0"/>
            <w:vAlign w:val="center"/>
          </w:tcPr>
          <w:p w14:paraId="35F737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构成招标文件的其他资料</w:t>
            </w:r>
          </w:p>
        </w:tc>
        <w:tc>
          <w:tcPr>
            <w:tcW w:w="7946" w:type="dxa"/>
            <w:shd w:val="clear" w:color="auto" w:fill="auto"/>
            <w:noWrap w:val="0"/>
            <w:vAlign w:val="center"/>
          </w:tcPr>
          <w:p w14:paraId="13E9EF5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更正公告及补遗文件（若有）</w:t>
            </w:r>
          </w:p>
        </w:tc>
      </w:tr>
      <w:tr w14:paraId="1295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000CD1D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构成投标文件的其他资料</w:t>
            </w:r>
          </w:p>
        </w:tc>
        <w:tc>
          <w:tcPr>
            <w:tcW w:w="7946" w:type="dxa"/>
            <w:noWrap w:val="0"/>
            <w:vAlign w:val="center"/>
          </w:tcPr>
          <w:p w14:paraId="333A861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1.“第</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lang w:eastAsia="zh-CN"/>
              </w:rPr>
              <w:t>章 采购需求及要求”“第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章</w:t>
            </w:r>
            <w:r>
              <w:rPr>
                <w:rFonts w:hint="eastAsia" w:ascii="仿宋" w:hAnsi="仿宋" w:eastAsia="仿宋" w:cs="仿宋"/>
                <w:color w:val="auto"/>
                <w:sz w:val="21"/>
                <w:szCs w:val="21"/>
                <w:highlight w:val="none"/>
                <w:lang w:val="en-US" w:eastAsia="zh-CN"/>
              </w:rPr>
              <w:t xml:space="preserve"> 投标文件格式</w:t>
            </w:r>
            <w:r>
              <w:rPr>
                <w:rFonts w:hint="eastAsia" w:ascii="仿宋" w:hAnsi="仿宋" w:eastAsia="仿宋" w:cs="仿宋"/>
                <w:color w:val="auto"/>
                <w:sz w:val="21"/>
                <w:szCs w:val="21"/>
                <w:highlight w:val="none"/>
                <w:lang w:eastAsia="zh-CN"/>
              </w:rPr>
              <w:t>”中要求提供的其他资料；</w:t>
            </w:r>
          </w:p>
          <w:p w14:paraId="2111588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2.招标文件中所涉及的相关资料及证明文件或投标人认为必须提供的其他相关资料。</w:t>
            </w:r>
          </w:p>
        </w:tc>
      </w:tr>
      <w:tr w14:paraId="7813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shd w:val="clear" w:color="auto" w:fill="auto"/>
            <w:noWrap w:val="0"/>
            <w:vAlign w:val="center"/>
          </w:tcPr>
          <w:p w14:paraId="6E984EF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b w:val="0"/>
                <w:bCs w:val="0"/>
                <w:color w:val="auto"/>
                <w:kern w:val="0"/>
                <w:sz w:val="21"/>
                <w:szCs w:val="21"/>
                <w:highlight w:val="none"/>
                <w:lang w:val="zh-CN"/>
              </w:rPr>
              <w:t>业绩要求</w:t>
            </w:r>
            <w:r>
              <w:rPr>
                <w:rFonts w:hint="eastAsia" w:ascii="仿宋" w:hAnsi="仿宋" w:eastAsia="仿宋" w:cs="仿宋"/>
                <w:b w:val="0"/>
                <w:bCs w:val="0"/>
                <w:color w:val="auto"/>
                <w:kern w:val="0"/>
                <w:sz w:val="21"/>
                <w:szCs w:val="21"/>
                <w:highlight w:val="none"/>
                <w:lang w:val="en-US" w:eastAsia="zh-CN"/>
              </w:rPr>
              <w:t>说明</w:t>
            </w:r>
          </w:p>
        </w:tc>
        <w:tc>
          <w:tcPr>
            <w:tcW w:w="7946" w:type="dxa"/>
            <w:shd w:val="clear" w:color="auto" w:fill="auto"/>
            <w:noWrap w:val="0"/>
            <w:vAlign w:val="center"/>
          </w:tcPr>
          <w:p w14:paraId="41F2BF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bCs w:val="0"/>
                <w:color w:val="auto"/>
                <w:kern w:val="2"/>
                <w:sz w:val="21"/>
                <w:szCs w:val="21"/>
                <w:highlight w:val="none"/>
                <w:lang w:val="en-US" w:eastAsia="zh-CN"/>
              </w:rPr>
              <w:t>1.类似业绩：</w:t>
            </w:r>
          </w:p>
          <w:p w14:paraId="657F984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lang w:val="en-US" w:eastAsia="zh-CN"/>
              </w:rPr>
            </w:pPr>
            <w:r>
              <w:rPr>
                <w:rFonts w:hint="eastAsia" w:ascii="仿宋" w:hAnsi="仿宋" w:eastAsia="仿宋" w:cs="仿宋"/>
                <w:b w:val="0"/>
                <w:bCs/>
                <w:color w:val="auto"/>
                <w:kern w:val="2"/>
                <w:sz w:val="21"/>
                <w:szCs w:val="21"/>
                <w:highlight w:val="none"/>
                <w:lang w:val="en-US" w:eastAsia="zh-CN"/>
              </w:rPr>
              <w:t>1）工程：结构形式、使用功能、建设规模相同或相近的项目；</w:t>
            </w:r>
          </w:p>
          <w:p w14:paraId="7E3696B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2）货物或设备类：与本项目采购标的物使用功能、应用范围、应用场景相同或相近的项目；</w:t>
            </w:r>
          </w:p>
          <w:p w14:paraId="3EA6933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3）服务类：内容、质量、标准相同或相近的项目</w:t>
            </w:r>
            <w:r>
              <w:rPr>
                <w:rFonts w:hint="eastAsia" w:ascii="仿宋" w:hAnsi="仿宋" w:eastAsia="仿宋" w:cs="仿宋"/>
                <w:b w:val="0"/>
                <w:bCs/>
                <w:color w:val="auto"/>
                <w:kern w:val="2"/>
                <w:sz w:val="21"/>
                <w:szCs w:val="21"/>
                <w:highlight w:val="none"/>
              </w:rPr>
              <w:t>。</w:t>
            </w:r>
          </w:p>
          <w:p w14:paraId="76FEFC2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0"/>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rPr>
              <w:t>2.业绩证明文件的签署人</w:t>
            </w:r>
          </w:p>
          <w:p w14:paraId="2A88231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 w:val="21"/>
                <w:szCs w:val="21"/>
                <w:highlight w:val="none"/>
                <w:lang w:eastAsia="zh-CN"/>
              </w:rPr>
              <w:t>中标（成交）通知书：</w:t>
            </w:r>
            <w:r>
              <w:rPr>
                <w:rFonts w:hint="eastAsia" w:ascii="仿宋" w:hAnsi="仿宋" w:eastAsia="仿宋" w:cs="仿宋"/>
                <w:color w:val="auto"/>
                <w:sz w:val="21"/>
                <w:szCs w:val="21"/>
                <w:highlight w:val="none"/>
                <w:lang w:val="en-US" w:eastAsia="zh-CN"/>
              </w:rPr>
              <w:t>中标（成交）人必须</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0879C96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sz w:val="21"/>
                <w:szCs w:val="21"/>
                <w:highlight w:val="none"/>
              </w:rPr>
              <w:t>合同协议书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签署人一方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1B39EA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color w:val="auto"/>
                <w:sz w:val="21"/>
                <w:szCs w:val="21"/>
                <w:highlight w:val="none"/>
              </w:rPr>
              <w:t>验收证明文件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必须能体现出验收项目的实施主体（项目实施方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r>
              <w:rPr>
                <w:rFonts w:hint="eastAsia" w:ascii="仿宋" w:hAnsi="仿宋" w:eastAsia="仿宋" w:cs="仿宋"/>
                <w:color w:val="auto"/>
                <w:sz w:val="21"/>
                <w:szCs w:val="21"/>
                <w:highlight w:val="none"/>
                <w:lang w:val="en-US" w:eastAsia="zh-CN"/>
              </w:rPr>
              <w:t>）及双方信息及产品信息</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有效证明文件</w:t>
            </w:r>
            <w:r>
              <w:rPr>
                <w:rFonts w:hint="eastAsia" w:ascii="仿宋" w:hAnsi="仿宋" w:eastAsia="仿宋" w:cs="仿宋"/>
                <w:bCs/>
                <w:color w:val="auto"/>
                <w:kern w:val="2"/>
                <w:sz w:val="21"/>
                <w:szCs w:val="21"/>
                <w:highlight w:val="none"/>
              </w:rPr>
              <w:t>。</w:t>
            </w:r>
          </w:p>
          <w:p w14:paraId="1028961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3.业绩证明材料</w:t>
            </w:r>
          </w:p>
          <w:p w14:paraId="286685C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合同</w:t>
            </w:r>
          </w:p>
          <w:p w14:paraId="51DE7A9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中标通知书/成交通知书</w:t>
            </w:r>
          </w:p>
          <w:p w14:paraId="0CEA55D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竣工验收报告/验收证明</w:t>
            </w:r>
          </w:p>
          <w:p w14:paraId="37457EA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业主证明</w:t>
            </w:r>
          </w:p>
          <w:p w14:paraId="5DA0DEE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singl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其他材料：</w:t>
            </w:r>
            <w:r>
              <w:rPr>
                <w:rFonts w:hint="eastAsia" w:ascii="仿宋" w:hAnsi="仿宋" w:eastAsia="仿宋" w:cs="仿宋"/>
                <w:bCs/>
                <w:color w:val="auto"/>
                <w:kern w:val="2"/>
                <w:sz w:val="21"/>
                <w:szCs w:val="21"/>
                <w:highlight w:val="none"/>
                <w:u w:val="single"/>
                <w:lang w:val="en-US" w:eastAsia="zh-CN"/>
              </w:rPr>
              <w:t xml:space="preserve">           </w:t>
            </w:r>
          </w:p>
          <w:p w14:paraId="124102B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u w:val="none"/>
                <w:lang w:val="en-US" w:eastAsia="zh-CN"/>
              </w:rPr>
            </w:pPr>
            <w:r>
              <w:rPr>
                <w:rFonts w:hint="eastAsia" w:ascii="仿宋" w:hAnsi="仿宋" w:eastAsia="仿宋" w:cs="仿宋"/>
                <w:b/>
                <w:bCs w:val="0"/>
                <w:color w:val="auto"/>
                <w:kern w:val="2"/>
                <w:sz w:val="21"/>
                <w:szCs w:val="21"/>
                <w:highlight w:val="none"/>
                <w:u w:val="none"/>
                <w:lang w:val="en-US" w:eastAsia="zh-CN"/>
              </w:rPr>
              <w:t>4.业绩证明材料种类要求：</w:t>
            </w:r>
          </w:p>
          <w:p w14:paraId="45E237F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u w:val="none"/>
                <w:lang w:val="en-US" w:eastAsia="zh-CN"/>
              </w:rPr>
              <w:t>提供上述勾选的任一项证明材料即可</w:t>
            </w:r>
          </w:p>
          <w:p w14:paraId="4FA7114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bCs/>
                <w:snapToGrid w:val="0"/>
                <w:color w:val="auto"/>
                <w:kern w:val="0"/>
                <w:sz w:val="21"/>
                <w:szCs w:val="21"/>
                <w:highlight w:val="none"/>
                <w:lang w:val="zh-CN" w:eastAsia="zh-CN" w:bidi="ar"/>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u w:val="none"/>
                <w:lang w:val="en-US" w:eastAsia="zh-CN"/>
              </w:rPr>
              <w:t>需同时提供上述勾选的所有证明材料</w:t>
            </w:r>
          </w:p>
        </w:tc>
      </w:tr>
      <w:tr w14:paraId="2542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shd w:val="clear" w:color="auto" w:fill="auto"/>
            <w:noWrap w:val="0"/>
            <w:vAlign w:val="center"/>
          </w:tcPr>
          <w:p w14:paraId="529BAEF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c>
          <w:tcPr>
            <w:tcW w:w="7946" w:type="dxa"/>
            <w:shd w:val="clear" w:color="auto" w:fill="auto"/>
            <w:noWrap w:val="0"/>
            <w:vAlign w:val="center"/>
          </w:tcPr>
          <w:p w14:paraId="23C9A26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□不要求递交投标保证金</w:t>
            </w:r>
          </w:p>
          <w:p w14:paraId="565B0FD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要求递交投标保证金</w:t>
            </w:r>
          </w:p>
          <w:p w14:paraId="153DEC7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投标保证金的缴纳时间以实际到账的时间为准，未按时到账的投标保证金无效。投标保证金的交付人和投标人的名称必须一致，否则其投标文件将被否决。</w:t>
            </w:r>
          </w:p>
          <w:p w14:paraId="61BC150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投标保证金的缴纳方式：</w:t>
            </w:r>
            <w:r>
              <w:rPr>
                <w:rFonts w:hint="eastAsia" w:ascii="仿宋" w:hAnsi="仿宋" w:eastAsia="仿宋" w:cs="仿宋"/>
                <w:bCs/>
                <w:color w:val="auto"/>
                <w:sz w:val="21"/>
                <w:szCs w:val="21"/>
                <w:highlight w:val="none"/>
                <w:lang w:bidi="ar"/>
              </w:rPr>
              <w:t>支票、汇票、本票、保函或者网银转账、电汇等</w:t>
            </w:r>
            <w:r>
              <w:rPr>
                <w:rFonts w:hint="eastAsia" w:ascii="仿宋" w:hAnsi="仿宋" w:eastAsia="仿宋" w:cs="仿宋"/>
                <w:bCs/>
                <w:color w:val="auto"/>
                <w:sz w:val="21"/>
                <w:szCs w:val="21"/>
                <w:highlight w:val="none"/>
                <w:lang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color w:val="auto"/>
                <w:sz w:val="21"/>
                <w:szCs w:val="21"/>
                <w:highlight w:val="none"/>
                <w:lang w:eastAsia="zh-CN"/>
              </w:rPr>
              <w:t>，投标人可根据实际情况，选择保证金的缴纳方式。</w:t>
            </w:r>
          </w:p>
          <w:p w14:paraId="1ECEEDE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w:t>
            </w:r>
            <w:r>
              <w:rPr>
                <w:rFonts w:hint="eastAsia" w:ascii="仿宋" w:hAnsi="仿宋" w:eastAsia="仿宋" w:cs="仿宋"/>
                <w:b w:val="0"/>
                <w:color w:val="auto"/>
                <w:sz w:val="21"/>
                <w:szCs w:val="21"/>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所有标项投标保证金均按标准下浮50%收取。</w:t>
            </w:r>
          </w:p>
          <w:p w14:paraId="78D65220">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投标保证金金额：</w:t>
            </w:r>
            <w:r>
              <w:rPr>
                <w:rFonts w:hint="eastAsia" w:ascii="仿宋" w:hAnsi="仿宋" w:eastAsia="仿宋" w:cs="仿宋"/>
                <w:b/>
                <w:bCs/>
                <w:color w:val="auto"/>
                <w:sz w:val="21"/>
                <w:szCs w:val="21"/>
                <w:highlight w:val="none"/>
                <w:lang w:val="en-US" w:eastAsia="zh-CN"/>
              </w:rPr>
              <w:t>8800.00</w:t>
            </w:r>
            <w:r>
              <w:rPr>
                <w:rFonts w:hint="eastAsia" w:ascii="仿宋" w:hAnsi="仿宋" w:eastAsia="仿宋" w:cs="仿宋"/>
                <w:b w:val="0"/>
                <w:bCs w:val="0"/>
                <w:color w:val="auto"/>
                <w:sz w:val="21"/>
                <w:szCs w:val="21"/>
                <w:highlight w:val="none"/>
                <w:u w:val="none"/>
                <w:lang w:val="en-US" w:eastAsia="zh-CN"/>
              </w:rPr>
              <w:t>元</w:t>
            </w:r>
            <w:r>
              <w:rPr>
                <w:rFonts w:hint="eastAsia" w:ascii="仿宋" w:hAnsi="仿宋" w:eastAsia="仿宋" w:cs="仿宋"/>
                <w:color w:val="auto"/>
                <w:sz w:val="21"/>
                <w:szCs w:val="21"/>
                <w:highlight w:val="none"/>
                <w:lang w:val="en-US" w:eastAsia="zh-CN"/>
              </w:rPr>
              <w:t>。</w:t>
            </w:r>
          </w:p>
          <w:p w14:paraId="6ADF666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（一）投标保证金采用网银转账方式的：</w:t>
            </w:r>
            <w:r>
              <w:rPr>
                <w:rFonts w:hint="eastAsia" w:ascii="仿宋" w:hAnsi="仿宋" w:eastAsia="仿宋" w:cs="仿宋"/>
                <w:color w:val="auto"/>
                <w:kern w:val="0"/>
                <w:sz w:val="21"/>
                <w:szCs w:val="21"/>
                <w:highlight w:val="none"/>
                <w:lang w:val="en-US" w:eastAsia="zh-CN" w:bidi="ar"/>
              </w:rPr>
              <w:t>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3AFC92D5">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w:t>
            </w:r>
            <w:r>
              <w:rPr>
                <w:rFonts w:hint="eastAsia" w:ascii="仿宋" w:hAnsi="仿宋" w:eastAsia="仿宋" w:cs="仿宋"/>
                <w:b w:val="0"/>
                <w:color w:val="auto"/>
                <w:sz w:val="21"/>
                <w:szCs w:val="21"/>
                <w:highlight w:val="none"/>
                <w:lang w:val="en-US"/>
              </w:rPr>
              <w:t>户名</w:t>
            </w:r>
            <w:r>
              <w:rPr>
                <w:rFonts w:hint="eastAsia" w:ascii="仿宋" w:hAnsi="仿宋" w:eastAsia="仿宋" w:cs="仿宋"/>
                <w:b w:val="0"/>
                <w:color w:val="auto"/>
                <w:sz w:val="21"/>
                <w:szCs w:val="21"/>
                <w:highlight w:val="none"/>
                <w:lang w:val="en-US" w:eastAsia="zh-CN"/>
              </w:rPr>
              <w:t>称</w:t>
            </w:r>
            <w:r>
              <w:rPr>
                <w:rFonts w:hint="eastAsia" w:ascii="仿宋" w:hAnsi="仿宋" w:eastAsia="仿宋" w:cs="仿宋"/>
                <w:b w:val="0"/>
                <w:color w:val="auto"/>
                <w:sz w:val="21"/>
                <w:szCs w:val="21"/>
                <w:highlight w:val="none"/>
                <w:lang w:val="en-US"/>
              </w:rPr>
              <w:t>：</w:t>
            </w:r>
            <w:r>
              <w:rPr>
                <w:rFonts w:hint="eastAsia" w:ascii="仿宋" w:hAnsi="仿宋" w:eastAsia="仿宋" w:cs="仿宋"/>
                <w:b w:val="0"/>
                <w:color w:val="auto"/>
                <w:sz w:val="21"/>
                <w:szCs w:val="21"/>
                <w:highlight w:val="none"/>
                <w:lang w:val="en-US" w:eastAsia="zh-CN"/>
              </w:rPr>
              <w:t>云南拓航工程管理咨询有限公司</w:t>
            </w:r>
          </w:p>
          <w:p w14:paraId="1F36539F">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开</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户</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行：</w:t>
            </w:r>
            <w:r>
              <w:rPr>
                <w:rFonts w:hint="eastAsia" w:ascii="仿宋" w:hAnsi="仿宋" w:eastAsia="仿宋" w:cs="仿宋"/>
                <w:b w:val="0"/>
                <w:color w:val="auto"/>
                <w:sz w:val="21"/>
                <w:szCs w:val="21"/>
                <w:highlight w:val="none"/>
                <w:lang w:val="en-US" w:eastAsia="zh-CN"/>
              </w:rPr>
              <w:t>中国建设银行股份有限公司南华支行</w:t>
            </w:r>
          </w:p>
          <w:p w14:paraId="26601E57">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账</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号：</w:t>
            </w:r>
            <w:r>
              <w:rPr>
                <w:rFonts w:hint="eastAsia" w:ascii="仿宋" w:hAnsi="仿宋" w:eastAsia="仿宋" w:cs="仿宋"/>
                <w:b w:val="0"/>
                <w:color w:val="auto"/>
                <w:sz w:val="21"/>
                <w:szCs w:val="21"/>
                <w:highlight w:val="none"/>
                <w:lang w:val="en-US" w:eastAsia="zh-CN"/>
              </w:rPr>
              <w:t>53050110085700001160</w:t>
            </w:r>
          </w:p>
          <w:p w14:paraId="11093121">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    号：105738400011</w:t>
            </w:r>
          </w:p>
          <w:p w14:paraId="0C3B74DE">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 系 人：王涛</w:t>
            </w:r>
          </w:p>
          <w:p w14:paraId="22B7E26C">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联系电话：15758596869、0878-6610881</w:t>
            </w:r>
          </w:p>
          <w:p w14:paraId="52EE4C49">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（二）投标保证金采用银行保函方式的：</w:t>
            </w:r>
            <w:r>
              <w:rPr>
                <w:rFonts w:hint="eastAsia" w:ascii="仿宋" w:hAnsi="仿宋" w:eastAsia="仿宋" w:cs="仿宋"/>
                <w:color w:val="auto"/>
                <w:kern w:val="0"/>
                <w:sz w:val="21"/>
                <w:szCs w:val="21"/>
                <w:highlight w:val="none"/>
                <w:lang w:val="en-US" w:eastAsia="zh-CN" w:bidi="ar"/>
              </w:rPr>
              <w:t>保函投标人应是投标人，受益人应是采购人，保证人应是投标人基本账号的开户银行。银行保函应正确填写受益人和投标人的全称，并与招标文件规定的项目名称相一致，以免造成投标无效。当投标人违反政府采购法律法规规章等规定且符合保证金不予退回情形的，由银行按照银行保函合同对采购人代偿投标保证金额。</w:t>
            </w:r>
          </w:p>
          <w:p w14:paraId="66E24477">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2"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
              </w:rPr>
              <w:t>（三）投标保证金采用电子保险保函方式的：</w:t>
            </w:r>
            <w:r>
              <w:rPr>
                <w:rFonts w:hint="eastAsia" w:ascii="仿宋" w:hAnsi="仿宋" w:eastAsia="仿宋" w:cs="仿宋"/>
                <w:color w:val="auto"/>
                <w:kern w:val="0"/>
                <w:sz w:val="21"/>
                <w:szCs w:val="21"/>
                <w:highlight w:val="none"/>
                <w:lang w:val="en-US" w:eastAsia="zh-CN" w:bidi="ar"/>
              </w:rPr>
              <w:t>在投标保证保险中，投标人为投保人，采购人为被保险人。当投标人违反法律法规且符合投标保证金不予退回情形的，由保险公司按照保险合同对采购人代偿投标保证金金额</w:t>
            </w:r>
            <w:r>
              <w:rPr>
                <w:rFonts w:hint="eastAsia" w:ascii="仿宋" w:hAnsi="仿宋" w:eastAsia="仿宋" w:cs="仿宋"/>
                <w:color w:val="auto"/>
                <w:sz w:val="21"/>
                <w:szCs w:val="21"/>
                <w:highlight w:val="none"/>
                <w:lang w:eastAsia="zh-CN"/>
              </w:rPr>
              <w:t>。</w:t>
            </w:r>
          </w:p>
        </w:tc>
      </w:tr>
      <w:tr w14:paraId="3818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atLeast"/>
          <w:jc w:val="center"/>
        </w:trPr>
        <w:tc>
          <w:tcPr>
            <w:tcW w:w="1941" w:type="dxa"/>
            <w:noWrap w:val="0"/>
            <w:vAlign w:val="center"/>
          </w:tcPr>
          <w:p w14:paraId="0DAE0BA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投标文件的签署</w:t>
            </w:r>
          </w:p>
        </w:tc>
        <w:tc>
          <w:tcPr>
            <w:tcW w:w="7946" w:type="dxa"/>
            <w:noWrap w:val="0"/>
            <w:vAlign w:val="center"/>
          </w:tcPr>
          <w:p w14:paraId="74E17ED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按照投标文件格式，在规定的电子签名处逐一电子签名，要求盖章处应盖单位公章（电子公章）。</w:t>
            </w:r>
          </w:p>
        </w:tc>
      </w:tr>
      <w:tr w14:paraId="69139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1941" w:type="dxa"/>
            <w:shd w:val="clear" w:color="auto" w:fill="auto"/>
            <w:noWrap w:val="0"/>
            <w:vAlign w:val="center"/>
          </w:tcPr>
          <w:p w14:paraId="6B78609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上传投标文件</w:t>
            </w:r>
          </w:p>
        </w:tc>
        <w:tc>
          <w:tcPr>
            <w:tcW w:w="7946" w:type="dxa"/>
            <w:shd w:val="clear" w:color="auto" w:fill="auto"/>
            <w:noWrap w:val="0"/>
            <w:vAlign w:val="center"/>
          </w:tcPr>
          <w:p w14:paraId="63BB4954">
            <w:pPr>
              <w:keepNext w:val="0"/>
              <w:keepLines w:val="0"/>
              <w:pageBreakBefore w:val="0"/>
              <w:widowControl w:val="0"/>
              <w:kinsoku/>
              <w:wordWrap w:val="0"/>
              <w:overflowPunct/>
              <w:topLinePunct/>
              <w:autoSpaceDE/>
              <w:autoSpaceDN/>
              <w:bidi w:val="0"/>
              <w:adjustRightInd/>
              <w:snapToGrid/>
              <w:spacing w:line="240" w:lineRule="auto"/>
              <w:ind w:right="0" w:rightChars="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投标人在上传投标文件时，将“报价一览表”上传至“报价文件”部分，将整份标投标文件（含封面及目录）上传至“商务及技术文件”部分。</w:t>
            </w:r>
          </w:p>
        </w:tc>
      </w:tr>
      <w:tr w14:paraId="50E2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941" w:type="dxa"/>
            <w:shd w:val="clear" w:color="auto" w:fill="auto"/>
            <w:noWrap w:val="0"/>
            <w:vAlign w:val="center"/>
          </w:tcPr>
          <w:p w14:paraId="3AEF196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投标文件是否退还</w:t>
            </w:r>
          </w:p>
        </w:tc>
        <w:tc>
          <w:tcPr>
            <w:tcW w:w="7946" w:type="dxa"/>
            <w:shd w:val="clear" w:color="auto" w:fill="auto"/>
            <w:noWrap w:val="0"/>
            <w:vAlign w:val="center"/>
          </w:tcPr>
          <w:p w14:paraId="237D811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否</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□是，退还时间：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p>
        </w:tc>
      </w:tr>
      <w:tr w14:paraId="5F91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7" w:hRule="atLeast"/>
          <w:jc w:val="center"/>
        </w:trPr>
        <w:tc>
          <w:tcPr>
            <w:tcW w:w="1941" w:type="dxa"/>
            <w:noWrap w:val="0"/>
            <w:vAlign w:val="center"/>
          </w:tcPr>
          <w:p w14:paraId="1E997BD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委员会的组建</w:t>
            </w:r>
          </w:p>
        </w:tc>
        <w:tc>
          <w:tcPr>
            <w:tcW w:w="7946" w:type="dxa"/>
            <w:noWrap w:val="0"/>
            <w:vAlign w:val="center"/>
          </w:tcPr>
          <w:p w14:paraId="65C41A4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1.评标委员会由采购人代表和评审专家组成，成员人数应当为5人以上单数，其中评审专家不得少于成员总数的三分之二。采购数额在 1000万元以上、技术复杂、社会影响较大的项目，评标委员会成员人数应当为7人以上单数</w:t>
            </w:r>
            <w:r>
              <w:rPr>
                <w:rFonts w:hint="eastAsia" w:ascii="仿宋" w:hAnsi="仿宋" w:eastAsia="仿宋" w:cs="仿宋"/>
                <w:color w:val="auto"/>
                <w:sz w:val="21"/>
                <w:szCs w:val="21"/>
                <w:highlight w:val="none"/>
              </w:rPr>
              <w:t>。</w:t>
            </w:r>
          </w:p>
          <w:p w14:paraId="2470575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专家确定方式：从</w:t>
            </w:r>
            <w:r>
              <w:rPr>
                <w:rFonts w:hint="eastAsia" w:ascii="仿宋" w:hAnsi="仿宋" w:eastAsia="仿宋" w:cs="仿宋"/>
                <w:color w:val="auto"/>
                <w:sz w:val="21"/>
                <w:szCs w:val="21"/>
                <w:highlight w:val="none"/>
                <w:lang w:eastAsia="zh-CN"/>
              </w:rPr>
              <w:t>“云南省政府采购电子交易平台”</w:t>
            </w:r>
            <w:r>
              <w:rPr>
                <w:rFonts w:hint="eastAsia" w:ascii="仿宋" w:hAnsi="仿宋" w:eastAsia="仿宋" w:cs="仿宋"/>
                <w:color w:val="auto"/>
                <w:sz w:val="21"/>
                <w:szCs w:val="21"/>
                <w:highlight w:val="none"/>
                <w:lang w:val="en-US" w:eastAsia="zh-CN"/>
              </w:rPr>
              <w:t>随机抽取</w:t>
            </w:r>
            <w:r>
              <w:rPr>
                <w:rFonts w:hint="eastAsia" w:ascii="仿宋" w:hAnsi="仿宋" w:eastAsia="仿宋" w:cs="仿宋"/>
                <w:color w:val="auto"/>
                <w:sz w:val="21"/>
                <w:szCs w:val="21"/>
                <w:highlight w:val="none"/>
              </w:rPr>
              <w:t>。</w:t>
            </w:r>
          </w:p>
          <w:p w14:paraId="2DF5A092">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委员会应当推选组长，但</w:t>
            </w:r>
            <w:r>
              <w:rPr>
                <w:rFonts w:hint="eastAsia" w:ascii="仿宋" w:hAnsi="仿宋" w:eastAsia="仿宋" w:cs="仿宋"/>
                <w:color w:val="auto"/>
                <w:sz w:val="21"/>
                <w:szCs w:val="21"/>
                <w:highlight w:val="none"/>
                <w:lang w:eastAsia="zh-CN"/>
              </w:rPr>
              <w:t>采购</w:t>
            </w:r>
            <w:r>
              <w:rPr>
                <w:rFonts w:hint="eastAsia" w:ascii="仿宋" w:hAnsi="仿宋" w:eastAsia="仿宋" w:cs="仿宋"/>
                <w:color w:val="auto"/>
                <w:sz w:val="21"/>
                <w:szCs w:val="21"/>
                <w:highlight w:val="none"/>
              </w:rPr>
              <w:t>人代表不得担任组长。</w:t>
            </w:r>
          </w:p>
        </w:tc>
      </w:tr>
      <w:tr w14:paraId="3872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5B34070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sz w:val="21"/>
                <w:szCs w:val="21"/>
                <w:highlight w:val="none"/>
                <w:lang w:eastAsia="zh-CN"/>
              </w:rPr>
            </w:pPr>
            <w:r>
              <w:rPr>
                <w:rFonts w:hint="eastAsia" w:ascii="仿宋" w:hAnsi="仿宋" w:eastAsia="仿宋" w:cs="仿宋"/>
                <w:sz w:val="21"/>
                <w:szCs w:val="21"/>
                <w:highlight w:val="none"/>
                <w:lang w:eastAsia="zh-CN"/>
              </w:rPr>
              <w:t>评标方法</w:t>
            </w:r>
          </w:p>
        </w:tc>
        <w:tc>
          <w:tcPr>
            <w:tcW w:w="7946" w:type="dxa"/>
            <w:noWrap w:val="0"/>
            <w:vAlign w:val="center"/>
          </w:tcPr>
          <w:p w14:paraId="69CAFF5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sz w:val="21"/>
                <w:szCs w:val="21"/>
                <w:highlight w:val="none"/>
                <w:lang w:eastAsia="zh-CN"/>
              </w:rPr>
              <w:t>综合评分法</w:t>
            </w:r>
          </w:p>
          <w:p w14:paraId="10FC513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sz w:val="21"/>
                <w:szCs w:val="21"/>
                <w:highlight w:val="none"/>
                <w:lang w:eastAsia="zh-CN"/>
              </w:rPr>
              <w:t>最低评标价法</w:t>
            </w:r>
          </w:p>
        </w:tc>
      </w:tr>
      <w:tr w14:paraId="003F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jc w:val="center"/>
        </w:trPr>
        <w:tc>
          <w:tcPr>
            <w:tcW w:w="1941" w:type="dxa"/>
            <w:noWrap w:val="0"/>
            <w:vAlign w:val="center"/>
          </w:tcPr>
          <w:p w14:paraId="454E6B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投标有效期</w:t>
            </w:r>
          </w:p>
        </w:tc>
        <w:tc>
          <w:tcPr>
            <w:tcW w:w="7946" w:type="dxa"/>
            <w:noWrap w:val="0"/>
            <w:vAlign w:val="center"/>
          </w:tcPr>
          <w:p w14:paraId="2294F69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自提交投标文件的截止之日起算</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日历天。投标文件未明确投标有效期或者少于前述规定天数的，其投标文件按无效处理。</w:t>
            </w:r>
          </w:p>
        </w:tc>
      </w:tr>
      <w:tr w14:paraId="3F35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0069F8A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确定中标人</w:t>
            </w:r>
          </w:p>
        </w:tc>
        <w:tc>
          <w:tcPr>
            <w:tcW w:w="7946" w:type="dxa"/>
            <w:noWrap w:val="0"/>
            <w:vAlign w:val="center"/>
          </w:tcPr>
          <w:p w14:paraId="4ABEC58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中标候选人并列的，按照以下方式确定中标人： </w:t>
            </w:r>
          </w:p>
          <w:p w14:paraId="36E1593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b/>
                <w:bCs/>
                <w:color w:val="000000" w:themeColor="text1"/>
                <w:sz w:val="21"/>
                <w:szCs w:val="21"/>
                <w:highlight w:val="none"/>
                <w14:textFill>
                  <w14:solidFill>
                    <w14:schemeClr w14:val="tx1"/>
                  </w14:solidFill>
                </w14:textFill>
              </w:rPr>
              <w:t>采用最低</w:t>
            </w:r>
            <w:r>
              <w:rPr>
                <w:rFonts w:hint="eastAsia" w:ascii="仿宋" w:hAnsi="仿宋" w:eastAsia="仿宋" w:cs="仿宋"/>
                <w:b/>
                <w:bCs/>
                <w:color w:val="000000" w:themeColor="text1"/>
                <w:sz w:val="21"/>
                <w:szCs w:val="21"/>
                <w:highlight w:val="none"/>
                <w:lang w:eastAsia="zh-CN"/>
                <w14:textFill>
                  <w14:solidFill>
                    <w14:schemeClr w14:val="tx1"/>
                  </w14:solidFill>
                </w14:textFill>
              </w:rPr>
              <w:t>评</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标</w:t>
            </w:r>
            <w:r>
              <w:rPr>
                <w:rFonts w:hint="eastAsia" w:ascii="仿宋" w:hAnsi="仿宋" w:eastAsia="仿宋" w:cs="仿宋"/>
                <w:b/>
                <w:bCs/>
                <w:color w:val="000000" w:themeColor="text1"/>
                <w:sz w:val="21"/>
                <w:szCs w:val="21"/>
                <w:highlight w:val="none"/>
                <w14:textFill>
                  <w14:solidFill>
                    <w14:schemeClr w14:val="tx1"/>
                  </w14:solidFill>
                </w14:textFill>
              </w:rPr>
              <w:t>价法的</w:t>
            </w:r>
            <w:r>
              <w:rPr>
                <w:rFonts w:hint="eastAsia" w:ascii="仿宋" w:hAnsi="仿宋" w:eastAsia="仿宋" w:cs="仿宋"/>
                <w:b/>
                <w:bCs/>
                <w:color w:val="000000" w:themeColor="text1"/>
                <w:sz w:val="21"/>
                <w:szCs w:val="21"/>
                <w:highlight w:val="none"/>
                <w:lang w:eastAsia="zh-CN"/>
                <w14:textFill>
                  <w14:solidFill>
                    <w14:schemeClr w14:val="tx1"/>
                  </w14:solidFill>
                </w14:textFill>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结果按投标报价由低到高顺序排列。投标报价相同的并列，投标文件满足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全部实质性要求且投标报价最低的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为排名第一的中标候选人。</w:t>
            </w:r>
          </w:p>
          <w:p w14:paraId="779B7B5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default" w:ascii="仿宋" w:hAnsi="仿宋" w:eastAsia="仿宋" w:cs="仿宋"/>
                <w:snapToGrid w:val="0"/>
                <w:color w:val="auto"/>
                <w:kern w:val="2"/>
                <w:sz w:val="21"/>
                <w:szCs w:val="21"/>
                <w:highlight w:val="none"/>
                <w:u w:val="singl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采用综合评分法的</w:t>
            </w:r>
            <w:r>
              <w:rPr>
                <w:rFonts w:hint="eastAsia" w:ascii="仿宋" w:hAnsi="仿宋" w:eastAsia="仿宋" w:cs="仿宋"/>
                <w:b/>
                <w:bCs/>
                <w:color w:val="auto"/>
                <w:sz w:val="21"/>
                <w:szCs w:val="21"/>
                <w:highlight w:val="none"/>
                <w:lang w:eastAsia="zh-CN"/>
              </w:rPr>
              <w:t>：</w:t>
            </w:r>
            <w:r>
              <w:rPr>
                <w:rFonts w:hint="eastAsia" w:ascii="仿宋" w:hAnsi="仿宋" w:eastAsia="仿宋" w:cs="仿宋"/>
                <w:b w:val="0"/>
                <w:bCs w:val="0"/>
                <w:color w:val="auto"/>
                <w:sz w:val="21"/>
                <w:szCs w:val="21"/>
                <w:highlight w:val="none"/>
                <w:lang w:eastAsia="zh-CN"/>
              </w:rPr>
              <w:t>评标结果按评审后得分由高到低顺序排列。得分相同的，按投标报价由低到高顺序排列。得分且投标报价相同的并列。</w:t>
            </w:r>
            <w:r>
              <w:rPr>
                <w:rFonts w:hint="eastAsia" w:ascii="仿宋" w:hAnsi="仿宋" w:eastAsia="仿宋" w:cs="仿宋"/>
                <w:b w:val="0"/>
                <w:bCs w:val="0"/>
                <w:color w:val="auto"/>
                <w:sz w:val="21"/>
                <w:szCs w:val="21"/>
                <w:highlight w:val="none"/>
                <w:lang w:val="en-US" w:eastAsia="zh-CN"/>
              </w:rPr>
              <w:t>按照《政府采购货物和服务招标投标管理办法》第五十七条、第六十八条相关规定执行。</w:t>
            </w:r>
          </w:p>
        </w:tc>
      </w:tr>
      <w:tr w14:paraId="34BDF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shd w:val="clear" w:color="auto" w:fill="auto"/>
            <w:noWrap w:val="0"/>
            <w:vAlign w:val="center"/>
          </w:tcPr>
          <w:p w14:paraId="0F8A103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中标通知书发出的形式 </w:t>
            </w:r>
          </w:p>
        </w:tc>
        <w:tc>
          <w:tcPr>
            <w:tcW w:w="7946" w:type="dxa"/>
            <w:shd w:val="clear" w:color="auto" w:fill="auto"/>
            <w:noWrap w:val="0"/>
            <w:vAlign w:val="center"/>
          </w:tcPr>
          <w:p w14:paraId="6EA7292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书面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数据电文 </w:t>
            </w:r>
          </w:p>
        </w:tc>
      </w:tr>
      <w:tr w14:paraId="79B8E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shd w:val="clear" w:color="auto" w:fill="auto"/>
            <w:noWrap w:val="0"/>
            <w:vAlign w:val="center"/>
          </w:tcPr>
          <w:p w14:paraId="2ECF99B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随中标结果公告同时公告的内容</w:t>
            </w:r>
          </w:p>
        </w:tc>
        <w:tc>
          <w:tcPr>
            <w:tcW w:w="7946" w:type="dxa"/>
            <w:shd w:val="clear" w:color="auto" w:fill="auto"/>
            <w:noWrap w:val="0"/>
            <w:vAlign w:val="center"/>
          </w:tcPr>
          <w:p w14:paraId="754DEB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（1）中小企业声明函；（如有） </w:t>
            </w:r>
          </w:p>
          <w:p w14:paraId="0B1580D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（2）残疾人福利性单位声明函；（如有） </w:t>
            </w:r>
          </w:p>
          <w:p w14:paraId="4B356F3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（3）因落实政府采购政策等原因进行价格扣除后中标（成交）投标人的评审报价（适用最低评标价法） </w:t>
            </w:r>
          </w:p>
          <w:p w14:paraId="2E19F33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（4）中标（成交）投标人的评审总得分（适用综合评分法）</w:t>
            </w:r>
          </w:p>
        </w:tc>
      </w:tr>
      <w:tr w14:paraId="7441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941" w:type="dxa"/>
            <w:shd w:val="clear" w:color="auto" w:fill="auto"/>
            <w:noWrap w:val="0"/>
            <w:vAlign w:val="center"/>
          </w:tcPr>
          <w:p w14:paraId="2BDA152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告知招标结果的形式</w:t>
            </w:r>
          </w:p>
        </w:tc>
        <w:tc>
          <w:tcPr>
            <w:tcW w:w="7946" w:type="dxa"/>
            <w:shd w:val="clear" w:color="auto" w:fill="auto"/>
            <w:noWrap w:val="0"/>
            <w:vAlign w:val="center"/>
          </w:tcPr>
          <w:p w14:paraId="43246C6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投标人自行登录电子交易系统查看     □评标现场告知</w:t>
            </w:r>
          </w:p>
        </w:tc>
      </w:tr>
      <w:tr w14:paraId="3EC7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8" w:hRule="atLeast"/>
          <w:jc w:val="center"/>
        </w:trPr>
        <w:tc>
          <w:tcPr>
            <w:tcW w:w="1941" w:type="dxa"/>
            <w:noWrap w:val="0"/>
            <w:vAlign w:val="center"/>
          </w:tcPr>
          <w:p w14:paraId="57E9DC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履约保证金</w:t>
            </w:r>
          </w:p>
        </w:tc>
        <w:tc>
          <w:tcPr>
            <w:tcW w:w="7946" w:type="dxa"/>
            <w:noWrap w:val="0"/>
            <w:vAlign w:val="center"/>
          </w:tcPr>
          <w:p w14:paraId="5E3FD8C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（1）金额： </w:t>
            </w:r>
          </w:p>
          <w:p w14:paraId="3B7155A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□免收 </w:t>
            </w:r>
          </w:p>
          <w:p w14:paraId="356F44B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合同价的</w:t>
            </w:r>
            <w:r>
              <w:rPr>
                <w:rFonts w:hint="eastAsia" w:ascii="仿宋" w:hAnsi="仿宋" w:eastAsia="仿宋" w:cs="仿宋"/>
                <w:color w:val="auto"/>
                <w:sz w:val="21"/>
                <w:szCs w:val="21"/>
                <w:highlight w:val="none"/>
                <w:u w:val="single"/>
                <w:lang w:val="en-US" w:eastAsia="zh-CN"/>
              </w:rPr>
              <w:t>10</w:t>
            </w:r>
            <w:r>
              <w:rPr>
                <w:rFonts w:hint="eastAsia" w:ascii="仿宋" w:hAnsi="仿宋" w:eastAsia="仿宋" w:cs="仿宋"/>
                <w:color w:val="auto"/>
                <w:sz w:val="21"/>
                <w:szCs w:val="21"/>
                <w:highlight w:val="none"/>
                <w:lang w:val="en-US" w:eastAsia="zh-CN"/>
              </w:rPr>
              <w:t xml:space="preserve">% </w:t>
            </w:r>
          </w:p>
          <w:p w14:paraId="69971B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□定额收取：人民币</w:t>
            </w:r>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lang w:val="en-US" w:eastAsia="zh-CN"/>
              </w:rPr>
              <w:t xml:space="preserve">元 </w:t>
            </w:r>
          </w:p>
          <w:p w14:paraId="58774DD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（2）支付方式： </w:t>
            </w:r>
          </w:p>
          <w:p w14:paraId="03D8628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转账/电汇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支票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汇票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本票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保险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保函 </w:t>
            </w:r>
          </w:p>
          <w:p w14:paraId="0F7DC4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（3）收款户名：</w:t>
            </w:r>
            <w:r>
              <w:rPr>
                <w:rFonts w:hint="eastAsia" w:ascii="仿宋" w:hAnsi="仿宋" w:eastAsia="仿宋" w:cs="仿宋"/>
                <w:color w:val="auto"/>
                <w:sz w:val="21"/>
                <w:szCs w:val="21"/>
                <w:highlight w:val="none"/>
                <w:u w:val="single"/>
                <w:lang w:val="en-US" w:eastAsia="zh-CN"/>
              </w:rPr>
              <w:t>楚雄彝族自治州人民医院</w:t>
            </w:r>
            <w:r>
              <w:rPr>
                <w:rFonts w:hint="eastAsia" w:ascii="仿宋" w:hAnsi="仿宋" w:eastAsia="仿宋" w:cs="仿宋"/>
                <w:color w:val="auto"/>
                <w:sz w:val="21"/>
                <w:szCs w:val="21"/>
                <w:highlight w:val="none"/>
                <w:lang w:val="en-US" w:eastAsia="zh-CN"/>
              </w:rPr>
              <w:t xml:space="preserve"> </w:t>
            </w:r>
          </w:p>
          <w:p w14:paraId="1AA9C8C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（4）开户银行：</w:t>
            </w:r>
            <w:r>
              <w:rPr>
                <w:rFonts w:hint="eastAsia" w:ascii="仿宋" w:hAnsi="仿宋" w:eastAsia="仿宋" w:cs="仿宋"/>
                <w:color w:val="auto"/>
                <w:sz w:val="21"/>
                <w:szCs w:val="21"/>
                <w:highlight w:val="none"/>
                <w:u w:val="single"/>
                <w:lang w:val="en-US" w:eastAsia="zh-CN"/>
              </w:rPr>
              <w:t>建行楚雄楚威支行</w:t>
            </w:r>
          </w:p>
          <w:p w14:paraId="6A4AB8F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（5）收款账号：</w:t>
            </w:r>
            <w:r>
              <w:rPr>
                <w:rFonts w:hint="eastAsia" w:ascii="仿宋" w:hAnsi="仿宋" w:eastAsia="仿宋" w:cs="仿宋"/>
                <w:color w:val="auto"/>
                <w:sz w:val="21"/>
                <w:szCs w:val="21"/>
                <w:highlight w:val="none"/>
                <w:u w:val="single"/>
                <w:lang w:val="en-US" w:eastAsia="zh-CN"/>
              </w:rPr>
              <w:t>53001706154050277559</w:t>
            </w:r>
          </w:p>
          <w:p w14:paraId="4AB8475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（6）缴纳时间：</w:t>
            </w:r>
            <w:r>
              <w:rPr>
                <w:rFonts w:hint="eastAsia" w:ascii="仿宋" w:hAnsi="仿宋" w:eastAsia="仿宋" w:cs="仿宋"/>
                <w:color w:val="auto"/>
                <w:sz w:val="21"/>
                <w:szCs w:val="21"/>
                <w:highlight w:val="none"/>
                <w:u w:val="single"/>
                <w:lang w:val="en-US" w:eastAsia="zh-CN"/>
              </w:rPr>
              <w:t>中标通知书发出之日起30日历天内</w:t>
            </w:r>
          </w:p>
          <w:p w14:paraId="4CBB2EA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FF0000"/>
                <w:sz w:val="21"/>
                <w:szCs w:val="21"/>
                <w:highlight w:val="none"/>
                <w:u w:val="single"/>
                <w:lang w:eastAsia="zh-CN"/>
              </w:rPr>
            </w:pPr>
            <w:r>
              <w:rPr>
                <w:rFonts w:hint="eastAsia" w:ascii="仿宋" w:hAnsi="仿宋" w:eastAsia="仿宋" w:cs="仿宋"/>
                <w:color w:val="auto"/>
                <w:sz w:val="21"/>
                <w:szCs w:val="21"/>
                <w:highlight w:val="none"/>
                <w:lang w:val="en-US" w:eastAsia="zh-CN"/>
              </w:rPr>
              <w:t>（7）退还时间：</w:t>
            </w:r>
            <w:r>
              <w:rPr>
                <w:rFonts w:hint="eastAsia" w:ascii="仿宋" w:hAnsi="仿宋" w:eastAsia="仿宋" w:cs="仿宋"/>
                <w:color w:val="auto"/>
                <w:sz w:val="21"/>
                <w:szCs w:val="21"/>
                <w:highlight w:val="none"/>
                <w:u w:val="single"/>
                <w:lang w:val="en-US" w:eastAsia="zh-CN"/>
              </w:rPr>
              <w:t>双方验收合格或交付使用之日起15个工作日内退还</w:t>
            </w:r>
          </w:p>
          <w:p w14:paraId="6E4728F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注意事项： </w:t>
            </w:r>
          </w:p>
          <w:p w14:paraId="603B97A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（1）以上各类机构出具的以担保函、保证保险承担责任的方式均须满足无条件见索即付条件。 </w:t>
            </w:r>
          </w:p>
          <w:p w14:paraId="1FCDC75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（2）以担保函、保证保险形式缴纳履约保证金的，受益人和收取单位须为采购人。</w:t>
            </w:r>
          </w:p>
        </w:tc>
      </w:tr>
      <w:tr w14:paraId="78FB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41" w:type="dxa"/>
            <w:noWrap w:val="0"/>
            <w:vAlign w:val="center"/>
          </w:tcPr>
          <w:p w14:paraId="6DA5ECD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采购代理服务费</w:t>
            </w:r>
          </w:p>
        </w:tc>
        <w:tc>
          <w:tcPr>
            <w:tcW w:w="7946" w:type="dxa"/>
            <w:noWrap w:val="0"/>
            <w:vAlign w:val="center"/>
          </w:tcPr>
          <w:p w14:paraId="05245AA3">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收费对象：</w:t>
            </w:r>
          </w:p>
          <w:p w14:paraId="26E0D606">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■中标人</w:t>
            </w:r>
          </w:p>
          <w:p w14:paraId="3CF8CC33">
            <w:pPr>
              <w:pStyle w:val="7"/>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lang w:val="en-US" w:eastAsia="zh-CN"/>
              </w:rPr>
              <w:t>2.收费标准：</w:t>
            </w:r>
            <w:r>
              <w:rPr>
                <w:rFonts w:hint="eastAsia" w:ascii="仿宋" w:hAnsi="仿宋" w:eastAsia="仿宋" w:cs="仿宋"/>
                <w:color w:val="auto"/>
                <w:sz w:val="21"/>
                <w:szCs w:val="21"/>
                <w:highlight w:val="none"/>
                <w:u w:val="single"/>
                <w:lang w:val="en-US" w:eastAsia="zh-CN"/>
              </w:rPr>
              <w:t>本项目采用差额定率累进的计算方式，具体收费标准</w:t>
            </w:r>
            <w:r>
              <w:rPr>
                <w:rFonts w:hint="eastAsia" w:ascii="仿宋" w:hAnsi="仿宋" w:eastAsia="仿宋" w:cs="仿宋"/>
                <w:color w:val="000000" w:themeColor="text1"/>
                <w:sz w:val="21"/>
                <w:szCs w:val="21"/>
                <w:highlight w:val="none"/>
                <w:u w:val="single"/>
                <w:lang w:eastAsia="zh-CN"/>
                <w14:textFill>
                  <w14:solidFill>
                    <w14:schemeClr w14:val="tx1"/>
                  </w14:solidFill>
                </w14:textFill>
              </w:rPr>
              <w:t>按</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下表“</w:t>
            </w:r>
            <w:r>
              <w:rPr>
                <w:rFonts w:hint="eastAsia" w:ascii="仿宋" w:hAnsi="仿宋" w:eastAsia="仿宋" w:cs="仿宋"/>
                <w:i w:val="0"/>
                <w:iCs w:val="0"/>
                <w:color w:val="000000" w:themeColor="text1"/>
                <w:sz w:val="21"/>
                <w:szCs w:val="21"/>
                <w:highlight w:val="none"/>
                <w:u w:val="single"/>
                <w:lang w:eastAsia="zh-CN"/>
                <w14:textFill>
                  <w14:solidFill>
                    <w14:schemeClr w14:val="tx1"/>
                  </w14:solidFill>
                </w14:textFill>
              </w:rPr>
              <w:t>收费标准</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w:t>
            </w:r>
            <w:r>
              <w:rPr>
                <w:rFonts w:hint="eastAsia" w:ascii="仿宋" w:hAnsi="仿宋" w:eastAsia="仿宋" w:cs="仿宋"/>
                <w:i w:val="0"/>
                <w:iCs w:val="0"/>
                <w:color w:val="000000" w:themeColor="text1"/>
                <w:sz w:val="21"/>
                <w:szCs w:val="21"/>
                <w:highlight w:val="none"/>
                <w:u w:val="single"/>
                <w:lang w:val="en-US" w:eastAsia="zh-CN"/>
                <w14:textFill>
                  <w14:solidFill>
                    <w14:schemeClr w14:val="tx1"/>
                  </w14:solidFill>
                </w14:textFill>
              </w:rPr>
              <w:t>进行计算</w:t>
            </w:r>
            <w:r>
              <w:rPr>
                <w:rFonts w:hint="eastAsia" w:ascii="仿宋" w:hAnsi="仿宋" w:eastAsia="仿宋" w:cs="仿宋"/>
                <w:color w:val="000000" w:themeColor="text1"/>
                <w:sz w:val="21"/>
                <w:szCs w:val="21"/>
                <w:highlight w:val="none"/>
                <w:lang w:eastAsia="zh-CN"/>
                <w14:textFill>
                  <w14:solidFill>
                    <w14:schemeClr w14:val="tx1"/>
                  </w14:solidFill>
                </w14:textFill>
              </w:rPr>
              <w:t>：</w:t>
            </w:r>
          </w:p>
          <w:tbl>
            <w:tblPr>
              <w:tblStyle w:val="16"/>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1633"/>
              <w:gridCol w:w="1633"/>
              <w:gridCol w:w="2262"/>
            </w:tblGrid>
            <w:tr w14:paraId="13FA079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noWrap w:val="0"/>
                  <w:vAlign w:val="center"/>
                </w:tcPr>
                <w:p w14:paraId="230E5302">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中标金额</w:t>
                  </w:r>
                </w:p>
                <w:p w14:paraId="7DB8DB8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5528" w:type="dxa"/>
                  <w:gridSpan w:val="3"/>
                  <w:noWrap w:val="0"/>
                  <w:vAlign w:val="center"/>
                </w:tcPr>
                <w:p w14:paraId="2BFF897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收费标准</w:t>
                  </w:r>
                </w:p>
              </w:tc>
            </w:tr>
            <w:tr w14:paraId="4117A688">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shd w:val="clear" w:color="auto" w:fill="auto"/>
                  <w:noWrap w:val="0"/>
                  <w:vAlign w:val="center"/>
                </w:tcPr>
                <w:p w14:paraId="7F54EBC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p>
              </w:tc>
              <w:tc>
                <w:tcPr>
                  <w:tcW w:w="1633" w:type="dxa"/>
                  <w:shd w:val="clear" w:color="auto" w:fill="auto"/>
                  <w:noWrap w:val="0"/>
                  <w:vAlign w:val="center"/>
                </w:tcPr>
                <w:p w14:paraId="7FF875C5">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货物招标</w:t>
                  </w:r>
                </w:p>
              </w:tc>
              <w:tc>
                <w:tcPr>
                  <w:tcW w:w="1633" w:type="dxa"/>
                  <w:noWrap w:val="0"/>
                  <w:vAlign w:val="center"/>
                </w:tcPr>
                <w:p w14:paraId="6D3C6D9B">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服务招标</w:t>
                  </w:r>
                </w:p>
              </w:tc>
              <w:tc>
                <w:tcPr>
                  <w:tcW w:w="2262" w:type="dxa"/>
                  <w:noWrap w:val="0"/>
                  <w:vAlign w:val="center"/>
                </w:tcPr>
                <w:p w14:paraId="4607BF2F">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工程招标</w:t>
                  </w:r>
                </w:p>
              </w:tc>
            </w:tr>
            <w:tr w14:paraId="49421029">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18BA3D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100以下</w:t>
                  </w:r>
                </w:p>
              </w:tc>
              <w:tc>
                <w:tcPr>
                  <w:tcW w:w="1633" w:type="dxa"/>
                  <w:shd w:val="clear" w:color="auto" w:fill="auto"/>
                  <w:noWrap w:val="0"/>
                  <w:vAlign w:val="center"/>
                </w:tcPr>
                <w:p w14:paraId="15D76D40">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1633" w:type="dxa"/>
                  <w:noWrap w:val="0"/>
                  <w:vAlign w:val="center"/>
                </w:tcPr>
                <w:p w14:paraId="3318FE6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1.5%</w:t>
                  </w:r>
                </w:p>
              </w:tc>
              <w:tc>
                <w:tcPr>
                  <w:tcW w:w="2262" w:type="dxa"/>
                  <w:noWrap w:val="0"/>
                  <w:vAlign w:val="center"/>
                </w:tcPr>
                <w:p w14:paraId="72D7D35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w:t>
                  </w:r>
                </w:p>
              </w:tc>
            </w:tr>
            <w:tr w14:paraId="1E63D38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PrEx>
              <w:trPr>
                <w:trHeight w:val="90" w:hRule="atLeast"/>
                <w:jc w:val="center"/>
              </w:trPr>
              <w:tc>
                <w:tcPr>
                  <w:tcW w:w="1971" w:type="dxa"/>
                  <w:shd w:val="clear" w:color="auto" w:fill="auto"/>
                  <w:noWrap w:val="0"/>
                  <w:vAlign w:val="center"/>
                </w:tcPr>
                <w:p w14:paraId="31FC91E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100—500</w:t>
                  </w:r>
                </w:p>
              </w:tc>
              <w:tc>
                <w:tcPr>
                  <w:tcW w:w="1633" w:type="dxa"/>
                  <w:shd w:val="clear" w:color="auto" w:fill="auto"/>
                  <w:noWrap w:val="0"/>
                  <w:vAlign w:val="center"/>
                </w:tcPr>
                <w:p w14:paraId="32BAA6FD">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1633" w:type="dxa"/>
                  <w:noWrap w:val="0"/>
                  <w:vAlign w:val="center"/>
                </w:tcPr>
                <w:p w14:paraId="73E7CD3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0.8%</w:t>
                  </w:r>
                </w:p>
              </w:tc>
              <w:tc>
                <w:tcPr>
                  <w:tcW w:w="2262" w:type="dxa"/>
                  <w:noWrap w:val="0"/>
                  <w:vAlign w:val="center"/>
                </w:tcPr>
                <w:p w14:paraId="48F4565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0.7%</w:t>
                  </w:r>
                </w:p>
              </w:tc>
            </w:tr>
            <w:tr w14:paraId="7D441C3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47E757A2">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500—1000</w:t>
                  </w:r>
                </w:p>
              </w:tc>
              <w:tc>
                <w:tcPr>
                  <w:tcW w:w="1633" w:type="dxa"/>
                  <w:shd w:val="clear" w:color="auto" w:fill="auto"/>
                  <w:noWrap w:val="0"/>
                  <w:vAlign w:val="center"/>
                </w:tcPr>
                <w:p w14:paraId="055DE4B7">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1633" w:type="dxa"/>
                  <w:noWrap w:val="0"/>
                  <w:vAlign w:val="center"/>
                </w:tcPr>
                <w:p w14:paraId="72011F3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0.45%</w:t>
                  </w:r>
                </w:p>
              </w:tc>
              <w:tc>
                <w:tcPr>
                  <w:tcW w:w="2262" w:type="dxa"/>
                  <w:noWrap w:val="0"/>
                  <w:vAlign w:val="center"/>
                </w:tcPr>
                <w:p w14:paraId="5163BFF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0.55%</w:t>
                  </w:r>
                </w:p>
              </w:tc>
            </w:tr>
            <w:tr w14:paraId="409D68A8">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82DAEE6">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1000—5000</w:t>
                  </w:r>
                </w:p>
              </w:tc>
              <w:tc>
                <w:tcPr>
                  <w:tcW w:w="1633" w:type="dxa"/>
                  <w:shd w:val="clear" w:color="auto" w:fill="auto"/>
                  <w:noWrap w:val="0"/>
                  <w:vAlign w:val="center"/>
                </w:tcPr>
                <w:p w14:paraId="7B6B4764">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0.5%</w:t>
                  </w:r>
                </w:p>
              </w:tc>
              <w:tc>
                <w:tcPr>
                  <w:tcW w:w="1633" w:type="dxa"/>
                  <w:noWrap w:val="0"/>
                  <w:vAlign w:val="center"/>
                </w:tcPr>
                <w:p w14:paraId="6036D21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0.25%</w:t>
                  </w:r>
                </w:p>
              </w:tc>
              <w:tc>
                <w:tcPr>
                  <w:tcW w:w="2262" w:type="dxa"/>
                  <w:noWrap w:val="0"/>
                  <w:vAlign w:val="center"/>
                </w:tcPr>
                <w:p w14:paraId="6F3B31D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0.35%</w:t>
                  </w:r>
                </w:p>
              </w:tc>
            </w:tr>
            <w:tr w14:paraId="5CE74B3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3D85A36">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5000—10000</w:t>
                  </w:r>
                </w:p>
              </w:tc>
              <w:tc>
                <w:tcPr>
                  <w:tcW w:w="1633" w:type="dxa"/>
                  <w:shd w:val="clear" w:color="auto" w:fill="auto"/>
                  <w:noWrap w:val="0"/>
                  <w:vAlign w:val="center"/>
                </w:tcPr>
                <w:p w14:paraId="04E6A646">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0.25%</w:t>
                  </w:r>
                </w:p>
              </w:tc>
              <w:tc>
                <w:tcPr>
                  <w:tcW w:w="1633" w:type="dxa"/>
                  <w:noWrap w:val="0"/>
                  <w:vAlign w:val="center"/>
                </w:tcPr>
                <w:p w14:paraId="65EACAC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0.1%</w:t>
                  </w:r>
                </w:p>
              </w:tc>
              <w:tc>
                <w:tcPr>
                  <w:tcW w:w="2262" w:type="dxa"/>
                  <w:noWrap w:val="0"/>
                  <w:vAlign w:val="center"/>
                </w:tcPr>
                <w:p w14:paraId="24F541F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w:t>
                  </w:r>
                </w:p>
              </w:tc>
            </w:tr>
          </w:tbl>
          <w:p w14:paraId="07530A0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注：中标服务费按差额定率累进法计算。</w:t>
            </w:r>
            <w:r>
              <w:rPr>
                <w:rFonts w:hint="eastAsia" w:ascii="仿宋" w:hAnsi="仿宋" w:eastAsia="仿宋" w:cs="仿宋"/>
                <w:b w:val="0"/>
                <w:bCs w:val="0"/>
                <w:color w:val="auto"/>
                <w:kern w:val="0"/>
                <w:sz w:val="21"/>
                <w:szCs w:val="21"/>
                <w:highlight w:val="none"/>
              </w:rPr>
              <w:t>例如：</w:t>
            </w:r>
            <w:r>
              <w:rPr>
                <w:rFonts w:hint="eastAsia" w:ascii="仿宋" w:hAnsi="仿宋" w:eastAsia="仿宋" w:cs="仿宋"/>
                <w:color w:val="auto"/>
                <w:kern w:val="0"/>
                <w:sz w:val="21"/>
                <w:szCs w:val="21"/>
                <w:highlight w:val="none"/>
              </w:rPr>
              <w:t>某</w:t>
            </w:r>
            <w:r>
              <w:rPr>
                <w:rFonts w:hint="eastAsia" w:ascii="仿宋" w:hAnsi="仿宋" w:eastAsia="仿宋" w:cs="仿宋"/>
                <w:b/>
                <w:bCs/>
                <w:color w:val="auto"/>
                <w:kern w:val="0"/>
                <w:sz w:val="21"/>
                <w:szCs w:val="21"/>
                <w:highlight w:val="none"/>
                <w:u w:val="single"/>
                <w:lang w:val="en-US" w:eastAsia="zh-CN"/>
              </w:rPr>
              <w:t>货物</w:t>
            </w:r>
            <w:r>
              <w:rPr>
                <w:rFonts w:hint="eastAsia" w:ascii="仿宋" w:hAnsi="仿宋" w:eastAsia="仿宋" w:cs="仿宋"/>
                <w:color w:val="auto"/>
                <w:kern w:val="0"/>
                <w:sz w:val="21"/>
                <w:szCs w:val="21"/>
                <w:highlight w:val="none"/>
              </w:rPr>
              <w:t>采购代理业务中标金额为</w:t>
            </w:r>
            <w:r>
              <w:rPr>
                <w:rFonts w:hint="eastAsia" w:ascii="仿宋" w:hAnsi="仿宋" w:eastAsia="仿宋" w:cs="仿宋"/>
                <w:color w:val="auto"/>
                <w:kern w:val="0"/>
                <w:sz w:val="21"/>
                <w:szCs w:val="21"/>
                <w:highlight w:val="none"/>
                <w:lang w:val="en-US" w:eastAsia="zh-CN"/>
              </w:rPr>
              <w:t>88</w:t>
            </w:r>
            <w:r>
              <w:rPr>
                <w:rFonts w:hint="eastAsia" w:ascii="仿宋" w:hAnsi="仿宋" w:eastAsia="仿宋" w:cs="仿宋"/>
                <w:color w:val="auto"/>
                <w:kern w:val="0"/>
                <w:sz w:val="21"/>
                <w:szCs w:val="21"/>
                <w:highlight w:val="none"/>
              </w:rPr>
              <w:t>万元，</w:t>
            </w:r>
            <w:r>
              <w:rPr>
                <w:rFonts w:hint="eastAsia" w:ascii="仿宋" w:hAnsi="仿宋" w:eastAsia="仿宋" w:cs="仿宋"/>
                <w:color w:val="auto"/>
                <w:sz w:val="21"/>
                <w:szCs w:val="21"/>
                <w:highlight w:val="none"/>
                <w:lang w:val="en-US" w:eastAsia="zh-CN"/>
              </w:rPr>
              <w:t>按照</w:t>
            </w:r>
            <w:r>
              <w:rPr>
                <w:rFonts w:hint="eastAsia" w:ascii="仿宋" w:hAnsi="仿宋" w:eastAsia="仿宋" w:cs="仿宋"/>
                <w:b/>
                <w:bCs/>
                <w:color w:val="auto"/>
                <w:sz w:val="21"/>
                <w:szCs w:val="21"/>
                <w:highlight w:val="none"/>
                <w:u w:val="single"/>
                <w:lang w:val="en-US" w:eastAsia="zh-CN"/>
              </w:rPr>
              <w:t>货物</w:t>
            </w:r>
            <w:r>
              <w:rPr>
                <w:rFonts w:hint="eastAsia" w:ascii="仿宋" w:hAnsi="仿宋" w:eastAsia="仿宋" w:cs="仿宋"/>
                <w:color w:val="auto"/>
                <w:sz w:val="21"/>
                <w:szCs w:val="21"/>
                <w:highlight w:val="none"/>
                <w:lang w:val="en-US" w:eastAsia="zh-CN"/>
              </w:rPr>
              <w:t>收费标准收取委托代理服务费。</w:t>
            </w:r>
            <w:r>
              <w:rPr>
                <w:rFonts w:hint="eastAsia" w:ascii="仿宋" w:hAnsi="仿宋" w:eastAsia="仿宋" w:cs="仿宋"/>
                <w:color w:val="auto"/>
                <w:kern w:val="0"/>
                <w:sz w:val="21"/>
                <w:szCs w:val="21"/>
                <w:highlight w:val="none"/>
              </w:rPr>
              <w:t>计算采购代理服务收费额如下：</w:t>
            </w:r>
          </w:p>
          <w:p w14:paraId="7507678C">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     88</w:t>
            </w:r>
            <w:r>
              <w:rPr>
                <w:rFonts w:hint="eastAsia" w:ascii="仿宋" w:hAnsi="仿宋" w:eastAsia="仿宋" w:cs="仿宋"/>
                <w:color w:val="auto"/>
                <w:kern w:val="0"/>
                <w:sz w:val="21"/>
                <w:szCs w:val="21"/>
                <w:highlight w:val="none"/>
              </w:rPr>
              <w:t>万元×l.</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.32</w:t>
            </w:r>
            <w:r>
              <w:rPr>
                <w:rFonts w:hint="eastAsia" w:ascii="仿宋" w:hAnsi="仿宋" w:eastAsia="仿宋" w:cs="仿宋"/>
                <w:color w:val="auto"/>
                <w:kern w:val="0"/>
                <w:sz w:val="21"/>
                <w:szCs w:val="21"/>
                <w:highlight w:val="none"/>
              </w:rPr>
              <w:t>万元</w:t>
            </w:r>
          </w:p>
          <w:p w14:paraId="2FD87EA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缴纳代理费账户：</w:t>
            </w:r>
          </w:p>
          <w:p w14:paraId="0B307B18">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开户名称：云南拓航工程管理咨询有限公司</w:t>
            </w:r>
          </w:p>
          <w:p w14:paraId="3A5B715F">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开户行：中国建设银行股份有限公司南华支行</w:t>
            </w:r>
          </w:p>
          <w:p w14:paraId="30CA8FB6">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银行账号：53050110085700001160</w:t>
            </w:r>
          </w:p>
          <w:p w14:paraId="16D2D905">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行号：105738400011</w:t>
            </w:r>
          </w:p>
          <w:p w14:paraId="68E003A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缴纳时间：中标人应在接受“中标通知书”</w:t>
            </w:r>
            <w:r>
              <w:rPr>
                <w:rFonts w:hint="eastAsia" w:ascii="仿宋" w:hAnsi="仿宋" w:eastAsia="仿宋" w:cs="仿宋"/>
                <w:color w:val="auto"/>
                <w:sz w:val="21"/>
                <w:szCs w:val="21"/>
                <w:highlight w:val="none"/>
                <w:lang w:val="en-US" w:eastAsia="zh-CN"/>
              </w:rPr>
              <w:t>时向采购</w:t>
            </w:r>
            <w:r>
              <w:rPr>
                <w:rFonts w:hint="eastAsia" w:ascii="仿宋" w:hAnsi="仿宋" w:eastAsia="仿宋" w:cs="仿宋"/>
                <w:color w:val="auto"/>
                <w:sz w:val="21"/>
                <w:szCs w:val="21"/>
                <w:highlight w:val="none"/>
                <w:lang w:eastAsia="zh-CN"/>
              </w:rPr>
              <w:t>代理机构</w:t>
            </w:r>
            <w:r>
              <w:rPr>
                <w:rFonts w:hint="eastAsia" w:ascii="仿宋" w:hAnsi="仿宋" w:eastAsia="仿宋" w:cs="仿宋"/>
                <w:color w:val="auto"/>
                <w:sz w:val="21"/>
                <w:szCs w:val="21"/>
                <w:highlight w:val="none"/>
              </w:rPr>
              <w:t>一次付清代理服务费。</w:t>
            </w:r>
          </w:p>
          <w:p w14:paraId="0D5CC67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420" w:leftChars="200" w:right="0" w:rightChars="0" w:firstLine="0" w:firstLineChars="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4.缴纳方式：银行转账。</w:t>
            </w:r>
          </w:p>
        </w:tc>
      </w:tr>
      <w:tr w14:paraId="0B4BC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0A22B5D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信用信息查询</w:t>
            </w:r>
          </w:p>
        </w:tc>
        <w:tc>
          <w:tcPr>
            <w:tcW w:w="7946" w:type="dxa"/>
            <w:noWrap w:val="0"/>
            <w:vAlign w:val="center"/>
          </w:tcPr>
          <w:p w14:paraId="4C24A71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1.</w:t>
            </w:r>
            <w:r>
              <w:rPr>
                <w:rFonts w:hint="eastAsia" w:ascii="仿宋" w:hAnsi="仿宋" w:eastAsia="仿宋" w:cs="仿宋"/>
                <w:color w:val="auto"/>
                <w:kern w:val="2"/>
                <w:sz w:val="21"/>
                <w:szCs w:val="21"/>
                <w:highlight w:val="none"/>
                <w:lang w:val="zh-CN" w:eastAsia="zh-CN" w:bidi="ar-SA"/>
              </w:rPr>
              <w:t>信用信息查询渠道及截止时间：采购代理机构将在开标后评标会议开始前通过“信用中国”网站(www.creditchina.gov.cn)、中国政府采购网(www.ccgp.gov.cn)渠道查询投标人接受资格审查时的信用记录。</w:t>
            </w:r>
          </w:p>
          <w:p w14:paraId="43D299B7">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2.</w:t>
            </w:r>
            <w:r>
              <w:rPr>
                <w:rFonts w:hint="eastAsia" w:ascii="仿宋" w:hAnsi="仿宋" w:eastAsia="仿宋" w:cs="仿宋"/>
                <w:color w:val="auto"/>
                <w:kern w:val="2"/>
                <w:sz w:val="21"/>
                <w:szCs w:val="21"/>
                <w:highlight w:val="none"/>
                <w:lang w:val="zh-CN" w:eastAsia="zh-CN" w:bidi="ar-SA"/>
              </w:rPr>
              <w:t>信用信息查询记录和证据留存的具体方式：采购代理机构在“信用中国”网站（www.creditchina.gov.cn）</w:t>
            </w:r>
            <w:r>
              <w:rPr>
                <w:rFonts w:hint="eastAsia" w:ascii="仿宋" w:hAnsi="仿宋" w:eastAsia="仿宋" w:cs="仿宋"/>
                <w:color w:val="auto"/>
                <w:kern w:val="2"/>
                <w:sz w:val="21"/>
                <w:szCs w:val="21"/>
                <w:highlight w:val="none"/>
                <w:lang w:val="en-US" w:eastAsia="zh-CN" w:bidi="ar-SA"/>
              </w:rPr>
              <w:t>或中国执行公开网（https://zxgk.court.gov.cn/）</w:t>
            </w:r>
            <w:r>
              <w:rPr>
                <w:rFonts w:hint="eastAsia" w:ascii="仿宋" w:hAnsi="仿宋" w:eastAsia="仿宋" w:cs="仿宋"/>
                <w:color w:val="auto"/>
                <w:kern w:val="2"/>
                <w:sz w:val="21"/>
                <w:szCs w:val="21"/>
                <w:highlight w:val="none"/>
                <w:lang w:val="zh-CN" w:eastAsia="zh-CN" w:bidi="ar-SA"/>
              </w:rPr>
              <w:t>对投标人进行失信被执行人、重大税收违法失信主体和政府采购严重违法失信行为记录名单的信用信息查询；在中国政府采购网（www.ccgp.gov.cn）对投标人进行“政府采购严重违法失信行为信息记录”的信用信息查询。查询的投标人信用记录、查询结果经确认后将与采购文件一起存档。</w:t>
            </w:r>
          </w:p>
          <w:p w14:paraId="338F8D87">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zh-CN" w:eastAsia="zh-CN" w:bidi="ar-SA"/>
              </w:rPr>
              <w:t>信用信息的使用规则：经查询列入失信被执行人名单或者重大税收违法案件当事人名单或者政府采购严重违法失信行为记录名单的投标人将被拒绝参与政府采购活动。</w:t>
            </w:r>
          </w:p>
          <w:p w14:paraId="788BF26B">
            <w:pPr>
              <w:pStyle w:val="7"/>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lang w:val="zh-CN"/>
              </w:rPr>
            </w:pPr>
            <w:r>
              <w:rPr>
                <w:rFonts w:hint="eastAsia" w:cs="仿宋"/>
                <w:color w:val="auto"/>
                <w:kern w:val="2"/>
                <w:sz w:val="21"/>
                <w:szCs w:val="21"/>
                <w:highlight w:val="none"/>
                <w:lang w:val="en-US" w:eastAsia="zh-CN" w:bidi="ar-SA"/>
              </w:rPr>
              <w:t>4.</w:t>
            </w:r>
            <w:r>
              <w:rPr>
                <w:rFonts w:hint="eastAsia" w:ascii="仿宋" w:hAnsi="仿宋" w:eastAsia="仿宋" w:cs="仿宋"/>
                <w:color w:val="auto"/>
                <w:kern w:val="2"/>
                <w:sz w:val="21"/>
                <w:szCs w:val="21"/>
                <w:highlight w:val="none"/>
                <w:lang w:val="zh-CN" w:eastAsia="zh-CN" w:bidi="ar-SA"/>
              </w:rPr>
              <w:t>联合体信用信息查询：两个以上的自然人、法人或者其他组织组成一个联合体，以一个投标人的身份共同参加政府采购活动的，应当对所有联合体成员进行信用记录查询，联合体成员存在不良信用记录的，视同联合体存在不良信用记录。</w:t>
            </w:r>
          </w:p>
        </w:tc>
      </w:tr>
      <w:tr w14:paraId="64476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2B7DD22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方案讲解演示</w:t>
            </w:r>
          </w:p>
        </w:tc>
        <w:tc>
          <w:tcPr>
            <w:tcW w:w="7946" w:type="dxa"/>
            <w:noWrap w:val="0"/>
            <w:vAlign w:val="center"/>
          </w:tcPr>
          <w:p w14:paraId="67807AB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65B050D4">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具体要求</w:t>
            </w:r>
            <w:r>
              <w:rPr>
                <w:rFonts w:hint="eastAsia" w:ascii="仿宋" w:hAnsi="仿宋" w:eastAsia="仿宋" w:cs="仿宋"/>
                <w:color w:val="auto"/>
                <w:sz w:val="21"/>
                <w:szCs w:val="21"/>
                <w:highlight w:val="none"/>
                <w:u w:val="single"/>
                <w:lang w:val="en-US" w:eastAsia="zh-CN"/>
              </w:rPr>
              <w:t xml:space="preserve">                </w:t>
            </w:r>
          </w:p>
        </w:tc>
      </w:tr>
      <w:tr w14:paraId="3355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7793062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en-US" w:bidi="ar-SA"/>
              </w:rPr>
            </w:pPr>
            <w:r>
              <w:rPr>
                <w:rFonts w:hint="eastAsia" w:ascii="仿宋" w:hAnsi="仿宋" w:eastAsia="仿宋" w:cs="仿宋"/>
                <w:color w:val="auto"/>
                <w:sz w:val="21"/>
                <w:szCs w:val="21"/>
                <w:highlight w:val="none"/>
                <w:lang w:val="zh-CN"/>
              </w:rPr>
              <w:t>承诺提醒</w:t>
            </w:r>
          </w:p>
        </w:tc>
        <w:tc>
          <w:tcPr>
            <w:tcW w:w="7946" w:type="dxa"/>
            <w:noWrap w:val="0"/>
            <w:vAlign w:val="center"/>
          </w:tcPr>
          <w:p w14:paraId="2098103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zh-CN" w:eastAsia="zh-CN" w:bidi="ar-SA"/>
              </w:rPr>
              <w:t>关于</w:t>
            </w:r>
            <w:r>
              <w:rPr>
                <w:rFonts w:hint="eastAsia"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针对本项目提出的相关资格或实质性要求的承诺（包括但不限于依法缴纳税收和社会保障资金），项目采购活动结束后，采购人或</w:t>
            </w:r>
            <w:r>
              <w:rPr>
                <w:rFonts w:hint="eastAsia" w:ascii="仿宋" w:hAnsi="仿宋" w:eastAsia="仿宋" w:cs="仿宋"/>
                <w:color w:val="auto"/>
                <w:kern w:val="2"/>
                <w:sz w:val="21"/>
                <w:szCs w:val="21"/>
                <w:highlight w:val="none"/>
                <w:lang w:val="en-US" w:eastAsia="zh-CN" w:bidi="ar-SA"/>
              </w:rPr>
              <w:t>采购</w:t>
            </w:r>
            <w:r>
              <w:rPr>
                <w:rFonts w:hint="eastAsia" w:ascii="仿宋" w:hAnsi="仿宋" w:eastAsia="仿宋" w:cs="仿宋"/>
                <w:color w:val="auto"/>
                <w:kern w:val="2"/>
                <w:sz w:val="21"/>
                <w:szCs w:val="21"/>
                <w:highlight w:val="none"/>
                <w:lang w:val="zh-CN" w:eastAsia="zh-CN" w:bidi="ar-SA"/>
              </w:rPr>
              <w:t>代理机构如有必要将核实</w:t>
            </w:r>
            <w:r>
              <w:rPr>
                <w:rFonts w:hint="eastAsia"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所作承诺的真实性，如提供虚假承诺将报告监管部门严肃追究法律责任。</w:t>
            </w:r>
          </w:p>
          <w:p w14:paraId="4AA9A6F1">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sz w:val="21"/>
                <w:szCs w:val="21"/>
                <w:lang w:val="zh-CN"/>
              </w:rPr>
            </w:pPr>
            <w:r>
              <w:rPr>
                <w:rFonts w:hint="eastAsia" w:cs="仿宋"/>
                <w:color w:val="000000"/>
                <w:sz w:val="21"/>
                <w:szCs w:val="21"/>
                <w:lang w:val="zh-CN"/>
              </w:rPr>
              <w:t>投标人</w:t>
            </w:r>
            <w:r>
              <w:rPr>
                <w:rFonts w:hint="eastAsia" w:ascii="仿宋" w:hAnsi="仿宋" w:eastAsia="仿宋" w:cs="仿宋"/>
                <w:color w:val="000000"/>
                <w:sz w:val="21"/>
                <w:szCs w:val="21"/>
                <w:lang w:val="zh-CN"/>
              </w:rPr>
              <w:t>提供承诺函、第三方书面声明、检测报告、资质证件、业绩成果等材料作为投标文件组成部分的，</w:t>
            </w:r>
            <w:r>
              <w:rPr>
                <w:rFonts w:hint="eastAsia" w:cs="仿宋"/>
                <w:color w:val="000000"/>
                <w:sz w:val="21"/>
                <w:szCs w:val="21"/>
                <w:lang w:val="zh-CN"/>
              </w:rPr>
              <w:t>投标人</w:t>
            </w:r>
            <w:r>
              <w:rPr>
                <w:rFonts w:hint="eastAsia" w:ascii="仿宋" w:hAnsi="仿宋" w:eastAsia="仿宋" w:cs="仿宋"/>
                <w:color w:val="000000"/>
                <w:sz w:val="21"/>
                <w:szCs w:val="21"/>
                <w:lang w:val="zh-CN"/>
              </w:rPr>
              <w:t>应保证资料内容书写正确、真实有效、完整一致。</w:t>
            </w:r>
          </w:p>
          <w:p w14:paraId="409C6671">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按照相关规定可通过官方网站查询的资质证件，</w:t>
            </w:r>
            <w:r>
              <w:rPr>
                <w:rFonts w:hint="eastAsia" w:cs="仿宋"/>
                <w:color w:val="000000"/>
                <w:sz w:val="21"/>
                <w:szCs w:val="21"/>
                <w:lang w:val="zh-CN"/>
              </w:rPr>
              <w:t>投标人</w:t>
            </w:r>
            <w:r>
              <w:rPr>
                <w:rFonts w:hint="eastAsia" w:ascii="仿宋" w:hAnsi="仿宋" w:eastAsia="仿宋" w:cs="仿宋"/>
                <w:color w:val="000000"/>
                <w:sz w:val="21"/>
                <w:szCs w:val="21"/>
                <w:lang w:val="zh-CN"/>
              </w:rPr>
              <w:t>应确保资质证件真实有效、线上可查。</w:t>
            </w:r>
          </w:p>
          <w:p w14:paraId="0011DD5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000000"/>
                <w:sz w:val="21"/>
                <w:szCs w:val="21"/>
                <w:lang w:val="zh-CN"/>
              </w:rPr>
              <w:t>招标文件要求提供检测报告的，</w:t>
            </w:r>
            <w:r>
              <w:rPr>
                <w:rFonts w:hint="eastAsia" w:cs="仿宋"/>
                <w:color w:val="000000"/>
                <w:sz w:val="21"/>
                <w:szCs w:val="21"/>
                <w:lang w:val="zh-CN"/>
              </w:rPr>
              <w:t>投标人</w:t>
            </w:r>
            <w:r>
              <w:rPr>
                <w:rFonts w:hint="eastAsia" w:ascii="仿宋" w:hAnsi="仿宋" w:eastAsia="仿宋" w:cs="仿宋"/>
                <w:color w:val="000000"/>
                <w:sz w:val="21"/>
                <w:szCs w:val="21"/>
                <w:lang w:val="zh-CN"/>
              </w:rPr>
              <w:t>应当确保检测机构资质符合项目要求，检测报告内容、检测委托合同、相关发票等材料主体及信息一致。</w:t>
            </w:r>
          </w:p>
        </w:tc>
      </w:tr>
      <w:tr w14:paraId="2AE1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0E336D2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定义</w:t>
            </w:r>
          </w:p>
        </w:tc>
        <w:tc>
          <w:tcPr>
            <w:tcW w:w="7946" w:type="dxa"/>
            <w:noWrap w:val="0"/>
            <w:vAlign w:val="center"/>
          </w:tcPr>
          <w:p w14:paraId="4F8A077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bidi="ar"/>
              </w:rPr>
              <w:t>原件：</w:t>
            </w:r>
            <w:r>
              <w:rPr>
                <w:rFonts w:hint="eastAsia" w:ascii="仿宋" w:hAnsi="仿宋" w:eastAsia="仿宋" w:cs="仿宋"/>
                <w:color w:val="auto"/>
                <w:kern w:val="0"/>
                <w:sz w:val="21"/>
                <w:szCs w:val="21"/>
                <w:highlight w:val="none"/>
                <w:lang w:bidi="ar"/>
              </w:rPr>
              <w:t>最初产生的区别于复制件（或复印件）的原始文件或文件的原本。</w:t>
            </w:r>
          </w:p>
          <w:p w14:paraId="239C104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2.</w:t>
            </w:r>
            <w:r>
              <w:rPr>
                <w:rFonts w:hint="eastAsia" w:ascii="仿宋" w:hAnsi="仿宋" w:eastAsia="仿宋" w:cs="仿宋"/>
                <w:b/>
                <w:bCs/>
                <w:color w:val="auto"/>
                <w:kern w:val="0"/>
                <w:sz w:val="21"/>
                <w:szCs w:val="21"/>
                <w:highlight w:val="none"/>
                <w:lang w:bidi="ar"/>
              </w:rPr>
              <w:t>书面形式：</w:t>
            </w:r>
            <w:r>
              <w:rPr>
                <w:rFonts w:hint="eastAsia" w:ascii="仿宋" w:hAnsi="仿宋" w:eastAsia="仿宋" w:cs="仿宋"/>
                <w:color w:val="auto"/>
                <w:kern w:val="0"/>
                <w:sz w:val="21"/>
                <w:szCs w:val="21"/>
                <w:highlight w:val="none"/>
                <w:lang w:bidi="ar"/>
              </w:rPr>
              <w:t>包括文字的打印或复印件、传真、信函、电传、电报、电子邮件、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云南省政府采购网》《政府采购云平台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kern w:val="0"/>
                <w:sz w:val="21"/>
                <w:szCs w:val="21"/>
                <w:highlight w:val="none"/>
                <w:lang w:bidi="ar"/>
              </w:rPr>
              <w:t>发布的公告等可以有形地表现所载内容的形式。</w:t>
            </w:r>
          </w:p>
          <w:p w14:paraId="3499716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3.</w:t>
            </w:r>
            <w:r>
              <w:rPr>
                <w:rFonts w:hint="eastAsia" w:ascii="仿宋" w:hAnsi="仿宋" w:eastAsia="仿宋" w:cs="仿宋"/>
                <w:b/>
                <w:bCs/>
                <w:color w:val="auto"/>
                <w:kern w:val="0"/>
                <w:sz w:val="21"/>
                <w:szCs w:val="21"/>
                <w:highlight w:val="none"/>
                <w:lang w:bidi="ar"/>
              </w:rPr>
              <w:t>证明文件的清晰度和可读性</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1"/>
                <w:szCs w:val="21"/>
                <w:highlight w:val="none"/>
              </w:rPr>
              <w:t>则</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委员会有权视具体情形评分时予以处理，乃至作出不利于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的认定</w:t>
            </w:r>
            <w:r>
              <w:rPr>
                <w:rFonts w:hint="eastAsia" w:ascii="仿宋" w:hAnsi="仿宋" w:eastAsia="仿宋" w:cs="仿宋"/>
                <w:color w:val="auto"/>
                <w:kern w:val="0"/>
                <w:sz w:val="21"/>
                <w:szCs w:val="21"/>
                <w:highlight w:val="none"/>
                <w:lang w:bidi="ar"/>
              </w:rPr>
              <w:t>。（涉及商业秘密的可以做模糊处理）</w:t>
            </w:r>
          </w:p>
          <w:p w14:paraId="11B4820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zh-CN" w:eastAsia="zh-CN" w:bidi="ar"/>
              </w:rPr>
              <w:t>4.</w:t>
            </w:r>
            <w:r>
              <w:rPr>
                <w:rFonts w:hint="eastAsia" w:ascii="仿宋" w:hAnsi="仿宋" w:eastAsia="仿宋" w:cs="仿宋"/>
                <w:b/>
                <w:bCs/>
                <w:color w:val="auto"/>
                <w:kern w:val="0"/>
                <w:sz w:val="21"/>
                <w:szCs w:val="21"/>
                <w:highlight w:val="none"/>
                <w:lang w:bidi="ar"/>
              </w:rPr>
              <w:t>证明文件的完整性：</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所提供的证明文件应保证文件完整，包括所有必要的页码和附件。如有多份复印件，应确保每份复制品均为完整的副本。</w:t>
            </w:r>
          </w:p>
          <w:p w14:paraId="530B8B3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snapToGrid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zh-CN" w:eastAsia="zh-CN" w:bidi="ar"/>
              </w:rPr>
              <w:t>5.</w:t>
            </w:r>
            <w:r>
              <w:rPr>
                <w:rFonts w:hint="eastAsia" w:ascii="仿宋" w:hAnsi="仿宋" w:eastAsia="仿宋" w:cs="仿宋"/>
                <w:b/>
                <w:bCs/>
                <w:color w:val="auto"/>
                <w:kern w:val="0"/>
                <w:sz w:val="21"/>
                <w:szCs w:val="21"/>
                <w:highlight w:val="none"/>
                <w:lang w:val="en-US" w:eastAsia="zh-CN" w:bidi="ar"/>
              </w:rPr>
              <w:t>时限（年份、月份等）计算：</w:t>
            </w:r>
            <w:r>
              <w:rPr>
                <w:rFonts w:hint="eastAsia" w:ascii="仿宋" w:hAnsi="仿宋" w:eastAsia="仿宋" w:cs="仿宋"/>
                <w:color w:val="auto"/>
                <w:kern w:val="0"/>
                <w:sz w:val="21"/>
                <w:szCs w:val="21"/>
                <w:highlight w:val="none"/>
                <w:lang w:val="en-US" w:eastAsia="zh-CN" w:bidi="ar"/>
              </w:rPr>
              <w:t>系指从开标之日向前追溯X年/月（“X”为“一”及以后整数）起算。</w:t>
            </w:r>
          </w:p>
        </w:tc>
      </w:tr>
      <w:tr w14:paraId="06C75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47684A6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zh-CN"/>
              </w:rPr>
              <w:t>重要提示</w:t>
            </w:r>
          </w:p>
        </w:tc>
        <w:tc>
          <w:tcPr>
            <w:tcW w:w="7946" w:type="dxa"/>
            <w:noWrap w:val="0"/>
            <w:vAlign w:val="center"/>
          </w:tcPr>
          <w:p w14:paraId="1870040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1.中标人应在规定期限内领取《中标通知书》，若中标人未在规定期限内领取《中标通知书》，采购人有权取消中标人中标资格，并将相关违约行为报送监管部门，实施信用惩戒。</w:t>
            </w:r>
          </w:p>
          <w:p w14:paraId="4FE4E25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2.中标人应在规定期限内提交履约担保并与采购人签订合同，若中标人未能在规定期限内提交履约担保或签订合同，采购人有权取消中标人中标资格，并将相关违约行为报送监管部门，实施信用惩戒。</w:t>
            </w:r>
          </w:p>
          <w:p w14:paraId="1BE27CC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3.合同签订后，中标人存在规定时间内不组织人员进场开工，不履行供货、安装或服务义务等情况，采购人有权解除合同，并追究违约责任，同时将相关违约行为报送监管部门，记不良行为记录，实施信用惩戒。</w:t>
            </w:r>
          </w:p>
          <w:p w14:paraId="52C788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4.中标人中标后被监管部门查实存在违法行为，不满足中标条件的或经查实不具备投标人参加政府采购活动应当具备的法定条件，或要求的特殊资格的，由采购人取消中标资格或有权解除合同（并做好项目后续工作），并追究其法律责任。</w:t>
            </w:r>
          </w:p>
          <w:p w14:paraId="0C94FE7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eastAsia="zh-CN"/>
              </w:rPr>
              <w:t>5.中标人在中标项目发生投诉、信访举报案件、履约存在争议时，拒绝协助配合执法部门调查案件的，采购人可以取消其中标资格或解除合同，并追究其违约责任。</w:t>
            </w:r>
          </w:p>
        </w:tc>
      </w:tr>
      <w:tr w14:paraId="3ADB1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6D1D35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进口产品的说明</w:t>
            </w:r>
          </w:p>
          <w:p w14:paraId="28DDEB6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snapToGrid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（适用于货物类）</w:t>
            </w:r>
          </w:p>
        </w:tc>
        <w:tc>
          <w:tcPr>
            <w:tcW w:w="7946" w:type="dxa"/>
            <w:noWrap w:val="0"/>
            <w:vAlign w:val="center"/>
          </w:tcPr>
          <w:p w14:paraId="6D91D8B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进口产品是指通过中国海关报关验放进入中国境内且产自关境外的产品</w:t>
            </w:r>
            <w:r>
              <w:rPr>
                <w:rFonts w:hint="eastAsia" w:ascii="仿宋" w:hAnsi="仿宋" w:eastAsia="仿宋" w:cs="仿宋"/>
                <w:bCs/>
                <w:color w:val="auto"/>
                <w:kern w:val="2"/>
                <w:sz w:val="21"/>
                <w:szCs w:val="21"/>
                <w:highlight w:val="none"/>
                <w:lang w:val="en-US" w:eastAsia="zh-CN"/>
              </w:rPr>
              <w:t>。</w:t>
            </w:r>
          </w:p>
          <w:p w14:paraId="725FE2A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Cs/>
                <w:snapToGrid w:val="0"/>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rPr>
              <w:t>注：不涉及采购进口产品时，投标人不得提供进口产品进行响应；涉及采购进口产品时，如国产产品满足采购需求，也可提供国产产品进行响应。</w:t>
            </w:r>
          </w:p>
        </w:tc>
      </w:tr>
      <w:tr w14:paraId="4B378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3FE405A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en-US" w:bidi="ar-SA"/>
              </w:rPr>
            </w:pPr>
            <w:r>
              <w:rPr>
                <w:rFonts w:hint="eastAsia" w:ascii="仿宋" w:hAnsi="仿宋" w:eastAsia="仿宋" w:cs="仿宋"/>
                <w:color w:val="auto"/>
                <w:sz w:val="21"/>
                <w:szCs w:val="21"/>
                <w:highlight w:val="none"/>
                <w:lang w:val="en-US" w:eastAsia="zh-CN"/>
              </w:rPr>
              <w:t>知识产权</w:t>
            </w:r>
          </w:p>
        </w:tc>
        <w:tc>
          <w:tcPr>
            <w:tcW w:w="7946" w:type="dxa"/>
            <w:noWrap w:val="0"/>
            <w:vAlign w:val="center"/>
          </w:tcPr>
          <w:p w14:paraId="5043FACD">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 xml:space="preserve">（1）构成本招标文件各个组成部分的文件，未经采购人书面同意，投标人不得擅自复印和用于非本招标项目所需的其他目的。如因此导致采购人损失的，投标人须承担全部赔偿责任。 </w:t>
            </w:r>
          </w:p>
          <w:p w14:paraId="172F464E">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（2）采购人在中华人民共和国境内使用中标货物（服务）、资料、技术、服务或其任何一部分时，履行合同义务后，享有不受限制的无偿使用权，不会产生因第三方提出侵犯其专利权、商标权或</w:t>
            </w:r>
            <w:r>
              <w:rPr>
                <w:rFonts w:hint="eastAsia" w:cs="仿宋"/>
                <w:snapToGrid w:val="0"/>
                <w:color w:val="auto"/>
                <w:kern w:val="0"/>
                <w:sz w:val="21"/>
                <w:szCs w:val="21"/>
                <w:highlight w:val="none"/>
                <w:lang w:val="en-US" w:eastAsia="zh-CN" w:bidi="ar-SA"/>
              </w:rPr>
              <w:t>其他</w:t>
            </w:r>
            <w:r>
              <w:rPr>
                <w:rFonts w:hint="eastAsia" w:ascii="仿宋" w:hAnsi="仿宋" w:eastAsia="仿宋" w:cs="仿宋"/>
                <w:snapToGrid w:val="0"/>
                <w:color w:val="auto"/>
                <w:kern w:val="0"/>
                <w:sz w:val="21"/>
                <w:szCs w:val="21"/>
                <w:highlight w:val="none"/>
                <w:lang w:val="en-US" w:eastAsia="zh-CN" w:bidi="ar-SA"/>
              </w:rPr>
              <w:t>知识产权而引起的法律或经济纠纷。如投标人不拥有相应的知识产权，则在投标报价中必须包括合法获取该知识产权的一切相关费用。如因此导致采购人损失的，投标人须承担全部赔偿责任。</w:t>
            </w:r>
          </w:p>
        </w:tc>
      </w:tr>
      <w:tr w14:paraId="243B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06BBB58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采购活动中串通投标行为认定</w:t>
            </w:r>
          </w:p>
        </w:tc>
        <w:tc>
          <w:tcPr>
            <w:tcW w:w="7946" w:type="dxa"/>
            <w:noWrap w:val="0"/>
            <w:vAlign w:val="center"/>
          </w:tcPr>
          <w:p w14:paraId="04BBD473">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根据《政府采购货物和服务招标投标管理办法》（财政部令第87号）第三十七条规定有下列情形之一的，视为投标人串通投标，其投标无效： </w:t>
            </w:r>
          </w:p>
          <w:p w14:paraId="146748D9">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（一）不同投标人的投标文件由同一单位或者个人编制； </w:t>
            </w:r>
          </w:p>
          <w:p w14:paraId="5FD09B45">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（二）不同投标人委托同一单位或者个人办理投标事宜； </w:t>
            </w:r>
          </w:p>
          <w:p w14:paraId="1478712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（三）不同投标人的投标文件载明的项目管理成员或者联系人员为同一人； </w:t>
            </w:r>
          </w:p>
          <w:p w14:paraId="0E17BE8E">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（四）不同投标人的投标文件异常一致或者投标报价呈规律性差异； </w:t>
            </w:r>
          </w:p>
          <w:p w14:paraId="7719A34D">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（五）不同投标人的投标文件相互混装； </w:t>
            </w:r>
          </w:p>
          <w:p w14:paraId="01A5FC8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（六）不同投标人的投标保证金从同一单位或者个人的账户转出；</w:t>
            </w:r>
          </w:p>
          <w:p w14:paraId="31A2CC67">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（七）不同投标人的电子投标文件在同一台电脑上编制（芯片序列号、硬盘序列号、网卡序列号一致，视为由同一台电脑编制）、加密或者上传。</w:t>
            </w:r>
          </w:p>
        </w:tc>
      </w:tr>
      <w:tr w14:paraId="015A3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581BAB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公平竞争</w:t>
            </w:r>
          </w:p>
        </w:tc>
        <w:tc>
          <w:tcPr>
            <w:tcW w:w="7946" w:type="dxa"/>
            <w:noWrap w:val="0"/>
            <w:vAlign w:val="center"/>
          </w:tcPr>
          <w:p w14:paraId="120461BF">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投标人应遵循公平竞争的原则，不得恶意串通，妨碍其他投标人的竞争行为，不得损害采购人或者其他投标人的合法权益。</w:t>
            </w:r>
          </w:p>
        </w:tc>
      </w:tr>
      <w:tr w14:paraId="7BA1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noWrap w:val="0"/>
            <w:vAlign w:val="center"/>
          </w:tcPr>
          <w:p w14:paraId="01308A4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询问、质疑联系方式</w:t>
            </w:r>
          </w:p>
        </w:tc>
        <w:tc>
          <w:tcPr>
            <w:tcW w:w="7946" w:type="dxa"/>
            <w:noWrap w:val="0"/>
            <w:vAlign w:val="center"/>
          </w:tcPr>
          <w:p w14:paraId="3FFD165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接收部门：云南拓航工程管理咨询有限公司</w:t>
            </w:r>
          </w:p>
          <w:p w14:paraId="5296F37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通讯地址：楚雄高新区永安路512号6楼</w:t>
            </w:r>
          </w:p>
          <w:p w14:paraId="26193EF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联系人：王涛</w:t>
            </w:r>
          </w:p>
          <w:p w14:paraId="2EE1799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联系电话：15758596869、0878-6610881</w:t>
            </w:r>
          </w:p>
          <w:p w14:paraId="50336EA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sz w:val="21"/>
                <w:szCs w:val="21"/>
                <w:highlight w:val="none"/>
                <w:lang w:val="en-US" w:eastAsia="zh-CN"/>
              </w:rPr>
              <w:t>电子邮箱：</w:t>
            </w:r>
            <w:r>
              <w:rPr>
                <w:rFonts w:hint="eastAsia" w:ascii="仿宋" w:hAnsi="仿宋" w:eastAsia="仿宋" w:cs="仿宋"/>
                <w:color w:val="auto"/>
                <w:sz w:val="21"/>
                <w:szCs w:val="21"/>
                <w:highlight w:val="none"/>
                <w:u w:val="none"/>
                <w:lang w:val="en-US" w:eastAsia="zh-CN"/>
              </w:rPr>
              <w:t>767610836@qq.com</w:t>
            </w:r>
          </w:p>
        </w:tc>
      </w:tr>
      <w:tr w14:paraId="49C4E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41" w:type="dxa"/>
            <w:shd w:val="clear" w:color="auto" w:fill="auto"/>
            <w:noWrap w:val="0"/>
            <w:vAlign w:val="center"/>
          </w:tcPr>
          <w:p w14:paraId="391E012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zh-CN" w:bidi="ar-SA"/>
              </w:rPr>
            </w:pPr>
            <w:bookmarkStart w:id="413" w:name="_Toc3899"/>
            <w:r>
              <w:rPr>
                <w:rFonts w:hint="eastAsia" w:ascii="仿宋" w:hAnsi="仿宋" w:eastAsia="仿宋" w:cs="仿宋"/>
                <w:color w:val="auto"/>
                <w:sz w:val="21"/>
                <w:szCs w:val="21"/>
                <w:highlight w:val="none"/>
                <w:lang w:val="en-US" w:eastAsia="zh-CN"/>
              </w:rPr>
              <w:t>招标文件</w:t>
            </w:r>
            <w:r>
              <w:rPr>
                <w:rFonts w:hint="eastAsia" w:ascii="仿宋" w:hAnsi="仿宋" w:eastAsia="仿宋" w:cs="仿宋"/>
                <w:color w:val="auto"/>
                <w:sz w:val="21"/>
                <w:szCs w:val="21"/>
                <w:highlight w:val="none"/>
              </w:rPr>
              <w:t>的解释</w:t>
            </w:r>
          </w:p>
        </w:tc>
        <w:tc>
          <w:tcPr>
            <w:tcW w:w="7946" w:type="dxa"/>
            <w:shd w:val="clear" w:color="auto" w:fill="auto"/>
            <w:noWrap w:val="0"/>
            <w:vAlign w:val="center"/>
          </w:tcPr>
          <w:p w14:paraId="6BA47EF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1.构成本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的各个组成文件应互为解释，互为说明；</w:t>
            </w:r>
          </w:p>
          <w:p w14:paraId="40F1BBD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2.同一组成文件中就同一事项的规定或约定不一致的，除</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另有规定外，以编排顺序在后者为准；</w:t>
            </w:r>
          </w:p>
          <w:p w14:paraId="6C2F47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3.如有不明确或不一致，构成合同文件组成内容的，以合同文件约定内容为准，且以专用合同条款约定的合同文件优先顺序解释；</w:t>
            </w:r>
          </w:p>
          <w:p w14:paraId="4A486925">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4.除</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中有特别规定外，仅适用于招标投标阶段的规定，按投标邀请、</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、评标方法和标准、投标文件格式的先后顺序解释；</w:t>
            </w:r>
          </w:p>
          <w:p w14:paraId="4A19DB5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5.按本款前述规定仍不能形成结论的，由采购人负责解释。</w:t>
            </w:r>
          </w:p>
        </w:tc>
      </w:tr>
      <w:bookmarkEnd w:id="409"/>
      <w:bookmarkEnd w:id="410"/>
      <w:bookmarkEnd w:id="411"/>
      <w:bookmarkEnd w:id="412"/>
    </w:tbl>
    <w:p w14:paraId="5A0594BF">
      <w:pPr>
        <w:keepNext w:val="0"/>
        <w:keepLines w:val="0"/>
        <w:pageBreakBefore w:val="0"/>
        <w:widowControl w:val="0"/>
        <w:kinsoku/>
        <w:wordWrap w:val="0"/>
        <w:overflowPunct/>
        <w:topLinePunct/>
        <w:autoSpaceDE/>
        <w:autoSpaceDN/>
        <w:bidi w:val="0"/>
        <w:adjustRightInd/>
        <w:snapToGrid/>
        <w:spacing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二、</w:t>
      </w:r>
      <w:bookmarkEnd w:id="413"/>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总则</w:t>
      </w:r>
    </w:p>
    <w:p w14:paraId="02B3EC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4" w:name="bookmark12"/>
      <w:bookmarkEnd w:id="414"/>
      <w:bookmarkStart w:id="415" w:name="_Toc481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1.适用范围</w:t>
      </w:r>
      <w:bookmarkEnd w:id="415"/>
    </w:p>
    <w:p w14:paraId="7F08873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1.1</w:t>
      </w:r>
      <w:r>
        <w:rPr>
          <w:rFonts w:hint="eastAsia" w:ascii="仿宋" w:hAnsi="仿宋" w:eastAsia="仿宋" w:cs="仿宋"/>
          <w:color w:val="auto"/>
          <w:spacing w:val="0"/>
          <w:w w:val="100"/>
          <w:position w:val="0"/>
          <w:sz w:val="21"/>
          <w:szCs w:val="21"/>
          <w:lang w:val="en-US" w:eastAsia="zh-CN"/>
        </w:rPr>
        <w:t>包括</w:t>
      </w:r>
      <w:r>
        <w:rPr>
          <w:rFonts w:hint="eastAsia" w:ascii="仿宋" w:hAnsi="仿宋" w:eastAsia="仿宋" w:cs="仿宋"/>
          <w:color w:val="auto"/>
          <w:spacing w:val="0"/>
          <w:w w:val="100"/>
          <w:position w:val="0"/>
          <w:sz w:val="21"/>
          <w:szCs w:val="21"/>
          <w:lang w:eastAsia="zh-CN"/>
        </w:rPr>
        <w:t>本招标文件中所述</w:t>
      </w:r>
      <w:r>
        <w:rPr>
          <w:rFonts w:hint="eastAsia" w:ascii="仿宋" w:hAnsi="仿宋" w:eastAsia="仿宋" w:cs="仿宋"/>
          <w:color w:val="auto"/>
          <w:spacing w:val="0"/>
          <w:w w:val="100"/>
          <w:position w:val="0"/>
          <w:sz w:val="21"/>
          <w:szCs w:val="21"/>
          <w:lang w:val="en-US" w:eastAsia="zh-CN"/>
        </w:rPr>
        <w:t>所有货物的供货、包装运输（包括卸车及就位至采购人指定的安装地点）、安装、调试、技术服务、培训、售后服务等所有内容。</w:t>
      </w:r>
    </w:p>
    <w:p w14:paraId="2809219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6" w:name="bookmark13"/>
      <w:bookmarkEnd w:id="416"/>
      <w:bookmarkStart w:id="417" w:name="_Toc3085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2.定义</w:t>
      </w:r>
      <w:bookmarkEnd w:id="417"/>
    </w:p>
    <w:p w14:paraId="46B0978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2.1采购人：详见“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77CFF93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2.2采购代理机构：详见“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5E47D65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2.3投标人：是指响应招标、参加投标竞争的法人、其他组织或者自然人。</w:t>
      </w:r>
    </w:p>
    <w:p w14:paraId="5E9746D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8" w:name="bookmark14"/>
      <w:bookmarkEnd w:id="418"/>
      <w:bookmarkStart w:id="419" w:name="_Toc464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3.合格投标人</w:t>
      </w:r>
      <w:bookmarkEnd w:id="419"/>
    </w:p>
    <w:p w14:paraId="75899A9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3.1投标人的资格条件：详见“第一章</w:t>
      </w:r>
      <w:r>
        <w:rPr>
          <w:rFonts w:hint="eastAsia" w:ascii="仿宋" w:hAnsi="仿宋" w:eastAsia="仿宋" w:cs="仿宋"/>
          <w:color w:val="auto"/>
          <w:spacing w:val="0"/>
          <w:w w:val="100"/>
          <w:position w:val="0"/>
          <w:sz w:val="21"/>
          <w:szCs w:val="21"/>
          <w:lang w:val="en-US" w:eastAsia="zh-CN"/>
        </w:rPr>
        <w:t xml:space="preserve"> 招标公告</w:t>
      </w:r>
      <w:r>
        <w:rPr>
          <w:rFonts w:hint="eastAsia" w:ascii="仿宋" w:hAnsi="仿宋" w:eastAsia="仿宋" w:cs="仿宋"/>
          <w:color w:val="auto"/>
          <w:spacing w:val="0"/>
          <w:w w:val="100"/>
          <w:position w:val="0"/>
          <w:sz w:val="21"/>
          <w:szCs w:val="21"/>
          <w:lang w:eastAsia="zh-CN"/>
        </w:rPr>
        <w:t>”。</w:t>
      </w:r>
    </w:p>
    <w:p w14:paraId="29B017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3.2联合体投标</w:t>
      </w:r>
    </w:p>
    <w:p w14:paraId="32045DB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3.2.1是否接受联合体投标：详见“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729A743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3.2.2两个以上的自然人、法人或者其他组织可以组成一个联合体，以一个投标人的身份共同参加政府采购。以联合体形式进行政府采购的，参加联合体的投标人均应当具备投标人的资格条件，并应当向采购人提交联合协议，载明联合体各方承担的工作和义务。联合体各方应当共同与采购人签订采购合同，就采购合同约定的事项对采购人承担连带责任。否则，将导致其</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投标无效。（适用于联合体投标）</w:t>
      </w:r>
    </w:p>
    <w:p w14:paraId="356D95C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3.2.3联合体各方均应当满足相应的资格条件，项目中有特定资质要求的，联合体当中承担此项工作的投标人必须具备相应的资质。联合体中标后，必须由联合体中具备“相应”资质的投标人承担，否则将承担违约责任，并赔偿因违约给采购人造成的一切损失。</w:t>
      </w:r>
    </w:p>
    <w:p w14:paraId="24B811A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3.2.4以联合体参加投标的，联合体中有同类资质的投标人按联合体分工承担相同工作的，应当按照资质等级较低的投标人确定资质等级。</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15844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3.2.5联合体各方不得再单独参加或者与其他投标人另外组成联合体参加同一合同项下的政府采购活动。</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7BA3245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rPr>
      </w:pPr>
      <w:bookmarkStart w:id="420" w:name="bookmark15"/>
      <w:bookmarkEnd w:id="420"/>
      <w:bookmarkStart w:id="421" w:name="_Toc2058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4.投标费用</w:t>
      </w:r>
      <w:bookmarkEnd w:id="421"/>
    </w:p>
    <w:p w14:paraId="7C706FB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4.1投标人应自行承担所有与准备和参加投标有关的全部费用。不论投标的结果如何，采</w:t>
      </w:r>
      <w:r>
        <w:rPr>
          <w:rFonts w:hint="eastAsia" w:ascii="仿宋" w:hAnsi="仿宋" w:eastAsia="仿宋" w:cs="仿宋"/>
          <w:color w:val="auto"/>
          <w:spacing w:val="0"/>
          <w:w w:val="100"/>
          <w:position w:val="0"/>
          <w:sz w:val="21"/>
          <w:szCs w:val="21"/>
          <w:lang w:val="en-US" w:eastAsia="zh-CN"/>
        </w:rPr>
        <w:t>购代理机构均无义务和责任承担这些费用。</w:t>
      </w:r>
    </w:p>
    <w:p w14:paraId="3F8F394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22" w:name="bookmark16"/>
      <w:bookmarkEnd w:id="422"/>
      <w:bookmarkStart w:id="423" w:name="_Toc2916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5.投标人代表</w:t>
      </w:r>
      <w:bookmarkEnd w:id="423"/>
    </w:p>
    <w:p w14:paraId="578C8FD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5.1指全权代表投标人参加投标活动并签署投标文件的人。如果投标人代表不是法定代表人，须持有《法定代表人授权书》。</w:t>
      </w:r>
    </w:p>
    <w:p w14:paraId="019A1C1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24" w:name="bookmark17"/>
      <w:bookmarkEnd w:id="424"/>
      <w:bookmarkStart w:id="425" w:name="_Toc1625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6.招标文件的构成</w:t>
      </w:r>
      <w:bookmarkEnd w:id="425"/>
    </w:p>
    <w:p w14:paraId="3B0CFD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6.1要求提供的货物和附属服务、招标过程和合同条款在招标文件中均有说明。</w:t>
      </w:r>
    </w:p>
    <w:p w14:paraId="650F0D3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招标文件共六章，各章的内容如下：</w:t>
      </w:r>
    </w:p>
    <w:p w14:paraId="3216CC4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_Toc30181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第一章 招标公告</w:t>
      </w:r>
      <w:r>
        <w:rPr>
          <w:rFonts w:hint="eastAsia" w:ascii="仿宋" w:hAnsi="仿宋" w:eastAsia="仿宋" w:cs="仿宋"/>
          <w:color w:val="auto"/>
          <w:spacing w:val="0"/>
          <w:position w:val="0"/>
          <w:sz w:val="21"/>
          <w:szCs w:val="21"/>
          <w:highlight w:val="none"/>
          <w:lang w:eastAsia="zh-CN"/>
        </w:rPr>
        <w:fldChar w:fldCharType="end"/>
      </w:r>
    </w:p>
    <w:p w14:paraId="4D2CD7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_Toc18879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第二章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投标人须知前附表</w:t>
      </w:r>
      <w:r>
        <w:rPr>
          <w:rFonts w:hint="eastAsia" w:ascii="仿宋" w:hAnsi="仿宋" w:eastAsia="仿宋" w:cs="仿宋"/>
          <w:color w:val="auto"/>
          <w:spacing w:val="0"/>
          <w:position w:val="0"/>
          <w:sz w:val="21"/>
          <w:szCs w:val="21"/>
          <w:highlight w:val="none"/>
          <w:lang w:eastAsia="zh-CN"/>
        </w:rPr>
        <w:fldChar w:fldCharType="end"/>
      </w:r>
    </w:p>
    <w:p w14:paraId="612B431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_Toc31368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第三章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采购需求及要求</w:t>
      </w:r>
      <w:r>
        <w:rPr>
          <w:rFonts w:hint="eastAsia" w:ascii="仿宋" w:hAnsi="仿宋" w:eastAsia="仿宋" w:cs="仿宋"/>
          <w:color w:val="auto"/>
          <w:spacing w:val="0"/>
          <w:position w:val="0"/>
          <w:sz w:val="21"/>
          <w:szCs w:val="21"/>
          <w:highlight w:val="none"/>
          <w:lang w:eastAsia="zh-CN"/>
        </w:rPr>
        <w:fldChar w:fldCharType="end"/>
      </w:r>
    </w:p>
    <w:p w14:paraId="40FE3C8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_Toc12077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第四章 评审办法</w:t>
      </w:r>
      <w:r>
        <w:rPr>
          <w:rFonts w:hint="eastAsia" w:ascii="仿宋" w:hAnsi="仿宋" w:eastAsia="仿宋" w:cs="仿宋"/>
          <w:color w:val="auto"/>
          <w:spacing w:val="0"/>
          <w:position w:val="0"/>
          <w:sz w:val="21"/>
          <w:szCs w:val="21"/>
          <w:highlight w:val="none"/>
          <w:lang w:eastAsia="zh-CN"/>
        </w:rPr>
        <w:fldChar w:fldCharType="end"/>
      </w:r>
    </w:p>
    <w:p w14:paraId="6BC0DF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val="en-US" w:eastAsia="zh-CN"/>
        </w:rPr>
        <w:t>第五章</w:t>
      </w:r>
      <w:r>
        <w:rPr>
          <w:rFonts w:hint="eastAsia" w:ascii="仿宋" w:hAnsi="仿宋" w:eastAsia="仿宋" w:cs="仿宋"/>
          <w:color w:val="auto"/>
          <w:spacing w:val="0"/>
          <w:position w:val="0"/>
          <w:sz w:val="21"/>
          <w:szCs w:val="21"/>
          <w:highlight w:val="none"/>
          <w:lang w:eastAsia="zh-CN"/>
        </w:rPr>
        <w:t xml:space="preserve"> 拟签订的合同文本</w:t>
      </w:r>
    </w:p>
    <w:p w14:paraId="157B6A9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_Toc30036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第六章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投标文件格式</w:t>
      </w:r>
      <w:r>
        <w:rPr>
          <w:rFonts w:hint="eastAsia" w:ascii="仿宋" w:hAnsi="仿宋" w:eastAsia="仿宋" w:cs="仿宋"/>
          <w:color w:val="auto"/>
          <w:spacing w:val="0"/>
          <w:position w:val="0"/>
          <w:sz w:val="21"/>
          <w:szCs w:val="21"/>
          <w:highlight w:val="none"/>
          <w:lang w:eastAsia="zh-CN"/>
        </w:rPr>
        <w:tab/>
      </w:r>
      <w:r>
        <w:rPr>
          <w:rFonts w:hint="eastAsia" w:ascii="仿宋" w:hAnsi="仿宋" w:eastAsia="仿宋" w:cs="仿宋"/>
          <w:color w:val="auto"/>
          <w:spacing w:val="0"/>
          <w:position w:val="0"/>
          <w:sz w:val="21"/>
          <w:szCs w:val="21"/>
          <w:highlight w:val="none"/>
          <w:lang w:eastAsia="zh-CN"/>
        </w:rPr>
        <w:fldChar w:fldCharType="end"/>
      </w:r>
    </w:p>
    <w:p w14:paraId="4D39508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6.2除非有特殊要求，招标文件不单独提供招标货物和附属售后服务使用地的自然环境、气候条件、公用设施等情况，投标人被视为熟悉上述与履行合同有关的一切情况。</w:t>
      </w:r>
    </w:p>
    <w:p w14:paraId="1F9BC22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26" w:name="_Toc1116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7.投标人应当提交的资格、资信证明文件</w:t>
      </w:r>
      <w:bookmarkEnd w:id="426"/>
    </w:p>
    <w:p w14:paraId="556D127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7.1</w:t>
      </w:r>
      <w:r>
        <w:rPr>
          <w:rFonts w:hint="eastAsia" w:ascii="仿宋" w:hAnsi="仿宋" w:eastAsia="仿宋" w:cs="仿宋"/>
          <w:color w:val="auto"/>
          <w:spacing w:val="0"/>
          <w:w w:val="100"/>
          <w:position w:val="0"/>
          <w:sz w:val="21"/>
          <w:szCs w:val="21"/>
          <w:highlight w:val="none"/>
          <w:lang w:eastAsia="zh-CN"/>
        </w:rPr>
        <w:t>具有独立承担民事责任的能力的资格证明文件；</w:t>
      </w:r>
    </w:p>
    <w:p w14:paraId="009CF7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具有良好的商业信誉和健全的财务会计制度的证明文件；</w:t>
      </w:r>
    </w:p>
    <w:p w14:paraId="55FDD3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具有履行合同所必需的设备和专业技术能力的证明文件；</w:t>
      </w:r>
    </w:p>
    <w:p w14:paraId="3AC5D5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有依法缴纳税收和社会保障资金的良好记录的证明文件；</w:t>
      </w:r>
    </w:p>
    <w:p w14:paraId="3F55A05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参加政府采购</w:t>
      </w:r>
      <w:r>
        <w:rPr>
          <w:rFonts w:hint="eastAsia" w:ascii="仿宋" w:hAnsi="仿宋" w:eastAsia="仿宋" w:cs="仿宋"/>
          <w:color w:val="auto"/>
          <w:spacing w:val="0"/>
          <w:w w:val="100"/>
          <w:position w:val="0"/>
          <w:sz w:val="21"/>
          <w:szCs w:val="21"/>
          <w:highlight w:val="none"/>
          <w:lang w:val="en-US" w:eastAsia="zh-CN"/>
        </w:rPr>
        <w:t>活动</w:t>
      </w:r>
      <w:r>
        <w:rPr>
          <w:rFonts w:hint="eastAsia" w:ascii="仿宋" w:hAnsi="仿宋" w:eastAsia="仿宋" w:cs="仿宋"/>
          <w:color w:val="auto"/>
          <w:spacing w:val="0"/>
          <w:w w:val="100"/>
          <w:position w:val="0"/>
          <w:sz w:val="21"/>
          <w:szCs w:val="21"/>
          <w:highlight w:val="none"/>
          <w:lang w:eastAsia="zh-CN"/>
        </w:rPr>
        <w:t>前三年内，在经营活动中没有重大违法记录的证明文件；</w:t>
      </w:r>
    </w:p>
    <w:p w14:paraId="5710643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6法律、行政法规规定的其他条件</w:t>
      </w:r>
      <w:r>
        <w:rPr>
          <w:rFonts w:hint="eastAsia" w:ascii="仿宋" w:hAnsi="仿宋" w:eastAsia="仿宋" w:cs="仿宋"/>
          <w:color w:val="auto"/>
          <w:spacing w:val="0"/>
          <w:w w:val="100"/>
          <w:position w:val="0"/>
          <w:sz w:val="21"/>
          <w:szCs w:val="21"/>
          <w:highlight w:val="none"/>
          <w:lang w:eastAsia="zh-CN"/>
        </w:rPr>
        <w:t>的证明文件；</w:t>
      </w:r>
    </w:p>
    <w:p w14:paraId="6AFBAD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b w:val="0"/>
          <w:bCs/>
          <w:color w:val="auto"/>
          <w:spacing w:val="0"/>
          <w:w w:val="100"/>
          <w:position w:val="0"/>
          <w:sz w:val="21"/>
          <w:szCs w:val="21"/>
          <w:highlight w:val="none"/>
        </w:rPr>
        <w:t>本项目的特定资格证明材料</w:t>
      </w:r>
      <w:r>
        <w:rPr>
          <w:rFonts w:hint="eastAsia" w:ascii="仿宋" w:hAnsi="仿宋" w:eastAsia="仿宋" w:cs="仿宋"/>
          <w:color w:val="auto"/>
          <w:spacing w:val="0"/>
          <w:w w:val="100"/>
          <w:position w:val="0"/>
          <w:sz w:val="21"/>
          <w:szCs w:val="21"/>
          <w:highlight w:val="none"/>
          <w:lang w:val="en-US" w:eastAsia="zh-CN"/>
        </w:rPr>
        <w:t>；</w:t>
      </w:r>
    </w:p>
    <w:p w14:paraId="59173DC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8</w:t>
      </w:r>
      <w:bookmarkStart w:id="427" w:name="_Toc8006"/>
      <w:bookmarkStart w:id="428" w:name="_Toc89951843"/>
      <w:r>
        <w:rPr>
          <w:rFonts w:hint="eastAsia" w:ascii="仿宋" w:hAnsi="仿宋" w:eastAsia="仿宋" w:cs="仿宋"/>
          <w:color w:val="auto"/>
          <w:spacing w:val="0"/>
          <w:w w:val="100"/>
          <w:position w:val="0"/>
          <w:sz w:val="21"/>
          <w:szCs w:val="21"/>
          <w:highlight w:val="none"/>
          <w:lang w:val="en-US" w:eastAsia="zh-CN"/>
        </w:rPr>
        <w:t>投标保证金</w:t>
      </w:r>
      <w:bookmarkEnd w:id="427"/>
      <w:bookmarkEnd w:id="428"/>
      <w:r>
        <w:rPr>
          <w:rFonts w:hint="eastAsia" w:ascii="仿宋" w:hAnsi="仿宋" w:eastAsia="仿宋" w:cs="仿宋"/>
          <w:color w:val="auto"/>
          <w:spacing w:val="0"/>
          <w:w w:val="100"/>
          <w:position w:val="0"/>
          <w:sz w:val="21"/>
          <w:szCs w:val="21"/>
          <w:highlight w:val="none"/>
          <w:lang w:val="en-US" w:eastAsia="zh-CN"/>
        </w:rPr>
        <w:t>缴纳证明；</w:t>
      </w:r>
    </w:p>
    <w:p w14:paraId="18BD9D95">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29" w:name="bookmark19"/>
      <w:bookmarkEnd w:id="429"/>
      <w:bookmarkStart w:id="430" w:name="_Toc26458"/>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为落实政府采购政策，采购标的需满足的要求，以及投标人须提供的证明材料</w:t>
      </w:r>
      <w:bookmarkEnd w:id="430"/>
    </w:p>
    <w:p w14:paraId="67D35D7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8.1中小企业参加投标</w:t>
      </w:r>
    </w:p>
    <w:p w14:paraId="177AF56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8.1.1中小企业（含中型、小型、微型企业，下同）应当符合以下条件：</w:t>
      </w:r>
    </w:p>
    <w:p w14:paraId="5D1F4A4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在中华人民共和国境内依法设立的，符合国务院批准的中小企业划分标准（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0A69C8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（2）货物由中小企业制造，即货物由中小企业生产且使用该中小企业商号或者注册商标；本项所称货物不包括使用大型企业注册商标的货物；</w:t>
      </w:r>
    </w:p>
    <w:p w14:paraId="4E91361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（3）小型、微型企业提供中型企业制造的货物的，视同为中型企业；</w:t>
      </w:r>
    </w:p>
    <w:p w14:paraId="6130833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（4）在货物采购项目中，投标人提供的货物既有中小企业制造货物，也有大型企业制造货物的，不享受中小企业扶持政策；</w:t>
      </w:r>
    </w:p>
    <w:p w14:paraId="2F1B1B1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（5）以联合体形式参加政府采购活动，联合体各方均为中小企业的，联合体视同中小企业。其中，联合体各方均为小微企业的，联合体视同小微企业；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（适用于联合体投标）</w:t>
      </w:r>
    </w:p>
    <w:p w14:paraId="552011B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（6）组成联合体或者接受分包合同的中小企业与联合体内其他企业、分包</w:t>
      </w:r>
      <w:r>
        <w:rPr>
          <w:rFonts w:hint="eastAsia" w:ascii="仿宋" w:hAnsi="仿宋" w:eastAsia="仿宋" w:cs="仿宋"/>
          <w:color w:val="auto"/>
          <w:spacing w:val="0"/>
          <w:w w:val="100"/>
          <w:position w:val="0"/>
          <w:sz w:val="21"/>
          <w:szCs w:val="21"/>
          <w:lang w:eastAsia="zh-CN"/>
        </w:rPr>
        <w:t>企业之间不得存在直接控股、管理关系。</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适用于涉及中小企业的联合体投标或者允许合同分</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包的采购项目）</w:t>
      </w:r>
    </w:p>
    <w:p w14:paraId="7E8169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8.1.2投标人提供的货物为中小企业制造的,投标时提供招标文件</w:t>
      </w:r>
      <w:r>
        <w:rPr>
          <w:rFonts w:hint="eastAsia" w:ascii="仿宋" w:hAnsi="仿宋" w:eastAsia="仿宋" w:cs="仿宋"/>
          <w:color w:val="auto"/>
          <w:spacing w:val="0"/>
          <w:w w:val="100"/>
          <w:position w:val="0"/>
          <w:sz w:val="21"/>
          <w:szCs w:val="21"/>
          <w:lang w:val="en-US" w:eastAsia="zh-CN"/>
        </w:rPr>
        <w:t>规定的</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中小企业声明</w:t>
      </w:r>
      <w:r>
        <w:rPr>
          <w:rFonts w:hint="eastAsia" w:ascii="仿宋" w:hAnsi="仿宋" w:eastAsia="仿宋" w:cs="仿宋"/>
          <w:color w:val="auto"/>
          <w:spacing w:val="0"/>
          <w:w w:val="100"/>
          <w:position w:val="0"/>
          <w:sz w:val="21"/>
          <w:szCs w:val="21"/>
          <w:lang w:eastAsia="zh-CN"/>
        </w:rPr>
        <w:t>函》，并对声明函的真实性负责，</w:t>
      </w:r>
      <w:r>
        <w:rPr>
          <w:rFonts w:hint="eastAsia" w:ascii="仿宋" w:hAnsi="仿宋" w:eastAsia="仿宋" w:cs="仿宋"/>
          <w:color w:val="auto"/>
          <w:spacing w:val="0"/>
          <w:w w:val="100"/>
          <w:position w:val="0"/>
          <w:sz w:val="21"/>
          <w:szCs w:val="21"/>
          <w:lang w:val="en-US" w:eastAsia="zh-CN"/>
        </w:rPr>
        <w:t>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不予享受预留份额、评审中价格扣除等政府采购促进中小企业发展的政府采购政策。投标人提供的《</w:t>
      </w:r>
      <w:r>
        <w:rPr>
          <w:rFonts w:hint="eastAsia" w:ascii="仿宋" w:hAnsi="仿宋" w:eastAsia="仿宋" w:cs="仿宋"/>
          <w:color w:val="auto"/>
          <w:spacing w:val="0"/>
          <w:w w:val="100"/>
          <w:position w:val="0"/>
          <w:sz w:val="21"/>
          <w:szCs w:val="21"/>
          <w:lang w:val="en-US" w:eastAsia="zh-CN"/>
        </w:rPr>
        <w:t>中小企业</w:t>
      </w:r>
      <w:r>
        <w:rPr>
          <w:rFonts w:hint="eastAsia" w:ascii="仿宋" w:hAnsi="仿宋" w:eastAsia="仿宋" w:cs="仿宋"/>
          <w:color w:val="auto"/>
          <w:spacing w:val="0"/>
          <w:w w:val="100"/>
          <w:position w:val="0"/>
          <w:sz w:val="21"/>
          <w:szCs w:val="21"/>
          <w:lang w:eastAsia="zh-CN"/>
        </w:rPr>
        <w:t>声明函》与事实不符的，依照《中华人民共和国政府采购法》第七十七条第一款的规定追究法律责任。</w:t>
      </w:r>
    </w:p>
    <w:p w14:paraId="6514C9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8.2监狱企业参加投标</w:t>
      </w:r>
    </w:p>
    <w:p w14:paraId="3ACCA96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8.2.1监狱企业应当符合以下条件</w:t>
      </w:r>
    </w:p>
    <w:p w14:paraId="3F5F317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1DB79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8.2.2监狱企业参加投标须提供的证明材料</w:t>
      </w:r>
    </w:p>
    <w:p w14:paraId="6771209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监狱企业参加政府采购活动时，提供由省级以上监狱管理局、戒毒管理局（含新疆生产建设兵团）出具的属于监狱企业的证明文件，</w:t>
      </w:r>
      <w:r>
        <w:rPr>
          <w:rFonts w:hint="eastAsia" w:ascii="仿宋" w:hAnsi="仿宋" w:eastAsia="仿宋" w:cs="仿宋"/>
          <w:color w:val="auto"/>
          <w:spacing w:val="0"/>
          <w:w w:val="100"/>
          <w:position w:val="0"/>
          <w:sz w:val="21"/>
          <w:szCs w:val="21"/>
          <w:lang w:val="en-US" w:eastAsia="zh-CN"/>
        </w:rPr>
        <w:t>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w:t>
      </w:r>
    </w:p>
    <w:p w14:paraId="5FE4123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8.3残疾人福利性单位参加投标</w:t>
      </w:r>
    </w:p>
    <w:p w14:paraId="41C2EF4A">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8.3.1享受政府采购支持政策的残疾人福利性单位应当同时满足以下条件：</w:t>
      </w:r>
    </w:p>
    <w:p w14:paraId="3515B2D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（1）安置的残疾人占本单位在职职工人数的比例不低于25%（含25%），并且安置的残疾人人数不少于10人（含10人）；</w:t>
      </w:r>
    </w:p>
    <w:p w14:paraId="47844E8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（2）依法与安置的每位残疾人签订了一年以上（含一年）的劳动合同或服务协议；</w:t>
      </w:r>
    </w:p>
    <w:p w14:paraId="10C16EF5">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（3）为安置的每位残疾人按月足额缴纳了基本养老保险、基本医疗保险、失业保险、工伤保险和生育保险等社会保险费；</w:t>
      </w:r>
    </w:p>
    <w:p w14:paraId="6358525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（4）通过银行等金融机构向安置的每位残疾人，按月支付了不低于单位所在区县</w:t>
      </w:r>
      <w:r>
        <w:rPr>
          <w:rFonts w:hint="eastAsia" w:ascii="仿宋" w:hAnsi="仿宋" w:eastAsia="仿宋" w:cs="仿宋"/>
          <w:color w:val="auto"/>
          <w:spacing w:val="0"/>
          <w:w w:val="100"/>
          <w:position w:val="0"/>
          <w:sz w:val="21"/>
          <w:szCs w:val="21"/>
          <w:lang w:val="en-US" w:eastAsia="zh-CN"/>
        </w:rPr>
        <w:t>适</w:t>
      </w:r>
      <w:r>
        <w:rPr>
          <w:rFonts w:hint="eastAsia" w:ascii="仿宋" w:hAnsi="仿宋" w:eastAsia="仿宋" w:cs="仿宋"/>
          <w:color w:val="auto"/>
          <w:spacing w:val="0"/>
          <w:w w:val="100"/>
          <w:position w:val="0"/>
          <w:sz w:val="21"/>
          <w:szCs w:val="21"/>
          <w:lang w:eastAsia="zh-CN"/>
        </w:rPr>
        <w:t>用的经省级人民政府批准的月最低工资标准的工资；</w:t>
      </w:r>
    </w:p>
    <w:p w14:paraId="2FCF687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（5）提供本单位制造的货物、承担的工程或者服务（以下简称产品），或者提供其他残疾人福利性单位制造的货物（不包括使用非残疾人福利性单位注册商标的货</w:t>
      </w:r>
      <w:r>
        <w:rPr>
          <w:rFonts w:hint="eastAsia" w:ascii="仿宋" w:hAnsi="仿宋" w:eastAsia="仿宋" w:cs="仿宋"/>
          <w:color w:val="auto"/>
          <w:spacing w:val="0"/>
          <w:w w:val="100"/>
          <w:position w:val="0"/>
          <w:sz w:val="21"/>
          <w:szCs w:val="21"/>
          <w:lang w:val="en-US" w:eastAsia="zh-CN"/>
        </w:rPr>
        <w:t>物）。</w:t>
      </w:r>
    </w:p>
    <w:p w14:paraId="3B5F92B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8.3.2前款所称残疾人是指法定劳动年龄内，持有《中华人民共和国残疾人证》或者《</w:t>
      </w:r>
      <w:r>
        <w:rPr>
          <w:rFonts w:hint="eastAsia" w:ascii="仿宋" w:hAnsi="仿宋" w:eastAsia="仿宋" w:cs="仿宋"/>
          <w:color w:val="auto"/>
          <w:spacing w:val="0"/>
          <w:w w:val="100"/>
          <w:position w:val="0"/>
          <w:sz w:val="21"/>
          <w:szCs w:val="21"/>
          <w:lang w:val="en-US" w:eastAsia="zh-CN"/>
        </w:rPr>
        <w:t>中华人民共和国残疾军人证（1至8级）》的自然人，包括具有劳动条件和劳动意愿的精神残疾人。在职职工人数是指与残疾人福利性单位建立劳动关系并依法签订劳动合同或者服务协议的雇员人数。</w:t>
      </w:r>
    </w:p>
    <w:p w14:paraId="2008A92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8.3.3残疾人福利性单位参加投标须提供的证明材料：</w:t>
      </w:r>
    </w:p>
    <w:p w14:paraId="58DB46F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（1）符合条件的残疾人福利性单位在参加政府采购活动时，提供《残疾人福利性单位声明函》，并对声明函的真实性负</w:t>
      </w:r>
      <w:r>
        <w:rPr>
          <w:rFonts w:hint="eastAsia" w:ascii="仿宋" w:hAnsi="仿宋" w:eastAsia="仿宋" w:cs="仿宋"/>
          <w:color w:val="auto"/>
          <w:spacing w:val="0"/>
          <w:w w:val="100"/>
          <w:position w:val="0"/>
          <w:sz w:val="21"/>
          <w:szCs w:val="21"/>
          <w:lang w:val="en-US" w:eastAsia="zh-CN"/>
        </w:rPr>
        <w:t>责，未提供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w:t>
      </w:r>
      <w:r>
        <w:rPr>
          <w:rFonts w:hint="eastAsia" w:ascii="仿宋" w:hAnsi="仿宋" w:eastAsia="仿宋" w:cs="仿宋"/>
          <w:color w:val="auto"/>
          <w:spacing w:val="0"/>
          <w:w w:val="100"/>
          <w:position w:val="0"/>
          <w:sz w:val="21"/>
          <w:szCs w:val="21"/>
          <w:lang w:val="en-US" w:eastAsia="zh-CN"/>
        </w:rPr>
        <w:t>；</w:t>
      </w:r>
    </w:p>
    <w:p w14:paraId="5B63837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（2）投标人提供的《残疾人福利性单位声明函》与事实不符的，依照《中华人民共和国政府采购法</w:t>
      </w:r>
      <w:r>
        <w:rPr>
          <w:rFonts w:hint="eastAsia" w:ascii="仿宋" w:hAnsi="仿宋" w:eastAsia="仿宋" w:cs="仿宋"/>
          <w:color w:val="auto"/>
          <w:spacing w:val="0"/>
          <w:w w:val="100"/>
          <w:position w:val="0"/>
          <w:sz w:val="21"/>
          <w:szCs w:val="21"/>
          <w:lang w:val="en-US" w:eastAsia="zh-CN"/>
        </w:rPr>
        <w:t>》第七十七条第一款的规定追究法律责任。</w:t>
      </w:r>
    </w:p>
    <w:p w14:paraId="20CF2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8.4本项目是否专门面向中小企业预留采购份额见第一章“招标公告”。采购标的对应的中小企业划分标准所属行业见第二章“</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w:t>
      </w:r>
    </w:p>
    <w:p w14:paraId="4114F68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8.4.1对小型和微型企业、监狱企业、残疾人福利性单位产品参加投标享受的政策。</w:t>
      </w:r>
    </w:p>
    <w:p w14:paraId="225EE54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4.2</w:t>
      </w:r>
      <w:r>
        <w:rPr>
          <w:rFonts w:hint="eastAsia" w:ascii="仿宋" w:hAnsi="仿宋" w:eastAsia="仿宋" w:cs="仿宋"/>
          <w:color w:val="auto"/>
          <w:spacing w:val="0"/>
          <w:w w:val="100"/>
          <w:position w:val="0"/>
          <w:sz w:val="21"/>
          <w:szCs w:val="21"/>
          <w:lang w:eastAsia="zh-CN"/>
        </w:rPr>
        <w:t>非专门面向中小企业</w:t>
      </w:r>
      <w:r>
        <w:rPr>
          <w:rFonts w:hint="eastAsia" w:ascii="仿宋" w:hAnsi="仿宋" w:eastAsia="仿宋" w:cs="仿宋"/>
          <w:color w:val="auto"/>
          <w:spacing w:val="0"/>
          <w:w w:val="100"/>
          <w:position w:val="0"/>
          <w:sz w:val="21"/>
          <w:szCs w:val="21"/>
          <w:lang w:val="en-US" w:eastAsia="zh-CN"/>
        </w:rPr>
        <w:t>采购的项目</w:t>
      </w:r>
      <w:r>
        <w:rPr>
          <w:rFonts w:hint="eastAsia" w:ascii="仿宋" w:hAnsi="仿宋" w:eastAsia="仿宋" w:cs="仿宋"/>
          <w:color w:val="auto"/>
          <w:spacing w:val="0"/>
          <w:w w:val="100"/>
          <w:position w:val="0"/>
          <w:sz w:val="21"/>
          <w:szCs w:val="21"/>
          <w:lang w:eastAsia="zh-CN"/>
        </w:rPr>
        <w:t>，小微企业报价给予</w:t>
      </w:r>
      <w:r>
        <w:rPr>
          <w:rFonts w:hint="eastAsia" w:ascii="仿宋" w:hAnsi="仿宋" w:eastAsia="仿宋" w:cs="仿宋"/>
          <w:color w:val="auto"/>
          <w:spacing w:val="0"/>
          <w:w w:val="100"/>
          <w:position w:val="0"/>
          <w:sz w:val="21"/>
          <w:szCs w:val="21"/>
          <w:lang w:val="en-US" w:eastAsia="zh-CN"/>
        </w:rPr>
        <w:t>价格</w:t>
      </w:r>
      <w:r>
        <w:rPr>
          <w:rFonts w:hint="eastAsia" w:ascii="仿宋" w:hAnsi="仿宋" w:eastAsia="仿宋" w:cs="仿宋"/>
          <w:color w:val="auto"/>
          <w:spacing w:val="0"/>
          <w:w w:val="100"/>
          <w:position w:val="0"/>
          <w:sz w:val="21"/>
          <w:szCs w:val="21"/>
          <w:lang w:eastAsia="zh-CN"/>
        </w:rPr>
        <w:t>扣除</w:t>
      </w:r>
      <w:r>
        <w:rPr>
          <w:rFonts w:hint="eastAsia" w:ascii="仿宋" w:hAnsi="仿宋" w:eastAsia="仿宋" w:cs="仿宋"/>
          <w:color w:val="auto"/>
          <w:spacing w:val="0"/>
          <w:w w:val="100"/>
          <w:position w:val="0"/>
          <w:sz w:val="21"/>
          <w:szCs w:val="21"/>
          <w:lang w:val="en-US" w:eastAsia="zh-CN"/>
        </w:rPr>
        <w:t>优惠</w:t>
      </w:r>
      <w:r>
        <w:rPr>
          <w:rFonts w:hint="eastAsia" w:ascii="仿宋" w:hAnsi="仿宋" w:eastAsia="仿宋" w:cs="仿宋"/>
          <w:color w:val="auto"/>
          <w:spacing w:val="0"/>
          <w:w w:val="100"/>
          <w:position w:val="0"/>
          <w:sz w:val="21"/>
          <w:szCs w:val="21"/>
          <w:lang w:eastAsia="zh-CN"/>
        </w:rPr>
        <w:t>，用扣除后的价格参加评审。</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（适用于非专门面向中小企业。对于专门面向中小企业采购的项目或者采购包，不再执行价格评审优惠，享受政策内容详见第二章“投标人须知前附表”）</w:t>
      </w:r>
    </w:p>
    <w:p w14:paraId="5279BBE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8.4</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3</w:t>
      </w:r>
      <w:r>
        <w:rPr>
          <w:rFonts w:hint="eastAsia" w:ascii="仿宋" w:hAnsi="仿宋" w:eastAsia="仿宋" w:cs="仿宋"/>
          <w:color w:val="auto"/>
          <w:spacing w:val="0"/>
          <w:w w:val="100"/>
          <w:position w:val="0"/>
          <w:sz w:val="21"/>
          <w:szCs w:val="21"/>
          <w:lang w:eastAsia="zh-CN"/>
        </w:rPr>
        <w:t>监狱企业视同小型、微型企业，享受预留份额、评审中价格扣除等政府促进中小</w:t>
      </w:r>
      <w:r>
        <w:rPr>
          <w:rFonts w:hint="eastAsia" w:ascii="仿宋" w:hAnsi="仿宋" w:eastAsia="仿宋" w:cs="仿宋"/>
          <w:color w:val="auto"/>
          <w:spacing w:val="0"/>
          <w:w w:val="100"/>
          <w:position w:val="0"/>
          <w:sz w:val="21"/>
          <w:szCs w:val="21"/>
          <w:lang w:val="en-US" w:eastAsia="zh-CN"/>
        </w:rPr>
        <w:t>企业</w:t>
      </w:r>
      <w:r>
        <w:rPr>
          <w:rFonts w:hint="eastAsia" w:ascii="仿宋" w:hAnsi="仿宋" w:eastAsia="仿宋" w:cs="仿宋"/>
          <w:color w:val="auto"/>
          <w:spacing w:val="0"/>
          <w:w w:val="100"/>
          <w:position w:val="0"/>
          <w:sz w:val="21"/>
          <w:szCs w:val="21"/>
          <w:lang w:eastAsia="zh-CN"/>
        </w:rPr>
        <w:t>发展的政府采购政策。</w:t>
      </w:r>
    </w:p>
    <w:p w14:paraId="49E0B97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8.4.4残疾人福利性单位视同小型、微型企业，享受预留份额、评审中价格扣除等政府促进中小企业发展的政府采购政策。福利性单位属于小型、微型企业的，不重复享受政策。</w:t>
      </w:r>
    </w:p>
    <w:p w14:paraId="1A228B7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b/>
          <w:bCs/>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8.4.5</w:t>
      </w:r>
      <w:r>
        <w:rPr>
          <w:rFonts w:hint="eastAsia" w:ascii="仿宋" w:hAnsi="仿宋" w:eastAsia="仿宋" w:cs="仿宋"/>
          <w:color w:val="auto"/>
          <w:spacing w:val="0"/>
          <w:w w:val="100"/>
          <w:position w:val="0"/>
          <w:sz w:val="21"/>
          <w:szCs w:val="21"/>
          <w:lang w:eastAsia="zh-CN"/>
        </w:rPr>
        <w:t>接受大中型企业与小微企业组成联合体或者允许大中型企业向一家或多家小微企业分包，对于联合协议或者分包意向协议约定小微型企业的合同份额占到联合体协议合同总金额30%以上的，可给予联合体价格扣除</w:t>
      </w:r>
      <w:r>
        <w:rPr>
          <w:rFonts w:hint="eastAsia" w:ascii="仿宋" w:hAnsi="仿宋" w:eastAsia="仿宋" w:cs="仿宋"/>
          <w:color w:val="auto"/>
          <w:spacing w:val="0"/>
          <w:w w:val="100"/>
          <w:position w:val="0"/>
          <w:sz w:val="21"/>
          <w:szCs w:val="21"/>
          <w:lang w:val="en-US" w:eastAsia="zh-CN"/>
        </w:rPr>
        <w:t>优惠</w:t>
      </w:r>
      <w:r>
        <w:rPr>
          <w:rFonts w:hint="eastAsia" w:ascii="仿宋" w:hAnsi="仿宋" w:eastAsia="仿宋" w:cs="仿宋"/>
          <w:color w:val="auto"/>
          <w:spacing w:val="0"/>
          <w:w w:val="100"/>
          <w:position w:val="0"/>
          <w:sz w:val="21"/>
          <w:szCs w:val="21"/>
          <w:lang w:eastAsia="zh-CN"/>
        </w:rPr>
        <w:t>，用扣除后的价格参加评审。</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（适用于非专门面向中小企业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采购且允许</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联合体投标或合同分包的</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项目</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，如专门面向中小企业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采购不享受价格评审优惠</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p>
    <w:p w14:paraId="15D325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rPr>
        <w:t>联合体各方均为小型、微型企业的，联合体视同为小型、微型企业。</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2F8975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spacing w:val="0"/>
          <w:w w:val="100"/>
          <w:position w:val="0"/>
          <w:sz w:val="21"/>
          <w:szCs w:val="21"/>
          <w:lang w:val="en-US" w:eastAsia="zh-CN"/>
        </w:rPr>
      </w:pPr>
      <w:r>
        <w:rPr>
          <w:rFonts w:hint="eastAsia" w:ascii="仿宋" w:hAnsi="仿宋" w:eastAsia="仿宋" w:cs="仿宋"/>
          <w:color w:val="auto"/>
          <w:spacing w:val="0"/>
          <w:w w:val="100"/>
          <w:position w:val="0"/>
          <w:sz w:val="21"/>
          <w:szCs w:val="21"/>
        </w:rPr>
        <w:t>组成联合体的大中型企业和其他自然人、法人或者其他组织，与小型、微型企业之间不得存在投资关系。</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12C62F2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5</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节能产品、环境标志产品参加投标</w:t>
      </w:r>
    </w:p>
    <w:p w14:paraId="00F33C3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D9340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49C37F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8.5.3如本项目采购产品属于实施政府强制采购品目清单范围的节能产品，则投标人所投产品必须获得国家确定的认证机构出具的、处于有效期之内的节能产品认证证书</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彩色扫描件，否则投标无效。</w:t>
      </w:r>
    </w:p>
    <w:p w14:paraId="1842C3C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rPr>
        <w:t>8.5.4非政府强制采购的节能产品或环境标志产品，依据品目清单和认证证书实施政府优先采购。优先采购的具体规定见第六章《评审方法</w:t>
      </w:r>
      <w:r>
        <w:rPr>
          <w:rFonts w:hint="eastAsia" w:ascii="仿宋" w:hAnsi="仿宋" w:eastAsia="仿宋" w:cs="仿宋"/>
          <w:color w:val="auto"/>
          <w:spacing w:val="0"/>
          <w:w w:val="100"/>
          <w:position w:val="0"/>
          <w:sz w:val="21"/>
          <w:szCs w:val="21"/>
          <w:highlight w:val="none"/>
          <w:lang w:val="en-US"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（如涉及）</w:t>
      </w:r>
      <w:r>
        <w:rPr>
          <w:rFonts w:hint="eastAsia" w:ascii="仿宋" w:hAnsi="仿宋" w:eastAsia="仿宋" w:cs="仿宋"/>
          <w:color w:val="auto"/>
          <w:spacing w:val="0"/>
          <w:w w:val="100"/>
          <w:position w:val="0"/>
          <w:sz w:val="21"/>
          <w:szCs w:val="21"/>
          <w:lang w:val="en-US" w:eastAsia="zh-CN"/>
        </w:rPr>
        <w:t>。</w:t>
      </w:r>
    </w:p>
    <w:p w14:paraId="7E65E502">
      <w:pPr>
        <w:keepNext w:val="0"/>
        <w:keepLines w:val="0"/>
        <w:pageBreakBefore w:val="0"/>
        <w:widowControl w:val="0"/>
        <w:kinsoku/>
        <w:wordWrap w:val="0"/>
        <w:overflowPunct/>
        <w:topLinePunct/>
        <w:autoSpaceDE/>
        <w:autoSpaceDN/>
        <w:bidi w:val="0"/>
        <w:adjustRightInd/>
        <w:snapToGrid/>
        <w:spacing w:beforeAutospacing="0" w:line="380"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招标文件对节能产品、环境标志产品另有规定的从其规定。</w:t>
      </w:r>
    </w:p>
    <w:p w14:paraId="6496ABD1">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431" w:name="bookmark20"/>
      <w:bookmarkEnd w:id="431"/>
      <w:bookmarkStart w:id="432" w:name="_Toc30887"/>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8.6</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关于本国产品标准</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及相关政策</w:t>
      </w:r>
    </w:p>
    <w:p w14:paraId="6CF7EDAB">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根据《国务院办公厅关于在政府采购中实施本国产品标准及相关政策的通知》（国办发〔2025〕34号）及《财政部关于贯彻落实&lt;国务院办公厅关于在政府采购中实施本国产品标准及相关政策的通知&gt;的意见》（财库〔2025〕30号）相关规定。</w:t>
      </w:r>
    </w:p>
    <w:p w14:paraId="23F18FD6">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8.6.1 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EABCF8">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8.6.2 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FD441C9">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color w:val="000000"/>
          <w:kern w:val="0"/>
          <w:sz w:val="21"/>
          <w:szCs w:val="21"/>
          <w:highlight w:val="none"/>
          <w:lang w:val="en-US" w:eastAsia="zh-CN"/>
        </w:rPr>
      </w:pPr>
      <w:r>
        <w:rPr>
          <w:rFonts w:hint="eastAsia" w:ascii="仿宋" w:hAnsi="仿宋" w:eastAsia="仿宋" w:cs="仿宋"/>
          <w:color w:val="000000"/>
          <w:kern w:val="0"/>
          <w:sz w:val="21"/>
          <w:szCs w:val="21"/>
          <w:highlight w:val="none"/>
          <w:lang w:val="en-US" w:eastAsia="zh-CN"/>
        </w:rPr>
        <w:t>8.6.3 对本国产品的支持政策。政府采购活动中既有本国产品又有非本国产品参与竞争的，依法对本国产品给予价格评审优惠，对本国产品的报价给予20%的价格扣除，用扣除后的价格参与评审。</w:t>
      </w:r>
    </w:p>
    <w:p w14:paraId="43C166A4">
      <w:pPr>
        <w:keepNext w:val="0"/>
        <w:keepLines w:val="0"/>
        <w:pageBreakBefore w:val="0"/>
        <w:overflowPunct/>
        <w:bidi w:val="0"/>
        <w:spacing w:line="380" w:lineRule="exact"/>
        <w:ind w:firstLine="420" w:firstLineChars="200"/>
        <w:jc w:val="left"/>
        <w:textAlignment w:val="baseline"/>
        <w:rPr>
          <w:rFonts w:hint="eastAsia" w:ascii="仿宋" w:hAnsi="仿宋" w:eastAsia="仿宋" w:cs="仿宋"/>
          <w:bCs/>
          <w:color w:val="000000"/>
          <w:highlight w:val="none"/>
        </w:rPr>
      </w:pPr>
      <w:r>
        <w:rPr>
          <w:rFonts w:hint="eastAsia" w:ascii="仿宋" w:hAnsi="仿宋" w:eastAsia="仿宋" w:cs="仿宋"/>
          <w:color w:val="000000"/>
          <w:kern w:val="0"/>
          <w:sz w:val="21"/>
          <w:szCs w:val="21"/>
          <w:highlight w:val="none"/>
          <w:lang w:val="en-US" w:eastAsia="zh-CN"/>
        </w:rPr>
        <w:t>8.6.4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bCs/>
          <w:color w:val="000000"/>
          <w:highlight w:val="none"/>
        </w:rPr>
        <w:t>对于仅有本国产品参与竞争的政府采购项目，本国产品不享受价格扣除评审优惠。</w:t>
      </w:r>
    </w:p>
    <w:p w14:paraId="63F54914">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eastAsia" w:ascii="仿宋" w:hAnsi="仿宋" w:eastAsia="仿宋" w:cs="仿宋"/>
          <w:color w:val="auto"/>
          <w:spacing w:val="0"/>
          <w:position w:val="0"/>
          <w:highlight w:val="none"/>
          <w:lang w:val="en-US" w:eastAsia="zh-CN"/>
        </w:rPr>
      </w:pPr>
      <w:r>
        <w:rPr>
          <w:rFonts w:hint="eastAsia" w:ascii="仿宋" w:hAnsi="仿宋" w:eastAsia="仿宋" w:cs="仿宋"/>
          <w:bCs/>
          <w:color w:val="000000"/>
          <w:highlight w:val="none"/>
          <w:lang w:val="en-US" w:eastAsia="zh-CN"/>
        </w:rPr>
        <w:t xml:space="preserve">8.6.5 </w:t>
      </w:r>
      <w:r>
        <w:rPr>
          <w:rFonts w:hint="eastAsia" w:ascii="仿宋" w:hAnsi="仿宋" w:eastAsia="仿宋" w:cs="仿宋"/>
          <w:color w:val="auto"/>
          <w:spacing w:val="0"/>
          <w:position w:val="0"/>
          <w:highlight w:val="none"/>
          <w:lang w:val="en-US" w:eastAsia="zh-CN"/>
        </w:rPr>
        <w:t>中国境内生产的组件成本核算基本规则</w:t>
      </w:r>
    </w:p>
    <w:p w14:paraId="0DDFF0C2">
      <w:pPr>
        <w:keepNext w:val="0"/>
        <w:keepLines w:val="0"/>
        <w:pageBreakBefore w:val="0"/>
        <w:widowControl w:val="0"/>
        <w:kinsoku/>
        <w:wordWrap w:val="0"/>
        <w:overflowPunct/>
        <w:topLinePunct/>
        <w:autoSpaceDE/>
        <w:autoSpaceDN/>
        <w:bidi w:val="0"/>
        <w:adjustRightInd/>
        <w:snapToGrid/>
        <w:spacing w:line="400" w:lineRule="exact"/>
        <w:ind w:firstLine="630" w:firstLineChars="300"/>
        <w:textAlignment w:val="baseline"/>
        <w:rPr>
          <w:rFonts w:hint="default" w:ascii="仿宋" w:hAnsi="仿宋" w:eastAsia="仿宋" w:cs="仿宋"/>
          <w:color w:val="auto"/>
          <w:spacing w:val="0"/>
          <w:position w:val="0"/>
          <w:highlight w:val="none"/>
          <w:lang w:val="en-US" w:eastAsia="zh-CN"/>
        </w:rPr>
      </w:pPr>
      <w:r>
        <w:rPr>
          <w:rFonts w:hint="default" w:ascii="仿宋" w:hAnsi="仿宋" w:eastAsia="仿宋" w:cs="仿宋"/>
          <w:color w:val="auto"/>
          <w:spacing w:val="0"/>
          <w:position w:val="0"/>
          <w:highlight w:val="none"/>
          <w:lang w:val="en-US"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05B59E">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default" w:ascii="仿宋" w:hAnsi="仿宋" w:eastAsia="仿宋" w:cs="仿宋"/>
          <w:color w:val="auto"/>
          <w:spacing w:val="0"/>
          <w:position w:val="0"/>
          <w:highlight w:val="none"/>
          <w:lang w:val="en-US" w:eastAsia="zh-CN"/>
        </w:rPr>
      </w:pPr>
      <w:r>
        <w:rPr>
          <w:rFonts w:hint="eastAsia" w:ascii="仿宋" w:hAnsi="仿宋" w:eastAsia="仿宋" w:cs="仿宋"/>
          <w:color w:val="auto"/>
          <w:spacing w:val="0"/>
          <w:position w:val="0"/>
          <w:highlight w:val="none"/>
          <w:lang w:val="en-US" w:eastAsia="zh-CN"/>
        </w:rPr>
        <w:t>（1）</w:t>
      </w:r>
      <w:r>
        <w:rPr>
          <w:rFonts w:hint="default" w:ascii="仿宋" w:hAnsi="仿宋" w:eastAsia="仿宋" w:cs="仿宋"/>
          <w:color w:val="auto"/>
          <w:spacing w:val="0"/>
          <w:position w:val="0"/>
          <w:highlight w:val="none"/>
          <w:lang w:val="en-US" w:eastAsia="zh-CN"/>
        </w:rPr>
        <w:t>产品的一级组件是指直接组成产品的组件。产品的二级组件是指直接组成产品一级组件的组件。一级组件不可分解的，视同二级组件。</w:t>
      </w:r>
    </w:p>
    <w:p w14:paraId="51B25606">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default" w:ascii="仿宋" w:hAnsi="仿宋" w:eastAsia="仿宋" w:cs="仿宋"/>
          <w:color w:val="auto"/>
          <w:spacing w:val="0"/>
          <w:position w:val="0"/>
          <w:highlight w:val="none"/>
          <w:lang w:val="en-US" w:eastAsia="zh-CN"/>
        </w:rPr>
      </w:pPr>
      <w:r>
        <w:rPr>
          <w:rFonts w:hint="eastAsia" w:ascii="仿宋" w:hAnsi="仿宋" w:eastAsia="仿宋" w:cs="仿宋"/>
          <w:color w:val="auto"/>
          <w:spacing w:val="0"/>
          <w:position w:val="0"/>
          <w:highlight w:val="none"/>
          <w:lang w:val="en-US" w:eastAsia="zh-CN"/>
        </w:rPr>
        <w:t>（2）</w:t>
      </w:r>
      <w:r>
        <w:rPr>
          <w:rFonts w:hint="default" w:ascii="仿宋" w:hAnsi="仿宋" w:eastAsia="仿宋" w:cs="仿宋"/>
          <w:color w:val="auto"/>
          <w:spacing w:val="0"/>
          <w:position w:val="0"/>
          <w:highlight w:val="none"/>
          <w:lang w:val="en-US" w:eastAsia="zh-CN"/>
        </w:rPr>
        <w:t>二级组件在中国境内生产的，其全部成本计入中国境内生产的组件成本；二级组件不在中国境内生产的，其成本不计入中国境内生产的组件成本。</w:t>
      </w:r>
    </w:p>
    <w:p w14:paraId="1A9BDD0C">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default" w:ascii="仿宋" w:hAnsi="仿宋" w:eastAsia="仿宋" w:cs="仿宋"/>
          <w:color w:val="auto"/>
          <w:spacing w:val="0"/>
          <w:position w:val="0"/>
          <w:highlight w:val="none"/>
          <w:lang w:val="en-US" w:eastAsia="zh-CN"/>
        </w:rPr>
      </w:pPr>
      <w:r>
        <w:rPr>
          <w:rFonts w:hint="eastAsia" w:ascii="仿宋" w:hAnsi="仿宋" w:eastAsia="仿宋" w:cs="仿宋"/>
          <w:color w:val="auto"/>
          <w:spacing w:val="0"/>
          <w:position w:val="0"/>
          <w:highlight w:val="none"/>
          <w:lang w:val="en-US" w:eastAsia="zh-CN"/>
        </w:rPr>
        <w:t>（3）</w:t>
      </w:r>
      <w:r>
        <w:rPr>
          <w:rFonts w:hint="default" w:ascii="仿宋" w:hAnsi="仿宋" w:eastAsia="仿宋" w:cs="仿宋"/>
          <w:color w:val="auto"/>
          <w:spacing w:val="0"/>
          <w:position w:val="0"/>
          <w:highlight w:val="none"/>
          <w:lang w:val="en-US" w:eastAsia="zh-CN"/>
        </w:rPr>
        <w:t>产品总成本和组件成本以相关会计核算数据、采购合同、进货记录等为基础进行计算。</w:t>
      </w:r>
    </w:p>
    <w:p w14:paraId="0CD601CF">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default" w:ascii="仿宋" w:hAnsi="仿宋" w:eastAsia="仿宋" w:cs="仿宋"/>
          <w:color w:val="auto"/>
          <w:spacing w:val="0"/>
          <w:position w:val="0"/>
          <w:highlight w:val="none"/>
          <w:lang w:val="en-US" w:eastAsia="zh-CN"/>
        </w:rPr>
      </w:pPr>
      <w:r>
        <w:rPr>
          <w:rFonts w:hint="eastAsia" w:ascii="仿宋" w:hAnsi="仿宋" w:eastAsia="仿宋" w:cs="仿宋"/>
          <w:color w:val="auto"/>
          <w:spacing w:val="0"/>
          <w:position w:val="0"/>
          <w:highlight w:val="none"/>
          <w:lang w:val="en-US" w:eastAsia="zh-CN"/>
        </w:rPr>
        <w:t>（4）</w:t>
      </w:r>
      <w:r>
        <w:rPr>
          <w:rFonts w:hint="default" w:ascii="仿宋" w:hAnsi="仿宋" w:eastAsia="仿宋" w:cs="仿宋"/>
          <w:color w:val="auto"/>
          <w:spacing w:val="0"/>
          <w:position w:val="0"/>
          <w:highlight w:val="none"/>
          <w:lang w:val="en-US" w:eastAsia="zh-CN"/>
        </w:rPr>
        <w:t>需要对成本核算规则予以进一步明确的其他有关事项，由财政部会同有关部门另行规定。</w:t>
      </w:r>
    </w:p>
    <w:p w14:paraId="185104EC">
      <w:pPr>
        <w:keepNext w:val="0"/>
        <w:keepLines w:val="0"/>
        <w:pageBreakBefore w:val="0"/>
        <w:numPr>
          <w:ilvl w:val="0"/>
          <w:numId w:val="0"/>
        </w:numPr>
        <w:wordWrap/>
        <w:overflowPunct/>
        <w:topLinePunct w:val="0"/>
        <w:bidi w:val="0"/>
        <w:spacing w:line="380" w:lineRule="exact"/>
        <w:ind w:firstLine="420" w:firstLineChars="200"/>
        <w:jc w:val="left"/>
        <w:textAlignment w:val="baseline"/>
        <w:rPr>
          <w:rFonts w:hint="eastAsia" w:ascii="仿宋" w:hAnsi="仿宋" w:eastAsia="仿宋" w:cs="仿宋"/>
          <w:color w:val="000000"/>
          <w:kern w:val="0"/>
          <w:sz w:val="21"/>
          <w:szCs w:val="21"/>
          <w:highlight w:val="none"/>
          <w:lang w:val="en-US" w:eastAsia="zh-CN"/>
        </w:rPr>
      </w:pPr>
      <w:r>
        <w:rPr>
          <w:rFonts w:hint="eastAsia" w:ascii="仿宋" w:hAnsi="仿宋" w:eastAsia="仿宋" w:cs="仿宋"/>
          <w:bCs/>
          <w:color w:val="000000"/>
          <w:highlight w:val="none"/>
          <w:lang w:val="en-US" w:eastAsia="zh-CN"/>
        </w:rPr>
        <w:t xml:space="preserve">8.6.6 </w:t>
      </w:r>
      <w:r>
        <w:rPr>
          <w:rFonts w:hint="eastAsia" w:ascii="仿宋" w:hAnsi="仿宋" w:eastAsia="仿宋" w:cs="仿宋"/>
          <w:color w:val="000000"/>
          <w:kern w:val="0"/>
          <w:sz w:val="21"/>
          <w:szCs w:val="21"/>
          <w:highlight w:val="none"/>
          <w:lang w:val="en-US" w:eastAsia="zh-CN"/>
        </w:rPr>
        <w:t>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采购人、采购代理机构将随中标、成交结果同时公告中标、成交供应商提供的《声明函》或有关证明文件。</w:t>
      </w:r>
    </w:p>
    <w:p w14:paraId="00B125C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采购需求标准</w:t>
      </w:r>
      <w:bookmarkEnd w:id="432"/>
    </w:p>
    <w:p w14:paraId="05C7C28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9.1商品包装、快递包装政府采购需求标准（试行）</w:t>
      </w:r>
    </w:p>
    <w:p w14:paraId="0194DA8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及要求》。</w:t>
      </w:r>
    </w:p>
    <w:p w14:paraId="4572D10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9.2绿色数据中心政府采购需求标准（试行）</w:t>
      </w:r>
    </w:p>
    <w:p w14:paraId="526CA26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为加快数据中心绿色转型，根据财政部生态环境部工业和信息化部关于印发《绿色数据中心政府采购需求标准（试行）》的通知（财库〔2023〕7号），本项目如涉及绿色数据中心，则具体要求见第五章《采购需求及要求》。</w:t>
      </w:r>
    </w:p>
    <w:p w14:paraId="0B6161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3" w:name="_Toc2686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10.招标文件的修改</w:t>
      </w:r>
      <w:bookmarkEnd w:id="433"/>
    </w:p>
    <w:p w14:paraId="6021233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10.1采购代理机构可以对已发出的招标文件进行必要澄清或者修改，澄清或者修改的内容可能影响投标文件编制的，采购代理机构在投标截止时间至少15日前，在</w:t>
      </w:r>
      <w:r>
        <w:rPr>
          <w:rFonts w:hint="eastAsia" w:ascii="仿宋" w:hAnsi="仿宋" w:eastAsia="仿宋" w:cs="仿宋"/>
          <w:strike w:val="0"/>
          <w:dstrike w:val="0"/>
          <w:color w:val="auto"/>
          <w:spacing w:val="0"/>
          <w:w w:val="100"/>
          <w:position w:val="0"/>
          <w:sz w:val="21"/>
          <w:szCs w:val="21"/>
          <w:lang w:val="en-US" w:eastAsia="zh-CN"/>
        </w:rPr>
        <w:t>原公告发布媒体</w:t>
      </w:r>
      <w:r>
        <w:rPr>
          <w:rFonts w:hint="eastAsia" w:ascii="仿宋" w:hAnsi="仿宋" w:eastAsia="仿宋" w:cs="仿宋"/>
          <w:color w:val="auto"/>
          <w:spacing w:val="0"/>
          <w:w w:val="100"/>
          <w:position w:val="0"/>
          <w:sz w:val="21"/>
          <w:szCs w:val="21"/>
          <w:lang w:eastAsia="zh-CN"/>
        </w:rPr>
        <w:t>上发布更正公告，上传答疑澄清文件。不足15日的，采购代理机构应当顺延提交投标文件的截止时间。</w:t>
      </w:r>
    </w:p>
    <w:p w14:paraId="6C5AA6C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10.2已下载招标文件的投标人必须在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）上下载答疑澄清文件。投标人因未下载答疑澄清文件、由此可能引起的投标文件递交失败、解密失败、内容缺失等相关后果由投标人自行承担。</w:t>
      </w:r>
    </w:p>
    <w:p w14:paraId="7F2E5D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10.3当招标文件和澄清文件在同一内容的表述上不一致时，以最后发出的文件为准。</w:t>
      </w:r>
    </w:p>
    <w:p w14:paraId="3EE018C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4" w:name="_Toc6238"/>
      <w:r>
        <w:rPr>
          <w:rFonts w:hint="eastAsia" w:ascii="仿宋" w:hAnsi="仿宋" w:eastAsia="仿宋" w:cs="仿宋"/>
          <w:color w:val="auto"/>
          <w:spacing w:val="0"/>
          <w:w w:val="100"/>
          <w:position w:val="0"/>
          <w:sz w:val="21"/>
          <w:szCs w:val="21"/>
          <w:lang w:eastAsia="zh-CN"/>
        </w:rPr>
        <w:t>10.4更正或者修改的内容是招标文件的组成部分，并对投标人具有约束力。</w:t>
      </w:r>
      <w:bookmarkEnd w:id="434"/>
    </w:p>
    <w:p w14:paraId="0BDA700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35" w:name="_Toc1269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三、投标</w:t>
      </w:r>
      <w:bookmarkEnd w:id="435"/>
    </w:p>
    <w:p w14:paraId="252DBD0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6" w:name="_Toc367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11.投标文件的编制</w:t>
      </w:r>
      <w:bookmarkEnd w:id="436"/>
    </w:p>
    <w:p w14:paraId="2CDBAAD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11.1投标人应当按照招标文件的要求编制投标文件。投标文件应当对招标文件提出的要求和条件做出明确响应。</w:t>
      </w:r>
    </w:p>
    <w:p w14:paraId="40874A3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11.2招标文件中注明不可以采购进口产品的（见“第一章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招标公告”），不允许提供进口产品参与采购活动。提供进口产品参与采购活动的，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被视为投标无效。</w:t>
      </w:r>
    </w:p>
    <w:p w14:paraId="4DDBC0C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rPr>
      </w:pPr>
      <w:bookmarkStart w:id="437" w:name="_Toc6121"/>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12.投标文件计量单位</w:t>
      </w:r>
      <w:bookmarkEnd w:id="437"/>
    </w:p>
    <w:p w14:paraId="0B0E54B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12.1投标文件中所使用的计量单位,除招标文件中有特殊要求外，均应采用国家法定计量单位。</w:t>
      </w:r>
    </w:p>
    <w:p w14:paraId="1868E05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13.提供相同品牌产品的不同投标人参加同一合同项下投标的，参加评标、获得中标人推荐资格的认定</w:t>
      </w:r>
    </w:p>
    <w:p w14:paraId="071F5AE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13.1采用最低评标价法的采购项目，提供相同品牌产品的不同投标人参加同一合同项下投标的，以其中通过资格审查、符合性审查且报价最低的参加评标；报价相同的，由采购人或者采购人委托评标委员会按照投标人须知前附表规定的方式确定一个参加评标的投标人，其他投标无效。</w:t>
      </w:r>
    </w:p>
    <w:p w14:paraId="3A2F80D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13.2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获得中标人推荐资格。</w:t>
      </w:r>
    </w:p>
    <w:p w14:paraId="6423320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13.3非单一产品采购项目，多家投标人提供的核心产品品牌相同的，依据招标文件规定的评分办法，按13.1或13.2条规定处理。核心产品见“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3C0CADF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8" w:name="_Toc415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14.投标文件的构成</w:t>
      </w:r>
      <w:bookmarkEnd w:id="438"/>
    </w:p>
    <w:p w14:paraId="2885C68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14.1投标文件应由下列部分构成。</w:t>
      </w:r>
    </w:p>
    <w:p w14:paraId="25413D4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格式详见“第</w:t>
      </w:r>
      <w:r>
        <w:rPr>
          <w:rFonts w:hint="eastAsia" w:ascii="仿宋" w:hAnsi="仿宋" w:eastAsia="仿宋" w:cs="仿宋"/>
          <w:color w:val="auto"/>
          <w:spacing w:val="0"/>
          <w:w w:val="100"/>
          <w:position w:val="0"/>
          <w:sz w:val="21"/>
          <w:szCs w:val="21"/>
          <w:lang w:val="en-US" w:eastAsia="zh-CN"/>
        </w:rPr>
        <w:t>六</w:t>
      </w:r>
      <w:r>
        <w:rPr>
          <w:rFonts w:hint="eastAsia" w:ascii="仿宋" w:hAnsi="仿宋" w:eastAsia="仿宋" w:cs="仿宋"/>
          <w:color w:val="auto"/>
          <w:spacing w:val="0"/>
          <w:w w:val="100"/>
          <w:position w:val="0"/>
          <w:sz w:val="21"/>
          <w:szCs w:val="21"/>
          <w:lang w:eastAsia="zh-CN"/>
        </w:rPr>
        <w:t>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投标文件格式”</w:t>
      </w:r>
    </w:p>
    <w:p w14:paraId="3EBDED9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14.2投标人应编写投标文件目录及页码。</w:t>
      </w:r>
    </w:p>
    <w:p w14:paraId="6998234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9" w:name="_Toc19211"/>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15.投标报价</w:t>
      </w:r>
      <w:bookmarkEnd w:id="439"/>
    </w:p>
    <w:p w14:paraId="4C8D306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15.1所有投标均以人民币报价，</w:t>
      </w:r>
      <w:r>
        <w:rPr>
          <w:rFonts w:hint="eastAsia" w:ascii="仿宋" w:hAnsi="仿宋" w:eastAsia="仿宋" w:cs="仿宋"/>
          <w:color w:val="auto"/>
          <w:spacing w:val="0"/>
          <w:w w:val="100"/>
          <w:position w:val="0"/>
          <w:sz w:val="21"/>
          <w:szCs w:val="21"/>
          <w:lang w:val="en-US" w:eastAsia="zh-CN"/>
        </w:rPr>
        <w:t>投标报价</w:t>
      </w:r>
      <w:r>
        <w:rPr>
          <w:rFonts w:hint="eastAsia" w:ascii="仿宋" w:hAnsi="仿宋" w:eastAsia="仿宋" w:cs="仿宋"/>
          <w:color w:val="auto"/>
          <w:spacing w:val="0"/>
          <w:w w:val="100"/>
          <w:position w:val="0"/>
          <w:sz w:val="21"/>
          <w:szCs w:val="21"/>
          <w:lang w:eastAsia="zh-CN"/>
        </w:rPr>
        <w:t>应包括为完成本项目所发生的一切费用和税费，报价内容包含招标文件规定的货物</w:t>
      </w:r>
      <w:r>
        <w:rPr>
          <w:rFonts w:hint="eastAsia" w:ascii="仿宋" w:hAnsi="仿宋" w:eastAsia="仿宋" w:cs="仿宋"/>
          <w:color w:val="auto"/>
          <w:spacing w:val="0"/>
          <w:w w:val="100"/>
          <w:position w:val="0"/>
          <w:sz w:val="21"/>
          <w:szCs w:val="21"/>
          <w:lang w:val="en-US" w:eastAsia="zh-CN"/>
        </w:rPr>
        <w:t>及</w:t>
      </w:r>
      <w:r>
        <w:rPr>
          <w:rFonts w:hint="eastAsia" w:ascii="仿宋" w:hAnsi="仿宋" w:eastAsia="仿宋" w:cs="仿宋"/>
          <w:color w:val="auto"/>
          <w:spacing w:val="0"/>
          <w:w w:val="100"/>
          <w:position w:val="0"/>
          <w:sz w:val="21"/>
          <w:szCs w:val="21"/>
          <w:lang w:eastAsia="zh-CN"/>
        </w:rPr>
        <w:t>附属售后服务，标准附件，备品备件，专用工具，安装、调试、检验，培训，技术服务，</w:t>
      </w:r>
      <w:r>
        <w:rPr>
          <w:rFonts w:hint="eastAsia" w:ascii="仿宋" w:hAnsi="仿宋" w:eastAsia="仿宋" w:cs="仿宋"/>
          <w:color w:val="auto"/>
          <w:spacing w:val="0"/>
          <w:w w:val="100"/>
          <w:position w:val="0"/>
          <w:sz w:val="21"/>
          <w:szCs w:val="21"/>
          <w:lang w:val="en-US" w:eastAsia="zh-CN"/>
        </w:rPr>
        <w:t>采购代理服务费，</w:t>
      </w:r>
      <w:r>
        <w:rPr>
          <w:rFonts w:hint="eastAsia" w:ascii="仿宋" w:hAnsi="仿宋" w:eastAsia="仿宋" w:cs="仿宋"/>
          <w:color w:val="auto"/>
          <w:spacing w:val="0"/>
          <w:w w:val="100"/>
          <w:position w:val="0"/>
          <w:sz w:val="21"/>
          <w:szCs w:val="21"/>
          <w:lang w:eastAsia="zh-CN"/>
        </w:rPr>
        <w:t>运至最终目的地的运费和保险费等一切相关费用。</w:t>
      </w:r>
    </w:p>
    <w:p w14:paraId="6348B4C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15.2投标人要按开标一览表（统一格式）和分项报价表（统一格式）的内容填写产品单价、总价及其他事项。投标总价中不得包含招标文件要求以外的内容，否则，在评标时不予核减。若投标人不同意，投标无效。</w:t>
      </w:r>
    </w:p>
    <w:p w14:paraId="6C2555F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FF0000"/>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15.3投标总价中如缺漏招标文件所要求的内容，投标人中标后须提供，且中标价以投标报价为准。若投标人不同意，</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1BB0A87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15.4投标人所报的投标价在合同执行过程中是固定不变的</w:t>
      </w:r>
      <w:r>
        <w:rPr>
          <w:rFonts w:hint="eastAsia" w:ascii="仿宋" w:hAnsi="仿宋" w:eastAsia="仿宋" w:cs="仿宋"/>
          <w:color w:val="auto"/>
          <w:spacing w:val="0"/>
          <w:w w:val="100"/>
          <w:position w:val="0"/>
          <w:sz w:val="21"/>
          <w:szCs w:val="21"/>
          <w:lang w:val="en-US" w:eastAsia="zh-CN"/>
        </w:rPr>
        <w:t>,</w:t>
      </w:r>
      <w:r>
        <w:rPr>
          <w:rFonts w:hint="eastAsia" w:ascii="仿宋" w:hAnsi="仿宋" w:eastAsia="仿宋" w:cs="仿宋"/>
          <w:color w:val="auto"/>
          <w:spacing w:val="0"/>
          <w:w w:val="100"/>
          <w:position w:val="0"/>
          <w:sz w:val="21"/>
          <w:szCs w:val="21"/>
          <w:lang w:eastAsia="zh-CN"/>
        </w:rPr>
        <w:t>不得以任何理由予以变更。投标人应对所有招标内容进行投标，且只提供最优方案一套，投标人提交任何包含价格调整要求的投标将按非实质性响应投标，</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7B1076FB">
      <w:pPr>
        <w:keepNext w:val="0"/>
        <w:keepLines w:val="0"/>
        <w:pageBreakBefore w:val="0"/>
        <w:widowControl/>
        <w:kinsoku w:val="0"/>
        <w:wordWrap/>
        <w:overflowPunct/>
        <w:topLinePunct w:val="0"/>
        <w:autoSpaceDE w:val="0"/>
        <w:autoSpaceDN w:val="0"/>
        <w:bidi w:val="0"/>
        <w:adjustRightInd/>
        <w:snapToGrid/>
        <w:spacing w:line="404" w:lineRule="exact"/>
        <w:ind w:firstLine="420" w:firstLineChars="200"/>
        <w:textAlignment w:val="baseline"/>
        <w:rPr>
          <w:rFonts w:hint="eastAsia" w:ascii="仿宋" w:hAnsi="仿宋" w:eastAsia="仿宋" w:cs="仿宋"/>
          <w:color w:val="auto"/>
          <w:spacing w:val="0"/>
          <w:w w:val="100"/>
          <w:position w:val="0"/>
          <w:szCs w:val="21"/>
          <w:lang w:eastAsia="zh-CN"/>
        </w:rPr>
      </w:pPr>
      <w:r>
        <w:rPr>
          <w:rFonts w:hint="eastAsia" w:ascii="仿宋" w:hAnsi="仿宋" w:eastAsia="仿宋" w:cs="仿宋"/>
          <w:lang w:val="en-US" w:eastAsia="zh-CN"/>
        </w:rPr>
        <w:t xml:space="preserve">15.5 </w:t>
      </w:r>
      <w:r>
        <w:rPr>
          <w:rFonts w:hint="eastAsia" w:ascii="仿宋" w:hAnsi="仿宋" w:eastAsia="仿宋" w:cs="仿宋"/>
          <w:lang w:eastAsia="zh-CN"/>
        </w:rPr>
        <w:t>有关本项目实施所涉及的一切费用均计入报价。采购人将以合同形式有偿取得货物或服务，不接受投标人给予的赠品、回扣或者与采购无关的其他商品、服务，不得出现“0元”“免费赠送”等形式的无偿报价，否则视为投标文件含有采购人不能接受的附加条件，投标人不能作出合理解释的，视为投标文件含有采购人不能接受的附加条件的，</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0FC4B1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w:t>
      </w:r>
      <w:r>
        <w:rPr>
          <w:rFonts w:hint="eastAsia" w:ascii="仿宋" w:hAnsi="仿宋" w:eastAsia="仿宋" w:cs="仿宋"/>
          <w:color w:val="auto"/>
          <w:spacing w:val="0"/>
          <w:w w:val="100"/>
          <w:position w:val="0"/>
          <w:sz w:val="21"/>
          <w:szCs w:val="21"/>
          <w:lang w:val="en-US" w:eastAsia="zh-CN"/>
        </w:rPr>
        <w:t xml:space="preserve">6 </w:t>
      </w:r>
      <w:r>
        <w:rPr>
          <w:rFonts w:hint="eastAsia" w:ascii="仿宋" w:hAnsi="仿宋" w:eastAsia="仿宋" w:cs="仿宋"/>
          <w:color w:val="auto"/>
          <w:spacing w:val="0"/>
          <w:w w:val="100"/>
          <w:position w:val="0"/>
          <w:sz w:val="21"/>
          <w:szCs w:val="21"/>
          <w:lang w:eastAsia="zh-CN"/>
        </w:rPr>
        <w:t>投标人如需用外汇购入某些投标货物，须折合人民币（包含进口环节税）计入总报价中。</w:t>
      </w:r>
    </w:p>
    <w:p w14:paraId="6112AC0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w:t>
      </w:r>
      <w:r>
        <w:rPr>
          <w:rFonts w:hint="eastAsia" w:ascii="仿宋" w:hAnsi="仿宋" w:eastAsia="仿宋" w:cs="仿宋"/>
          <w:color w:val="auto"/>
          <w:spacing w:val="0"/>
          <w:w w:val="100"/>
          <w:position w:val="0"/>
          <w:sz w:val="21"/>
          <w:szCs w:val="21"/>
          <w:lang w:val="en-US" w:eastAsia="zh-CN"/>
        </w:rPr>
        <w:t>7 投标人不能提供任何有选择性或可调整的报价(招标文件另有规定的除外），否则</w:t>
      </w:r>
      <w:r>
        <w:rPr>
          <w:rFonts w:hint="eastAsia" w:ascii="仿宋" w:hAnsi="仿宋" w:eastAsia="仿宋" w:cs="仿宋"/>
          <w:b/>
          <w:bCs/>
          <w:color w:val="auto"/>
          <w:spacing w:val="0"/>
          <w:w w:val="100"/>
          <w:position w:val="0"/>
          <w:sz w:val="21"/>
          <w:szCs w:val="21"/>
          <w:lang w:val="en-US" w:eastAsia="zh-CN"/>
        </w:rPr>
        <w:t>其投标无效</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p>
    <w:p w14:paraId="440F10C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0" w:name="bookmark29"/>
      <w:bookmarkEnd w:id="440"/>
      <w:bookmarkStart w:id="441" w:name="_Toc1766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16.投标保证金</w:t>
      </w:r>
      <w:bookmarkEnd w:id="441"/>
    </w:p>
    <w:p w14:paraId="4B171E5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1</w:t>
      </w:r>
      <w:r>
        <w:rPr>
          <w:rFonts w:hint="eastAsia" w:ascii="仿宋" w:hAnsi="仿宋" w:eastAsia="仿宋" w:cs="仿宋"/>
          <w:color w:val="auto"/>
          <w:spacing w:val="0"/>
          <w:w w:val="100"/>
          <w:position w:val="0"/>
          <w:sz w:val="21"/>
          <w:szCs w:val="21"/>
          <w:lang w:eastAsia="zh-CN"/>
        </w:rPr>
        <w:t>投标人须在投标文件递交截止时间之前向采购代理机构提交投标保证金，并作为其投标文件的一部分，详见“投标人须知前附表”。联合体投标的，可以由联合体中的一方或者共同提交投标保证金，以一方名义提交投标保证金的，对联合体各方均具有约束力。</w:t>
      </w:r>
      <w:r>
        <w:rPr>
          <w:rFonts w:hint="eastAsia" w:ascii="仿宋" w:hAnsi="仿宋" w:eastAsia="仿宋" w:cs="仿宋"/>
          <w:b/>
          <w:bCs/>
          <w:color w:val="auto"/>
          <w:spacing w:val="0"/>
          <w:w w:val="100"/>
          <w:position w:val="0"/>
          <w:sz w:val="21"/>
          <w:szCs w:val="21"/>
          <w:lang w:eastAsia="zh-CN"/>
        </w:rPr>
        <w:t>（适用联合体投标）</w:t>
      </w:r>
    </w:p>
    <w:p w14:paraId="32A1EB7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16.2任何未按“投标人须知第16.1条”要求提交投标保证金的投标文件，</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260B1B6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16.3投标保证金有效期同投标有效期。</w:t>
      </w:r>
    </w:p>
    <w:p w14:paraId="0C984F5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16.4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B118A2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自中标通知书发出之日起5个工作日内退还未中标人的投标保证金，自采购合同签订之日起5个工作日内退还中标人的投标保证金。</w:t>
      </w:r>
    </w:p>
    <w:p w14:paraId="2B2BD5B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16.6</w:t>
      </w:r>
      <w:r>
        <w:rPr>
          <w:rFonts w:hint="eastAsia" w:ascii="仿宋" w:hAnsi="仿宋" w:eastAsia="仿宋" w:cs="仿宋"/>
          <w:color w:val="auto"/>
          <w:spacing w:val="0"/>
          <w:w w:val="100"/>
          <w:position w:val="0"/>
          <w:sz w:val="21"/>
          <w:szCs w:val="21"/>
          <w:lang w:eastAsia="zh-CN"/>
        </w:rPr>
        <w:t>投标人在投标截止时间前撤回已提交的投标文件的，采购代理机构自收到投标人书面撤回通知之日起5个工作日内退还已收取的投标保证金；但因投标人自身原因导致无法及时退还的除外。</w:t>
      </w:r>
    </w:p>
    <w:p w14:paraId="7B17780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7</w:t>
      </w:r>
      <w:r>
        <w:rPr>
          <w:rFonts w:hint="eastAsia" w:ascii="仿宋" w:hAnsi="仿宋" w:eastAsia="仿宋" w:cs="仿宋"/>
          <w:color w:val="auto"/>
          <w:spacing w:val="0"/>
          <w:w w:val="100"/>
          <w:position w:val="0"/>
          <w:sz w:val="21"/>
          <w:szCs w:val="21"/>
          <w:lang w:eastAsia="zh-CN"/>
        </w:rPr>
        <w:t>采购人或者采购代理机构逾期退还投标保证金的，除应当退还投标保证金本金外，还应当按中</w:t>
      </w:r>
      <w:r>
        <w:rPr>
          <w:rFonts w:hint="eastAsia" w:ascii="仿宋" w:hAnsi="仿宋" w:eastAsia="仿宋" w:cs="仿宋"/>
          <w:color w:val="auto"/>
          <w:spacing w:val="0"/>
          <w:w w:val="100"/>
          <w:position w:val="0"/>
          <w:sz w:val="21"/>
          <w:szCs w:val="21"/>
          <w:lang w:val="en-US" w:eastAsia="zh-CN"/>
        </w:rPr>
        <w:t>国</w:t>
      </w:r>
      <w:r>
        <w:rPr>
          <w:rFonts w:hint="eastAsia" w:ascii="仿宋" w:hAnsi="仿宋" w:eastAsia="仿宋" w:cs="仿宋"/>
          <w:color w:val="auto"/>
          <w:spacing w:val="0"/>
          <w:w w:val="100"/>
          <w:position w:val="0"/>
          <w:sz w:val="21"/>
          <w:szCs w:val="21"/>
          <w:lang w:eastAsia="zh-CN"/>
        </w:rPr>
        <w:t>人民银行同期贷款基准利率上浮20%后的利率支付超期资金占用费，但因投标人自身原因导致无法及时退还的除外。</w:t>
      </w:r>
    </w:p>
    <w:p w14:paraId="6136870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16.8终止招标项目已经收取投标保证金的，自终止采购活动后5个工作日内退还已收取的投标保证金。</w:t>
      </w:r>
    </w:p>
    <w:p w14:paraId="6A9C96C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下列任何情况发生时，投标保证金不予退：</w:t>
      </w:r>
    </w:p>
    <w:p w14:paraId="020AD66A">
      <w:pPr>
        <w:pStyle w:val="9"/>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bookmarkStart w:id="442" w:name="_Toc19497"/>
      <w:r>
        <w:rPr>
          <w:rFonts w:hint="eastAsia" w:ascii="仿宋" w:hAnsi="仿宋" w:eastAsia="仿宋" w:cs="仿宋"/>
          <w:snapToGrid w:val="0"/>
          <w:color w:val="auto"/>
          <w:spacing w:val="0"/>
          <w:w w:val="100"/>
          <w:kern w:val="0"/>
          <w:position w:val="0"/>
          <w:sz w:val="21"/>
          <w:szCs w:val="21"/>
          <w:highlight w:val="none"/>
          <w:lang w:val="en-US" w:eastAsia="zh-CN" w:bidi="ar-SA"/>
        </w:rPr>
        <w:t>（1）投标人在投标有效期内要求撤回投标的；</w:t>
      </w:r>
    </w:p>
    <w:p w14:paraId="691EA229">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（2）投标人在投标文件中提供虚假材料的；</w:t>
      </w:r>
    </w:p>
    <w:p w14:paraId="67CD1B32">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（3）投标人存在违法违规行为的；</w:t>
      </w:r>
    </w:p>
    <w:p w14:paraId="3FDB1387">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（4）中标人中标后除因不可抗力拒绝与采购人签订合同的；</w:t>
      </w:r>
    </w:p>
    <w:p w14:paraId="54C06CB1">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（5）中标人将中标项目转让给他人，或者在投标文件中未说明，且未经采购人同意，将中标项目分包给他人的；</w:t>
      </w:r>
    </w:p>
    <w:p w14:paraId="49AF1D42">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（6）招标文件规定的其他情形的。</w:t>
      </w:r>
    </w:p>
    <w:p w14:paraId="2724054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17.投标有效期</w:t>
      </w:r>
      <w:bookmarkEnd w:id="442"/>
    </w:p>
    <w:p w14:paraId="1437D0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17.1投标有效期从提交投标文件的截止之日起算。投标文件中承诺的投标有效期应不少于招标文件中载明的投标有效期。并在投标文件中承诺的投标有效期内保持有效。招标文件中载明的投标有效期详见“投标人须知前附表”，投标有效期不足的投标，</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lang w:eastAsia="zh-CN"/>
        </w:rPr>
        <w:t>。</w:t>
      </w:r>
    </w:p>
    <w:p w14:paraId="230DCE9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17.2在特殊情况下，采购代理机构可延长投标有效期。延长投标有效期在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highlight w:val="none"/>
          <w:lang w:eastAsia="zh-CN"/>
        </w:rPr>
        <w:t>发布</w:t>
      </w:r>
      <w:r>
        <w:rPr>
          <w:rFonts w:hint="eastAsia" w:ascii="仿宋" w:hAnsi="仿宋" w:eastAsia="仿宋" w:cs="仿宋"/>
          <w:color w:val="auto"/>
          <w:spacing w:val="0"/>
          <w:w w:val="100"/>
          <w:position w:val="0"/>
          <w:sz w:val="21"/>
          <w:szCs w:val="21"/>
          <w:lang w:eastAsia="zh-CN"/>
        </w:rPr>
        <w:t>，延期函以网上公告的形式通知所有已参加投标的投标人。</w:t>
      </w:r>
      <w:r>
        <w:rPr>
          <w:rFonts w:hint="eastAsia" w:ascii="仿宋" w:hAnsi="仿宋" w:eastAsia="仿宋" w:cs="仿宋"/>
          <w:color w:val="auto"/>
          <w:spacing w:val="0"/>
          <w:w w:val="100"/>
          <w:position w:val="0"/>
          <w:sz w:val="21"/>
          <w:szCs w:val="21"/>
          <w:highlight w:val="none"/>
          <w:lang w:eastAsia="zh-CN"/>
        </w:rPr>
        <w:t>已参加投标的投标人应以书面形式答复采购代理机构，同意延长有效期的投</w:t>
      </w:r>
      <w:r>
        <w:rPr>
          <w:rFonts w:hint="eastAsia" w:ascii="仿宋" w:hAnsi="仿宋" w:eastAsia="仿宋" w:cs="仿宋"/>
          <w:color w:val="auto"/>
          <w:spacing w:val="0"/>
          <w:w w:val="100"/>
          <w:position w:val="0"/>
          <w:sz w:val="21"/>
          <w:szCs w:val="21"/>
          <w:lang w:eastAsia="zh-CN"/>
        </w:rPr>
        <w:t>标人不能修改其投标文件，有关投标保证金的规定在投标有效期的延长期内继续有效。</w:t>
      </w:r>
    </w:p>
    <w:p w14:paraId="2CD5A50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43" w:name="bookmark31"/>
      <w:bookmarkEnd w:id="443"/>
      <w:bookmarkStart w:id="444" w:name="_Toc2837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18.投标文件的递交</w:t>
      </w:r>
      <w:bookmarkEnd w:id="444"/>
    </w:p>
    <w:p w14:paraId="357B36C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18.1投标截止时间</w:t>
      </w:r>
    </w:p>
    <w:p w14:paraId="1B58F9B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18.1.1投标截止时间详见“第一章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招标公告”。</w:t>
      </w:r>
    </w:p>
    <w:p w14:paraId="5CF9ED9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18.1.2电子版投标文件必须在招标文件规定的投标截止时间前上传到政采云平台（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否则投标无效。</w:t>
      </w:r>
    </w:p>
    <w:p w14:paraId="66D4AD2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18.1.3采购代理机构推迟投标截止时间，在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）发布延期公告，延期函以网上公告的形式通知所有已下载招标文件的投标人。在</w:t>
      </w:r>
      <w:r>
        <w:rPr>
          <w:rFonts w:hint="eastAsia" w:ascii="仿宋" w:hAnsi="仿宋" w:eastAsia="仿宋" w:cs="仿宋"/>
          <w:color w:val="auto"/>
          <w:spacing w:val="0"/>
          <w:w w:val="100"/>
          <w:position w:val="0"/>
          <w:sz w:val="21"/>
          <w:szCs w:val="21"/>
          <w:lang w:val="en-US" w:eastAsia="zh-CN"/>
        </w:rPr>
        <w:t>此</w:t>
      </w:r>
      <w:r>
        <w:rPr>
          <w:rFonts w:hint="eastAsia" w:ascii="仿宋" w:hAnsi="仿宋" w:eastAsia="仿宋" w:cs="仿宋"/>
          <w:color w:val="auto"/>
          <w:spacing w:val="0"/>
          <w:w w:val="100"/>
          <w:position w:val="0"/>
          <w:sz w:val="21"/>
          <w:szCs w:val="21"/>
          <w:lang w:eastAsia="zh-CN"/>
        </w:rPr>
        <w:t>情况下，采购代理机构、采购人和投标人受投标截止时间制约的所有权利和义务均应延长至新的投标截止时间。</w:t>
      </w:r>
    </w:p>
    <w:p w14:paraId="6539AA4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18.2迟交的投标文件</w:t>
      </w:r>
    </w:p>
    <w:p w14:paraId="4B317C41">
      <w:pPr>
        <w:pStyle w:val="8"/>
        <w:keepNext w:val="0"/>
        <w:keepLines w:val="0"/>
        <w:pageBreakBefore w:val="0"/>
        <w:widowControl w:val="0"/>
        <w:kinsoku/>
        <w:wordWrap w:val="0"/>
        <w:overflowPunct/>
        <w:topLinePunct/>
        <w:autoSpaceDE/>
        <w:autoSpaceDN/>
        <w:bidi w:val="0"/>
        <w:adjustRightInd/>
        <w:snapToGrid/>
        <w:spacing w:beforeAutospacing="0" w:after="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kern w:val="0"/>
          <w:position w:val="0"/>
          <w:sz w:val="21"/>
          <w:szCs w:val="21"/>
          <w:lang w:val="en-US" w:eastAsia="zh-CN" w:bidi="ar-SA"/>
        </w:rPr>
        <w:t>18.2.1在投标截止时间以后送达的投标文件，采购代理机构将拒绝接收。</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（适用于见面开标方式）</w:t>
      </w:r>
    </w:p>
    <w:p w14:paraId="7211A9E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rPr>
        <w:t>18.2.2未在投标截止时间前上传加密电子投标文件的，视为投标无效。</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（适用于不见面开标方式）</w:t>
      </w:r>
    </w:p>
    <w:p w14:paraId="25619A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18.3投标文件的修改和撤回</w:t>
      </w:r>
    </w:p>
    <w:p w14:paraId="33D107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18.3.1在投标截止时间前，投标人修改或撤回投标文件的，投标人可以在政采云平台（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）上重新上传修改后的投标文件或撤回其投标。</w:t>
      </w:r>
    </w:p>
    <w:p w14:paraId="0258872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18.3.2</w:t>
      </w:r>
      <w:r>
        <w:rPr>
          <w:rFonts w:hint="eastAsia" w:ascii="仿宋" w:hAnsi="仿宋" w:eastAsia="仿宋" w:cs="仿宋"/>
          <w:color w:val="auto"/>
          <w:spacing w:val="0"/>
          <w:w w:val="100"/>
          <w:position w:val="0"/>
          <w:sz w:val="21"/>
          <w:szCs w:val="21"/>
          <w:lang w:val="en-US" w:eastAsia="zh-CN"/>
        </w:rPr>
        <w:t>投标有效期内，投标人不得撤销或修改其投标文件</w:t>
      </w:r>
      <w:r>
        <w:rPr>
          <w:rFonts w:hint="eastAsia" w:ascii="仿宋" w:hAnsi="仿宋" w:eastAsia="仿宋" w:cs="仿宋"/>
          <w:color w:val="auto"/>
          <w:spacing w:val="0"/>
          <w:w w:val="100"/>
          <w:position w:val="0"/>
          <w:sz w:val="21"/>
          <w:szCs w:val="21"/>
          <w:lang w:eastAsia="zh-CN"/>
        </w:rPr>
        <w:t>，否则不予退还其</w:t>
      </w:r>
      <w:r>
        <w:rPr>
          <w:rFonts w:hint="eastAsia" w:ascii="仿宋" w:hAnsi="仿宋" w:eastAsia="仿宋" w:cs="仿宋"/>
          <w:color w:val="auto"/>
          <w:spacing w:val="0"/>
          <w:w w:val="100"/>
          <w:position w:val="0"/>
          <w:sz w:val="21"/>
          <w:szCs w:val="21"/>
          <w:lang w:val="en-US" w:eastAsia="zh-CN"/>
        </w:rPr>
        <w:t>缴纳</w:t>
      </w:r>
      <w:r>
        <w:rPr>
          <w:rFonts w:hint="eastAsia" w:ascii="仿宋" w:hAnsi="仿宋" w:eastAsia="仿宋" w:cs="仿宋"/>
          <w:color w:val="auto"/>
          <w:spacing w:val="0"/>
          <w:w w:val="100"/>
          <w:position w:val="0"/>
          <w:sz w:val="21"/>
          <w:szCs w:val="21"/>
          <w:lang w:eastAsia="zh-CN"/>
        </w:rPr>
        <w:t>的投标保证金。</w:t>
      </w:r>
    </w:p>
    <w:p w14:paraId="387AB7A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18.4原件及样品递交要求</w:t>
      </w:r>
      <w:r>
        <w:rPr>
          <w:rFonts w:hint="eastAsia" w:ascii="仿宋" w:hAnsi="仿宋" w:eastAsia="仿宋" w:cs="仿宋"/>
          <w:b/>
          <w:bCs/>
          <w:color w:val="auto"/>
          <w:spacing w:val="0"/>
          <w:w w:val="100"/>
          <w:position w:val="0"/>
          <w:sz w:val="21"/>
          <w:szCs w:val="21"/>
          <w:lang w:val="en-US" w:eastAsia="zh-CN"/>
        </w:rPr>
        <w:t>（若有）</w:t>
      </w:r>
      <w:r>
        <w:rPr>
          <w:rFonts w:hint="eastAsia" w:ascii="仿宋" w:hAnsi="仿宋" w:eastAsia="仿宋" w:cs="仿宋"/>
          <w:color w:val="auto"/>
          <w:spacing w:val="0"/>
          <w:w w:val="100"/>
          <w:position w:val="0"/>
          <w:sz w:val="21"/>
          <w:szCs w:val="21"/>
          <w:lang w:val="en-US" w:eastAsia="zh-CN"/>
        </w:rPr>
        <w:t>：招标文件要求提供材料原件、样品佐证的，所提供的物品必须在投标文件递交截止时间前递交至开标地点，逾期不予接收。具体要求详见“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val="en-US" w:eastAsia="zh-CN"/>
        </w:rPr>
        <w:t>”</w:t>
      </w:r>
    </w:p>
    <w:p w14:paraId="72A17A4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5" w:name="_Toc2899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19.分包的规定</w:t>
      </w:r>
      <w:bookmarkEnd w:id="445"/>
    </w:p>
    <w:p w14:paraId="430A58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19.1本项目是否允许分包：详见“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552ADE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19.2在中标后将中标项目的非主体、非关键性工作分包的，应当在投标文件中载明分包承担主体，分包承担主体应当具备相应资质条件且不得再次分包。</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（适用于允许分包）</w:t>
      </w:r>
    </w:p>
    <w:p w14:paraId="60F017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rPr>
      </w:pPr>
      <w:bookmarkStart w:id="446" w:name="bookmark33"/>
      <w:bookmarkEnd w:id="446"/>
      <w:bookmarkStart w:id="447" w:name="_Toc12761"/>
      <w:r>
        <w:rPr>
          <w:rFonts w:hint="eastAsia" w:ascii="仿宋" w:hAnsi="仿宋" w:eastAsia="仿宋" w:cs="仿宋"/>
          <w:color w:val="auto"/>
          <w:spacing w:val="0"/>
          <w:w w:val="100"/>
          <w:position w:val="0"/>
          <w:sz w:val="21"/>
          <w:szCs w:val="21"/>
          <w:lang w:eastAsia="zh-CN"/>
        </w:rPr>
        <w:t>19.3</w:t>
      </w:r>
      <w:r>
        <w:rPr>
          <w:rFonts w:hint="eastAsia" w:ascii="仿宋" w:hAnsi="仿宋" w:eastAsia="仿宋" w:cs="仿宋"/>
          <w:color w:val="auto"/>
          <w:spacing w:val="0"/>
          <w:w w:val="100"/>
          <w:position w:val="0"/>
          <w:sz w:val="21"/>
          <w:szCs w:val="21"/>
          <w:lang w:val="en-US" w:eastAsia="zh-CN"/>
        </w:rPr>
        <w:t>依据《政府采购促进中小企业发展管理办法》规定享受扶持政策获得政府采购合同的，小微企业不得将合同分包给大中型企业，中型企业不得将合同分包给大型企业。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（适用于允许分包）</w:t>
      </w:r>
      <w:bookmarkEnd w:id="447"/>
    </w:p>
    <w:p w14:paraId="0DBBCE8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8" w:name="_Toc1718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20.恶意串通等行为的处理及串通投标情形的认定</w:t>
      </w:r>
      <w:bookmarkEnd w:id="448"/>
    </w:p>
    <w:p w14:paraId="7575880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20.1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677FB76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b w:val="0"/>
          <w:bCs w:val="0"/>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20.2有下列情形之一的，视为投标人串通投标，其</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b w:val="0"/>
          <w:bCs w:val="0"/>
          <w:color w:val="auto"/>
          <w:spacing w:val="0"/>
          <w:w w:val="100"/>
          <w:position w:val="0"/>
          <w:sz w:val="21"/>
          <w:szCs w:val="21"/>
          <w:lang w:eastAsia="zh-CN"/>
          <w14:textOutline w14:w="4356" w14:cap="sq" w14:cmpd="sng" w14:algn="ctr">
            <w14:solidFill>
              <w14:srgbClr w14:val="000000"/>
            </w14:solidFill>
            <w14:prstDash w14:val="solid"/>
            <w14:bevel/>
          </w14:textOutline>
        </w:rPr>
        <w:t>。</w:t>
      </w:r>
    </w:p>
    <w:p w14:paraId="4BC84C9C">
      <w:pPr>
        <w:keepNext w:val="0"/>
        <w:keepLines w:val="0"/>
        <w:pageBreakBefore w:val="0"/>
        <w:widowControl w:val="0"/>
        <w:kinsoku/>
        <w:wordWrap w:val="0"/>
        <w:overflowPunct/>
        <w:topLinePunct/>
        <w:autoSpaceDE/>
        <w:autoSpaceDN/>
        <w:bidi w:val="0"/>
        <w:adjustRightInd/>
        <w:snapToGrid/>
        <w:spacing w:line="404" w:lineRule="exact"/>
        <w:ind w:left="0" w:leftChars="0" w:right="0" w:firstLine="840" w:firstLineChars="400"/>
        <w:jc w:val="left"/>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b w:val="0"/>
          <w:bCs w:val="0"/>
          <w:sz w:val="21"/>
          <w:szCs w:val="21"/>
          <w:highlight w:val="none"/>
          <w:lang w:val="en-US" w:eastAsia="zh-CN"/>
        </w:rPr>
        <w:t>详见</w:t>
      </w:r>
      <w:r>
        <w:rPr>
          <w:rFonts w:hint="eastAsia" w:ascii="仿宋" w:hAnsi="仿宋" w:eastAsia="仿宋" w:cs="仿宋"/>
          <w:b/>
          <w:bCs/>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6CD4EACC">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spacing w:val="0"/>
          <w:w w:val="100"/>
          <w:position w:val="0"/>
          <w:sz w:val="21"/>
          <w:szCs w:val="21"/>
          <w:lang w:eastAsia="zh-CN"/>
        </w:rPr>
      </w:pPr>
      <w:bookmarkStart w:id="449" w:name="bookmark34"/>
      <w:bookmarkEnd w:id="449"/>
      <w:bookmarkStart w:id="450" w:name="_Toc2219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四、</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开标</w:t>
      </w:r>
      <w:bookmarkEnd w:id="450"/>
      <w:bookmarkStart w:id="451" w:name="bookmark35"/>
      <w:bookmarkEnd w:id="451"/>
    </w:p>
    <w:p w14:paraId="219A1DF6">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52" w:name="_Toc1733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21.开标</w:t>
      </w:r>
      <w:bookmarkEnd w:id="452"/>
    </w:p>
    <w:p w14:paraId="55FA894D">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rPr>
      </w:pPr>
      <w:bookmarkStart w:id="453" w:name="_Toc19365"/>
      <w:r>
        <w:rPr>
          <w:rFonts w:hint="eastAsia" w:ascii="仿宋" w:hAnsi="仿宋" w:eastAsia="仿宋" w:cs="仿宋"/>
          <w:color w:val="auto"/>
          <w:spacing w:val="0"/>
          <w:w w:val="100"/>
          <w:position w:val="0"/>
          <w:sz w:val="21"/>
          <w:szCs w:val="21"/>
          <w:lang w:eastAsia="zh-CN"/>
        </w:rPr>
        <w:t>21.1开标：本项目</w:t>
      </w:r>
      <w:r>
        <w:rPr>
          <w:rFonts w:hint="eastAsia" w:ascii="仿宋" w:hAnsi="仿宋" w:eastAsia="仿宋" w:cs="仿宋"/>
          <w:color w:val="auto"/>
          <w:spacing w:val="0"/>
          <w:w w:val="100"/>
          <w:position w:val="0"/>
          <w:sz w:val="21"/>
          <w:szCs w:val="21"/>
          <w:lang w:val="en-US" w:eastAsia="zh-CN"/>
        </w:rPr>
        <w:t>开标方式及</w:t>
      </w:r>
      <w:r>
        <w:rPr>
          <w:rFonts w:hint="eastAsia" w:ascii="仿宋" w:hAnsi="仿宋" w:eastAsia="仿宋" w:cs="仿宋"/>
          <w:color w:val="auto"/>
          <w:spacing w:val="0"/>
          <w:w w:val="100"/>
          <w:position w:val="0"/>
          <w:sz w:val="21"/>
          <w:szCs w:val="21"/>
          <w:lang w:eastAsia="zh-CN"/>
        </w:rPr>
        <w:t>开标注意事项详见第</w:t>
      </w:r>
      <w:r>
        <w:rPr>
          <w:rFonts w:hint="eastAsia" w:ascii="仿宋" w:hAnsi="仿宋" w:eastAsia="仿宋" w:cs="仿宋"/>
          <w:color w:val="auto"/>
          <w:spacing w:val="0"/>
          <w:w w:val="100"/>
          <w:position w:val="0"/>
          <w:sz w:val="21"/>
          <w:szCs w:val="21"/>
          <w:lang w:val="en-US" w:eastAsia="zh-CN"/>
        </w:rPr>
        <w:t>一</w:t>
      </w:r>
      <w:r>
        <w:rPr>
          <w:rFonts w:hint="eastAsia" w:ascii="仿宋" w:hAnsi="仿宋" w:eastAsia="仿宋" w:cs="仿宋"/>
          <w:color w:val="auto"/>
          <w:spacing w:val="0"/>
          <w:w w:val="100"/>
          <w:position w:val="0"/>
          <w:sz w:val="21"/>
          <w:szCs w:val="21"/>
          <w:lang w:eastAsia="zh-CN"/>
        </w:rPr>
        <w:t>章“</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招标公告</w:t>
      </w:r>
      <w:r>
        <w:rPr>
          <w:rFonts w:hint="eastAsia" w:ascii="仿宋" w:hAnsi="仿宋" w:eastAsia="仿宋" w:cs="仿宋"/>
          <w:color w:val="auto"/>
          <w:spacing w:val="0"/>
          <w:w w:val="100"/>
          <w:position w:val="0"/>
          <w:sz w:val="21"/>
          <w:szCs w:val="21"/>
          <w:lang w:eastAsia="zh-CN"/>
        </w:rPr>
        <w:t>”。</w:t>
      </w:r>
      <w:bookmarkEnd w:id="453"/>
    </w:p>
    <w:p w14:paraId="0459754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21.2开标由采购代理机构主持，邀请</w:t>
      </w:r>
      <w:r>
        <w:rPr>
          <w:rFonts w:hint="eastAsia" w:ascii="仿宋" w:hAnsi="仿宋" w:eastAsia="仿宋" w:cs="仿宋"/>
          <w:color w:val="auto"/>
          <w:spacing w:val="0"/>
          <w:w w:val="100"/>
          <w:position w:val="0"/>
          <w:sz w:val="21"/>
          <w:szCs w:val="21"/>
          <w:lang w:val="en-US" w:eastAsia="zh-CN"/>
        </w:rPr>
        <w:t>采购人</w:t>
      </w:r>
      <w:r>
        <w:rPr>
          <w:rFonts w:hint="eastAsia" w:ascii="仿宋" w:hAnsi="仿宋" w:eastAsia="仿宋" w:cs="仿宋"/>
          <w:color w:val="auto"/>
          <w:spacing w:val="0"/>
          <w:w w:val="100"/>
          <w:position w:val="0"/>
          <w:sz w:val="21"/>
          <w:szCs w:val="21"/>
          <w:lang w:eastAsia="zh-CN"/>
        </w:rPr>
        <w:t>参加。评标委员会成员不得参加开标活动。</w:t>
      </w:r>
    </w:p>
    <w:p w14:paraId="5F7C8D8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21.3</w:t>
      </w:r>
      <w:r>
        <w:rPr>
          <w:rFonts w:hint="eastAsia" w:ascii="仿宋" w:hAnsi="仿宋" w:eastAsia="仿宋" w:cs="仿宋"/>
          <w:color w:val="auto"/>
          <w:spacing w:val="0"/>
          <w:w w:val="100"/>
          <w:position w:val="0"/>
          <w:sz w:val="21"/>
          <w:szCs w:val="21"/>
          <w:highlight w:val="none"/>
          <w:lang w:val="en-US" w:eastAsia="zh-CN"/>
        </w:rPr>
        <w:t>投标人未在规定时间内使用CA数字证书完成解密投标文件的，</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投标无效。</w:t>
      </w:r>
    </w:p>
    <w:p w14:paraId="6324219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21.4开标时，采购代理机构将宣读投标人名称、投标</w:t>
      </w:r>
      <w:r>
        <w:rPr>
          <w:rFonts w:hint="eastAsia" w:ascii="仿宋" w:hAnsi="仿宋" w:eastAsia="仿宋" w:cs="仿宋"/>
          <w:color w:val="auto"/>
          <w:spacing w:val="0"/>
          <w:w w:val="100"/>
          <w:position w:val="0"/>
          <w:sz w:val="21"/>
          <w:szCs w:val="21"/>
          <w:highlight w:val="none"/>
          <w:lang w:val="en-US" w:eastAsia="zh-CN"/>
        </w:rPr>
        <w:t>报</w:t>
      </w:r>
      <w:r>
        <w:rPr>
          <w:rFonts w:hint="eastAsia" w:ascii="仿宋" w:hAnsi="仿宋" w:eastAsia="仿宋" w:cs="仿宋"/>
          <w:color w:val="auto"/>
          <w:spacing w:val="0"/>
          <w:w w:val="100"/>
          <w:position w:val="0"/>
          <w:sz w:val="21"/>
          <w:szCs w:val="21"/>
          <w:highlight w:val="none"/>
          <w:lang w:eastAsia="zh-CN"/>
        </w:rPr>
        <w:t>价以及其</w:t>
      </w:r>
      <w:r>
        <w:rPr>
          <w:rFonts w:hint="eastAsia" w:ascii="仿宋" w:hAnsi="仿宋" w:eastAsia="仿宋" w:cs="仿宋"/>
          <w:color w:val="auto"/>
          <w:spacing w:val="0"/>
          <w:w w:val="100"/>
          <w:position w:val="0"/>
          <w:sz w:val="21"/>
          <w:szCs w:val="21"/>
          <w:highlight w:val="none"/>
          <w:lang w:val="en-US" w:eastAsia="zh-CN"/>
        </w:rPr>
        <w:t>他内容。</w:t>
      </w:r>
    </w:p>
    <w:p w14:paraId="0ACEE8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投标人不足3家的，不得开标。</w:t>
      </w:r>
    </w:p>
    <w:p w14:paraId="4D9FC9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21.5开标过程应当由采购代理机构负责记录，并随</w:t>
      </w:r>
      <w:r>
        <w:rPr>
          <w:rFonts w:hint="eastAsia" w:ascii="仿宋" w:hAnsi="仿宋" w:eastAsia="仿宋" w:cs="仿宋"/>
          <w:color w:val="auto"/>
          <w:spacing w:val="0"/>
          <w:w w:val="100"/>
          <w:position w:val="0"/>
          <w:sz w:val="21"/>
          <w:szCs w:val="21"/>
          <w:lang w:val="en-US" w:eastAsia="zh-CN"/>
        </w:rPr>
        <w:t>招标</w:t>
      </w:r>
      <w:r>
        <w:rPr>
          <w:rFonts w:hint="eastAsia" w:ascii="仿宋" w:hAnsi="仿宋" w:eastAsia="仿宋" w:cs="仿宋"/>
          <w:color w:val="auto"/>
          <w:spacing w:val="0"/>
          <w:w w:val="100"/>
          <w:position w:val="0"/>
          <w:sz w:val="21"/>
          <w:szCs w:val="21"/>
          <w:lang w:eastAsia="zh-CN"/>
        </w:rPr>
        <w:t>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w:t>
      </w:r>
      <w:r>
        <w:rPr>
          <w:rFonts w:hint="eastAsia" w:ascii="仿宋" w:hAnsi="仿宋" w:eastAsia="仿宋" w:cs="仿宋"/>
          <w:color w:val="auto"/>
          <w:spacing w:val="0"/>
          <w:w w:val="100"/>
          <w:position w:val="0"/>
          <w:sz w:val="21"/>
          <w:szCs w:val="21"/>
          <w:lang w:val="en-US" w:eastAsia="zh-CN"/>
        </w:rPr>
        <w:t>果。</w:t>
      </w:r>
    </w:p>
    <w:p w14:paraId="61D42C5B">
      <w:pPr>
        <w:keepNext w:val="0"/>
        <w:keepLines w:val="0"/>
        <w:pageBreakBefore w:val="0"/>
        <w:widowControl w:val="0"/>
        <w:numPr>
          <w:ilvl w:val="0"/>
          <w:numId w:val="0"/>
        </w:numPr>
        <w:kinsoku/>
        <w:wordWrap w:val="0"/>
        <w:overflowPunct/>
        <w:topLinePunct/>
        <w:autoSpaceDE/>
        <w:autoSpaceDN/>
        <w:bidi w:val="0"/>
        <w:adjustRightInd/>
        <w:snapToGrid/>
        <w:spacing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54" w:name="_Toc1339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五、评标</w:t>
      </w:r>
      <w:bookmarkEnd w:id="454"/>
    </w:p>
    <w:p w14:paraId="53F5EE70">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55" w:name="bookmark37"/>
      <w:bookmarkEnd w:id="455"/>
      <w:bookmarkStart w:id="456" w:name="_Toc2880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22.评标</w:t>
      </w:r>
      <w:bookmarkEnd w:id="456"/>
    </w:p>
    <w:p w14:paraId="46BD6C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22.1公开招标采购项目开标结束后，采购人或者采购代理机构应当依法对投标人的资格进行审查。</w:t>
      </w:r>
    </w:p>
    <w:p w14:paraId="24C584F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合格投标人不足3家的，不得评标。</w:t>
      </w:r>
    </w:p>
    <w:p w14:paraId="62B4B15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2</w:t>
      </w:r>
      <w:r>
        <w:rPr>
          <w:rFonts w:hint="eastAsia" w:ascii="仿宋" w:hAnsi="仿宋" w:eastAsia="仿宋" w:cs="仿宋"/>
          <w:color w:val="auto"/>
          <w:spacing w:val="0"/>
          <w:w w:val="100"/>
          <w:position w:val="0"/>
          <w:sz w:val="21"/>
          <w:szCs w:val="21"/>
          <w:lang w:eastAsia="zh-CN"/>
        </w:rPr>
        <w:t>评标委员会</w:t>
      </w:r>
    </w:p>
    <w:p w14:paraId="3D0422E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评标由依照有关法规组建的评标委员会负责。</w:t>
      </w:r>
    </w:p>
    <w:p w14:paraId="04E7C87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3</w:t>
      </w:r>
      <w:r>
        <w:rPr>
          <w:rFonts w:hint="eastAsia" w:ascii="仿宋" w:hAnsi="仿宋" w:eastAsia="仿宋" w:cs="仿宋"/>
          <w:color w:val="auto"/>
          <w:spacing w:val="0"/>
          <w:w w:val="100"/>
          <w:position w:val="0"/>
          <w:sz w:val="21"/>
          <w:szCs w:val="21"/>
          <w:lang w:eastAsia="zh-CN"/>
        </w:rPr>
        <w:t>评标委员会应当对符合资格的投标人的投标文件进行符合性审查，以确定其是否满足招标文件的实质性要求。</w:t>
      </w:r>
    </w:p>
    <w:p w14:paraId="6BC154D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4</w:t>
      </w:r>
      <w:r>
        <w:rPr>
          <w:rFonts w:hint="eastAsia" w:ascii="仿宋" w:hAnsi="仿宋" w:eastAsia="仿宋" w:cs="仿宋"/>
          <w:color w:val="auto"/>
          <w:spacing w:val="0"/>
          <w:w w:val="100"/>
          <w:position w:val="0"/>
          <w:sz w:val="21"/>
          <w:szCs w:val="21"/>
          <w:lang w:eastAsia="zh-CN"/>
        </w:rPr>
        <w:t>对于投标文件中含义不明确、同类问题表述不一致或者有明显文字和计算错误的内容，评标委员会应当以书面形式要求投标人做出必要的澄清、说明或者补正。</w:t>
      </w:r>
    </w:p>
    <w:p w14:paraId="57C986A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299F3EA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评标委员会应当按照招标文件中规定的评标方法和标准，对符合性审查合格的投标文件进行商务和技术评估，综合比较与评价。</w:t>
      </w:r>
    </w:p>
    <w:p w14:paraId="131BF3F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6</w:t>
      </w:r>
      <w:r>
        <w:rPr>
          <w:rFonts w:hint="eastAsia" w:ascii="仿宋" w:hAnsi="仿宋" w:eastAsia="仿宋" w:cs="仿宋"/>
          <w:color w:val="auto"/>
          <w:spacing w:val="0"/>
          <w:w w:val="100"/>
          <w:position w:val="0"/>
          <w:sz w:val="21"/>
          <w:szCs w:val="21"/>
          <w:lang w:eastAsia="zh-CN"/>
        </w:rPr>
        <w:t>评标委员会根据全体评标成员签字的原始评标记录和评标结果编写评标报告。</w:t>
      </w:r>
    </w:p>
    <w:p w14:paraId="3570082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7</w:t>
      </w:r>
      <w:r>
        <w:rPr>
          <w:rFonts w:hint="eastAsia" w:ascii="仿宋" w:hAnsi="仿宋" w:eastAsia="仿宋" w:cs="仿宋"/>
          <w:color w:val="auto"/>
          <w:spacing w:val="0"/>
          <w:w w:val="100"/>
          <w:position w:val="0"/>
          <w:sz w:val="21"/>
          <w:szCs w:val="21"/>
          <w:lang w:eastAsia="zh-CN"/>
        </w:rPr>
        <w:t>投标文件报价出现前后不一致的，除招标文件另有规定外，按照下列规定修正：</w:t>
      </w:r>
    </w:p>
    <w:p w14:paraId="2EB0504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（1）投标文件中开标一览表（报价表）内容与投标文件中相应内容不一致的，以开标一览表（报价表）为准；</w:t>
      </w:r>
    </w:p>
    <w:p w14:paraId="244BC08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（2）大写金额和小写金额不一致的，以大写金额为准；</w:t>
      </w:r>
    </w:p>
    <w:p w14:paraId="685C20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（3）单价金额小数点或者百分比有明显错位的，以开标一览表的总价为准，并修改单价；</w:t>
      </w:r>
    </w:p>
    <w:p w14:paraId="0A568D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（4）总价金额与按单价汇总金额不一致的，以单价金额计算结果为准。</w:t>
      </w:r>
    </w:p>
    <w:p w14:paraId="5F94BA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的规定经投标人确认后产生约束力，投标人不确认的，其投标无效。</w:t>
      </w:r>
    </w:p>
    <w:p w14:paraId="6311CC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评标委员会认为投标人的报价明显低于其他通过符合性审查投标人的报价，有可能影响产品质量或者不能诚信履约的，应当要求其在询标环节规定的合理时间内提供书面说明，必要时提交相关证明材料；投标人不能证明其报价合理性的，评标委员会应当将其作</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为无效投标处理。</w:t>
      </w:r>
    </w:p>
    <w:p w14:paraId="4EBFC34E">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9</w:t>
      </w:r>
      <w:r>
        <w:rPr>
          <w:rFonts w:hint="eastAsia" w:ascii="仿宋" w:hAnsi="仿宋" w:eastAsia="仿宋" w:cs="仿宋"/>
          <w:color w:val="auto"/>
          <w:spacing w:val="0"/>
          <w:w w:val="100"/>
          <w:position w:val="0"/>
          <w:sz w:val="21"/>
          <w:szCs w:val="21"/>
          <w:lang w:eastAsia="zh-CN"/>
        </w:rPr>
        <w:t>投标人存在下列情况之一的，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lang w:eastAsia="zh-CN"/>
        </w:rPr>
        <w:t>：</w:t>
      </w:r>
    </w:p>
    <w:p w14:paraId="61343CD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（1）未按照招标文件的规定提交投标保证金的；</w:t>
      </w:r>
    </w:p>
    <w:p w14:paraId="07C5F8F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（2）投标文件未按招标文件要求签署、盖章的；</w:t>
      </w:r>
    </w:p>
    <w:p w14:paraId="653D4C4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（3）不具备招标文件中规定的资格要求的；</w:t>
      </w:r>
    </w:p>
    <w:p w14:paraId="0B0A2B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（4）报价超过招标文件中规定的预算金额或者最高限价的；</w:t>
      </w:r>
    </w:p>
    <w:p w14:paraId="4439AA3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（5）投标文件含有采购人不能接受的附加条件的；</w:t>
      </w:r>
    </w:p>
    <w:p w14:paraId="25879F11">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（6）法律法规和招标文件规定的其他无效情形。</w:t>
      </w:r>
    </w:p>
    <w:p w14:paraId="33595FB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22.1</w:t>
      </w:r>
      <w:r>
        <w:rPr>
          <w:rFonts w:hint="eastAsia" w:ascii="仿宋" w:hAnsi="仿宋" w:eastAsia="仿宋" w:cs="仿宋"/>
          <w:color w:val="auto"/>
          <w:spacing w:val="0"/>
          <w:w w:val="100"/>
          <w:position w:val="0"/>
          <w:sz w:val="21"/>
          <w:szCs w:val="21"/>
          <w:lang w:val="en-US" w:eastAsia="zh-CN"/>
        </w:rPr>
        <w:t>0</w:t>
      </w:r>
      <w:r>
        <w:rPr>
          <w:rFonts w:hint="eastAsia" w:ascii="仿宋" w:hAnsi="仿宋" w:eastAsia="仿宋" w:cs="仿宋"/>
          <w:color w:val="auto"/>
          <w:spacing w:val="0"/>
          <w:w w:val="100"/>
          <w:position w:val="0"/>
          <w:sz w:val="21"/>
          <w:szCs w:val="21"/>
          <w:lang w:eastAsia="zh-CN"/>
        </w:rPr>
        <w:t>在招标采购中，出现下列情形之一的，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应予废标：</w:t>
      </w:r>
    </w:p>
    <w:p w14:paraId="1184CEB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（1）符合专业条件的投标人或者对招标文件作实质响应的投标人不足三家的；</w:t>
      </w:r>
    </w:p>
    <w:p w14:paraId="3C3CAF7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（2）出现影响采购公正的违法、违规行为的；</w:t>
      </w:r>
    </w:p>
    <w:p w14:paraId="0051AB9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（3）投标人的报价均超过了采购预算，采购人不能支付的；</w:t>
      </w:r>
    </w:p>
    <w:p w14:paraId="5E5CED8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（4）因重大变故，采购任务取消。</w:t>
      </w:r>
    </w:p>
    <w:p w14:paraId="1A5403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22.1</w:t>
      </w:r>
      <w:r>
        <w:rPr>
          <w:rFonts w:hint="eastAsia" w:ascii="仿宋" w:hAnsi="仿宋" w:eastAsia="仿宋" w:cs="仿宋"/>
          <w:color w:val="auto"/>
          <w:spacing w:val="0"/>
          <w:w w:val="100"/>
          <w:position w:val="0"/>
          <w:sz w:val="21"/>
          <w:szCs w:val="21"/>
          <w:lang w:val="en-US" w:eastAsia="zh-CN"/>
        </w:rPr>
        <w:t>1</w:t>
      </w:r>
      <w:r>
        <w:rPr>
          <w:rFonts w:hint="eastAsia" w:ascii="仿宋" w:hAnsi="仿宋" w:eastAsia="仿宋" w:cs="仿宋"/>
          <w:color w:val="auto"/>
          <w:spacing w:val="0"/>
          <w:w w:val="100"/>
          <w:position w:val="0"/>
          <w:sz w:val="21"/>
          <w:szCs w:val="21"/>
          <w:lang w:eastAsia="zh-CN"/>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74FB5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rPr>
        <w:t>评标委员会决定投标的实质性响应，只根据投标本身的真实无误的</w:t>
      </w:r>
      <w:r>
        <w:rPr>
          <w:rFonts w:hint="eastAsia" w:ascii="仿宋" w:hAnsi="仿宋" w:eastAsia="仿宋" w:cs="仿宋"/>
          <w:color w:val="auto"/>
          <w:spacing w:val="0"/>
          <w:w w:val="100"/>
          <w:position w:val="0"/>
          <w:sz w:val="21"/>
          <w:szCs w:val="21"/>
          <w:highlight w:val="none"/>
          <w:lang w:val="en-US" w:eastAsia="zh-CN"/>
        </w:rPr>
        <w:t>内</w:t>
      </w:r>
      <w:r>
        <w:rPr>
          <w:rFonts w:hint="eastAsia" w:ascii="仿宋" w:hAnsi="仿宋" w:eastAsia="仿宋" w:cs="仿宋"/>
          <w:color w:val="auto"/>
          <w:spacing w:val="0"/>
          <w:w w:val="100"/>
          <w:position w:val="0"/>
          <w:sz w:val="21"/>
          <w:szCs w:val="21"/>
          <w:highlight w:val="none"/>
        </w:rPr>
        <w:t>容，评审工作不依据外部的证据，但投标有不真实不正确的内容时除外。</w:t>
      </w:r>
    </w:p>
    <w:p w14:paraId="4AF3EC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57" w:name="bookmark38"/>
      <w:bookmarkEnd w:id="457"/>
      <w:bookmarkStart w:id="458" w:name="_Toc1283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23.评标方法和评标标准</w:t>
      </w:r>
      <w:bookmarkEnd w:id="458"/>
    </w:p>
    <w:p w14:paraId="161589A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color w:val="auto"/>
          <w:spacing w:val="0"/>
          <w:w w:val="100"/>
          <w:position w:val="0"/>
          <w:sz w:val="21"/>
          <w:szCs w:val="21"/>
          <w:lang w:eastAsia="zh-CN"/>
        </w:rPr>
        <w:t>23.1</w:t>
      </w:r>
      <w:r>
        <w:rPr>
          <w:rFonts w:hint="eastAsia" w:ascii="仿宋" w:hAnsi="仿宋" w:eastAsia="仿宋" w:cs="仿宋"/>
          <w:sz w:val="21"/>
          <w:szCs w:val="21"/>
          <w:highlight w:val="none"/>
          <w:lang w:eastAsia="zh-CN"/>
        </w:rPr>
        <w:t>评标方法：货物、工程、服务招标采购的评标方法采用最低评标价法、综合评分法。</w:t>
      </w:r>
    </w:p>
    <w:p w14:paraId="1015A8D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lang w:val="en-US" w:eastAsia="zh-CN"/>
        </w:rPr>
        <w:t>本项目评分方法：详见</w:t>
      </w:r>
      <w:r>
        <w:rPr>
          <w:rFonts w:hint="eastAsia" w:ascii="仿宋" w:hAnsi="仿宋" w:eastAsia="仿宋" w:cs="仿宋"/>
          <w:b/>
          <w:bCs/>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25A9291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23.1.1</w:t>
      </w:r>
      <w:r>
        <w:rPr>
          <w:rFonts w:hint="eastAsia" w:ascii="仿宋" w:hAnsi="仿宋" w:eastAsia="仿宋" w:cs="仿宋"/>
          <w:sz w:val="21"/>
          <w:szCs w:val="21"/>
          <w:highlight w:val="none"/>
          <w:lang w:eastAsia="zh-CN"/>
        </w:rPr>
        <w:t>最低评标价法：是指以价格为主要因素确定中标候选投标人的评标方法，即在全部满足招标文件实质性要求前提下，依据统一的价格要素评定最低报价，以提出最低报价的投标人作为中标候选投标人或者中标投标人的评标方法。</w:t>
      </w:r>
      <w:r>
        <w:rPr>
          <w:rFonts w:hint="eastAsia" w:ascii="仿宋" w:hAnsi="仿宋" w:eastAsia="仿宋" w:cs="仿宋"/>
          <w:sz w:val="21"/>
          <w:szCs w:val="21"/>
          <w:highlight w:val="none"/>
          <w:lang w:eastAsia="zh-CN"/>
        </w:rPr>
        <w:br w:type="textWrapping"/>
      </w:r>
      <w:r>
        <w:rPr>
          <w:rFonts w:hint="eastAsia" w:ascii="仿宋" w:hAnsi="仿宋" w:eastAsia="仿宋" w:cs="仿宋"/>
          <w:sz w:val="21"/>
          <w:szCs w:val="21"/>
          <w:highlight w:val="none"/>
          <w:lang w:eastAsia="zh-CN"/>
        </w:rPr>
        <w:t>最低评标价法适用于标准定制商品及通用服务项目。</w:t>
      </w:r>
    </w:p>
    <w:p w14:paraId="1936C57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23.1.2</w:t>
      </w:r>
      <w:r>
        <w:rPr>
          <w:rFonts w:hint="eastAsia" w:ascii="仿宋" w:hAnsi="仿宋" w:eastAsia="仿宋" w:cs="仿宋"/>
          <w:sz w:val="21"/>
          <w:szCs w:val="21"/>
          <w:highlight w:val="none"/>
          <w:lang w:eastAsia="zh-CN"/>
        </w:rPr>
        <w:t>综合评分法：是指在最大限度地满足招标文件实质性要求前提下，按照招标文件中规定的各项因素进行综合评审后，以评标总得分最高的投标人作为中标候选投标人或者中标投标人的评标方法。</w:t>
      </w:r>
    </w:p>
    <w:p w14:paraId="3FC1B0F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综合评分的主要因素是：价格、技术、财务状况、信誉、业绩、服务、对招标文件的响应程度，以及相应的比重或者权值等。上述因素应当在招标文件中事先规定。</w:t>
      </w:r>
    </w:p>
    <w:p w14:paraId="7025416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评标时，评标委员会各成员应当独立对每个有效投标人的标书进行评价、打分，然后汇总每个投标人每项评分因素的得分。</w:t>
      </w:r>
    </w:p>
    <w:p w14:paraId="535502A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23.2</w:t>
      </w:r>
      <w:r>
        <w:rPr>
          <w:rFonts w:hint="eastAsia" w:ascii="仿宋" w:hAnsi="仿宋" w:eastAsia="仿宋" w:cs="仿宋"/>
          <w:color w:val="auto"/>
          <w:sz w:val="21"/>
          <w:szCs w:val="21"/>
          <w:highlight w:val="none"/>
          <w:lang w:val="en-US" w:eastAsia="zh-CN"/>
        </w:rPr>
        <w:t>评审过程中评标委员会需要投标人对投标、投标文件作出澄清、说明或者补正的。评标委员会和投标人应当通过电子交易平台交换数据电文，不接受线下提供的补正资料。给予投标人提交澄清说明或补正的时间不得少于30分钟，投标人已经明确表示澄清说明或补正完毕的除外。因投标人自身原因导致错过澄清，应承担其不利后果。</w:t>
      </w:r>
    </w:p>
    <w:p w14:paraId="1D01D057">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rightChars="0" w:firstLine="422"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59" w:name="_Toc16364"/>
      <w:r>
        <w:rPr>
          <w:rFonts w:hint="eastAsia" w:ascii="仿宋" w:hAnsi="仿宋" w:eastAsia="仿宋" w:cs="仿宋"/>
          <w:b/>
          <w:bCs/>
          <w:snapToGrid w:val="0"/>
          <w:color w:val="auto"/>
          <w:spacing w:val="0"/>
          <w:w w:val="100"/>
          <w:position w:val="0"/>
          <w:sz w:val="21"/>
          <w:szCs w:val="21"/>
          <w:lang w:val="en-US" w:eastAsia="zh-CN" w:bidi="ar-SA"/>
          <w14:textOutline w14:w="4356" w14:cap="sq" w14:cmpd="sng" w14:algn="ctr">
            <w14:solidFill>
              <w14:srgbClr w14:val="000000"/>
            </w14:solidFill>
            <w14:prstDash w14:val="solid"/>
            <w14:bevel/>
          </w14:textOutline>
        </w:rPr>
        <w:t>六、</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意外情况的情形和处理</w:t>
      </w:r>
      <w:bookmarkEnd w:id="459"/>
    </w:p>
    <w:p w14:paraId="1F8B31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60" w:name="_Toc16132"/>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24.意外情况的情形</w:t>
      </w:r>
      <w:bookmarkEnd w:id="460"/>
    </w:p>
    <w:p w14:paraId="717B1CA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1" w:name="_Toc10036"/>
      <w:r>
        <w:rPr>
          <w:rFonts w:hint="eastAsia" w:ascii="仿宋" w:hAnsi="仿宋" w:eastAsia="仿宋" w:cs="仿宋"/>
          <w:color w:val="auto"/>
          <w:spacing w:val="0"/>
          <w:w w:val="100"/>
          <w:position w:val="0"/>
          <w:sz w:val="21"/>
          <w:szCs w:val="21"/>
          <w:lang w:val="en-US" w:eastAsia="zh-CN"/>
        </w:rPr>
        <w:t>24.1</w:t>
      </w:r>
      <w:r>
        <w:rPr>
          <w:rFonts w:hint="eastAsia" w:ascii="仿宋" w:hAnsi="仿宋" w:eastAsia="仿宋" w:cs="仿宋"/>
          <w:color w:val="auto"/>
          <w:spacing w:val="0"/>
          <w:w w:val="100"/>
          <w:position w:val="0"/>
          <w:sz w:val="21"/>
          <w:szCs w:val="21"/>
          <w:lang w:eastAsia="zh-CN"/>
        </w:rPr>
        <w:t>因客观原因造成电子化政府采购系统无法正常运行或者无法保证采购活动信息安全，应采取意外情况的处理措施。意外情况包括以下情形：</w:t>
      </w:r>
      <w:bookmarkEnd w:id="461"/>
    </w:p>
    <w:p w14:paraId="49FBEE2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2" w:name="_Toc25132"/>
      <w:r>
        <w:rPr>
          <w:rFonts w:hint="eastAsia" w:ascii="仿宋" w:hAnsi="仿宋" w:eastAsia="仿宋" w:cs="仿宋"/>
          <w:color w:val="auto"/>
          <w:spacing w:val="0"/>
          <w:w w:val="100"/>
          <w:position w:val="0"/>
          <w:sz w:val="21"/>
          <w:szCs w:val="21"/>
          <w:lang w:eastAsia="zh-CN"/>
        </w:rPr>
        <w:t>（1）网络系统及其他设备发生故障，导致无法访问网站或无法使用电子化政府采购系统的；</w:t>
      </w:r>
      <w:bookmarkEnd w:id="462"/>
    </w:p>
    <w:p w14:paraId="7C39F39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3" w:name="_Toc10974"/>
      <w:r>
        <w:rPr>
          <w:rFonts w:hint="eastAsia" w:ascii="仿宋" w:hAnsi="仿宋" w:eastAsia="仿宋" w:cs="仿宋"/>
          <w:color w:val="auto"/>
          <w:spacing w:val="0"/>
          <w:w w:val="100"/>
          <w:position w:val="0"/>
          <w:sz w:val="21"/>
          <w:szCs w:val="21"/>
          <w:lang w:eastAsia="zh-CN"/>
        </w:rPr>
        <w:t>（2）电子化政府采购系统的软件或网络数据库出现错误，导致无法正常操作的；</w:t>
      </w:r>
      <w:bookmarkEnd w:id="463"/>
    </w:p>
    <w:p w14:paraId="6EDEC55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4" w:name="_Toc10089"/>
      <w:r>
        <w:rPr>
          <w:rFonts w:hint="eastAsia" w:ascii="仿宋" w:hAnsi="仿宋" w:eastAsia="仿宋" w:cs="仿宋"/>
          <w:color w:val="auto"/>
          <w:spacing w:val="0"/>
          <w:w w:val="100"/>
          <w:position w:val="0"/>
          <w:sz w:val="21"/>
          <w:szCs w:val="21"/>
          <w:lang w:eastAsia="zh-CN"/>
        </w:rPr>
        <w:t>（3）电子化政府采购系统发现有安全漏洞，有潜在泄密危险的；</w:t>
      </w:r>
      <w:bookmarkEnd w:id="464"/>
    </w:p>
    <w:p w14:paraId="3084BDF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5" w:name="_Toc9106"/>
      <w:r>
        <w:rPr>
          <w:rFonts w:hint="eastAsia" w:ascii="仿宋" w:hAnsi="仿宋" w:eastAsia="仿宋" w:cs="仿宋"/>
          <w:color w:val="auto"/>
          <w:spacing w:val="0"/>
          <w:w w:val="100"/>
          <w:position w:val="0"/>
          <w:sz w:val="21"/>
          <w:szCs w:val="21"/>
          <w:lang w:eastAsia="zh-CN"/>
        </w:rPr>
        <w:t>（4）其他无法保证采购活动正常进行的。</w:t>
      </w:r>
      <w:bookmarkEnd w:id="465"/>
    </w:p>
    <w:p w14:paraId="571BE60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66" w:name="bookmark42"/>
      <w:bookmarkEnd w:id="466"/>
      <w:bookmarkStart w:id="467" w:name="_Toc1450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25.</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意外情况的处理</w:t>
      </w:r>
      <w:bookmarkEnd w:id="467"/>
    </w:p>
    <w:p w14:paraId="298EE96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8" w:name="_Toc32743"/>
      <w:r>
        <w:rPr>
          <w:rFonts w:hint="eastAsia" w:ascii="仿宋" w:hAnsi="仿宋" w:eastAsia="仿宋" w:cs="仿宋"/>
          <w:color w:val="auto"/>
          <w:spacing w:val="0"/>
          <w:w w:val="100"/>
          <w:position w:val="0"/>
          <w:sz w:val="21"/>
          <w:szCs w:val="21"/>
          <w:lang w:eastAsia="zh-CN"/>
        </w:rPr>
        <w:t>出现</w:t>
      </w:r>
      <w:r>
        <w:rPr>
          <w:rFonts w:hint="eastAsia" w:ascii="仿宋" w:hAnsi="仿宋" w:eastAsia="仿宋" w:cs="仿宋"/>
          <w:color w:val="auto"/>
          <w:spacing w:val="0"/>
          <w:w w:val="100"/>
          <w:position w:val="0"/>
          <w:sz w:val="21"/>
          <w:szCs w:val="21"/>
          <w:lang w:val="en-US" w:eastAsia="zh-CN"/>
        </w:rPr>
        <w:t>24.1</w:t>
      </w:r>
      <w:r>
        <w:rPr>
          <w:rFonts w:hint="eastAsia" w:ascii="仿宋" w:hAnsi="仿宋" w:eastAsia="仿宋" w:cs="仿宋"/>
          <w:color w:val="auto"/>
          <w:spacing w:val="0"/>
          <w:w w:val="100"/>
          <w:position w:val="0"/>
          <w:sz w:val="21"/>
          <w:szCs w:val="21"/>
          <w:lang w:eastAsia="zh-CN"/>
        </w:rPr>
        <w:t>情况，故障当日（工作时间内）可排除的，电子化政府采购恢复进行；如故障当日无法排除的，采购活动终止，重新组织采购活动。</w:t>
      </w:r>
      <w:bookmarkEnd w:id="468"/>
    </w:p>
    <w:p w14:paraId="3A9EA7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9" w:name="_Toc27922"/>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七、中标和合同</w:t>
      </w:r>
      <w:bookmarkEnd w:id="469"/>
    </w:p>
    <w:p w14:paraId="21533A8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0" w:name="bookmark43"/>
      <w:bookmarkEnd w:id="470"/>
      <w:bookmarkStart w:id="471" w:name="_Toc653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26.中标人的确定</w:t>
      </w:r>
      <w:bookmarkEnd w:id="471"/>
    </w:p>
    <w:p w14:paraId="374410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26.1采购人应当自收到评标报告之日起5个工作日内，在评标报告确定的中标候选人名单</w:t>
      </w:r>
      <w:r>
        <w:rPr>
          <w:rFonts w:hint="eastAsia" w:ascii="仿宋" w:hAnsi="仿宋" w:eastAsia="仿宋" w:cs="仿宋"/>
          <w:color w:val="auto"/>
          <w:spacing w:val="0"/>
          <w:w w:val="100"/>
          <w:position w:val="0"/>
          <w:sz w:val="21"/>
          <w:szCs w:val="21"/>
          <w:lang w:val="en-US" w:eastAsia="zh-CN"/>
        </w:rPr>
        <w:t>中按顺序确定中标人。</w:t>
      </w:r>
    </w:p>
    <w:p w14:paraId="2FEAAE1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2" w:name="bookmark44"/>
      <w:bookmarkEnd w:id="472"/>
      <w:bookmarkStart w:id="473" w:name="_Toc1693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27.中标结果公告</w:t>
      </w:r>
      <w:bookmarkEnd w:id="473"/>
    </w:p>
    <w:p w14:paraId="40263CD4">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27.1</w:t>
      </w:r>
      <w:r>
        <w:rPr>
          <w:rFonts w:hint="eastAsia" w:ascii="仿宋" w:hAnsi="仿宋" w:eastAsia="仿宋" w:cs="仿宋"/>
          <w:color w:val="auto"/>
          <w:spacing w:val="0"/>
          <w:w w:val="100"/>
          <w:position w:val="0"/>
          <w:sz w:val="21"/>
          <w:szCs w:val="21"/>
          <w:lang w:eastAsia="zh-CN"/>
        </w:rPr>
        <w:t>中标人确定后，采购代理机构在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）上公告中标结果，中标公告期限为1个工作日。</w:t>
      </w:r>
    </w:p>
    <w:p w14:paraId="57E965D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4" w:name="bookmark45"/>
      <w:bookmarkEnd w:id="474"/>
      <w:bookmarkStart w:id="475" w:name="_Toc2470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28.履约保证金</w:t>
      </w:r>
      <w:bookmarkEnd w:id="475"/>
    </w:p>
    <w:p w14:paraId="3AC1947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28.1中标人在与采购人签订采购合同时，应向采购人提交“</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”规定的履约保证金。</w:t>
      </w:r>
    </w:p>
    <w:p w14:paraId="5EEA465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28.2履约保证金用于补偿因中标人不能完成其合同义务而使采购人蒙受的损失。</w:t>
      </w:r>
    </w:p>
    <w:p w14:paraId="77BD227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6" w:name="bookmark46"/>
      <w:bookmarkEnd w:id="476"/>
      <w:bookmarkStart w:id="477" w:name="_Toc572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29.签订合同</w:t>
      </w:r>
      <w:bookmarkEnd w:id="477"/>
    </w:p>
    <w:p w14:paraId="37AE92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29.1中标人应按中标通知书规定的时间与采购人签订合同，否则按拒绝签订合同处理。</w:t>
      </w:r>
    </w:p>
    <w:p w14:paraId="1452C6E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29.2招标文件、中标人的投标文件及评标过程中有关澄清文件均为签订合同的依据。</w:t>
      </w:r>
    </w:p>
    <w:p w14:paraId="1344B0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29.3中标通知书是合同的一个组成部分。</w:t>
      </w:r>
    </w:p>
    <w:p w14:paraId="6CB6486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29.4采购人与中标人应当根据合同的约定依法履行合同义务。</w:t>
      </w:r>
    </w:p>
    <w:p w14:paraId="2CA005B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政府采购合同的履行、违约责任和解决争议的方法等适用《中华人民共和国民法典》。</w:t>
      </w:r>
      <w:bookmarkStart w:id="478" w:name="bookmark40"/>
      <w:bookmarkEnd w:id="478"/>
      <w:bookmarkStart w:id="479" w:name="bookmark39"/>
      <w:bookmarkEnd w:id="479"/>
    </w:p>
    <w:p w14:paraId="7B4DB63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29.5采购人应当加强对中标人的履约管理，并按照采购合同约定，及时向中标人支付采购资金。对于中标人违反采购合同约定的行为，采购人应当及时处理，依法追究其违约责任。</w:t>
      </w:r>
    </w:p>
    <w:p w14:paraId="268DB9E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29.6合同履行中，采购人需追加与合同标的相同的货物的，在不改变合同其他条款的前提下，可以与中标人协商签订补充合同，但所有补充合同的采购金额不得超过原合同采购金额的百分之十。</w:t>
      </w:r>
    </w:p>
    <w:p w14:paraId="622E71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29.7中标人拒绝与采购人签订合同的，采购人可以按照评审报告推荐的中标候选人名单排序，确定下一候选人为中标人，也可以重新开展政府采购活动；拒绝签订政府采购合同的中标人视为撤销投标文件，不予退还其交纳的投标保证金。</w:t>
      </w:r>
    </w:p>
    <w:p w14:paraId="7FCA6575">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w:t>
      </w: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中标人与采购人签订合同</w:t>
      </w:r>
      <w:r>
        <w:rPr>
          <w:rFonts w:hint="eastAsia" w:ascii="仿宋" w:hAnsi="仿宋" w:eastAsia="仿宋" w:cs="仿宋"/>
          <w:color w:val="auto"/>
          <w:spacing w:val="0"/>
          <w:w w:val="100"/>
          <w:position w:val="0"/>
          <w:sz w:val="21"/>
          <w:szCs w:val="21"/>
          <w:lang w:val="en-US" w:eastAsia="zh-CN"/>
        </w:rPr>
        <w:t>后两个工作日内</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将采购合同彩色扫描件交予采购代理机构，以便退还投标保证金</w:t>
      </w:r>
      <w:r>
        <w:rPr>
          <w:rFonts w:hint="eastAsia" w:ascii="仿宋" w:hAnsi="仿宋" w:eastAsia="仿宋" w:cs="仿宋"/>
          <w:color w:val="auto"/>
          <w:spacing w:val="0"/>
          <w:w w:val="100"/>
          <w:position w:val="0"/>
          <w:sz w:val="21"/>
          <w:szCs w:val="21"/>
          <w:lang w:eastAsia="zh-CN"/>
        </w:rPr>
        <w:t>。</w:t>
      </w:r>
    </w:p>
    <w:p w14:paraId="0DA2241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default" w:ascii="仿宋" w:hAnsi="仿宋" w:eastAsia="仿宋" w:cs="仿宋"/>
          <w:color w:val="auto"/>
          <w:spacing w:val="0"/>
          <w:w w:val="100"/>
          <w:position w:val="0"/>
          <w:sz w:val="21"/>
          <w:szCs w:val="21"/>
          <w:lang w:val="en-US" w:eastAsia="zh-CN"/>
        </w:rPr>
      </w:pPr>
      <w:bookmarkStart w:id="480" w:name="bookmark47"/>
      <w:bookmarkEnd w:id="480"/>
      <w:bookmarkStart w:id="481" w:name="_Toc30113"/>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八、询问、质疑</w:t>
      </w:r>
      <w:bookmarkEnd w:id="481"/>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和投诉</w:t>
      </w:r>
    </w:p>
    <w:p w14:paraId="2BEBC8A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bookmarkStart w:id="482" w:name="bookmark22"/>
      <w:bookmarkEnd w:id="482"/>
      <w:bookmarkStart w:id="483" w:name="bookmark27"/>
      <w:bookmarkEnd w:id="483"/>
      <w:bookmarkStart w:id="484" w:name="bookmark48"/>
      <w:bookmarkEnd w:id="484"/>
      <w:bookmarkStart w:id="485" w:name="bookmark28"/>
      <w:bookmarkEnd w:id="485"/>
      <w:bookmarkStart w:id="486" w:name="bookmark21"/>
      <w:bookmarkEnd w:id="486"/>
      <w:bookmarkStart w:id="487" w:name="bookmark30"/>
      <w:bookmarkEnd w:id="487"/>
      <w:bookmarkStart w:id="488" w:name="bookmark25"/>
      <w:bookmarkEnd w:id="488"/>
      <w:bookmarkStart w:id="489" w:name="bookmark36"/>
      <w:bookmarkEnd w:id="489"/>
      <w:bookmarkStart w:id="490" w:name="bookmark23"/>
      <w:bookmarkEnd w:id="490"/>
      <w:bookmarkStart w:id="491" w:name="bookmark32"/>
      <w:bookmarkEnd w:id="491"/>
      <w:bookmarkStart w:id="492" w:name="bookmark24"/>
      <w:bookmarkEnd w:id="492"/>
      <w:bookmarkStart w:id="493" w:name="bookmark41"/>
      <w:bookmarkEnd w:id="493"/>
      <w:bookmarkStart w:id="494" w:name="_Toc31338"/>
      <w:bookmarkStart w:id="495" w:name="_Toc21802"/>
      <w:r>
        <w:rPr>
          <w:rFonts w:hint="eastAsia" w:ascii="仿宋" w:hAnsi="仿宋" w:eastAsia="仿宋" w:cs="仿宋"/>
          <w:b/>
          <w:bCs/>
          <w:color w:val="auto"/>
          <w:spacing w:val="0"/>
          <w:w w:val="100"/>
          <w:position w:val="0"/>
          <w:sz w:val="21"/>
          <w:szCs w:val="21"/>
          <w:highlight w:val="none"/>
          <w:lang w:val="en-US" w:eastAsia="zh-CN"/>
        </w:rPr>
        <w:t>30.询问</w:t>
      </w:r>
      <w:bookmarkEnd w:id="494"/>
    </w:p>
    <w:p w14:paraId="4AE7892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30.根据《中华人民共和国政府采购法》第五十一条“供应商对政府采购活动事项有疑问的，可以向采购人提出询问，采购人应当及时作出答复，但答复的内容不得涉及商业秘密。”及《中华人民共和国政府采购法实施条例》第五十二条“供应商对政府采购活动事项有疑问的，可以向采购人提出询问，采购人应当及时作出答复，但答复的内容不得涉及商业秘密。”进行答复。</w:t>
      </w:r>
    </w:p>
    <w:p w14:paraId="316C1F2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default"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31.质疑</w:t>
      </w:r>
    </w:p>
    <w:p w14:paraId="3D05866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31.1投标人认为招标文件、采购过程、中标或者成交结果使自己的合法权益受到损害的，在知道或者应知其权益受到损害之日起7个工作日内，可以向采购人、采购代理机构提出质疑。</w:t>
      </w:r>
    </w:p>
    <w:p w14:paraId="09101F7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“知道或者应知其权益受到损害之日”是指：</w:t>
      </w:r>
      <w:r>
        <w:rPr>
          <w:rFonts w:hint="eastAsia" w:ascii="仿宋" w:hAnsi="仿宋" w:eastAsia="仿宋" w:cs="仿宋"/>
          <w:color w:val="auto"/>
          <w:spacing w:val="0"/>
          <w:w w:val="100"/>
          <w:position w:val="0"/>
          <w:sz w:val="21"/>
          <w:szCs w:val="21"/>
          <w:highlight w:val="none"/>
          <w:lang w:val="en-US" w:eastAsia="zh-CN"/>
        </w:rPr>
        <w:tab/>
      </w:r>
    </w:p>
    <w:p w14:paraId="294C836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（一）对可以质疑的招标文件提出质疑的，为收到招标文件之日或者招标文件公告期限届满之日；</w:t>
      </w:r>
    </w:p>
    <w:p w14:paraId="10C0B48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（二）对采购过程提出质疑的，为各采购程序环节结束之日；</w:t>
      </w:r>
    </w:p>
    <w:p w14:paraId="57E83EE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（三）对中标或者成交结果提出质疑的，为中标或者成交结果公告期限届满之日。</w:t>
      </w:r>
    </w:p>
    <w:p w14:paraId="7F60ABC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投标人针对同一采购程序环节的质疑应当在法定质疑期内一次性提出，提出质疑时应当有明确的请求和必要的证明材料；法定质疑期内针对同一采购程序环节再次提出的质疑，采购人、采购代理机构有权不予答复。</w:t>
      </w:r>
    </w:p>
    <w:p w14:paraId="7BAE6F2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bookmarkStart w:id="496" w:name="_Toc144646680"/>
      <w:bookmarkStart w:id="497" w:name="_Toc145067578"/>
      <w:r>
        <w:rPr>
          <w:rFonts w:hint="eastAsia" w:ascii="仿宋" w:hAnsi="仿宋" w:eastAsia="仿宋" w:cs="仿宋"/>
          <w:color w:val="auto"/>
          <w:spacing w:val="0"/>
          <w:w w:val="100"/>
          <w:position w:val="0"/>
          <w:sz w:val="21"/>
          <w:szCs w:val="21"/>
          <w:highlight w:val="none"/>
          <w:lang w:val="en-US" w:eastAsia="zh-CN"/>
        </w:rPr>
        <w:t>31.2</w:t>
      </w:r>
      <w:bookmarkEnd w:id="496"/>
      <w:bookmarkEnd w:id="497"/>
      <w:bookmarkStart w:id="498" w:name="_Toc145067584"/>
      <w:bookmarkStart w:id="499" w:name="_Toc144646686"/>
      <w:r>
        <w:rPr>
          <w:rFonts w:hint="eastAsia" w:ascii="仿宋" w:hAnsi="仿宋" w:eastAsia="仿宋" w:cs="仿宋"/>
          <w:color w:val="auto"/>
          <w:spacing w:val="0"/>
          <w:w w:val="100"/>
          <w:position w:val="0"/>
          <w:sz w:val="21"/>
          <w:szCs w:val="21"/>
          <w:highlight w:val="none"/>
          <w:lang w:val="en-US" w:eastAsia="zh-CN"/>
        </w:rPr>
        <w:t>本项目实行全流程电子化交易和在线监督，投标人询问、质疑可通过线上方式进行，也可采用线下纸质书面方式进行。</w:t>
      </w:r>
    </w:p>
    <w:p w14:paraId="72D529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31.3根据系统功能和要求，直接参与具体项目交易的投标人可线上询问、质疑，使用CA数字证书通过“政采云”平台（https://www.zcygov.cn/）“投标人”模块进行提交。</w:t>
      </w:r>
    </w:p>
    <w:p w14:paraId="3BE3B7D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31.4采购人及采购代理机构对线上询问、质疑的，采用线上方式进行受理答复，对采用线下询问、质疑的，采用线下方式进行受理答复。</w:t>
      </w:r>
    </w:p>
    <w:p w14:paraId="754FC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31.5就同一内容同时进行线上询问、质疑和提交纸质询问、质疑的，以线上答复为主，通过在线答复后不再进行书面答复。</w:t>
      </w:r>
    </w:p>
    <w:bookmarkEnd w:id="498"/>
    <w:bookmarkEnd w:id="499"/>
    <w:p w14:paraId="10205D5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31.6质疑内容不得含有虚假、恶意成分。当事人对自己提出的主张，有责任提供证据，提出质疑时应同时提交相关证据材料和注明事实的确切来源。</w:t>
      </w:r>
    </w:p>
    <w:p w14:paraId="6FAAF14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31.7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51AFD08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（1）投标人的姓名或者名称、地址、邮编、联系人及联系电话；</w:t>
      </w:r>
    </w:p>
    <w:p w14:paraId="6F33E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（2）质疑项目的名称、编号；</w:t>
      </w:r>
    </w:p>
    <w:p w14:paraId="172EAA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（3）具体、明确的质疑事项和与质疑事项相关的请求；</w:t>
      </w:r>
    </w:p>
    <w:p w14:paraId="28F7B85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（4）事实依据；</w:t>
      </w:r>
    </w:p>
    <w:p w14:paraId="21C4EA4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（5）必要的法律依据；</w:t>
      </w:r>
    </w:p>
    <w:p w14:paraId="04D920E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（6）提出质疑的日期。</w:t>
      </w:r>
    </w:p>
    <w:p w14:paraId="0C32535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31.8投标人为自然人的，应当由本人签字；投标人为法人或者其他组织的，应当由法定代表人、主要负责人，或者其授权代表签字或者盖章，并加盖公章。</w:t>
      </w:r>
    </w:p>
    <w:p w14:paraId="4D1D89C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质疑书实行实名制，并提交由法定代表人或其授权代理人签字并加盖单位公章的原件。</w:t>
      </w:r>
    </w:p>
    <w:p w14:paraId="659A98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接收质疑函的方式：书面方式。</w:t>
      </w:r>
    </w:p>
    <w:p w14:paraId="03F0C65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31.9采购人、采购代理机构将在收到投标人的书面质疑后七个工作日内作出答复，并以书面形式通知质疑投标人和其他有关投标人，质疑答复的内容不涉及商业秘密。</w:t>
      </w:r>
    </w:p>
    <w:p w14:paraId="4457431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31.10参与政府采购活动的投标人对评审过程、中标或者成交结果提出质疑的，采购人或采购代理机构可以组织原评审委员会协助答复质疑事项，并依据评审委员会出具的意见进行答复。质疑答复导致中标结果改变的，采购人或采购代理机构应当将相关情况书面报财政部门备案。</w:t>
      </w:r>
    </w:p>
    <w:p w14:paraId="6C1F62B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32.投诉</w:t>
      </w:r>
    </w:p>
    <w:p w14:paraId="4BAD57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32.1投诉必须首先经过质疑程序。质疑人对采购人、采购代理机构的答复不满意，或者采购人、采购代理机构未在规定的时间内做出答复的，可以在答复期满后15个工作日内书面向同级财政部门提出投诉。</w:t>
      </w:r>
    </w:p>
    <w:p w14:paraId="3560748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default" w:ascii="仿宋" w:hAnsi="仿宋" w:eastAsia="仿宋" w:cs="仿宋"/>
          <w:color w:val="auto"/>
          <w:spacing w:val="0"/>
          <w:w w:val="100"/>
          <w:position w:val="0"/>
          <w:sz w:val="21"/>
          <w:szCs w:val="21"/>
          <w:highlight w:val="yellow"/>
          <w:lang w:val="en-US" w:eastAsia="zh-CN"/>
        </w:rPr>
      </w:pPr>
      <w:r>
        <w:rPr>
          <w:rFonts w:hint="eastAsia" w:ascii="仿宋" w:hAnsi="仿宋" w:eastAsia="仿宋" w:cs="仿宋"/>
          <w:color w:val="auto"/>
          <w:spacing w:val="0"/>
          <w:w w:val="100"/>
          <w:position w:val="0"/>
          <w:sz w:val="21"/>
          <w:szCs w:val="21"/>
          <w:highlight w:val="none"/>
          <w:lang w:val="en-US" w:eastAsia="zh-CN"/>
        </w:rPr>
        <w:t>32.2质疑函、投诉书须使用财政部制定的范本文件。质疑函、投诉书格式：投标人可在中国政府采购网“http://www.ccgp.gov.cn/”下载专区自行下载。</w:t>
      </w:r>
    </w:p>
    <w:p w14:paraId="221CA44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outlineLvl w:val="1"/>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九、</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其他事项</w:t>
      </w:r>
      <w:bookmarkEnd w:id="495"/>
    </w:p>
    <w:p w14:paraId="307CFD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500" w:name="_Toc3240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3</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1</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.采购代理服务费</w:t>
      </w:r>
      <w:bookmarkEnd w:id="500"/>
    </w:p>
    <w:p w14:paraId="0AB4E5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如为中标人支付采购代理服务费，须按“</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”规定的收费标准</w:t>
      </w:r>
      <w:r>
        <w:rPr>
          <w:rFonts w:hint="eastAsia" w:ascii="仿宋" w:hAnsi="仿宋" w:eastAsia="仿宋" w:cs="仿宋"/>
          <w:color w:val="auto"/>
          <w:spacing w:val="0"/>
          <w:w w:val="100"/>
          <w:position w:val="0"/>
          <w:sz w:val="21"/>
          <w:szCs w:val="21"/>
          <w:lang w:val="en-US" w:eastAsia="zh-CN"/>
        </w:rPr>
        <w:t>及缴纳时间</w:t>
      </w:r>
      <w:r>
        <w:rPr>
          <w:rFonts w:hint="eastAsia" w:ascii="仿宋" w:hAnsi="仿宋" w:eastAsia="仿宋" w:cs="仿宋"/>
          <w:color w:val="auto"/>
          <w:spacing w:val="0"/>
          <w:w w:val="100"/>
          <w:position w:val="0"/>
          <w:sz w:val="21"/>
          <w:szCs w:val="21"/>
          <w:lang w:eastAsia="zh-CN"/>
        </w:rPr>
        <w:t>，向采购代理机构缴纳采购代理服务费。</w:t>
      </w:r>
    </w:p>
    <w:p w14:paraId="45C36F11">
      <w:pPr>
        <w:keepNext w:val="0"/>
        <w:keepLines w:val="0"/>
        <w:pageBreakBefore w:val="0"/>
        <w:widowControl w:val="0"/>
        <w:numPr>
          <w:ilvl w:val="0"/>
          <w:numId w:val="0"/>
        </w:numPr>
        <w:kinsoku/>
        <w:wordWrap w:val="0"/>
        <w:overflowPunct/>
        <w:topLinePunct/>
        <w:autoSpaceDE/>
        <w:autoSpaceDN/>
        <w:bidi w:val="0"/>
        <w:adjustRightInd/>
        <w:snapToGrid/>
        <w:spacing w:before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501" w:name="_Toc1420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32.适用法律</w:t>
      </w:r>
      <w:bookmarkEnd w:id="501"/>
    </w:p>
    <w:p w14:paraId="0742E041">
      <w:pPr>
        <w:pStyle w:val="9"/>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bCs/>
          <w:color w:val="auto"/>
          <w:spacing w:val="0"/>
          <w:w w:val="100"/>
          <w:position w:val="0"/>
          <w:sz w:val="21"/>
          <w:szCs w:val="21"/>
        </w:rPr>
      </w:pPr>
      <w:r>
        <w:rPr>
          <w:rFonts w:hint="eastAsia" w:ascii="仿宋" w:hAnsi="仿宋" w:eastAsia="仿宋" w:cs="仿宋"/>
          <w:bCs/>
          <w:color w:val="auto"/>
          <w:spacing w:val="0"/>
          <w:w w:val="100"/>
          <w:position w:val="0"/>
          <w:sz w:val="21"/>
          <w:szCs w:val="21"/>
        </w:rPr>
        <w:t>采购代理机构及投标人的一切招标投标活动均适用于《中华人民共和国政府采购</w:t>
      </w:r>
      <w:r>
        <w:rPr>
          <w:rFonts w:hint="eastAsia" w:ascii="仿宋" w:hAnsi="仿宋" w:eastAsia="仿宋" w:cs="仿宋"/>
          <w:bCs/>
          <w:color w:val="auto"/>
          <w:spacing w:val="0"/>
          <w:w w:val="100"/>
          <w:position w:val="0"/>
          <w:sz w:val="21"/>
          <w:szCs w:val="21"/>
          <w:lang w:val="en-US" w:eastAsia="zh-CN"/>
        </w:rPr>
        <w:t>法</w:t>
      </w:r>
      <w:r>
        <w:rPr>
          <w:rFonts w:hint="eastAsia" w:ascii="仿宋" w:hAnsi="仿宋" w:eastAsia="仿宋" w:cs="仿宋"/>
          <w:bCs/>
          <w:color w:val="auto"/>
          <w:spacing w:val="0"/>
          <w:w w:val="100"/>
          <w:position w:val="0"/>
          <w:sz w:val="21"/>
          <w:szCs w:val="21"/>
        </w:rPr>
        <w:t>》及相关规定。</w:t>
      </w:r>
    </w:p>
    <w:p w14:paraId="5C5584DA">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b w:val="0"/>
          <w:bCs w:val="0"/>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502" w:name="_Toc7541"/>
      <w:r>
        <w:rPr>
          <w:rFonts w:hint="eastAsia" w:ascii="仿宋" w:hAnsi="仿宋" w:eastAsia="仿宋" w:cs="仿宋"/>
          <w:b w:val="0"/>
          <w:bCs w:val="0"/>
          <w:color w:val="auto"/>
          <w:spacing w:val="0"/>
          <w:w w:val="100"/>
          <w:position w:val="0"/>
          <w:sz w:val="21"/>
          <w:szCs w:val="21"/>
          <w:lang w:val="en-US" w:eastAsia="zh-CN"/>
          <w14:textOutline w14:w="4356" w14:cap="sq" w14:cmpd="sng" w14:algn="ctr">
            <w14:solidFill>
              <w14:srgbClr w14:val="000000"/>
            </w14:solidFill>
            <w14:prstDash w14:val="solid"/>
            <w14:bevel/>
          </w14:textOutline>
        </w:rPr>
        <w:t>33.解释权</w:t>
      </w:r>
      <w:bookmarkEnd w:id="502"/>
    </w:p>
    <w:p w14:paraId="4E67ADC5">
      <w:pPr>
        <w:pStyle w:val="3"/>
        <w:keepNext w:val="0"/>
        <w:keepLines w:val="0"/>
        <w:pageBreakBefore w:val="0"/>
        <w:widowControl w:val="0"/>
        <w:kinsoku/>
        <w:wordWrap w:val="0"/>
        <w:overflowPunct/>
        <w:topLinePunct/>
        <w:autoSpaceDE/>
        <w:autoSpaceDN/>
        <w:bidi w:val="0"/>
        <w:adjustRightInd/>
        <w:snapToGrid/>
        <w:spacing w:before="0" w:after="0" w:line="404" w:lineRule="exact"/>
        <w:ind w:left="0" w:leftChars="0" w:right="0" w:firstLine="420" w:firstLineChars="200"/>
        <w:jc w:val="both"/>
        <w:textAlignment w:val="auto"/>
        <w:rPr>
          <w:rFonts w:hint="eastAsia" w:ascii="仿宋" w:hAnsi="仿宋" w:eastAsia="仿宋" w:cs="仿宋"/>
          <w:b w:val="0"/>
          <w:bCs w:val="0"/>
          <w:color w:val="auto"/>
          <w:spacing w:val="0"/>
          <w:w w:val="100"/>
          <w:position w:val="0"/>
          <w:sz w:val="21"/>
          <w:szCs w:val="21"/>
        </w:rPr>
      </w:pPr>
      <w:bookmarkStart w:id="503" w:name="_Toc26893"/>
      <w:r>
        <w:rPr>
          <w:rFonts w:hint="eastAsia" w:ascii="仿宋" w:hAnsi="仿宋" w:eastAsia="仿宋" w:cs="仿宋"/>
          <w:b w:val="0"/>
          <w:bCs w:val="0"/>
          <w:color w:val="auto"/>
          <w:spacing w:val="0"/>
          <w:w w:val="100"/>
          <w:position w:val="0"/>
          <w:sz w:val="21"/>
          <w:szCs w:val="21"/>
        </w:rPr>
        <w:t>本招标文件是根据国家有关</w:t>
      </w:r>
      <w:r>
        <w:rPr>
          <w:rFonts w:hint="eastAsia" w:ascii="仿宋" w:hAnsi="仿宋" w:eastAsia="仿宋" w:cs="仿宋"/>
          <w:b w:val="0"/>
          <w:bCs w:val="0"/>
          <w:color w:val="auto"/>
          <w:spacing w:val="0"/>
          <w:w w:val="100"/>
          <w:position w:val="0"/>
          <w:sz w:val="21"/>
          <w:szCs w:val="21"/>
          <w:lang w:eastAsia="zh-CN"/>
        </w:rPr>
        <w:t>法律法规</w:t>
      </w:r>
      <w:r>
        <w:rPr>
          <w:rFonts w:hint="eastAsia" w:ascii="仿宋" w:hAnsi="仿宋" w:eastAsia="仿宋" w:cs="仿宋"/>
          <w:b w:val="0"/>
          <w:bCs w:val="0"/>
          <w:color w:val="auto"/>
          <w:spacing w:val="0"/>
          <w:w w:val="100"/>
          <w:position w:val="0"/>
          <w:sz w:val="21"/>
          <w:szCs w:val="21"/>
        </w:rPr>
        <w:t>以及政府采购管理有关规定编制，招标文件的最终解释权</w:t>
      </w:r>
      <w:bookmarkStart w:id="504" w:name="_Hlk99122309"/>
      <w:r>
        <w:rPr>
          <w:rFonts w:hint="eastAsia" w:ascii="仿宋" w:hAnsi="仿宋" w:eastAsia="仿宋" w:cs="仿宋"/>
          <w:b w:val="0"/>
          <w:bCs w:val="0"/>
          <w:color w:val="auto"/>
          <w:spacing w:val="0"/>
          <w:w w:val="100"/>
          <w:position w:val="0"/>
          <w:sz w:val="21"/>
          <w:szCs w:val="21"/>
        </w:rPr>
        <w:t>属于采购人、采购代理机构。</w:t>
      </w:r>
      <w:bookmarkEnd w:id="503"/>
      <w:bookmarkEnd w:id="504"/>
      <w:bookmarkStart w:id="505" w:name="_Toc9107"/>
      <w:bookmarkStart w:id="506" w:name="_Toc24756"/>
      <w:bookmarkStart w:id="507" w:name="_Toc8087"/>
      <w:bookmarkStart w:id="508" w:name="_Toc27765"/>
    </w:p>
    <w:bookmarkEnd w:id="505"/>
    <w:bookmarkEnd w:id="506"/>
    <w:bookmarkEnd w:id="507"/>
    <w:bookmarkEnd w:id="508"/>
    <w:p w14:paraId="2A35F7FF">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z w:val="32"/>
          <w:szCs w:val="32"/>
          <w:lang w:val="en-US" w:eastAsia="zh-CN"/>
        </w:rPr>
      </w:pPr>
      <w:bookmarkStart w:id="509" w:name="_Toc2054"/>
    </w:p>
    <w:p w14:paraId="79B1FF15">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z w:val="32"/>
          <w:szCs w:val="32"/>
          <w:lang w:val="en-US" w:eastAsia="zh-CN"/>
        </w:rPr>
        <w:sectPr>
          <w:pgSz w:w="11906" w:h="16838"/>
          <w:pgMar w:top="1440" w:right="1080" w:bottom="1440" w:left="1080" w:header="851" w:footer="907" w:gutter="0"/>
          <w:pgNumType w:fmt="decimal"/>
          <w:cols w:space="425" w:num="1"/>
          <w:docGrid w:type="lines" w:linePitch="312" w:charSpace="0"/>
        </w:sectPr>
      </w:pPr>
    </w:p>
    <w:bookmarkEnd w:id="509"/>
    <w:p w14:paraId="081C639B">
      <w:pPr>
        <w:pStyle w:val="2"/>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Style w:val="27"/>
          <w:rFonts w:hint="eastAsia" w:ascii="仿宋" w:hAnsi="仿宋" w:eastAsia="仿宋" w:cs="仿宋"/>
          <w:b/>
          <w:bCs w:val="0"/>
          <w:color w:val="auto"/>
          <w:sz w:val="28"/>
          <w:szCs w:val="28"/>
          <w:highlight w:val="none"/>
          <w:lang w:eastAsia="zh-CN"/>
        </w:rPr>
      </w:pPr>
      <w:bookmarkStart w:id="510" w:name="_Toc10852"/>
      <w:bookmarkStart w:id="511" w:name="_Toc9945"/>
      <w:bookmarkStart w:id="512" w:name="_Toc8111"/>
      <w:r>
        <w:rPr>
          <w:rFonts w:hint="eastAsia" w:ascii="仿宋" w:hAnsi="仿宋" w:eastAsia="仿宋" w:cs="仿宋"/>
          <w:color w:val="auto"/>
          <w:sz w:val="28"/>
          <w:szCs w:val="28"/>
          <w:highlight w:val="none"/>
          <w:lang w:eastAsia="zh-CN"/>
        </w:rPr>
        <w:t>第</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章 采购需求及要求</w:t>
      </w:r>
      <w:bookmarkEnd w:id="510"/>
      <w:bookmarkEnd w:id="511"/>
      <w:bookmarkEnd w:id="512"/>
    </w:p>
    <w:p w14:paraId="7D4B4903">
      <w:pPr>
        <w:pStyle w:val="7"/>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outlineLvl w:val="1"/>
        <w:rPr>
          <w:rStyle w:val="27"/>
          <w:rFonts w:hint="eastAsia" w:ascii="仿宋" w:hAnsi="仿宋" w:eastAsia="仿宋" w:cs="仿宋"/>
          <w:color w:val="auto"/>
          <w:sz w:val="21"/>
          <w:szCs w:val="21"/>
          <w:highlight w:val="none"/>
          <w:lang w:val="en-US" w:eastAsia="zh-CN"/>
        </w:rPr>
      </w:pPr>
      <w:bookmarkStart w:id="513" w:name="_Toc5955"/>
      <w:bookmarkStart w:id="514" w:name="_Toc18232"/>
      <w:bookmarkStart w:id="515" w:name="_Toc4747"/>
      <w:r>
        <w:rPr>
          <w:rStyle w:val="27"/>
          <w:rFonts w:hint="eastAsia" w:ascii="仿宋" w:hAnsi="仿宋" w:eastAsia="仿宋" w:cs="仿宋"/>
          <w:color w:val="auto"/>
          <w:sz w:val="21"/>
          <w:szCs w:val="21"/>
          <w:highlight w:val="none"/>
          <w:lang w:val="en-US" w:eastAsia="zh-CN"/>
        </w:rPr>
        <w:t>一、特别说明与规定</w:t>
      </w:r>
      <w:bookmarkEnd w:id="513"/>
      <w:bookmarkEnd w:id="514"/>
      <w:bookmarkEnd w:id="515"/>
    </w:p>
    <w:p w14:paraId="22B822F1">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本部分内容均为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基本要求，如</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无法响应，须在《</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rPr>
        <w:t>中详细说明，未说明的，视为完全响应，中标后必须严格遵守，否则视为违约。</w:t>
      </w:r>
    </w:p>
    <w:p w14:paraId="36E69AD7">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所提供的设备必须为原厂生产的全新正品，来源合法。所有货物到达现场应有完整的包装，随机技术、服务性资料和软件齐全。</w:t>
      </w:r>
    </w:p>
    <w:p w14:paraId="004E462E">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2.采购需求及要求中“技术要求”</w:t>
      </w:r>
      <w:r>
        <w:rPr>
          <w:rFonts w:hint="eastAsia" w:ascii="仿宋" w:hAnsi="仿宋" w:eastAsia="仿宋" w:cs="仿宋"/>
          <w:color w:val="auto"/>
          <w:sz w:val="21"/>
          <w:szCs w:val="21"/>
          <w:highlight w:val="none"/>
        </w:rPr>
        <w:t>的各项技术参数和规格要求如出现引用某一特定的专利技术、商标、名称、设计、原产地或供应者等情况，则仅起参考作用。</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可选用实质上“相当于”或“优于”该参考技术规格要求的产品投标，同时填写《</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p>
    <w:p w14:paraId="4A6EAD5B">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cs="仿宋"/>
          <w:color w:val="auto"/>
          <w:sz w:val="21"/>
          <w:szCs w:val="21"/>
          <w:highlight w:val="none"/>
          <w:lang w:val="en-US" w:eastAsia="zh-CN" w:bidi="ar-SA"/>
        </w:rPr>
        <w:t>投标人</w:t>
      </w:r>
      <w:r>
        <w:rPr>
          <w:rFonts w:hint="eastAsia" w:ascii="仿宋" w:hAnsi="仿宋" w:eastAsia="仿宋" w:cs="仿宋"/>
          <w:color w:val="auto"/>
          <w:sz w:val="21"/>
          <w:szCs w:val="21"/>
          <w:highlight w:val="none"/>
          <w:lang w:val="en-US" w:eastAsia="zh-CN" w:bidi="ar-SA"/>
        </w:rPr>
        <w:t>必须根据采购需求及要求中“技术要求”在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bidi="ar-SA"/>
        </w:rPr>
        <w:t>中作出全面、真实地反映，</w:t>
      </w:r>
      <w:r>
        <w:rPr>
          <w:rFonts w:hint="eastAsia" w:cs="仿宋"/>
          <w:color w:val="auto"/>
          <w:sz w:val="21"/>
          <w:szCs w:val="21"/>
          <w:highlight w:val="none"/>
          <w:lang w:val="en-US" w:eastAsia="zh-CN" w:bidi="ar-SA"/>
        </w:rPr>
        <w:t>投标人</w:t>
      </w:r>
      <w:r>
        <w:rPr>
          <w:rFonts w:hint="eastAsia" w:ascii="仿宋" w:hAnsi="仿宋" w:eastAsia="仿宋" w:cs="仿宋"/>
          <w:color w:val="auto"/>
          <w:sz w:val="21"/>
          <w:szCs w:val="21"/>
          <w:highlight w:val="none"/>
          <w:lang w:val="en-US" w:eastAsia="zh-CN" w:bidi="ar-SA"/>
        </w:rPr>
        <w:t>除如实填写技术规格偏离表外，投标文件中必须提供技术支持资料和支持参数和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52290659">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本章内容是采购人需求的最基本组成，在满足此项目功能要求的前提条</w:t>
      </w:r>
      <w:r>
        <w:rPr>
          <w:rFonts w:hint="eastAsia" w:ascii="仿宋" w:hAnsi="仿宋" w:eastAsia="仿宋" w:cs="仿宋"/>
          <w:color w:val="auto"/>
          <w:sz w:val="21"/>
          <w:szCs w:val="21"/>
          <w:highlight w:val="none"/>
          <w:lang w:eastAsia="zh-CN"/>
        </w:rPr>
        <w:t>件下</w:t>
      </w:r>
      <w:r>
        <w:rPr>
          <w:rFonts w:hint="eastAsia" w:ascii="仿宋" w:hAnsi="仿宋" w:eastAsia="仿宋" w:cs="仿宋"/>
          <w:color w:val="auto"/>
          <w:sz w:val="21"/>
          <w:szCs w:val="21"/>
          <w:highlight w:val="none"/>
        </w:rPr>
        <w:t>，</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不可擅自改动或减</w:t>
      </w:r>
      <w:r>
        <w:rPr>
          <w:rFonts w:hint="eastAsia" w:cs="仿宋"/>
          <w:color w:val="auto"/>
          <w:sz w:val="21"/>
          <w:szCs w:val="21"/>
          <w:highlight w:val="none"/>
          <w:lang w:val="en-US" w:eastAsia="zh-CN"/>
        </w:rPr>
        <w:t>少</w:t>
      </w:r>
      <w:r>
        <w:rPr>
          <w:rFonts w:hint="eastAsia" w:ascii="仿宋" w:hAnsi="仿宋" w:eastAsia="仿宋" w:cs="仿宋"/>
          <w:color w:val="auto"/>
          <w:sz w:val="21"/>
          <w:szCs w:val="21"/>
          <w:highlight w:val="none"/>
        </w:rPr>
        <w:t>。如果</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认为采购需求</w:t>
      </w:r>
      <w:r>
        <w:rPr>
          <w:rFonts w:hint="eastAsia" w:cs="仿宋"/>
          <w:color w:val="auto"/>
          <w:sz w:val="21"/>
          <w:szCs w:val="21"/>
          <w:highlight w:val="none"/>
          <w:lang w:val="en-US" w:eastAsia="zh-CN"/>
        </w:rPr>
        <w:t>及要求</w:t>
      </w:r>
      <w:r>
        <w:rPr>
          <w:rFonts w:hint="eastAsia" w:ascii="仿宋" w:hAnsi="仿宋" w:eastAsia="仿宋" w:cs="仿宋"/>
          <w:color w:val="auto"/>
          <w:sz w:val="21"/>
          <w:szCs w:val="21"/>
          <w:highlight w:val="none"/>
        </w:rPr>
        <w:t>中缺少了满足采购要求所必需的设备、材料或其他工作内容，</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应在投标时自行完成补齐，并在投标文件中详细说明增加内容及增加理由，同时由此产生的费用包含在投标总价内。对没有填报的费用，采购人将不予支付，并认为此项费用已包含在投标总价中。</w:t>
      </w:r>
    </w:p>
    <w:p w14:paraId="6939FEC4">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5.请</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在制作</w:t>
      </w:r>
      <w:r>
        <w:rPr>
          <w:rFonts w:hint="eastAsia" w:cs="仿宋"/>
          <w:color w:val="auto"/>
          <w:sz w:val="21"/>
          <w:szCs w:val="21"/>
          <w:highlight w:val="none"/>
          <w:lang w:val="en-US" w:eastAsia="zh-CN"/>
        </w:rPr>
        <w:t>投标</w:t>
      </w:r>
      <w:r>
        <w:rPr>
          <w:rFonts w:hint="eastAsia" w:ascii="仿宋" w:hAnsi="仿宋" w:eastAsia="仿宋" w:cs="仿宋"/>
          <w:color w:val="auto"/>
          <w:sz w:val="21"/>
          <w:szCs w:val="21"/>
          <w:highlight w:val="none"/>
          <w:lang w:val="en-US" w:eastAsia="zh-CN"/>
        </w:rPr>
        <w:t>文件时仔细研究项目采购需求及要求。</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不能简单照搬照抄采购单位项目需求说明中的技术、商务要求，必须作实事求是的响应。如照搬照抄项目需求说明中的技术、商务要求的，</w:t>
      </w:r>
      <w:r>
        <w:rPr>
          <w:rFonts w:hint="eastAsia" w:cs="仿宋"/>
          <w:color w:val="auto"/>
          <w:sz w:val="21"/>
          <w:szCs w:val="21"/>
          <w:highlight w:val="none"/>
          <w:lang w:val="en-US" w:eastAsia="zh-CN"/>
        </w:rPr>
        <w:t>中标</w:t>
      </w:r>
      <w:r>
        <w:rPr>
          <w:rFonts w:hint="eastAsia" w:ascii="仿宋" w:hAnsi="仿宋" w:eastAsia="仿宋" w:cs="仿宋"/>
          <w:color w:val="auto"/>
          <w:sz w:val="21"/>
          <w:szCs w:val="21"/>
          <w:highlight w:val="none"/>
          <w:lang w:val="en-US" w:eastAsia="zh-CN"/>
        </w:rPr>
        <w:t>后在同采购单位签订合同和履约环节中不得提出异议，一切后果和损失由</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承担。如</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提供的货物和服务同采购单位提出的项目需求说明中的技术、商务要求不同的，必须在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lang w:val="en-US" w:eastAsia="zh-CN"/>
        </w:rPr>
        <w:t>上明示，如不明示的视同完全响应</w:t>
      </w:r>
      <w:r>
        <w:rPr>
          <w:rFonts w:hint="eastAsia" w:ascii="仿宋" w:hAnsi="仿宋" w:eastAsia="仿宋" w:cs="仿宋"/>
          <w:color w:val="auto"/>
          <w:sz w:val="21"/>
          <w:szCs w:val="21"/>
          <w:highlight w:val="none"/>
        </w:rPr>
        <w:t>。中标后必须严格遵守，否则视为违约。</w:t>
      </w:r>
    </w:p>
    <w:p w14:paraId="7BBC8A52">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6.中标后设备的品牌应当是招标文件和投标文件中约定的品牌,不能随意更换</w:t>
      </w:r>
      <w:r>
        <w:rPr>
          <w:rFonts w:hint="eastAsia" w:ascii="仿宋" w:hAnsi="仿宋" w:eastAsia="仿宋" w:cs="仿宋"/>
          <w:color w:val="auto"/>
          <w:sz w:val="21"/>
          <w:szCs w:val="21"/>
          <w:highlight w:val="none"/>
        </w:rPr>
        <w:t>。</w:t>
      </w:r>
      <w:bookmarkStart w:id="516" w:name="_Toc15845"/>
    </w:p>
    <w:p w14:paraId="70D82D43">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7.说明</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5"/>
        <w:gridCol w:w="1125"/>
        <w:gridCol w:w="5934"/>
      </w:tblGrid>
      <w:tr w14:paraId="7A3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5" w:type="dxa"/>
            <w:vAlign w:val="center"/>
          </w:tcPr>
          <w:p w14:paraId="06869D42">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表示重要性</w:t>
            </w:r>
          </w:p>
        </w:tc>
        <w:tc>
          <w:tcPr>
            <w:tcW w:w="1125" w:type="dxa"/>
            <w:vAlign w:val="center"/>
          </w:tcPr>
          <w:p w14:paraId="74B5F391">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标识符合</w:t>
            </w:r>
          </w:p>
        </w:tc>
        <w:tc>
          <w:tcPr>
            <w:tcW w:w="5934" w:type="dxa"/>
            <w:vAlign w:val="center"/>
          </w:tcPr>
          <w:p w14:paraId="02082AC6">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代表意思</w:t>
            </w:r>
          </w:p>
        </w:tc>
      </w:tr>
      <w:tr w14:paraId="606C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46ABFFB3">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实质性参数</w:t>
            </w:r>
          </w:p>
        </w:tc>
        <w:tc>
          <w:tcPr>
            <w:tcW w:w="1125" w:type="dxa"/>
            <w:vAlign w:val="center"/>
          </w:tcPr>
          <w:p w14:paraId="6E4F6AF8">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w:t>
            </w:r>
          </w:p>
        </w:tc>
        <w:tc>
          <w:tcPr>
            <w:tcW w:w="5934" w:type="dxa"/>
            <w:vAlign w:val="center"/>
          </w:tcPr>
          <w:p w14:paraId="75EA1FB3">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 xml:space="preserve">负偏离或未响应视为实质性不响应招标文件要求。 </w:t>
            </w:r>
          </w:p>
        </w:tc>
      </w:tr>
      <w:tr w14:paraId="79D6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5CE11F85">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重要指标项</w:t>
            </w:r>
          </w:p>
        </w:tc>
        <w:tc>
          <w:tcPr>
            <w:tcW w:w="1125" w:type="dxa"/>
            <w:vAlign w:val="center"/>
          </w:tcPr>
          <w:p w14:paraId="7A6699D9">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w:t>
            </w:r>
          </w:p>
        </w:tc>
        <w:tc>
          <w:tcPr>
            <w:tcW w:w="5934" w:type="dxa"/>
            <w:vAlign w:val="center"/>
          </w:tcPr>
          <w:p w14:paraId="197C7308">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作为评分项，详见“第</w:t>
            </w:r>
            <w:r>
              <w:rPr>
                <w:rFonts w:hint="eastAsia" w:cs="仿宋"/>
                <w:sz w:val="21"/>
                <w:szCs w:val="21"/>
                <w:highlight w:val="none"/>
                <w:vertAlign w:val="baseline"/>
                <w:lang w:val="en-US" w:eastAsia="zh-CN"/>
              </w:rPr>
              <w:t>四</w:t>
            </w:r>
            <w:r>
              <w:rPr>
                <w:rFonts w:hint="eastAsia" w:ascii="仿宋" w:hAnsi="仿宋" w:eastAsia="仿宋" w:cs="仿宋"/>
                <w:sz w:val="21"/>
                <w:szCs w:val="21"/>
                <w:highlight w:val="none"/>
                <w:vertAlign w:val="baseline"/>
                <w:lang w:val="en-US" w:eastAsia="zh-CN"/>
              </w:rPr>
              <w:t>章”中评分细则。</w:t>
            </w:r>
          </w:p>
        </w:tc>
      </w:tr>
      <w:tr w14:paraId="366B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15BB195F">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一般技术指标（无标识项）</w:t>
            </w:r>
          </w:p>
        </w:tc>
        <w:tc>
          <w:tcPr>
            <w:tcW w:w="1125" w:type="dxa"/>
            <w:vAlign w:val="center"/>
          </w:tcPr>
          <w:p w14:paraId="2BA8E99E">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无</w:t>
            </w:r>
          </w:p>
        </w:tc>
        <w:tc>
          <w:tcPr>
            <w:tcW w:w="5934" w:type="dxa"/>
            <w:vAlign w:val="center"/>
          </w:tcPr>
          <w:p w14:paraId="19A8B545">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作为评分项，详见“第</w:t>
            </w:r>
            <w:r>
              <w:rPr>
                <w:rFonts w:hint="eastAsia" w:cs="仿宋"/>
                <w:sz w:val="21"/>
                <w:szCs w:val="21"/>
                <w:highlight w:val="none"/>
                <w:vertAlign w:val="baseline"/>
                <w:lang w:val="en-US" w:eastAsia="zh-CN"/>
              </w:rPr>
              <w:t>四</w:t>
            </w:r>
            <w:r>
              <w:rPr>
                <w:rFonts w:hint="eastAsia" w:ascii="仿宋" w:hAnsi="仿宋" w:eastAsia="仿宋" w:cs="仿宋"/>
                <w:sz w:val="21"/>
                <w:szCs w:val="21"/>
                <w:highlight w:val="none"/>
                <w:vertAlign w:val="baseline"/>
                <w:lang w:val="en-US" w:eastAsia="zh-CN"/>
              </w:rPr>
              <w:t>章”中评分细则。</w:t>
            </w:r>
          </w:p>
        </w:tc>
      </w:tr>
    </w:tbl>
    <w:p w14:paraId="357CBF86">
      <w:pPr>
        <w:pStyle w:val="7"/>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1"/>
          <w:szCs w:val="21"/>
          <w:highlight w:val="none"/>
          <w:lang w:val="en-US" w:eastAsia="zh-CN"/>
        </w:rPr>
        <w:t>注：以投标文件中提供的投标响应表及采购需求要求提供的相关证明材料作为评审依据，</w:t>
      </w:r>
      <w:r>
        <w:rPr>
          <w:rFonts w:hint="eastAsia" w:cs="仿宋"/>
          <w:b/>
          <w:bCs/>
          <w:sz w:val="21"/>
          <w:szCs w:val="21"/>
          <w:highlight w:val="none"/>
          <w:lang w:val="en-US" w:eastAsia="zh-CN"/>
        </w:rPr>
        <w:t>投标人</w:t>
      </w:r>
      <w:r>
        <w:rPr>
          <w:rFonts w:hint="eastAsia" w:ascii="仿宋" w:hAnsi="仿宋" w:eastAsia="仿宋" w:cs="仿宋"/>
          <w:b/>
          <w:bCs/>
          <w:sz w:val="21"/>
          <w:szCs w:val="21"/>
          <w:highlight w:val="none"/>
          <w:lang w:val="en-US" w:eastAsia="zh-CN"/>
        </w:rPr>
        <w:t>应诚实应答。</w:t>
      </w:r>
    </w:p>
    <w:p w14:paraId="7D773A08">
      <w:pPr>
        <w:pStyle w:val="7"/>
        <w:keepNext w:val="0"/>
        <w:keepLines w:val="0"/>
        <w:pageBreakBefore w:val="0"/>
        <w:widowControl w:val="0"/>
        <w:kinsoku/>
        <w:wordWrap w:val="0"/>
        <w:overflowPunct/>
        <w:topLinePunct/>
        <w:autoSpaceDE/>
        <w:autoSpaceDN/>
        <w:bidi w:val="0"/>
        <w:adjustRightInd/>
        <w:snapToGrid/>
        <w:spacing w:line="420" w:lineRule="exact"/>
        <w:ind w:left="0" w:right="0" w:firstLine="560" w:firstLineChars="200"/>
        <w:jc w:val="left"/>
        <w:textAlignment w:val="auto"/>
        <w:rPr>
          <w:rFonts w:hint="eastAsia" w:ascii="仿宋" w:hAnsi="仿宋" w:eastAsia="仿宋" w:cs="仿宋"/>
          <w:sz w:val="28"/>
          <w:szCs w:val="28"/>
          <w:highlight w:val="none"/>
          <w:lang w:val="en-US" w:eastAsia="zh-CN"/>
        </w:rPr>
        <w:sectPr>
          <w:pgSz w:w="11906" w:h="16838"/>
          <w:pgMar w:top="1440" w:right="1080" w:bottom="1440" w:left="1080" w:header="794" w:footer="85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2998DE49">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20" w:lineRule="atLeast"/>
        <w:ind w:left="0" w:leftChars="0" w:right="0" w:rightChars="0" w:firstLine="482" w:firstLineChars="200"/>
        <w:jc w:val="left"/>
        <w:textAlignment w:val="auto"/>
        <w:rPr>
          <w:rFonts w:hint="eastAsia" w:ascii="仿宋" w:hAnsi="仿宋" w:eastAsia="仿宋" w:cs="仿宋"/>
          <w:sz w:val="24"/>
          <w:szCs w:val="24"/>
          <w:highlight w:val="none"/>
          <w:lang w:val="en-US" w:eastAsia="zh-CN"/>
        </w:rPr>
      </w:pPr>
      <w:bookmarkStart w:id="517" w:name="_Toc30589"/>
      <w:bookmarkStart w:id="518" w:name="_Toc16099"/>
      <w:r>
        <w:rPr>
          <w:rFonts w:hint="eastAsia" w:ascii="仿宋" w:hAnsi="仿宋" w:eastAsia="仿宋" w:cs="仿宋"/>
          <w:b/>
          <w:snapToGrid w:val="0"/>
          <w:color w:val="000000"/>
          <w:sz w:val="24"/>
          <w:szCs w:val="24"/>
          <w:lang w:val="en-US" w:eastAsia="zh-CN" w:bidi="ar-SA"/>
        </w:rPr>
        <w:t>二、</w:t>
      </w:r>
      <w:r>
        <w:rPr>
          <w:rFonts w:hint="eastAsia" w:ascii="仿宋" w:hAnsi="仿宋" w:eastAsia="仿宋" w:cs="仿宋"/>
          <w:sz w:val="24"/>
          <w:szCs w:val="24"/>
          <w:highlight w:val="none"/>
          <w:lang w:val="en-US" w:eastAsia="zh-CN"/>
        </w:rPr>
        <w:t>技术要求</w:t>
      </w:r>
      <w:bookmarkEnd w:id="516"/>
      <w:bookmarkEnd w:id="517"/>
      <w:bookmarkEnd w:id="518"/>
    </w:p>
    <w:tbl>
      <w:tblPr>
        <w:tblStyle w:val="17"/>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867"/>
        <w:gridCol w:w="7408"/>
        <w:gridCol w:w="1290"/>
        <w:gridCol w:w="2502"/>
        <w:gridCol w:w="1383"/>
      </w:tblGrid>
      <w:tr w14:paraId="4AD5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3" w:type="dxa"/>
            <w:shd w:val="clear" w:color="auto" w:fill="FBE6D6" w:themeFill="accent2" w:themeFillTint="32"/>
            <w:vAlign w:val="center"/>
          </w:tcPr>
          <w:p w14:paraId="19A81360">
            <w:pPr>
              <w:keepNext w:val="0"/>
              <w:keepLines w:val="0"/>
              <w:pageBreakBefore w:val="0"/>
              <w:widowControl w:val="0"/>
              <w:kinsoku/>
              <w:wordWrap w:val="0"/>
              <w:overflowPunct/>
              <w:topLinePunct/>
              <w:autoSpaceDE/>
              <w:autoSpaceDN/>
              <w:bidi w:val="0"/>
              <w:adjustRightInd/>
              <w:snapToGrid/>
              <w:spacing w:line="240" w:lineRule="exact"/>
              <w:jc w:val="center"/>
              <w:textAlignment w:val="auto"/>
              <w:rPr>
                <w:rFonts w:hint="eastAsia" w:ascii="仿宋" w:hAnsi="仿宋" w:eastAsia="仿宋" w:cs="仿宋"/>
                <w:b/>
                <w:bCs/>
                <w:snapToGrid w:val="0"/>
                <w:color w:val="auto"/>
                <w:sz w:val="21"/>
                <w:szCs w:val="21"/>
                <w:highlight w:val="none"/>
                <w:lang w:val="en-US" w:eastAsia="en-US" w:bidi="ar-SA"/>
              </w:rPr>
            </w:pPr>
            <w:r>
              <w:rPr>
                <w:rFonts w:hint="eastAsia" w:ascii="仿宋" w:hAnsi="仿宋" w:eastAsia="仿宋" w:cs="仿宋"/>
                <w:b/>
                <w:bCs/>
                <w:color w:val="auto"/>
                <w:sz w:val="21"/>
                <w:szCs w:val="21"/>
                <w:highlight w:val="none"/>
              </w:rPr>
              <w:t>序号</w:t>
            </w:r>
          </w:p>
        </w:tc>
        <w:tc>
          <w:tcPr>
            <w:tcW w:w="867" w:type="dxa"/>
            <w:shd w:val="clear" w:color="auto" w:fill="FBE6D6" w:themeFill="accent2" w:themeFillTint="32"/>
            <w:vAlign w:val="center"/>
          </w:tcPr>
          <w:p w14:paraId="052EE294">
            <w:pPr>
              <w:keepNext w:val="0"/>
              <w:keepLines w:val="0"/>
              <w:pageBreakBefore w:val="0"/>
              <w:widowControl w:val="0"/>
              <w:kinsoku/>
              <w:wordWrap w:val="0"/>
              <w:overflowPunct/>
              <w:topLinePunct/>
              <w:autoSpaceDE/>
              <w:autoSpaceDN/>
              <w:bidi w:val="0"/>
              <w:adjustRightInd/>
              <w:snapToGrid/>
              <w:spacing w:line="240" w:lineRule="exact"/>
              <w:jc w:val="center"/>
              <w:textAlignment w:val="auto"/>
              <w:rPr>
                <w:rFonts w:hint="eastAsia" w:ascii="仿宋" w:hAnsi="仿宋" w:eastAsia="仿宋" w:cs="仿宋"/>
                <w:b/>
                <w:bCs/>
                <w:snapToGrid w:val="0"/>
                <w:color w:val="auto"/>
                <w:sz w:val="21"/>
                <w:szCs w:val="21"/>
                <w:highlight w:val="none"/>
              </w:rPr>
            </w:pPr>
            <w:r>
              <w:rPr>
                <w:rFonts w:hint="eastAsia" w:ascii="仿宋" w:hAnsi="仿宋" w:eastAsia="仿宋" w:cs="仿宋"/>
                <w:b/>
                <w:bCs/>
                <w:snapToGrid w:val="0"/>
                <w:color w:val="auto"/>
                <w:sz w:val="21"/>
                <w:szCs w:val="21"/>
                <w:highlight w:val="none"/>
                <w:lang w:val="en-US" w:eastAsia="zh-CN"/>
              </w:rPr>
              <w:t>设备/功能名称</w:t>
            </w:r>
          </w:p>
        </w:tc>
        <w:tc>
          <w:tcPr>
            <w:tcW w:w="7408" w:type="dxa"/>
            <w:shd w:val="clear" w:color="auto" w:fill="FBE6D6" w:themeFill="accent2" w:themeFillTint="32"/>
            <w:vAlign w:val="center"/>
          </w:tcPr>
          <w:p w14:paraId="6DFA7F68">
            <w:pPr>
              <w:keepNext w:val="0"/>
              <w:keepLines w:val="0"/>
              <w:pageBreakBefore w:val="0"/>
              <w:widowControl w:val="0"/>
              <w:kinsoku/>
              <w:wordWrap w:val="0"/>
              <w:overflowPunct/>
              <w:topLinePunct/>
              <w:autoSpaceDE/>
              <w:autoSpaceDN/>
              <w:bidi w:val="0"/>
              <w:adjustRightInd/>
              <w:snapToGrid/>
              <w:spacing w:line="240" w:lineRule="exact"/>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技术参数、性能指标或需求</w:t>
            </w:r>
          </w:p>
        </w:tc>
        <w:tc>
          <w:tcPr>
            <w:tcW w:w="1290" w:type="dxa"/>
            <w:shd w:val="clear" w:color="auto" w:fill="FBE6D6" w:themeFill="accent2" w:themeFillTint="32"/>
            <w:vAlign w:val="center"/>
          </w:tcPr>
          <w:p w14:paraId="41916579">
            <w:pPr>
              <w:keepNext w:val="0"/>
              <w:keepLines w:val="0"/>
              <w:pageBreakBefore w:val="0"/>
              <w:widowControl w:val="0"/>
              <w:kinsoku/>
              <w:wordWrap w:val="0"/>
              <w:overflowPunct/>
              <w:topLinePunct/>
              <w:autoSpaceDE/>
              <w:autoSpaceDN/>
              <w:bidi w:val="0"/>
              <w:adjustRightInd/>
              <w:snapToGrid/>
              <w:spacing w:line="240" w:lineRule="exact"/>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采购数量</w:t>
            </w:r>
          </w:p>
        </w:tc>
        <w:tc>
          <w:tcPr>
            <w:tcW w:w="2502" w:type="dxa"/>
            <w:shd w:val="clear" w:color="auto" w:fill="FBE6D6" w:themeFill="accent2" w:themeFillTint="32"/>
            <w:vAlign w:val="center"/>
          </w:tcPr>
          <w:p w14:paraId="3DEF4798">
            <w:pPr>
              <w:keepNext w:val="0"/>
              <w:keepLines w:val="0"/>
              <w:pageBreakBefore w:val="0"/>
              <w:widowControl w:val="0"/>
              <w:kinsoku/>
              <w:wordWrap w:val="0"/>
              <w:overflowPunct/>
              <w:topLinePunct/>
              <w:autoSpaceDE/>
              <w:autoSpaceDN/>
              <w:bidi w:val="0"/>
              <w:adjustRightInd/>
              <w:snapToGrid/>
              <w:spacing w:line="240" w:lineRule="exact"/>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1套</w:t>
            </w:r>
          </w:p>
        </w:tc>
        <w:tc>
          <w:tcPr>
            <w:tcW w:w="1383" w:type="dxa"/>
            <w:shd w:val="clear" w:color="auto" w:fill="FBE6D6" w:themeFill="accent2" w:themeFillTint="32"/>
            <w:vAlign w:val="center"/>
          </w:tcPr>
          <w:p w14:paraId="14695B10">
            <w:pPr>
              <w:keepNext w:val="0"/>
              <w:keepLines w:val="0"/>
              <w:pageBreakBefore w:val="0"/>
              <w:widowControl w:val="0"/>
              <w:kinsoku/>
              <w:wordWrap w:val="0"/>
              <w:overflowPunct/>
              <w:topLinePunct/>
              <w:autoSpaceDE/>
              <w:autoSpaceDN/>
              <w:bidi w:val="0"/>
              <w:adjustRightInd/>
              <w:snapToGrid/>
              <w:spacing w:line="360" w:lineRule="auto"/>
              <w:ind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备注</w:t>
            </w:r>
          </w:p>
        </w:tc>
      </w:tr>
      <w:tr w14:paraId="2598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jc w:val="center"/>
        </w:trPr>
        <w:tc>
          <w:tcPr>
            <w:tcW w:w="1223" w:type="dxa"/>
            <w:shd w:val="clear" w:color="auto" w:fill="auto"/>
            <w:vAlign w:val="center"/>
          </w:tcPr>
          <w:p w14:paraId="59AB44C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cs="仿宋"/>
                <w:b w:val="0"/>
                <w:bCs w:val="0"/>
                <w:snapToGrid w:val="0"/>
                <w:color w:val="auto"/>
                <w:sz w:val="22"/>
                <w:szCs w:val="22"/>
                <w:highlight w:val="none"/>
                <w:lang w:val="en-US" w:eastAsia="zh-CN"/>
              </w:rPr>
              <w:t>★</w:t>
            </w:r>
            <w:r>
              <w:rPr>
                <w:rFonts w:hint="eastAsia" w:ascii="仿宋" w:hAnsi="仿宋" w:eastAsia="仿宋" w:cs="仿宋"/>
                <w:b w:val="0"/>
                <w:bCs w:val="0"/>
                <w:strike w:val="0"/>
                <w:dstrike w:val="0"/>
                <w:color w:val="auto"/>
                <w:sz w:val="21"/>
                <w:szCs w:val="21"/>
                <w:highlight w:val="none"/>
                <w:lang w:val="en-US" w:eastAsia="zh-CN"/>
              </w:rPr>
              <w:t>1</w:t>
            </w:r>
            <w:r>
              <w:rPr>
                <w:rFonts w:hint="eastAsia" w:ascii="仿宋" w:hAnsi="仿宋" w:eastAsia="仿宋" w:cs="仿宋"/>
                <w:b w:val="0"/>
                <w:bCs w:val="0"/>
                <w:color w:val="auto"/>
                <w:sz w:val="21"/>
                <w:szCs w:val="21"/>
                <w:highlight w:val="none"/>
                <w:lang w:val="en-US" w:eastAsia="zh-CN"/>
              </w:rPr>
              <w:t>（实质性内容，必须满足项）</w:t>
            </w:r>
          </w:p>
        </w:tc>
        <w:tc>
          <w:tcPr>
            <w:tcW w:w="867" w:type="dxa"/>
            <w:shd w:val="clear" w:color="auto" w:fill="auto"/>
            <w:vAlign w:val="center"/>
          </w:tcPr>
          <w:p w14:paraId="5820AC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snapToGrid w:val="0"/>
                <w:color w:val="auto"/>
                <w:sz w:val="21"/>
                <w:szCs w:val="21"/>
                <w:highlight w:val="none"/>
                <w:lang w:val="en-US" w:eastAsia="zh-CN"/>
              </w:rPr>
            </w:pPr>
            <w:r>
              <w:rPr>
                <w:rFonts w:hint="eastAsia" w:ascii="仿宋" w:hAnsi="仿宋" w:eastAsia="仿宋" w:cs="仿宋"/>
                <w:b w:val="0"/>
                <w:bCs w:val="0"/>
                <w:snapToGrid w:val="0"/>
                <w:color w:val="auto"/>
                <w:sz w:val="21"/>
                <w:szCs w:val="21"/>
                <w:highlight w:val="none"/>
                <w:lang w:val="en-US" w:eastAsia="zh-CN"/>
              </w:rPr>
              <w:t>设备用途</w:t>
            </w:r>
          </w:p>
        </w:tc>
        <w:tc>
          <w:tcPr>
            <w:tcW w:w="11200" w:type="dxa"/>
            <w:gridSpan w:val="3"/>
            <w:shd w:val="clear" w:color="auto" w:fill="auto"/>
            <w:vAlign w:val="center"/>
          </w:tcPr>
          <w:p w14:paraId="64CC63C0">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rightChars="0" w:firstLine="0" w:firstLineChars="0"/>
              <w:jc w:val="left"/>
              <w:textAlignment w:val="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内镜逆行性胰胆管造影术（ERCP）</w:t>
            </w:r>
          </w:p>
        </w:tc>
        <w:tc>
          <w:tcPr>
            <w:tcW w:w="1383" w:type="dxa"/>
            <w:shd w:val="clear" w:color="auto" w:fill="auto"/>
            <w:vAlign w:val="center"/>
          </w:tcPr>
          <w:p w14:paraId="04F7596F">
            <w:pPr>
              <w:keepNext w:val="0"/>
              <w:keepLines w:val="0"/>
              <w:pageBreakBefore w:val="0"/>
              <w:widowControl w:val="0"/>
              <w:kinsoku/>
              <w:wordWrap w:val="0"/>
              <w:overflowPunct/>
              <w:topLinePunct/>
              <w:autoSpaceDE/>
              <w:autoSpaceDN/>
              <w:bidi w:val="0"/>
              <w:adjustRightInd/>
              <w:snapToGrid/>
              <w:spacing w:line="360" w:lineRule="auto"/>
              <w:ind w:firstLine="0" w:firstLineChars="0"/>
              <w:jc w:val="center"/>
              <w:textAlignment w:val="auto"/>
              <w:rPr>
                <w:rFonts w:hint="eastAsia" w:ascii="仿宋" w:hAnsi="仿宋" w:eastAsia="仿宋" w:cs="仿宋"/>
                <w:b w:val="0"/>
                <w:bCs w:val="0"/>
                <w:color w:val="auto"/>
                <w:sz w:val="21"/>
                <w:szCs w:val="21"/>
                <w:highlight w:val="none"/>
                <w:lang w:val="en-US" w:eastAsia="zh-CN"/>
              </w:rPr>
            </w:pPr>
          </w:p>
        </w:tc>
      </w:tr>
      <w:tr w14:paraId="42FB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Merge w:val="restart"/>
            <w:shd w:val="clear" w:color="auto" w:fill="auto"/>
            <w:vAlign w:val="center"/>
          </w:tcPr>
          <w:p w14:paraId="1812918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w:t>
            </w:r>
          </w:p>
        </w:tc>
        <w:tc>
          <w:tcPr>
            <w:tcW w:w="867" w:type="dxa"/>
            <w:vMerge w:val="restart"/>
            <w:shd w:val="clear" w:color="auto" w:fill="auto"/>
            <w:vAlign w:val="center"/>
          </w:tcPr>
          <w:p w14:paraId="6AD2110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设备功能需求</w:t>
            </w:r>
          </w:p>
        </w:tc>
        <w:tc>
          <w:tcPr>
            <w:tcW w:w="11200" w:type="dxa"/>
            <w:gridSpan w:val="3"/>
            <w:shd w:val="clear" w:color="auto" w:fill="auto"/>
            <w:vAlign w:val="center"/>
          </w:tcPr>
          <w:p w14:paraId="6938399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2.1 高清电子内镜设备、分体式设计；</w:t>
            </w:r>
          </w:p>
        </w:tc>
        <w:tc>
          <w:tcPr>
            <w:tcW w:w="1383" w:type="dxa"/>
            <w:shd w:val="clear" w:color="auto" w:fill="auto"/>
            <w:vAlign w:val="center"/>
          </w:tcPr>
          <w:p w14:paraId="102F5D3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r>
      <w:tr w14:paraId="57E4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Merge w:val="continue"/>
            <w:shd w:val="clear" w:color="auto" w:fill="auto"/>
            <w:vAlign w:val="center"/>
          </w:tcPr>
          <w:p w14:paraId="381F15E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0E9ED5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8ADC9F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2.2 设备面板按钮为触控按键；支持镜体热插拔；</w:t>
            </w:r>
          </w:p>
        </w:tc>
        <w:tc>
          <w:tcPr>
            <w:tcW w:w="1383" w:type="dxa"/>
            <w:shd w:val="clear" w:color="auto" w:fill="auto"/>
            <w:vAlign w:val="center"/>
          </w:tcPr>
          <w:p w14:paraId="795BA3B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r>
      <w:tr w14:paraId="77AF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23" w:type="dxa"/>
            <w:vMerge w:val="continue"/>
            <w:shd w:val="clear" w:color="auto" w:fill="auto"/>
            <w:vAlign w:val="center"/>
          </w:tcPr>
          <w:p w14:paraId="2FC318A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930106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BAB704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2.3 视频信号光纤传输；</w:t>
            </w:r>
          </w:p>
        </w:tc>
        <w:tc>
          <w:tcPr>
            <w:tcW w:w="1383" w:type="dxa"/>
            <w:shd w:val="clear" w:color="auto" w:fill="auto"/>
            <w:vAlign w:val="center"/>
          </w:tcPr>
          <w:p w14:paraId="17BDE37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r>
      <w:tr w14:paraId="45EE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23" w:type="dxa"/>
            <w:vMerge w:val="continue"/>
            <w:shd w:val="clear" w:color="auto" w:fill="auto"/>
            <w:vAlign w:val="center"/>
          </w:tcPr>
          <w:p w14:paraId="412980E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CD15B6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A847D0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▲2.4 系统可适配常规胃肠镜、电子超声胃镜、光学放大胃肠镜</w:t>
            </w:r>
            <w:r>
              <w:rPr>
                <w:rFonts w:hint="eastAsia" w:ascii="仿宋" w:hAnsi="仿宋" w:eastAsia="仿宋" w:cs="仿宋"/>
                <w:b w:val="0"/>
                <w:bCs w:val="0"/>
                <w:color w:val="auto"/>
                <w:sz w:val="21"/>
                <w:szCs w:val="21"/>
                <w:highlight w:val="none"/>
                <w:lang w:val="en-US" w:eastAsia="zh-CN"/>
              </w:rPr>
              <w:t>、超细胃肠镜、十二指肠镜、支气管镜；</w:t>
            </w:r>
          </w:p>
        </w:tc>
        <w:tc>
          <w:tcPr>
            <w:tcW w:w="1383" w:type="dxa"/>
            <w:shd w:val="clear" w:color="auto" w:fill="auto"/>
            <w:vAlign w:val="center"/>
          </w:tcPr>
          <w:p w14:paraId="3DE0DFA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r>
      <w:tr w14:paraId="7EE2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Merge w:val="restart"/>
            <w:shd w:val="clear" w:color="auto" w:fill="auto"/>
            <w:vAlign w:val="center"/>
          </w:tcPr>
          <w:p w14:paraId="1CF3E75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w:t>
            </w:r>
          </w:p>
        </w:tc>
        <w:tc>
          <w:tcPr>
            <w:tcW w:w="867" w:type="dxa"/>
            <w:vMerge w:val="restart"/>
            <w:shd w:val="clear" w:color="auto" w:fill="auto"/>
            <w:vAlign w:val="center"/>
          </w:tcPr>
          <w:p w14:paraId="62A9F9F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医用内窥镜图像处理器</w:t>
            </w:r>
          </w:p>
        </w:tc>
        <w:tc>
          <w:tcPr>
            <w:tcW w:w="11200" w:type="dxa"/>
            <w:gridSpan w:val="3"/>
            <w:shd w:val="clear" w:color="auto" w:fill="auto"/>
            <w:vAlign w:val="center"/>
          </w:tcPr>
          <w:p w14:paraId="766E03B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3.1高清视频信号（DVI）输出视频分辨率：≥3840*2160P，具有DVI、SDI、CVBS、VGA、S-VIDEO 等信号输出方式；</w:t>
            </w:r>
          </w:p>
        </w:tc>
        <w:tc>
          <w:tcPr>
            <w:tcW w:w="1383" w:type="dxa"/>
            <w:shd w:val="clear" w:color="auto" w:fill="auto"/>
            <w:vAlign w:val="center"/>
          </w:tcPr>
          <w:p w14:paraId="277ABA6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4FA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Merge w:val="continue"/>
            <w:shd w:val="clear" w:color="auto" w:fill="auto"/>
            <w:vAlign w:val="center"/>
          </w:tcPr>
          <w:p w14:paraId="65BE9A4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002BE3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D1194E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3.2具有红色调、蓝色调及饱和度调节功能；</w:t>
            </w:r>
          </w:p>
        </w:tc>
        <w:tc>
          <w:tcPr>
            <w:tcW w:w="1383" w:type="dxa"/>
            <w:shd w:val="clear" w:color="auto" w:fill="auto"/>
            <w:vAlign w:val="center"/>
          </w:tcPr>
          <w:p w14:paraId="43AE97D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01DC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3" w:type="dxa"/>
            <w:vMerge w:val="continue"/>
            <w:shd w:val="clear" w:color="auto" w:fill="auto"/>
            <w:vAlign w:val="center"/>
          </w:tcPr>
          <w:p w14:paraId="08A2ADC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F15210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5800F9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3.3 具有自动增益功能；</w:t>
            </w:r>
          </w:p>
        </w:tc>
        <w:tc>
          <w:tcPr>
            <w:tcW w:w="1383" w:type="dxa"/>
            <w:shd w:val="clear" w:color="auto" w:fill="auto"/>
            <w:vAlign w:val="center"/>
          </w:tcPr>
          <w:p w14:paraId="5DFEA48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055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7882243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78FAC8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2A042F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3.4 具有测光模式调节功能，包括平均测光、峰值测光和全自动测光三种测光模式；</w:t>
            </w:r>
          </w:p>
        </w:tc>
        <w:tc>
          <w:tcPr>
            <w:tcW w:w="1383" w:type="dxa"/>
            <w:shd w:val="clear" w:color="auto" w:fill="auto"/>
            <w:vAlign w:val="center"/>
          </w:tcPr>
          <w:p w14:paraId="729F3B3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05AE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1ED33D8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FF4D9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5AF2AB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3.5 具有色彩增强功能；</w:t>
            </w:r>
          </w:p>
        </w:tc>
        <w:tc>
          <w:tcPr>
            <w:tcW w:w="1383" w:type="dxa"/>
            <w:shd w:val="clear" w:color="auto" w:fill="auto"/>
            <w:vAlign w:val="center"/>
          </w:tcPr>
          <w:p w14:paraId="39D5A35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36CF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0587AA2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8AC6D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82FF3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3.6 具有轮廓强调功能；</w:t>
            </w:r>
          </w:p>
        </w:tc>
        <w:tc>
          <w:tcPr>
            <w:tcW w:w="1383" w:type="dxa"/>
            <w:shd w:val="clear" w:color="auto" w:fill="auto"/>
            <w:vAlign w:val="center"/>
          </w:tcPr>
          <w:p w14:paraId="6C3182D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54F1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530D57D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E15491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0412CB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3.7 具有构造调节功能；</w:t>
            </w:r>
          </w:p>
        </w:tc>
        <w:tc>
          <w:tcPr>
            <w:tcW w:w="1383" w:type="dxa"/>
            <w:shd w:val="clear" w:color="auto" w:fill="auto"/>
            <w:vAlign w:val="center"/>
          </w:tcPr>
          <w:p w14:paraId="59BC0FE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5164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377B310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E32AD2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F9CBBC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▲3.8 具有电子放大功能，最大放大倍数：≥4倍；</w:t>
            </w:r>
          </w:p>
        </w:tc>
        <w:tc>
          <w:tcPr>
            <w:tcW w:w="1383" w:type="dxa"/>
            <w:shd w:val="clear" w:color="auto" w:fill="auto"/>
            <w:vAlign w:val="center"/>
          </w:tcPr>
          <w:p w14:paraId="2561297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46853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07CBAD3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4BA12F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D310D9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 xml:space="preserve">▲3.9 主机内置硬盘：≥500G，具有内置的图像保存和视频录制功能，支持图像查看、视频回放； </w:t>
            </w:r>
          </w:p>
        </w:tc>
        <w:tc>
          <w:tcPr>
            <w:tcW w:w="1383" w:type="dxa"/>
            <w:shd w:val="clear" w:color="auto" w:fill="auto"/>
            <w:vAlign w:val="center"/>
          </w:tcPr>
          <w:p w14:paraId="328F374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E2C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52B9407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D6AD32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C6C5D9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 xml:space="preserve">▲3.10 具有内置病例管理系统，可脱离外置工作站进行病例管理，可查看、编辑、保存、预览、打印病例报告级病例报告检索； </w:t>
            </w:r>
          </w:p>
        </w:tc>
        <w:tc>
          <w:tcPr>
            <w:tcW w:w="1383" w:type="dxa"/>
            <w:shd w:val="clear" w:color="auto" w:fill="auto"/>
            <w:vAlign w:val="center"/>
          </w:tcPr>
          <w:p w14:paraId="7F87E31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567B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2F3B35F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88680D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5B954D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▲3.11 实现VIST、SFI、NBI、BLI、I-scan、OE、LCI中的两种或两种以上的特殊光成像功能，提高粘膜浅表的组织形态，显示毛细微血管等结构；</w:t>
            </w:r>
          </w:p>
        </w:tc>
        <w:tc>
          <w:tcPr>
            <w:tcW w:w="1383" w:type="dxa"/>
            <w:shd w:val="clear" w:color="auto" w:fill="auto"/>
            <w:vAlign w:val="center"/>
          </w:tcPr>
          <w:p w14:paraId="281546A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5987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518402E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14FFF2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60C752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3.12 支持 DICOM 标准协议</w:t>
            </w:r>
            <w:r>
              <w:rPr>
                <w:rFonts w:hint="eastAsia" w:ascii="仿宋" w:hAnsi="仿宋" w:eastAsia="仿宋" w:cs="仿宋"/>
                <w:b w:val="0"/>
                <w:bCs w:val="0"/>
                <w:color w:val="auto"/>
                <w:sz w:val="21"/>
                <w:szCs w:val="21"/>
                <w:highlight w:val="none"/>
                <w:lang w:val="en-US" w:eastAsia="zh-CN"/>
              </w:rPr>
              <w:t xml:space="preserve">，通过网络可传输病历数据； </w:t>
            </w:r>
          </w:p>
        </w:tc>
        <w:tc>
          <w:tcPr>
            <w:tcW w:w="1383" w:type="dxa"/>
            <w:shd w:val="clear" w:color="auto" w:fill="auto"/>
            <w:vAlign w:val="center"/>
          </w:tcPr>
          <w:p w14:paraId="17CFFB5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4835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670EF35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7E067C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6CE479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▲3.13 能兼容投标产品同品牌的胃镜、肠镜、光学放大胃镜、光学放大肠镜、电子十二指肠镜、超声内镜、电子支气管镜等各种内窥镜。</w:t>
            </w:r>
          </w:p>
        </w:tc>
        <w:tc>
          <w:tcPr>
            <w:tcW w:w="1383" w:type="dxa"/>
            <w:shd w:val="clear" w:color="auto" w:fill="auto"/>
            <w:vAlign w:val="center"/>
          </w:tcPr>
          <w:p w14:paraId="1CF52C3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6E1B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restart"/>
            <w:shd w:val="clear" w:color="auto" w:fill="auto"/>
            <w:vAlign w:val="center"/>
          </w:tcPr>
          <w:p w14:paraId="4E7768E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w:t>
            </w:r>
          </w:p>
        </w:tc>
        <w:tc>
          <w:tcPr>
            <w:tcW w:w="867" w:type="dxa"/>
            <w:vMerge w:val="restart"/>
            <w:shd w:val="clear" w:color="auto" w:fill="auto"/>
            <w:vAlign w:val="center"/>
          </w:tcPr>
          <w:p w14:paraId="0602431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医用内窥镜冷光源</w:t>
            </w:r>
          </w:p>
        </w:tc>
        <w:tc>
          <w:tcPr>
            <w:tcW w:w="11200" w:type="dxa"/>
            <w:gridSpan w:val="3"/>
            <w:shd w:val="clear" w:color="auto" w:fill="auto"/>
            <w:vAlign w:val="center"/>
          </w:tcPr>
          <w:p w14:paraId="0594BB0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 xml:space="preserve">▲4.1 采用多光谱LED光源，支持白光和两种以上的特殊光染色照明模式，具有：≥3种照明模式，满足对中远景及近景早期病变的筛查； </w:t>
            </w:r>
          </w:p>
        </w:tc>
        <w:tc>
          <w:tcPr>
            <w:tcW w:w="1383" w:type="dxa"/>
            <w:shd w:val="clear" w:color="auto" w:fill="auto"/>
            <w:vAlign w:val="center"/>
          </w:tcPr>
          <w:p w14:paraId="237E998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6378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23" w:type="dxa"/>
            <w:vMerge w:val="continue"/>
            <w:shd w:val="clear" w:color="auto" w:fill="auto"/>
            <w:vAlign w:val="center"/>
          </w:tcPr>
          <w:p w14:paraId="5175E6B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2AFA32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08DA3A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r>
              <w:rPr>
                <w:rFonts w:hint="eastAsia" w:ascii="仿宋" w:hAnsi="仿宋" w:eastAsia="仿宋" w:cs="仿宋"/>
                <w:b w:val="0"/>
                <w:bCs w:val="0"/>
                <w:color w:val="auto"/>
                <w:sz w:val="21"/>
                <w:szCs w:val="21"/>
                <w:highlight w:val="none"/>
                <w:lang w:val="en-US" w:eastAsia="zh-CN"/>
              </w:rPr>
              <w:t xml:space="preserve">4.2 光源主灯泡连续使用寿命：≥10000小时，主灯灯泡寿命具有指示灯显示； </w:t>
            </w:r>
          </w:p>
        </w:tc>
        <w:tc>
          <w:tcPr>
            <w:tcW w:w="1383" w:type="dxa"/>
            <w:shd w:val="clear" w:color="auto" w:fill="auto"/>
            <w:vAlign w:val="center"/>
          </w:tcPr>
          <w:p w14:paraId="167EC34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0F19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23" w:type="dxa"/>
            <w:vMerge w:val="continue"/>
            <w:shd w:val="clear" w:color="auto" w:fill="auto"/>
            <w:vAlign w:val="center"/>
          </w:tcPr>
          <w:p w14:paraId="3C40615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FE77B5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4DB2A9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4.3 具有手动和自动两种调光模式； </w:t>
            </w:r>
          </w:p>
        </w:tc>
        <w:tc>
          <w:tcPr>
            <w:tcW w:w="1383" w:type="dxa"/>
            <w:shd w:val="clear" w:color="auto" w:fill="auto"/>
            <w:vAlign w:val="center"/>
          </w:tcPr>
          <w:p w14:paraId="7D58307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E31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23" w:type="dxa"/>
            <w:vMerge w:val="continue"/>
            <w:shd w:val="clear" w:color="auto" w:fill="auto"/>
            <w:vAlign w:val="center"/>
          </w:tcPr>
          <w:p w14:paraId="6D560D8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E4CD5F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BBFFFB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4.4 具有透光功能，光源以最大亮度和最小亮度闪烁输出，持续时间6~8 秒，可用于对镜体头端部的定位。</w:t>
            </w:r>
          </w:p>
        </w:tc>
        <w:tc>
          <w:tcPr>
            <w:tcW w:w="1383" w:type="dxa"/>
            <w:shd w:val="clear" w:color="auto" w:fill="auto"/>
            <w:vAlign w:val="center"/>
          </w:tcPr>
          <w:p w14:paraId="7C2BEFB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6C1A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223" w:type="dxa"/>
            <w:vMerge w:val="restart"/>
            <w:shd w:val="clear" w:color="auto" w:fill="auto"/>
            <w:vAlign w:val="center"/>
          </w:tcPr>
          <w:p w14:paraId="791D065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w:t>
            </w:r>
          </w:p>
        </w:tc>
        <w:tc>
          <w:tcPr>
            <w:tcW w:w="867" w:type="dxa"/>
            <w:vMerge w:val="restart"/>
            <w:shd w:val="clear" w:color="auto" w:fill="auto"/>
            <w:vAlign w:val="center"/>
          </w:tcPr>
          <w:p w14:paraId="380F837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电子十二指肠镜</w:t>
            </w:r>
          </w:p>
        </w:tc>
        <w:tc>
          <w:tcPr>
            <w:tcW w:w="11200" w:type="dxa"/>
            <w:gridSpan w:val="3"/>
            <w:shd w:val="clear" w:color="auto" w:fill="auto"/>
            <w:vAlign w:val="center"/>
          </w:tcPr>
          <w:p w14:paraId="721081D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▲5.1 视野角：≥100°；</w:t>
            </w:r>
          </w:p>
        </w:tc>
        <w:tc>
          <w:tcPr>
            <w:tcW w:w="1383" w:type="dxa"/>
            <w:shd w:val="clear" w:color="auto" w:fill="auto"/>
            <w:vAlign w:val="center"/>
          </w:tcPr>
          <w:p w14:paraId="2240EB5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1398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1223" w:type="dxa"/>
            <w:vMerge w:val="continue"/>
            <w:shd w:val="clear" w:color="auto" w:fill="auto"/>
            <w:vAlign w:val="center"/>
          </w:tcPr>
          <w:p w14:paraId="32ED57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0D310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63136A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5.2 视野方向：后方斜视105°；</w:t>
            </w:r>
          </w:p>
        </w:tc>
        <w:tc>
          <w:tcPr>
            <w:tcW w:w="1383" w:type="dxa"/>
            <w:shd w:val="clear" w:color="auto" w:fill="auto"/>
            <w:vAlign w:val="center"/>
          </w:tcPr>
          <w:p w14:paraId="611C472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028B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223" w:type="dxa"/>
            <w:vMerge w:val="continue"/>
            <w:shd w:val="clear" w:color="auto" w:fill="auto"/>
            <w:vAlign w:val="center"/>
          </w:tcPr>
          <w:p w14:paraId="3A45F36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4233BE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60B853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▲5.3 景深：≥4mm~60mm；</w:t>
            </w:r>
          </w:p>
        </w:tc>
        <w:tc>
          <w:tcPr>
            <w:tcW w:w="1383" w:type="dxa"/>
            <w:shd w:val="clear" w:color="auto" w:fill="auto"/>
            <w:vAlign w:val="center"/>
          </w:tcPr>
          <w:p w14:paraId="5CC1EB6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04E6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jc w:val="center"/>
        </w:trPr>
        <w:tc>
          <w:tcPr>
            <w:tcW w:w="1223" w:type="dxa"/>
            <w:vMerge w:val="continue"/>
            <w:shd w:val="clear" w:color="auto" w:fill="auto"/>
            <w:vAlign w:val="center"/>
          </w:tcPr>
          <w:p w14:paraId="662A9A1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AB628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442314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5.4 先端部外径：≤13.5mm；</w:t>
            </w:r>
          </w:p>
        </w:tc>
        <w:tc>
          <w:tcPr>
            <w:tcW w:w="1383" w:type="dxa"/>
            <w:shd w:val="clear" w:color="auto" w:fill="auto"/>
            <w:vAlign w:val="center"/>
          </w:tcPr>
          <w:p w14:paraId="134ECE8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22F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2C13DA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211568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438F20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5.5 插入部外径：≤11.3mm；</w:t>
            </w:r>
          </w:p>
        </w:tc>
        <w:tc>
          <w:tcPr>
            <w:tcW w:w="1383" w:type="dxa"/>
            <w:shd w:val="clear" w:color="auto" w:fill="auto"/>
            <w:vAlign w:val="center"/>
          </w:tcPr>
          <w:p w14:paraId="4A4AE6D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68A6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58E8A3F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5C5BE3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EAA161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5.6 弯曲角度： 上：≥120°、下：≥90°、左：≥90°、右：≥110°；</w:t>
            </w:r>
          </w:p>
        </w:tc>
        <w:tc>
          <w:tcPr>
            <w:tcW w:w="1383" w:type="dxa"/>
            <w:shd w:val="clear" w:color="auto" w:fill="auto"/>
            <w:vAlign w:val="center"/>
          </w:tcPr>
          <w:p w14:paraId="06AADCE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3E10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5DB21DE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C5EC3A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5F558D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5.7 有效长度：≥1250mm；</w:t>
            </w:r>
          </w:p>
        </w:tc>
        <w:tc>
          <w:tcPr>
            <w:tcW w:w="1383" w:type="dxa"/>
            <w:shd w:val="clear" w:color="auto" w:fill="auto"/>
            <w:vAlign w:val="center"/>
          </w:tcPr>
          <w:p w14:paraId="1127CFB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3A11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609053A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CB2443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44482C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▲5.8 钳子管道内径：≥4.2mm；</w:t>
            </w:r>
          </w:p>
        </w:tc>
        <w:tc>
          <w:tcPr>
            <w:tcW w:w="1383" w:type="dxa"/>
            <w:shd w:val="clear" w:color="auto" w:fill="auto"/>
            <w:vAlign w:val="center"/>
          </w:tcPr>
          <w:p w14:paraId="6F17827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3568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7205547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3D9EEF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21270BA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5.9 最小可视距离：距离先端部：≤10mm；</w:t>
            </w:r>
          </w:p>
        </w:tc>
        <w:tc>
          <w:tcPr>
            <w:tcW w:w="1383" w:type="dxa"/>
            <w:shd w:val="clear" w:color="auto" w:fill="auto"/>
            <w:vAlign w:val="center"/>
          </w:tcPr>
          <w:p w14:paraId="431091B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536F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18E5313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281419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B4FAEE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5.10 具备内镜信息记忆功能；</w:t>
            </w:r>
          </w:p>
        </w:tc>
        <w:tc>
          <w:tcPr>
            <w:tcW w:w="1383" w:type="dxa"/>
            <w:shd w:val="clear" w:color="auto" w:fill="auto"/>
            <w:vAlign w:val="center"/>
          </w:tcPr>
          <w:p w14:paraId="04486C3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23391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64102A3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5B6EE9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CB235C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5.11 内置抬钳器可引导夹持导丝；</w:t>
            </w:r>
          </w:p>
        </w:tc>
        <w:tc>
          <w:tcPr>
            <w:tcW w:w="1383" w:type="dxa"/>
            <w:shd w:val="clear" w:color="auto" w:fill="auto"/>
            <w:vAlign w:val="center"/>
          </w:tcPr>
          <w:p w14:paraId="55B39E0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72C3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1223" w:type="dxa"/>
            <w:vMerge w:val="continue"/>
            <w:shd w:val="clear" w:color="auto" w:fill="auto"/>
            <w:vAlign w:val="center"/>
          </w:tcPr>
          <w:p w14:paraId="184AB3E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356541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5D2166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5.12 兼容氙灯光源或多波长LED光源。</w:t>
            </w:r>
          </w:p>
        </w:tc>
        <w:tc>
          <w:tcPr>
            <w:tcW w:w="1383" w:type="dxa"/>
            <w:shd w:val="clear" w:color="auto" w:fill="auto"/>
            <w:vAlign w:val="center"/>
          </w:tcPr>
          <w:p w14:paraId="4B0FE37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47BA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223" w:type="dxa"/>
            <w:shd w:val="clear" w:color="auto" w:fill="auto"/>
            <w:vAlign w:val="center"/>
          </w:tcPr>
          <w:p w14:paraId="785E7B0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w:t>
            </w:r>
          </w:p>
        </w:tc>
        <w:tc>
          <w:tcPr>
            <w:tcW w:w="867" w:type="dxa"/>
            <w:shd w:val="clear" w:color="auto" w:fill="auto"/>
            <w:vAlign w:val="center"/>
          </w:tcPr>
          <w:p w14:paraId="23E16B5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高清医用显示器要求:</w:t>
            </w:r>
          </w:p>
        </w:tc>
        <w:tc>
          <w:tcPr>
            <w:tcW w:w="11200" w:type="dxa"/>
            <w:gridSpan w:val="3"/>
            <w:shd w:val="clear" w:color="auto" w:fill="auto"/>
            <w:vAlign w:val="center"/>
          </w:tcPr>
          <w:p w14:paraId="1FBACDC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医用级高清显示器，尺寸：≥27英寸，分辨率：≥1920*1080P。</w:t>
            </w:r>
          </w:p>
        </w:tc>
        <w:tc>
          <w:tcPr>
            <w:tcW w:w="1383" w:type="dxa"/>
            <w:shd w:val="clear" w:color="auto" w:fill="auto"/>
            <w:vAlign w:val="center"/>
          </w:tcPr>
          <w:p w14:paraId="630BB5E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zh-CN"/>
              </w:rPr>
            </w:pPr>
          </w:p>
        </w:tc>
      </w:tr>
      <w:tr w14:paraId="6B11E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40E3949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w:t>
            </w:r>
          </w:p>
        </w:tc>
        <w:tc>
          <w:tcPr>
            <w:tcW w:w="867" w:type="dxa"/>
            <w:vMerge w:val="restart"/>
            <w:shd w:val="clear" w:color="auto" w:fill="auto"/>
            <w:vAlign w:val="center"/>
          </w:tcPr>
          <w:p w14:paraId="502F531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医用台车要求</w:t>
            </w:r>
          </w:p>
        </w:tc>
        <w:tc>
          <w:tcPr>
            <w:tcW w:w="11200" w:type="dxa"/>
            <w:gridSpan w:val="3"/>
            <w:shd w:val="clear" w:color="auto" w:fill="auto"/>
            <w:vAlign w:val="center"/>
          </w:tcPr>
          <w:p w14:paraId="4D7D1CC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7.1专业设计的内镜专用台车，显示器支臂可360度旋转; </w:t>
            </w:r>
          </w:p>
        </w:tc>
        <w:tc>
          <w:tcPr>
            <w:tcW w:w="1383" w:type="dxa"/>
            <w:shd w:val="clear" w:color="auto" w:fill="auto"/>
            <w:vAlign w:val="center"/>
          </w:tcPr>
          <w:p w14:paraId="1066BE7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0E6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77D087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24DD66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6F049D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7.2具备一键电源开关，整体台车具有更好的绝缘性、防水性和耐腐蚀性。</w:t>
            </w:r>
          </w:p>
        </w:tc>
        <w:tc>
          <w:tcPr>
            <w:tcW w:w="1383" w:type="dxa"/>
            <w:shd w:val="clear" w:color="auto" w:fill="auto"/>
            <w:vAlign w:val="center"/>
          </w:tcPr>
          <w:p w14:paraId="1C46067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362AA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3898756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w:t>
            </w:r>
          </w:p>
        </w:tc>
        <w:tc>
          <w:tcPr>
            <w:tcW w:w="867" w:type="dxa"/>
            <w:vMerge w:val="restart"/>
            <w:shd w:val="clear" w:color="auto" w:fill="auto"/>
            <w:vAlign w:val="center"/>
          </w:tcPr>
          <w:p w14:paraId="7654D26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内窥镜用送水装置要求</w:t>
            </w:r>
          </w:p>
        </w:tc>
        <w:tc>
          <w:tcPr>
            <w:tcW w:w="11200" w:type="dxa"/>
            <w:gridSpan w:val="3"/>
            <w:shd w:val="clear" w:color="auto" w:fill="auto"/>
            <w:vAlign w:val="center"/>
          </w:tcPr>
          <w:p w14:paraId="6115EEA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8.1流量调节范围：0~270mL/min，档位：≥10 档；</w:t>
            </w:r>
          </w:p>
        </w:tc>
        <w:tc>
          <w:tcPr>
            <w:tcW w:w="1383" w:type="dxa"/>
            <w:shd w:val="clear" w:color="auto" w:fill="auto"/>
            <w:vAlign w:val="center"/>
          </w:tcPr>
          <w:p w14:paraId="3BD658B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912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37C096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7327BF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2D61E9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▲8.2 最小流量调节单位：≤27mL/min；</w:t>
            </w:r>
          </w:p>
        </w:tc>
        <w:tc>
          <w:tcPr>
            <w:tcW w:w="1383" w:type="dxa"/>
            <w:shd w:val="clear" w:color="auto" w:fill="auto"/>
            <w:vAlign w:val="center"/>
          </w:tcPr>
          <w:p w14:paraId="397841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95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3408B24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A15CE9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2D68CF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▲8.3 当设置流量：≥100mL/min 时，允差为±10%；当设置流量：＜100mL/min 时，允差为±10mL/min；</w:t>
            </w:r>
          </w:p>
        </w:tc>
        <w:tc>
          <w:tcPr>
            <w:tcW w:w="1383" w:type="dxa"/>
            <w:shd w:val="clear" w:color="auto" w:fill="auto"/>
            <w:vAlign w:val="center"/>
          </w:tcPr>
          <w:p w14:paraId="674975C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F2E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68443A4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EFE866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4F393C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8.4最大传输压强：≤400kPa；</w:t>
            </w:r>
          </w:p>
        </w:tc>
        <w:tc>
          <w:tcPr>
            <w:tcW w:w="1383" w:type="dxa"/>
            <w:shd w:val="clear" w:color="auto" w:fill="auto"/>
            <w:vAlign w:val="center"/>
          </w:tcPr>
          <w:p w14:paraId="6743BE2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C94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5F066E5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9A7C57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2888D8F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8.5限时保护功能，单次连续最长送水时间 20s，允差±2s；</w:t>
            </w:r>
          </w:p>
        </w:tc>
        <w:tc>
          <w:tcPr>
            <w:tcW w:w="1383" w:type="dxa"/>
            <w:shd w:val="clear" w:color="auto" w:fill="auto"/>
            <w:vAlign w:val="center"/>
          </w:tcPr>
          <w:p w14:paraId="715A3DF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A6E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597DE6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4694A8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22B84C4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8.6电源条件，额定电压： 100~240V，频率： 50/60Hz，输入功率： 60VA。</w:t>
            </w:r>
          </w:p>
        </w:tc>
        <w:tc>
          <w:tcPr>
            <w:tcW w:w="1383" w:type="dxa"/>
            <w:shd w:val="clear" w:color="auto" w:fill="auto"/>
            <w:vAlign w:val="center"/>
          </w:tcPr>
          <w:p w14:paraId="7BB71F7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A6B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27758A6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w:t>
            </w:r>
          </w:p>
        </w:tc>
        <w:tc>
          <w:tcPr>
            <w:tcW w:w="867" w:type="dxa"/>
            <w:vMerge w:val="restart"/>
            <w:shd w:val="clear" w:color="auto" w:fill="auto"/>
            <w:vAlign w:val="center"/>
          </w:tcPr>
          <w:p w14:paraId="4914409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内窥镜用二氧化碳送气装置</w:t>
            </w:r>
          </w:p>
        </w:tc>
        <w:tc>
          <w:tcPr>
            <w:tcW w:w="11200" w:type="dxa"/>
            <w:gridSpan w:val="3"/>
            <w:shd w:val="clear" w:color="auto" w:fill="auto"/>
            <w:vAlign w:val="center"/>
          </w:tcPr>
          <w:p w14:paraId="0CF1AB5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▲9.1 流量调节范围：低档： 1.25 L/min，允差： ± 0.25 L/min；中档： 2.0 L/min，允差： ± 0.25 L/min；高档： 4.0 L/min，允差： ± 0.5 L/min；</w:t>
            </w:r>
          </w:p>
        </w:tc>
        <w:tc>
          <w:tcPr>
            <w:tcW w:w="1383" w:type="dxa"/>
            <w:shd w:val="clear" w:color="auto" w:fill="auto"/>
            <w:vAlign w:val="center"/>
          </w:tcPr>
          <w:p w14:paraId="2C0F9C7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A97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5C79D4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B214B8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5725B9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9.2流量显示准确性：低档流量显示的允差：± 0.25 L/min；中档流量显示的允差：± 0.25 L/min；高档流量显示的允差：± 0.5 L/min；</w:t>
            </w:r>
          </w:p>
        </w:tc>
        <w:tc>
          <w:tcPr>
            <w:tcW w:w="1383" w:type="dxa"/>
            <w:shd w:val="clear" w:color="auto" w:fill="auto"/>
            <w:vAlign w:val="center"/>
          </w:tcPr>
          <w:p w14:paraId="5EC6683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C92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D782E8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DE83ED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A7E720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▲9.3 定时功能，具有 15 分钟、 30 分钟、 60 分钟、 120 分钟：≥4档可调的定时功能，允差：±10S；</w:t>
            </w:r>
          </w:p>
        </w:tc>
        <w:tc>
          <w:tcPr>
            <w:tcW w:w="1383" w:type="dxa"/>
            <w:shd w:val="clear" w:color="auto" w:fill="auto"/>
            <w:vAlign w:val="center"/>
          </w:tcPr>
          <w:p w14:paraId="2561BA2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62C9F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53B0A7D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10E45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E60CF1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9.4气体最大输出压强：≥45kPa；</w:t>
            </w:r>
          </w:p>
        </w:tc>
        <w:tc>
          <w:tcPr>
            <w:tcW w:w="1383" w:type="dxa"/>
            <w:shd w:val="clear" w:color="auto" w:fill="auto"/>
            <w:vAlign w:val="center"/>
          </w:tcPr>
          <w:p w14:paraId="2586840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7647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6EFDCCC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BE5EF6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5C2860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9.5工作噪声：≤55dB；</w:t>
            </w:r>
          </w:p>
        </w:tc>
        <w:tc>
          <w:tcPr>
            <w:tcW w:w="1383" w:type="dxa"/>
            <w:shd w:val="clear" w:color="auto" w:fill="auto"/>
            <w:vAlign w:val="center"/>
          </w:tcPr>
          <w:p w14:paraId="418745E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5C65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35A246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0F507D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F43C04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9.6电源条件，额定电压： 100~240V，频率： 50/60Hz，输入功率：≥120VA。</w:t>
            </w:r>
          </w:p>
        </w:tc>
        <w:tc>
          <w:tcPr>
            <w:tcW w:w="1383" w:type="dxa"/>
            <w:shd w:val="clear" w:color="auto" w:fill="auto"/>
            <w:vAlign w:val="center"/>
          </w:tcPr>
          <w:p w14:paraId="3336E74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EAB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41C49A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w:t>
            </w:r>
          </w:p>
        </w:tc>
        <w:tc>
          <w:tcPr>
            <w:tcW w:w="867" w:type="dxa"/>
            <w:vMerge w:val="restart"/>
            <w:shd w:val="clear" w:color="auto" w:fill="auto"/>
            <w:vAlign w:val="center"/>
          </w:tcPr>
          <w:p w14:paraId="753FEE7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内窥镜医学影像工作站要求</w:t>
            </w:r>
          </w:p>
        </w:tc>
        <w:tc>
          <w:tcPr>
            <w:tcW w:w="11200" w:type="dxa"/>
            <w:gridSpan w:val="3"/>
            <w:shd w:val="clear" w:color="auto" w:fill="auto"/>
            <w:vAlign w:val="center"/>
          </w:tcPr>
          <w:p w14:paraId="689FA95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10.1支持HDMI、DVI、HD-SDI等接口的高清内窥镜设备连接；</w:t>
            </w:r>
          </w:p>
        </w:tc>
        <w:tc>
          <w:tcPr>
            <w:tcW w:w="1383" w:type="dxa"/>
            <w:shd w:val="clear" w:color="auto" w:fill="auto"/>
            <w:vAlign w:val="center"/>
          </w:tcPr>
          <w:p w14:paraId="1F76A54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7EE37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E68985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53BB48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516F21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10.2支持所有高清格式的采集与显示，如1080i、1080p等；</w:t>
            </w:r>
          </w:p>
        </w:tc>
        <w:tc>
          <w:tcPr>
            <w:tcW w:w="1383" w:type="dxa"/>
            <w:shd w:val="clear" w:color="auto" w:fill="auto"/>
            <w:vAlign w:val="center"/>
          </w:tcPr>
          <w:p w14:paraId="2D25BC5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5B2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7C0E936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AC7E27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786C02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10.3支持：≥1920×1080分辨率图像的完整采集和指定区域采集；</w:t>
            </w:r>
          </w:p>
        </w:tc>
        <w:tc>
          <w:tcPr>
            <w:tcW w:w="1383" w:type="dxa"/>
            <w:shd w:val="clear" w:color="auto" w:fill="auto"/>
            <w:vAlign w:val="center"/>
          </w:tcPr>
          <w:p w14:paraId="2E2687C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7D09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94C7C8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69F19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25BAF0B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10.4支持：≥1080p高清格式的视频录制与回放；</w:t>
            </w:r>
          </w:p>
        </w:tc>
        <w:tc>
          <w:tcPr>
            <w:tcW w:w="1383" w:type="dxa"/>
            <w:shd w:val="clear" w:color="auto" w:fill="auto"/>
            <w:vAlign w:val="center"/>
          </w:tcPr>
          <w:p w14:paraId="3A81960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505AD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26E6A0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7E329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CA8671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10.5支持：≥1080p视频录制同时的视频流畅显示和静态图像采集；</w:t>
            </w:r>
          </w:p>
        </w:tc>
        <w:tc>
          <w:tcPr>
            <w:tcW w:w="1383" w:type="dxa"/>
            <w:shd w:val="clear" w:color="auto" w:fill="auto"/>
            <w:vAlign w:val="center"/>
          </w:tcPr>
          <w:p w14:paraId="49A7DD8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6FF0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DAB24D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046A6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B9BFF9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10.6支持已录制高清视频回放时的静态图像二次采集；</w:t>
            </w:r>
          </w:p>
        </w:tc>
        <w:tc>
          <w:tcPr>
            <w:tcW w:w="1383" w:type="dxa"/>
            <w:shd w:val="clear" w:color="auto" w:fill="auto"/>
            <w:vAlign w:val="center"/>
          </w:tcPr>
          <w:p w14:paraId="1058B94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F0E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7E7A3E1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A02233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1929E5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10.7支持静态图像和动态影像采集时的声音提醒；</w:t>
            </w:r>
          </w:p>
        </w:tc>
        <w:tc>
          <w:tcPr>
            <w:tcW w:w="1383" w:type="dxa"/>
            <w:shd w:val="clear" w:color="auto" w:fill="auto"/>
            <w:vAlign w:val="center"/>
          </w:tcPr>
          <w:p w14:paraId="04FE859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648F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32F09F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8BB44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945670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10.8采用单界面操作，采集图像、书写报告和病案管理均在同一界面下操作，采集图像的同时不影响其它操作；</w:t>
            </w:r>
          </w:p>
        </w:tc>
        <w:tc>
          <w:tcPr>
            <w:tcW w:w="1383" w:type="dxa"/>
            <w:shd w:val="clear" w:color="auto" w:fill="auto"/>
            <w:vAlign w:val="center"/>
          </w:tcPr>
          <w:p w14:paraId="4B054F5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068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02932B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DC9289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0FE8D0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▲10.9 用户分角色管理：根据不同角色管理用户权限，不同角色具有不同授权，用户分属不同角色；</w:t>
            </w:r>
          </w:p>
        </w:tc>
        <w:tc>
          <w:tcPr>
            <w:tcW w:w="1383" w:type="dxa"/>
            <w:shd w:val="clear" w:color="auto" w:fill="auto"/>
            <w:vAlign w:val="center"/>
          </w:tcPr>
          <w:p w14:paraId="3CD3FFB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5CE2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EE6B8B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C8F3E5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7E95EC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10.10具有资料的光盘刻录备份功能，支持多种类型光盘；</w:t>
            </w:r>
          </w:p>
        </w:tc>
        <w:tc>
          <w:tcPr>
            <w:tcW w:w="1383" w:type="dxa"/>
            <w:shd w:val="clear" w:color="auto" w:fill="auto"/>
            <w:vAlign w:val="center"/>
          </w:tcPr>
          <w:p w14:paraId="4D0F866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1734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E1AD49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FFD32F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5FC540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▲10.11 不限段和自选压缩编码录像采集：不限段数录像，可根据需要自选录像压缩编码，适应不同视频处理需求。采集的录像采用即采即存模式，看到录像文件产生的同时即已完成存盘操作。录制范围可自行裁剪区域；</w:t>
            </w:r>
          </w:p>
        </w:tc>
        <w:tc>
          <w:tcPr>
            <w:tcW w:w="1383" w:type="dxa"/>
            <w:shd w:val="clear" w:color="auto" w:fill="auto"/>
            <w:vAlign w:val="center"/>
          </w:tcPr>
          <w:p w14:paraId="18CC0E4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3E9F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45C884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C902E9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2F96C03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10.12多种格式的图像和报告单导出：提供多种格式的图像导出和完整的诊断报告导出，如JPG、BMP、XPS等；</w:t>
            </w:r>
          </w:p>
        </w:tc>
        <w:tc>
          <w:tcPr>
            <w:tcW w:w="1383" w:type="dxa"/>
            <w:shd w:val="clear" w:color="auto" w:fill="auto"/>
            <w:vAlign w:val="center"/>
          </w:tcPr>
          <w:p w14:paraId="3FB6A6F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7289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3CDA6B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61AE50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84B7E7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10.13模板智能识别：根据检查类型、操作医生等自动匹配模板</w:t>
            </w:r>
            <w:r>
              <w:rPr>
                <w:rFonts w:hint="eastAsia" w:ascii="仿宋" w:hAnsi="仿宋" w:eastAsia="仿宋" w:cs="仿宋"/>
                <w:b w:val="0"/>
                <w:bCs w:val="0"/>
                <w:color w:val="auto"/>
                <w:sz w:val="21"/>
                <w:szCs w:val="21"/>
                <w:highlight w:val="none"/>
                <w:lang w:val="en-US" w:eastAsia="zh-CN"/>
              </w:rPr>
              <w:t>，提供词条模板和大模板；</w:t>
            </w:r>
          </w:p>
        </w:tc>
        <w:tc>
          <w:tcPr>
            <w:tcW w:w="1383" w:type="dxa"/>
            <w:shd w:val="clear" w:color="auto" w:fill="auto"/>
            <w:vAlign w:val="center"/>
          </w:tcPr>
          <w:p w14:paraId="6DEA67D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617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98503D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1A7F8F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BB49A1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10.14既往报告：检查患者时可以同时浏览该患者的既往报告，包括图像和诊断结果；</w:t>
            </w:r>
          </w:p>
        </w:tc>
        <w:tc>
          <w:tcPr>
            <w:tcW w:w="1383" w:type="dxa"/>
            <w:shd w:val="clear" w:color="auto" w:fill="auto"/>
            <w:vAlign w:val="center"/>
          </w:tcPr>
          <w:p w14:paraId="3E81DC4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2B1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896249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D306A3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0EBEC9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▲10.15 查询浏览同一病员的多次检查报告时，在同一界面即可全部浏览，无须反复查询调阅；</w:t>
            </w:r>
          </w:p>
        </w:tc>
        <w:tc>
          <w:tcPr>
            <w:tcW w:w="1383" w:type="dxa"/>
            <w:shd w:val="clear" w:color="auto" w:fill="auto"/>
            <w:vAlign w:val="center"/>
          </w:tcPr>
          <w:p w14:paraId="409FF85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026C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7C860D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6B2D9E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FAA73C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▲10.16 多病人多报告对比：可查询一定条件的检查记录，浏览图像和诊断结果，与当前患者进行对比；</w:t>
            </w:r>
          </w:p>
        </w:tc>
        <w:tc>
          <w:tcPr>
            <w:tcW w:w="1383" w:type="dxa"/>
            <w:shd w:val="clear" w:color="auto" w:fill="auto"/>
            <w:vAlign w:val="center"/>
          </w:tcPr>
          <w:p w14:paraId="22A6500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652D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DAA91E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C82919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45F86B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10.17自定义诊断报告：根据要求进行诊断报告模式设计。支持报告单的所见即所得模式；</w:t>
            </w:r>
          </w:p>
        </w:tc>
        <w:tc>
          <w:tcPr>
            <w:tcW w:w="1383" w:type="dxa"/>
            <w:shd w:val="clear" w:color="auto" w:fill="auto"/>
            <w:vAlign w:val="center"/>
          </w:tcPr>
          <w:p w14:paraId="740C358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121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5A8ED24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96C9C8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AF5CAB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10.18自定义打印缩放比：无需调整打印机即可设置打印缩放比，可以默认缩放比或临时修改缩放比。</w:t>
            </w:r>
          </w:p>
        </w:tc>
        <w:tc>
          <w:tcPr>
            <w:tcW w:w="1383" w:type="dxa"/>
            <w:shd w:val="clear" w:color="auto" w:fill="auto"/>
            <w:vAlign w:val="center"/>
          </w:tcPr>
          <w:p w14:paraId="5DA4448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792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207298D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w:t>
            </w:r>
          </w:p>
        </w:tc>
        <w:tc>
          <w:tcPr>
            <w:tcW w:w="867" w:type="dxa"/>
            <w:vMerge w:val="restart"/>
            <w:shd w:val="clear" w:color="auto" w:fill="auto"/>
            <w:vAlign w:val="center"/>
          </w:tcPr>
          <w:p w14:paraId="76FFFF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胃肠电图检测器要求</w:t>
            </w:r>
          </w:p>
        </w:tc>
        <w:tc>
          <w:tcPr>
            <w:tcW w:w="11200" w:type="dxa"/>
            <w:gridSpan w:val="3"/>
            <w:shd w:val="clear" w:color="auto" w:fill="auto"/>
            <w:vAlign w:val="center"/>
          </w:tcPr>
          <w:p w14:paraId="32069CB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11.1 临床应用范围：可对胃节律紊乱综合症、胃动过速、胃动过缓、胃轻瘫、胃功能性消化不良、胃动力不足、肠易激综合征等胃肠动力疾病作出准确诊断，对胃炎、胃溃疡等器质性病变提供临床参考诊断；</w:t>
            </w:r>
          </w:p>
        </w:tc>
        <w:tc>
          <w:tcPr>
            <w:tcW w:w="1383" w:type="dxa"/>
            <w:shd w:val="clear" w:color="auto" w:fill="auto"/>
            <w:vAlign w:val="center"/>
          </w:tcPr>
          <w:p w14:paraId="33E85EB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5AD9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D0B088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66267C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2A6AB0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▲11.2.1胃肠电通道数：≥8通道，可胃肠同步检测；</w:t>
            </w:r>
          </w:p>
        </w:tc>
        <w:tc>
          <w:tcPr>
            <w:tcW w:w="1383" w:type="dxa"/>
            <w:vMerge w:val="restart"/>
            <w:shd w:val="clear" w:color="auto" w:fill="auto"/>
            <w:vAlign w:val="center"/>
          </w:tcPr>
          <w:p w14:paraId="248AC4E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 系统分析功能</w:t>
            </w:r>
          </w:p>
        </w:tc>
      </w:tr>
      <w:tr w14:paraId="50FF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C1710D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73E834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0D8E6F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▲11.2.2临床检查报告具备自动分析功能，异常用箭头进行标准；</w:t>
            </w:r>
          </w:p>
        </w:tc>
        <w:tc>
          <w:tcPr>
            <w:tcW w:w="1383" w:type="dxa"/>
            <w:vMerge w:val="continue"/>
            <w:shd w:val="clear" w:color="auto" w:fill="auto"/>
            <w:vAlign w:val="center"/>
          </w:tcPr>
          <w:p w14:paraId="1F218DF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092E3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9477C4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4B36A8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6FD8F7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▲11.2.3 临床检查报告有数据分析诊断报告、三维动态功率谱分析报告、二维功率谱分析报告、波形数据时域分析报告等多种报告形式，其算法采用国际共识傅里叶算法；</w:t>
            </w:r>
          </w:p>
        </w:tc>
        <w:tc>
          <w:tcPr>
            <w:tcW w:w="1383" w:type="dxa"/>
            <w:vMerge w:val="continue"/>
            <w:shd w:val="clear" w:color="auto" w:fill="auto"/>
            <w:vAlign w:val="center"/>
          </w:tcPr>
          <w:p w14:paraId="415C828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EBB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4ABB70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FC9063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22D196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11.2.4自动分析报告临床诊断指标包含但不局限于：波形平均幅值、波形平均频率、胃肠电节律紊乱百分比、波形反应面积、导联时间差、波形主频率、主功率比、正常慢波百分比、慢波频率不稳定系数、偶联百分比、餐后/餐前功率比等；</w:t>
            </w:r>
          </w:p>
        </w:tc>
        <w:tc>
          <w:tcPr>
            <w:tcW w:w="1383" w:type="dxa"/>
            <w:vMerge w:val="continue"/>
            <w:shd w:val="clear" w:color="auto" w:fill="auto"/>
            <w:vAlign w:val="center"/>
          </w:tcPr>
          <w:p w14:paraId="2C14616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860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94EE75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E87F91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A51FDC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11.2.5胃肠电三维动态功率谱自动分析功能包含但不局限于以下指标：正常频率百分比；过缓频率百分比；过速频率百分比；主功率比；主频率；餐后/餐前功率比等；</w:t>
            </w:r>
          </w:p>
        </w:tc>
        <w:tc>
          <w:tcPr>
            <w:tcW w:w="1383" w:type="dxa"/>
            <w:vMerge w:val="continue"/>
            <w:shd w:val="clear" w:color="auto" w:fill="auto"/>
            <w:vAlign w:val="center"/>
          </w:tcPr>
          <w:p w14:paraId="1065BB4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04C48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6D5C5E1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9B859D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231AA2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11.2.6波形数据分析功能研究参数：平均幅值、过缓能量百分比、餐前正常能量百分比，餐后正常能量百分比，过速能量百分比、平均频率、过缓频率百分比、正常频率百分比，过速频率百分比、幅值紊乱百分比、频率紊乱百分比、胃肠节律紊乱百分比、平均反应面积、与第一通道时间差等；</w:t>
            </w:r>
          </w:p>
        </w:tc>
        <w:tc>
          <w:tcPr>
            <w:tcW w:w="1383" w:type="dxa"/>
            <w:vMerge w:val="continue"/>
            <w:shd w:val="clear" w:color="auto" w:fill="auto"/>
            <w:vAlign w:val="center"/>
          </w:tcPr>
          <w:p w14:paraId="6BC82D6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D49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083D2A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E6AB77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0EA84E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11.2.7特殊功能：波形幅值及频率及时计算功能；干扰</w:t>
            </w:r>
            <w:r>
              <w:rPr>
                <w:rFonts w:hint="eastAsia" w:ascii="仿宋" w:hAnsi="仿宋" w:eastAsia="仿宋" w:cs="仿宋"/>
                <w:b w:val="0"/>
                <w:bCs w:val="0"/>
                <w:color w:val="auto"/>
                <w:sz w:val="21"/>
                <w:szCs w:val="21"/>
                <w:highlight w:val="none"/>
                <w:lang w:val="en-US" w:eastAsia="zh-CN"/>
              </w:rPr>
              <w:t>波形裁减功能；图文粘贴功能；标记制作功能；波形放大及缩小功能；频带设置功能；三维时段主频率显示功能；三维时段选择功能；</w:t>
            </w:r>
          </w:p>
        </w:tc>
        <w:tc>
          <w:tcPr>
            <w:tcW w:w="1383" w:type="dxa"/>
            <w:vMerge w:val="continue"/>
            <w:shd w:val="clear" w:color="auto" w:fill="auto"/>
            <w:vAlign w:val="center"/>
          </w:tcPr>
          <w:p w14:paraId="2A7BB2D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724B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2DD90B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553049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336196F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11.2.8分析诊断系统：诊断胃肠动力正常、过缓、过速、胃动力不足、肠动力不足、胃肠节律紊乱等功能性疾病；</w:t>
            </w:r>
          </w:p>
        </w:tc>
        <w:tc>
          <w:tcPr>
            <w:tcW w:w="1383" w:type="dxa"/>
            <w:vMerge w:val="continue"/>
            <w:shd w:val="clear" w:color="auto" w:fill="auto"/>
            <w:vAlign w:val="center"/>
          </w:tcPr>
          <w:p w14:paraId="52E88A7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2A0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B46AC3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DBF239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1157402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11.2.8.1胃电图：餐前与餐后胃电振幅异常或正常、餐前与餐后胃电节律异常或正常、餐后胃电反应异常或正常；</w:t>
            </w:r>
          </w:p>
          <w:p w14:paraId="27F4079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11.2.8.2肠电图：餐前与餐后肠电节律异常或正常、餐后肠电反应异常或正常；</w:t>
            </w:r>
          </w:p>
        </w:tc>
        <w:tc>
          <w:tcPr>
            <w:tcW w:w="1383" w:type="dxa"/>
            <w:vMerge w:val="continue"/>
            <w:shd w:val="clear" w:color="auto" w:fill="auto"/>
            <w:vAlign w:val="center"/>
          </w:tcPr>
          <w:p w14:paraId="2B6C175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491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BC07FD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000287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A077BD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11.2.9提供主频实时分析、胃电肠电规律性分析、胃肠电振幅实时原始数据调取、国际标准胃肠电频谱分析</w:t>
            </w:r>
            <w:r>
              <w:rPr>
                <w:rFonts w:hint="eastAsia" w:ascii="仿宋" w:hAnsi="仿宋" w:eastAsia="仿宋" w:cs="仿宋"/>
                <w:b w:val="0"/>
                <w:bCs w:val="0"/>
                <w:color w:val="auto"/>
                <w:sz w:val="21"/>
                <w:szCs w:val="21"/>
                <w:highlight w:val="none"/>
                <w:lang w:val="en-US" w:eastAsia="zh-CN"/>
              </w:rPr>
              <w:t>，符合胃肠电临床手册操作规范要求。</w:t>
            </w:r>
          </w:p>
        </w:tc>
        <w:tc>
          <w:tcPr>
            <w:tcW w:w="1383" w:type="dxa"/>
            <w:vMerge w:val="continue"/>
            <w:shd w:val="clear" w:color="auto" w:fill="auto"/>
            <w:vAlign w:val="center"/>
          </w:tcPr>
          <w:p w14:paraId="1002E6D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F2B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5BC8E36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034A19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0FA56A5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11.3.1 输入阻抗：≥5MΩ；</w:t>
            </w:r>
          </w:p>
        </w:tc>
        <w:tc>
          <w:tcPr>
            <w:tcW w:w="1383" w:type="dxa"/>
            <w:vMerge w:val="restart"/>
            <w:shd w:val="clear" w:color="auto" w:fill="auto"/>
            <w:vAlign w:val="center"/>
          </w:tcPr>
          <w:p w14:paraId="7D2A89A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r>
              <w:rPr>
                <w:rFonts w:hint="eastAsia" w:ascii="仿宋" w:hAnsi="仿宋" w:eastAsia="仿宋" w:cs="仿宋"/>
                <w:b w:val="0"/>
                <w:bCs w:val="0"/>
                <w:color w:val="auto"/>
                <w:sz w:val="21"/>
                <w:szCs w:val="21"/>
                <w:highlight w:val="none"/>
                <w:lang w:val="en-US" w:eastAsia="zh-CN"/>
              </w:rPr>
              <w:t>11.3主要技术指标要求</w:t>
            </w:r>
          </w:p>
        </w:tc>
      </w:tr>
      <w:tr w14:paraId="41DF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EDCB33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3030E85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571E8A4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▲11.3.2 灵敏度：输入端输入幅值30μV，频率为0.05Hz的正弦波信号，其输出读数应为30±1.5μV；</w:t>
            </w:r>
          </w:p>
        </w:tc>
        <w:tc>
          <w:tcPr>
            <w:tcW w:w="1383" w:type="dxa"/>
            <w:vMerge w:val="continue"/>
            <w:shd w:val="clear" w:color="auto" w:fill="auto"/>
            <w:vAlign w:val="center"/>
          </w:tcPr>
          <w:p w14:paraId="4A74871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82B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5B7FE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FD5845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77E26DE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▲11.3.3精确度：输入端输入幅值150μV，频率为0.05Hz的正弦波信号，其输出读数应为150±7.5μV；</w:t>
            </w:r>
          </w:p>
        </w:tc>
        <w:tc>
          <w:tcPr>
            <w:tcW w:w="1383" w:type="dxa"/>
            <w:vMerge w:val="continue"/>
            <w:shd w:val="clear" w:color="auto" w:fill="auto"/>
            <w:vAlign w:val="center"/>
          </w:tcPr>
          <w:p w14:paraId="0E479DE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3CBF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6DCA376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BC9B60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4CF970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11.3.4 噪声：输入端对地短路，在计算机上显示的幅值读数应＜3μVP－P；</w:t>
            </w:r>
          </w:p>
        </w:tc>
        <w:tc>
          <w:tcPr>
            <w:tcW w:w="1383" w:type="dxa"/>
            <w:vMerge w:val="continue"/>
            <w:shd w:val="clear" w:color="auto" w:fill="auto"/>
            <w:vAlign w:val="center"/>
          </w:tcPr>
          <w:p w14:paraId="7690B97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AA2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7B2C36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5751EC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4D5BA23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11.3.5 频带：胃电 0.025 HZ～0.067HZ，肠电0.025HZ～0.33HZ；</w:t>
            </w:r>
          </w:p>
        </w:tc>
        <w:tc>
          <w:tcPr>
            <w:tcW w:w="1383" w:type="dxa"/>
            <w:vMerge w:val="continue"/>
            <w:shd w:val="clear" w:color="auto" w:fill="auto"/>
            <w:vAlign w:val="center"/>
          </w:tcPr>
          <w:p w14:paraId="1DCA8B4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03BF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08C5CAD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8D4CBB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11200" w:type="dxa"/>
            <w:gridSpan w:val="3"/>
            <w:shd w:val="clear" w:color="auto" w:fill="auto"/>
            <w:vAlign w:val="center"/>
          </w:tcPr>
          <w:p w14:paraId="6A066FF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11.3.6 抗干扰能力：对工作频率0.05Hz的干扰CMRR≥70dB，道间干扰CMRR≥50dB。</w:t>
            </w:r>
          </w:p>
        </w:tc>
        <w:tc>
          <w:tcPr>
            <w:tcW w:w="1383" w:type="dxa"/>
            <w:vMerge w:val="continue"/>
            <w:shd w:val="clear" w:color="auto" w:fill="auto"/>
            <w:vAlign w:val="center"/>
          </w:tcPr>
          <w:p w14:paraId="2E90AC5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422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restart"/>
            <w:shd w:val="clear" w:color="auto" w:fill="auto"/>
            <w:vAlign w:val="center"/>
          </w:tcPr>
          <w:p w14:paraId="7D2BCDE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★12（实质性内容，必须满足项）</w:t>
            </w:r>
          </w:p>
        </w:tc>
        <w:tc>
          <w:tcPr>
            <w:tcW w:w="867" w:type="dxa"/>
            <w:vMerge w:val="restart"/>
            <w:shd w:val="clear" w:color="auto" w:fill="auto"/>
            <w:vAlign w:val="center"/>
          </w:tcPr>
          <w:p w14:paraId="47ED86D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bCs/>
                <w:sz w:val="21"/>
                <w:szCs w:val="21"/>
                <w:highlight w:val="none"/>
                <w:lang w:eastAsia="zh-CN"/>
              </w:rPr>
              <w:t>配置要求</w:t>
            </w:r>
          </w:p>
        </w:tc>
        <w:tc>
          <w:tcPr>
            <w:tcW w:w="11200" w:type="dxa"/>
            <w:gridSpan w:val="3"/>
            <w:shd w:val="clear" w:color="auto" w:fill="auto"/>
            <w:vAlign w:val="center"/>
          </w:tcPr>
          <w:p w14:paraId="14A3D29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12.1 医用内窥镜图像处理器：1台</w:t>
            </w:r>
          </w:p>
        </w:tc>
        <w:tc>
          <w:tcPr>
            <w:tcW w:w="1383" w:type="dxa"/>
            <w:shd w:val="clear" w:color="auto" w:fill="auto"/>
            <w:vAlign w:val="center"/>
          </w:tcPr>
          <w:p w14:paraId="7DFEA32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3403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6FDF25D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86D775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610D120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12.2 医用内窥镜冷光源：1台</w:t>
            </w:r>
          </w:p>
        </w:tc>
        <w:tc>
          <w:tcPr>
            <w:tcW w:w="1383" w:type="dxa"/>
            <w:shd w:val="clear" w:color="auto" w:fill="auto"/>
            <w:vAlign w:val="center"/>
          </w:tcPr>
          <w:p w14:paraId="65DE799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65C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DDB8A9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54DA5AF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2E54C62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12.3 电子十二指肠镜：2条</w:t>
            </w:r>
          </w:p>
        </w:tc>
        <w:tc>
          <w:tcPr>
            <w:tcW w:w="1383" w:type="dxa"/>
            <w:shd w:val="clear" w:color="auto" w:fill="auto"/>
            <w:vAlign w:val="center"/>
          </w:tcPr>
          <w:p w14:paraId="43A4B3C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08E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CFBF83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87DA12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3453611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12.4 医用监视器：1台　</w:t>
            </w:r>
          </w:p>
        </w:tc>
        <w:tc>
          <w:tcPr>
            <w:tcW w:w="1383" w:type="dxa"/>
            <w:shd w:val="clear" w:color="auto" w:fill="auto"/>
            <w:vAlign w:val="center"/>
          </w:tcPr>
          <w:p w14:paraId="0EF28FB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3F0D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CFF1BF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78F7893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1F8CB7A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12.5 专用台车：1台　</w:t>
            </w:r>
          </w:p>
        </w:tc>
        <w:tc>
          <w:tcPr>
            <w:tcW w:w="1383" w:type="dxa"/>
            <w:shd w:val="clear" w:color="auto" w:fill="auto"/>
            <w:vAlign w:val="center"/>
          </w:tcPr>
          <w:p w14:paraId="55AD9BC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1DFC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2489A51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4805B35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77FACFA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12.6 水泵：1个</w:t>
            </w:r>
          </w:p>
        </w:tc>
        <w:tc>
          <w:tcPr>
            <w:tcW w:w="1383" w:type="dxa"/>
            <w:shd w:val="clear" w:color="auto" w:fill="auto"/>
            <w:vAlign w:val="center"/>
          </w:tcPr>
          <w:p w14:paraId="2C3D2CD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2151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337883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0D96CB7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49CFF78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12.7 高频电刀：1套</w:t>
            </w:r>
          </w:p>
        </w:tc>
        <w:tc>
          <w:tcPr>
            <w:tcW w:w="1383" w:type="dxa"/>
            <w:shd w:val="clear" w:color="auto" w:fill="auto"/>
            <w:vAlign w:val="center"/>
          </w:tcPr>
          <w:p w14:paraId="2881D99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20B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5120203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1260C06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617A382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12.8 气泵：1个</w:t>
            </w:r>
          </w:p>
        </w:tc>
        <w:tc>
          <w:tcPr>
            <w:tcW w:w="1383" w:type="dxa"/>
            <w:shd w:val="clear" w:color="auto" w:fill="auto"/>
            <w:vAlign w:val="center"/>
          </w:tcPr>
          <w:p w14:paraId="3B73CC4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0B0D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70AE65E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FB2B5E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3D2E048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12.9 图文工作站</w:t>
            </w:r>
            <w:r>
              <w:rPr>
                <w:rFonts w:hint="eastAsia" w:ascii="仿宋" w:hAnsi="仿宋" w:eastAsia="仿宋" w:cs="仿宋"/>
                <w:b w:val="0"/>
                <w:bCs w:val="0"/>
                <w:color w:val="auto"/>
                <w:sz w:val="21"/>
                <w:szCs w:val="21"/>
                <w:highlight w:val="none"/>
                <w:lang w:val="zh-CN" w:eastAsia="zh-CN"/>
              </w:rPr>
              <w:t>及报告打印设施：≥ 1套，要求：CPU：14代i5及以上；硬盘:固态硬盘：≥1T；内存≥16G；显示器≥27寸，4K分辨率，非曲面屏；正版WINDOWS11操作系统。报告打印设施需兼容我院在用耗材。</w:t>
            </w:r>
          </w:p>
        </w:tc>
        <w:tc>
          <w:tcPr>
            <w:tcW w:w="1383" w:type="dxa"/>
            <w:shd w:val="clear" w:color="auto" w:fill="auto"/>
            <w:vAlign w:val="center"/>
          </w:tcPr>
          <w:p w14:paraId="2DB69A1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00FF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474C52A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699DCD4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34628A7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12.10 胃肠电图检测器1台</w:t>
            </w:r>
          </w:p>
        </w:tc>
        <w:tc>
          <w:tcPr>
            <w:tcW w:w="1383" w:type="dxa"/>
            <w:shd w:val="clear" w:color="auto" w:fill="auto"/>
            <w:vAlign w:val="center"/>
          </w:tcPr>
          <w:p w14:paraId="5A08BE4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r w14:paraId="4EC5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1223" w:type="dxa"/>
            <w:vMerge w:val="continue"/>
            <w:shd w:val="clear" w:color="auto" w:fill="auto"/>
            <w:vAlign w:val="center"/>
          </w:tcPr>
          <w:p w14:paraId="172C5D7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p>
        </w:tc>
        <w:tc>
          <w:tcPr>
            <w:tcW w:w="867" w:type="dxa"/>
            <w:vMerge w:val="continue"/>
            <w:shd w:val="clear" w:color="auto" w:fill="auto"/>
            <w:vAlign w:val="center"/>
          </w:tcPr>
          <w:p w14:paraId="2D59E16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sz w:val="21"/>
                <w:szCs w:val="21"/>
                <w:highlight w:val="none"/>
                <w:lang w:eastAsia="zh-CN"/>
              </w:rPr>
            </w:pPr>
          </w:p>
        </w:tc>
        <w:tc>
          <w:tcPr>
            <w:tcW w:w="11200" w:type="dxa"/>
            <w:gridSpan w:val="3"/>
            <w:shd w:val="clear" w:color="auto" w:fill="auto"/>
            <w:vAlign w:val="center"/>
          </w:tcPr>
          <w:p w14:paraId="121BDA9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12.11 CO2气泵：1个</w:t>
            </w:r>
          </w:p>
        </w:tc>
        <w:tc>
          <w:tcPr>
            <w:tcW w:w="1383" w:type="dxa"/>
            <w:shd w:val="clear" w:color="auto" w:fill="auto"/>
            <w:vAlign w:val="center"/>
          </w:tcPr>
          <w:p w14:paraId="6BCB3C0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val="en-GB" w:eastAsia="en-US"/>
              </w:rPr>
            </w:pPr>
          </w:p>
        </w:tc>
      </w:tr>
    </w:tbl>
    <w:p w14:paraId="341E9953">
      <w:pPr>
        <w:jc w:val="center"/>
        <w:rPr>
          <w:rFonts w:hint="eastAsia" w:ascii="仿宋" w:hAnsi="仿宋" w:eastAsia="仿宋" w:cs="仿宋"/>
          <w:b/>
          <w:bCs/>
          <w:sz w:val="21"/>
          <w:szCs w:val="21"/>
          <w:lang w:val="en-US" w:eastAsia="zh-CN"/>
        </w:rPr>
      </w:pPr>
    </w:p>
    <w:p w14:paraId="2EF40410">
      <w:pPr>
        <w:jc w:val="center"/>
        <w:rPr>
          <w:rFonts w:hint="eastAsia" w:ascii="仿宋" w:hAnsi="仿宋" w:eastAsia="仿宋" w:cs="仿宋"/>
          <w:b/>
          <w:bCs/>
          <w:sz w:val="21"/>
          <w:szCs w:val="21"/>
          <w:lang w:val="en-US" w:eastAsia="zh-CN"/>
        </w:rPr>
      </w:pPr>
    </w:p>
    <w:p w14:paraId="5086115E">
      <w:pPr>
        <w:pStyle w:val="14"/>
        <w:rPr>
          <w:rFonts w:hint="eastAsia" w:ascii="仿宋" w:hAnsi="仿宋" w:eastAsia="仿宋" w:cs="仿宋"/>
        </w:rPr>
        <w:sectPr>
          <w:pgSz w:w="16838" w:h="11906" w:orient="landscape"/>
          <w:pgMar w:top="1440" w:right="1080" w:bottom="1440" w:left="1080" w:header="851" w:footer="907" w:gutter="0"/>
          <w:pgNumType w:fmt="decimal"/>
          <w:cols w:space="425" w:num="1"/>
          <w:docGrid w:type="lines" w:linePitch="312" w:charSpace="0"/>
        </w:sectPr>
      </w:pPr>
    </w:p>
    <w:p w14:paraId="38175D97">
      <w:pPr>
        <w:pStyle w:val="3"/>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firstLine="482" w:firstLineChars="200"/>
        <w:jc w:val="center"/>
        <w:textAlignment w:val="auto"/>
        <w:rPr>
          <w:rFonts w:hint="eastAsia" w:ascii="仿宋" w:hAnsi="仿宋" w:eastAsia="仿宋" w:cs="仿宋"/>
          <w:b/>
          <w:bCs/>
          <w:szCs w:val="21"/>
          <w:highlight w:val="none"/>
          <w:lang w:val="en-US" w:eastAsia="zh-CN"/>
        </w:rPr>
      </w:pPr>
      <w:bookmarkStart w:id="519" w:name="_Toc10762"/>
      <w:bookmarkStart w:id="520" w:name="_Toc26309"/>
      <w:r>
        <w:rPr>
          <w:rFonts w:hint="eastAsia" w:ascii="仿宋" w:hAnsi="仿宋" w:eastAsia="仿宋" w:cs="仿宋"/>
          <w:sz w:val="24"/>
          <w:szCs w:val="24"/>
          <w:highlight w:val="none"/>
          <w:lang w:val="en-US" w:eastAsia="zh-CN"/>
        </w:rPr>
        <w:t>三、</w:t>
      </w:r>
      <w:r>
        <w:rPr>
          <w:rFonts w:hint="eastAsia" w:ascii="仿宋" w:hAnsi="仿宋" w:eastAsia="仿宋" w:cs="仿宋"/>
          <w:sz w:val="24"/>
          <w:szCs w:val="24"/>
          <w:lang w:val="en-US" w:eastAsia="zh-CN"/>
        </w:rPr>
        <w:t>★</w:t>
      </w:r>
      <w:r>
        <w:rPr>
          <w:rFonts w:hint="eastAsia" w:ascii="仿宋" w:hAnsi="仿宋" w:eastAsia="仿宋" w:cs="仿宋"/>
          <w:sz w:val="24"/>
          <w:szCs w:val="24"/>
          <w:highlight w:val="none"/>
          <w:lang w:val="en-US" w:eastAsia="zh-CN"/>
        </w:rPr>
        <w:t>商务要求</w:t>
      </w:r>
      <w:bookmarkEnd w:id="519"/>
      <w:bookmarkEnd w:id="520"/>
    </w:p>
    <w:p w14:paraId="0FDAD92E">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sz w:val="21"/>
          <w:szCs w:val="21"/>
          <w:highlight w:val="none"/>
        </w:rPr>
      </w:pPr>
      <w:r>
        <w:rPr>
          <w:rFonts w:hint="eastAsia" w:ascii="仿宋" w:hAnsi="仿宋" w:eastAsia="仿宋" w:cs="仿宋"/>
          <w:b/>
          <w:bCs/>
          <w:color w:val="000000"/>
          <w:kern w:val="0"/>
          <w:sz w:val="21"/>
          <w:szCs w:val="21"/>
          <w:highlight w:val="none"/>
          <w:lang w:val="en-US" w:eastAsia="zh-CN" w:bidi="ar"/>
        </w:rPr>
        <w:t>1、售后要求：</w:t>
      </w:r>
    </w:p>
    <w:p w14:paraId="254E15A7">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1.1.交货（交付）期：</w:t>
      </w:r>
      <w:r>
        <w:rPr>
          <w:rFonts w:hint="eastAsia" w:ascii="仿宋" w:hAnsi="仿宋" w:eastAsia="仿宋" w:cs="仿宋"/>
          <w:color w:val="000000"/>
          <w:sz w:val="21"/>
          <w:szCs w:val="21"/>
          <w:highlight w:val="none"/>
          <w:lang w:eastAsia="zh-CN"/>
        </w:rPr>
        <w:t>合同签订之日起30个日历天内安装调试完毕并达到验收标准</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eastAsia="zh-CN"/>
        </w:rPr>
        <w:t>投标人可提供更优的交货（交付）期。</w:t>
      </w:r>
    </w:p>
    <w:p w14:paraId="6DFD0E9B">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1.2.</w:t>
      </w:r>
      <w:r>
        <w:rPr>
          <w:rFonts w:hint="eastAsia" w:ascii="仿宋" w:hAnsi="仿宋" w:eastAsia="仿宋" w:cs="仿宋"/>
          <w:color w:val="000000"/>
          <w:sz w:val="21"/>
          <w:szCs w:val="21"/>
          <w:highlight w:val="none"/>
          <w:lang w:eastAsia="zh-CN"/>
        </w:rPr>
        <w:t>交货</w:t>
      </w:r>
      <w:r>
        <w:rPr>
          <w:rFonts w:hint="eastAsia" w:ascii="仿宋" w:hAnsi="仿宋" w:eastAsia="仿宋" w:cs="仿宋"/>
          <w:color w:val="000000"/>
          <w:kern w:val="0"/>
          <w:sz w:val="21"/>
          <w:szCs w:val="21"/>
          <w:highlight w:val="none"/>
          <w:lang w:val="en-US" w:eastAsia="zh-CN" w:bidi="ar"/>
        </w:rPr>
        <w:t>地点：楚雄彝族自治州人民医院指定地点。</w:t>
      </w:r>
    </w:p>
    <w:p w14:paraId="08902A3C">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1.3.交货方式：由使用单位及中标人共同开箱对照采购清单进行交货。</w:t>
      </w:r>
    </w:p>
    <w:p w14:paraId="33D0D702">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1.4.自设备安装合格之日起保修：≥5年，终身保养，免费培训、维护。</w:t>
      </w:r>
    </w:p>
    <w:p w14:paraId="2F7E10D7">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1.5.所交付的设备，须为交付日前6个月内生产的设备，以铭牌上出厂日期或生产日期为准。</w:t>
      </w:r>
    </w:p>
    <w:p w14:paraId="23C4A28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1.6.质量要求与验收标准:</w:t>
      </w:r>
      <w:r>
        <w:rPr>
          <w:rFonts w:hint="eastAsia" w:ascii="仿宋" w:hAnsi="仿宋" w:eastAsia="仿宋" w:cs="仿宋"/>
          <w:color w:val="000000"/>
          <w:kern w:val="0"/>
          <w:sz w:val="21"/>
          <w:szCs w:val="21"/>
          <w:highlight w:val="none"/>
          <w:lang w:val="en-US" w:eastAsia="zh-CN" w:bidi="ar"/>
        </w:rPr>
        <w:t>符合国家、省、市法律法规及行业标准。</w:t>
      </w:r>
    </w:p>
    <w:p w14:paraId="421C8B7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lang w:val="en-US"/>
        </w:rPr>
      </w:pPr>
      <w:r>
        <w:rPr>
          <w:rFonts w:hint="eastAsia" w:ascii="仿宋" w:hAnsi="仿宋" w:eastAsia="仿宋" w:cs="仿宋"/>
          <w:color w:val="000000"/>
          <w:kern w:val="0"/>
          <w:sz w:val="21"/>
          <w:szCs w:val="21"/>
          <w:highlight w:val="none"/>
          <w:lang w:val="en-US" w:eastAsia="zh-CN" w:bidi="ar"/>
        </w:rPr>
        <w:t>1.7.设备软件终身免费升级且定期应有升级。</w:t>
      </w:r>
    </w:p>
    <w:p w14:paraId="5892D34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1.8.在货物到达使用单位后，卖方应在七天内派工程技术人员到达现场，在买方技术人员在场的情况下开箱清点货物，组织安装调试，并承担因此发生的一切费用。</w:t>
      </w:r>
    </w:p>
    <w:p w14:paraId="7A6DF6B5">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1.9.设备性能测试后操作培训：≥3次</w:t>
      </w:r>
    </w:p>
    <w:p w14:paraId="0870526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1.10.开机率：≥98 %，仪器故障要求2小时内应答，24小时形成解决方案。</w:t>
      </w:r>
    </w:p>
    <w:p w14:paraId="4FB22F27">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1.11所供每台设备分别提供纸质版、电子版简易操作流程图一套。</w:t>
      </w:r>
    </w:p>
    <w:p w14:paraId="6CF04131">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color w:val="000000"/>
          <w:kern w:val="0"/>
          <w:sz w:val="21"/>
          <w:szCs w:val="21"/>
          <w:highlight w:val="none"/>
          <w:lang w:val="en-US" w:eastAsia="zh-CN" w:bidi="ar"/>
        </w:rPr>
        <w:t>2、质量保证期服务要求</w:t>
      </w:r>
    </w:p>
    <w:p w14:paraId="18C37A10">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
        </w:rPr>
        <w:t>中标人应提供的技术人员、工具、备件和联系方式，质量保证期服务响应、到达现场和解决问题的时限，中标人技术人员的交通、食宿费用承担主体，中标人技术人员撤换费用承担主体，质量保证期服务情况记录要求等。</w:t>
      </w:r>
    </w:p>
    <w:p w14:paraId="089A87BC">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sz w:val="21"/>
          <w:szCs w:val="21"/>
          <w:highlight w:val="none"/>
        </w:rPr>
      </w:pPr>
      <w:r>
        <w:rPr>
          <w:rFonts w:hint="eastAsia" w:ascii="仿宋" w:hAnsi="仿宋" w:eastAsia="仿宋" w:cs="仿宋"/>
          <w:b/>
          <w:bCs/>
          <w:color w:val="000000"/>
          <w:kern w:val="0"/>
          <w:sz w:val="21"/>
          <w:szCs w:val="21"/>
          <w:highlight w:val="none"/>
          <w:lang w:val="en-US" w:eastAsia="zh-CN" w:bidi="ar"/>
        </w:rPr>
        <w:t>3、技术培训要求</w:t>
      </w:r>
    </w:p>
    <w:p w14:paraId="0FDF101F">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
        </w:rPr>
        <w:t>中标人应提供现场技术培训，及远程技术支持等，为使用人员提供技术指导，保证使用人员正常操作设备各种功能。</w:t>
      </w:r>
    </w:p>
    <w:p w14:paraId="3237DC83">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bCs/>
          <w:color w:val="000000"/>
          <w:kern w:val="0"/>
          <w:sz w:val="21"/>
          <w:szCs w:val="21"/>
          <w:highlight w:val="none"/>
          <w:lang w:val="en-US" w:eastAsia="zh-CN" w:bidi="ar"/>
        </w:rPr>
        <w:t>4、其</w:t>
      </w:r>
      <w:r>
        <w:rPr>
          <w:rFonts w:hint="eastAsia" w:ascii="仿宋" w:hAnsi="仿宋" w:eastAsia="仿宋" w:cs="仿宋"/>
          <w:b/>
          <w:bCs/>
          <w:color w:val="000000" w:themeColor="text1"/>
          <w:kern w:val="0"/>
          <w:sz w:val="21"/>
          <w:szCs w:val="21"/>
          <w:highlight w:val="none"/>
          <w:lang w:val="en-US" w:eastAsia="zh-CN" w:bidi="ar"/>
          <w14:textFill>
            <w14:solidFill>
              <w14:schemeClr w14:val="tx1"/>
            </w14:solidFill>
          </w14:textFill>
        </w:rPr>
        <w:t>他要求：</w:t>
      </w:r>
    </w:p>
    <w:p w14:paraId="382EF962">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4.1.中标后设备需接入医院信息系统（LIS、HIS、PACS或专科信息系统等）的，涉及接口费用由中标供应商承担；涉及需检测合格后才能验收使用的设备，相关检测费用由中标供应商承担；涉及需检测合格后才能验收使用的设备，相关检测费用由中标投标人承担。</w:t>
      </w:r>
    </w:p>
    <w:p w14:paraId="62733C45">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4.3.报告打印设施需兼容我院在用耗材，签订合同前请及时与医院对接相关信息。</w:t>
      </w:r>
    </w:p>
    <w:p w14:paraId="5449D4D6">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kern w:val="0"/>
          <w:sz w:val="21"/>
          <w:szCs w:val="21"/>
          <w:highlight w:val="none"/>
          <w:lang w:val="en-US" w:eastAsia="zh-CN" w:bidi="ar"/>
          <w14:textFill>
            <w14:solidFill>
              <w14:schemeClr w14:val="tx1"/>
            </w14:solidFill>
          </w14:textFill>
        </w:rPr>
        <w:t>5、履约验收方式</w:t>
      </w:r>
    </w:p>
    <w:p w14:paraId="4AC0A6BC">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由使用单位组织验收人员按照招标文件、投标文件、合同及国家有关的质量标准规定进行验收。</w:t>
      </w:r>
    </w:p>
    <w:p w14:paraId="3CFF8971">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color w:val="000000"/>
          <w:kern w:val="0"/>
          <w:sz w:val="21"/>
          <w:szCs w:val="21"/>
          <w:highlight w:val="none"/>
          <w:lang w:val="en-US" w:eastAsia="zh-CN" w:bidi="ar"/>
        </w:rPr>
        <w:t>6、包装运输</w:t>
      </w:r>
    </w:p>
    <w:p w14:paraId="75A70D3F">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eastAsia="宋体"/>
          <w:highlight w:val="none"/>
          <w:lang w:eastAsia="zh-CN"/>
        </w:rPr>
      </w:pPr>
      <w:r>
        <w:rPr>
          <w:rFonts w:hint="eastAsia" w:ascii="仿宋" w:hAnsi="仿宋" w:eastAsia="仿宋" w:cs="仿宋"/>
          <w:color w:val="000000"/>
          <w:kern w:val="0"/>
          <w:sz w:val="21"/>
          <w:szCs w:val="21"/>
          <w:highlight w:val="none"/>
          <w:lang w:val="en-US" w:eastAsia="zh-CN" w:bidi="ar"/>
        </w:rPr>
        <w:t>中标人负责设备包装、办理运输和保险，将设备安全运抵交货地点。设备制造完成并通过试验后应及时包装，否则应得到切实的保护，确保其不受污损。在包装箱外应标明采购人的订货号、发货号。各种包装应能确保各零部件在运输过程中不致遭到损坏、丢失、变形、受潮和腐蚀。包装箱上应有明显的包装储运图示标志。整体产品或分别运输的部件都要适应运输和装载的要求。随产品提供的技术资料应完整无缺。</w:t>
      </w:r>
    </w:p>
    <w:p w14:paraId="25E5F69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firstLine="420" w:firstLineChars="200"/>
        <w:jc w:val="left"/>
        <w:textAlignment w:val="auto"/>
        <w:rPr>
          <w:rFonts w:hint="default" w:ascii="仿宋" w:hAnsi="仿宋" w:eastAsia="仿宋" w:cs="仿宋"/>
          <w:color w:val="000000" w:themeColor="text1"/>
          <w:kern w:val="0"/>
          <w:sz w:val="21"/>
          <w:szCs w:val="21"/>
          <w:highlight w:val="none"/>
          <w:lang w:val="en-US" w:eastAsia="zh-CN" w:bidi="ar"/>
          <w14:textFill>
            <w14:solidFill>
              <w14:schemeClr w14:val="tx1"/>
            </w14:solidFill>
          </w14:textFill>
        </w:rPr>
        <w:sectPr>
          <w:pgSz w:w="11906" w:h="16838"/>
          <w:pgMar w:top="1440" w:right="1080" w:bottom="1440" w:left="1080" w:header="851" w:footer="907" w:gutter="0"/>
          <w:pgNumType w:fmt="decimal"/>
          <w:cols w:space="425" w:num="1"/>
          <w:docGrid w:type="lines" w:linePitch="312" w:charSpace="0"/>
        </w:sectPr>
      </w:pPr>
    </w:p>
    <w:p w14:paraId="6B52C953">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pacing w:val="0"/>
          <w:w w:val="100"/>
          <w:position w:val="0"/>
          <w:szCs w:val="21"/>
          <w:lang w:eastAsia="zh-CN"/>
        </w:rPr>
      </w:pPr>
      <w:bookmarkStart w:id="521" w:name="_Toc31363"/>
      <w:r>
        <w:rPr>
          <w:rFonts w:hint="eastAsia" w:ascii="仿宋" w:hAnsi="仿宋" w:eastAsia="仿宋" w:cs="仿宋"/>
          <w:sz w:val="32"/>
          <w:szCs w:val="32"/>
          <w:lang w:val="en-US" w:eastAsia="zh-CN"/>
        </w:rPr>
        <w:t>第四章 评审办法</w:t>
      </w:r>
    </w:p>
    <w:p w14:paraId="03956175">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center"/>
        <w:textAlignment w:val="auto"/>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资格审查</w:t>
      </w:r>
      <w:r>
        <w:rPr>
          <w:rFonts w:hint="eastAsia" w:ascii="仿宋" w:hAnsi="仿宋" w:eastAsia="仿宋" w:cs="仿宋"/>
          <w:color w:val="auto"/>
          <w:sz w:val="24"/>
          <w:szCs w:val="24"/>
          <w:highlight w:val="none"/>
          <w:lang w:val="en-US" w:eastAsia="zh-CN"/>
        </w:rPr>
        <w:t>标准</w:t>
      </w:r>
    </w:p>
    <w:tbl>
      <w:tblPr>
        <w:tblStyle w:val="16"/>
        <w:tblW w:w="966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30"/>
        <w:gridCol w:w="5406"/>
        <w:gridCol w:w="2633"/>
      </w:tblGrid>
      <w:tr w14:paraId="23759D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2" w:hRule="atLeast"/>
          <w:jc w:val="center"/>
        </w:trPr>
        <w:tc>
          <w:tcPr>
            <w:tcW w:w="1630" w:type="dxa"/>
            <w:noWrap w:val="0"/>
            <w:vAlign w:val="center"/>
          </w:tcPr>
          <w:p w14:paraId="74F28B7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类型</w:t>
            </w:r>
          </w:p>
        </w:tc>
        <w:tc>
          <w:tcPr>
            <w:tcW w:w="5406" w:type="dxa"/>
            <w:noWrap w:val="0"/>
            <w:vAlign w:val="center"/>
          </w:tcPr>
          <w:p w14:paraId="1487F22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审查要求</w:t>
            </w:r>
          </w:p>
        </w:tc>
        <w:tc>
          <w:tcPr>
            <w:tcW w:w="2633" w:type="dxa"/>
            <w:noWrap w:val="0"/>
            <w:vAlign w:val="center"/>
          </w:tcPr>
          <w:p w14:paraId="329A125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要求说明</w:t>
            </w:r>
          </w:p>
        </w:tc>
      </w:tr>
      <w:tr w14:paraId="38BC34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1A999669">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营业执照等证明材料</w:t>
            </w:r>
          </w:p>
        </w:tc>
        <w:tc>
          <w:tcPr>
            <w:tcW w:w="5406" w:type="dxa"/>
            <w:shd w:val="clear" w:color="auto" w:fill="auto"/>
            <w:noWrap w:val="0"/>
            <w:vAlign w:val="center"/>
          </w:tcPr>
          <w:p w14:paraId="018F6EE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b w:val="0"/>
                <w:bCs/>
                <w:snapToGrid w:val="0"/>
                <w:color w:val="auto"/>
                <w:kern w:val="2"/>
                <w:sz w:val="21"/>
                <w:szCs w:val="21"/>
                <w:highlight w:val="none"/>
                <w:lang w:val="en-US" w:eastAsia="zh-CN" w:bidi="ar-SA"/>
              </w:rPr>
            </w:pPr>
            <w:r>
              <w:rPr>
                <w:rFonts w:hint="eastAsia" w:ascii="仿宋" w:hAnsi="仿宋" w:eastAsia="仿宋" w:cs="仿宋"/>
                <w:b w:val="0"/>
                <w:bCs/>
                <w:color w:val="auto"/>
                <w:sz w:val="21"/>
                <w:szCs w:val="21"/>
                <w:highlight w:val="none"/>
                <w:lang w:eastAsia="zh-CN"/>
              </w:rPr>
              <w:t>具有独立承担民事责任能力的法人或其他组织，提供有效存续的营业执照或事业单位法人证书或非企业专业服务机构执业许可证或民办非企业单位登记证书或自然人的身份证明。</w:t>
            </w:r>
          </w:p>
        </w:tc>
        <w:tc>
          <w:tcPr>
            <w:tcW w:w="2633" w:type="dxa"/>
            <w:shd w:val="clear" w:color="auto" w:fill="auto"/>
            <w:noWrap w:val="0"/>
            <w:vAlign w:val="center"/>
          </w:tcPr>
          <w:p w14:paraId="2F04EDE7">
            <w:pPr>
              <w:keepNext w:val="0"/>
              <w:keepLines w:val="0"/>
              <w:pageBreakBefore w:val="0"/>
              <w:widowControl w:val="0"/>
              <w:kinsoku/>
              <w:wordWrap w:val="0"/>
              <w:overflowPunct/>
              <w:topLinePunct/>
              <w:autoSpaceDE/>
              <w:autoSpaceDN/>
              <w:bidi w:val="0"/>
              <w:adjustRightInd/>
              <w:snapToGrid/>
              <w:spacing w:line="240" w:lineRule="auto"/>
              <w:ind w:right="0" w:rightChars="0" w:firstLine="0" w:firstLineChars="0"/>
              <w:jc w:val="center"/>
              <w:textAlignment w:val="auto"/>
              <w:rPr>
                <w:rFonts w:hint="eastAsia" w:ascii="仿宋" w:hAnsi="仿宋" w:eastAsia="仿宋" w:cs="仿宋"/>
                <w:b w:val="0"/>
                <w:bCs/>
                <w:snapToGrid w:val="0"/>
                <w:color w:val="auto"/>
                <w:kern w:val="2"/>
                <w:sz w:val="21"/>
                <w:szCs w:val="21"/>
                <w:highlight w:val="none"/>
                <w:u w:val="single"/>
                <w:lang w:val="en-US" w:eastAsia="zh-CN" w:bidi="ar-SA"/>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p>
        </w:tc>
      </w:tr>
      <w:tr w14:paraId="365E95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jc w:val="center"/>
        </w:trPr>
        <w:tc>
          <w:tcPr>
            <w:tcW w:w="1630" w:type="dxa"/>
            <w:noWrap w:val="0"/>
            <w:vAlign w:val="center"/>
          </w:tcPr>
          <w:p w14:paraId="66078754">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财务报表证明材料</w:t>
            </w:r>
          </w:p>
        </w:tc>
        <w:tc>
          <w:tcPr>
            <w:tcW w:w="5406" w:type="dxa"/>
            <w:noWrap w:val="0"/>
            <w:vAlign w:val="center"/>
          </w:tcPr>
          <w:p w14:paraId="52FCB0B7">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具备健全的财务会计制度的证明材料{注(任选其一):①可提供响应文件递交截止日前三年内至少1年经会计师事务所或审计机构出具的财务审计报告(包括财务审计报告及“四表一注”，“四表一注”即资产负债表、利润表、现金流量表、所有者权益变动表及其附注)，执行小企业会计准则的投标人可不提供所有者权益变动表;②也可提供财政部门认可的政府采购专业担保机构出具的投标担保函;③也可提供截至响应文件递交截止日前六个月内银行出具的资信证明(复印件);④投标人注册时间截至响应文件递交截止日不足一年的，也可提供在工商备案主管部门备案的公司章程复印件。}。</w:t>
            </w:r>
          </w:p>
          <w:p w14:paraId="0BE8782A">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注:根据财政部、国务院国资委、金融监管总局《关于加强审计报告查验工作的通知》(财会(2023)15号)和《云南省财政厅·云南省人民政府国有资产监督管理委员会国家金融监督管理总局云南监管局关于进一步·加强审计报告报备和查验工作的通知》(云财会(2026)23号)的规定，供应商提供的年度财务审计报告须在注册会计师行业统一监管平台(http://acc.mof.gov.cn)报备赋码，且查验结果正常。未赋码、无法查验或查验异常的，</w:t>
            </w:r>
            <w:r>
              <w:rPr>
                <w:rFonts w:hint="eastAsia" w:ascii="仿宋" w:hAnsi="仿宋" w:eastAsia="仿宋" w:cs="仿宋"/>
                <w:b w:val="0"/>
                <w:bCs/>
                <w:color w:val="auto"/>
                <w:sz w:val="21"/>
                <w:szCs w:val="21"/>
                <w:highlight w:val="none"/>
                <w:lang w:val="en-US" w:eastAsia="zh-CN"/>
              </w:rPr>
              <w:t>审计报告视为无效</w:t>
            </w:r>
            <w:r>
              <w:rPr>
                <w:rFonts w:hint="eastAsia" w:ascii="仿宋" w:hAnsi="仿宋" w:eastAsia="仿宋" w:cs="仿宋"/>
                <w:b w:val="0"/>
                <w:bCs/>
                <w:color w:val="auto"/>
                <w:sz w:val="21"/>
                <w:szCs w:val="21"/>
                <w:highlight w:val="none"/>
                <w:lang w:eastAsia="zh-CN"/>
              </w:rPr>
              <w:t>。</w:t>
            </w:r>
          </w:p>
        </w:tc>
        <w:tc>
          <w:tcPr>
            <w:tcW w:w="2633" w:type="dxa"/>
            <w:noWrap w:val="0"/>
            <w:vAlign w:val="center"/>
          </w:tcPr>
          <w:p w14:paraId="5B4F93E7">
            <w:pPr>
              <w:keepNext w:val="0"/>
              <w:keepLines w:val="0"/>
              <w:pageBreakBefore w:val="0"/>
              <w:widowControl w:val="0"/>
              <w:kinsoku/>
              <w:wordWrap w:val="0"/>
              <w:overflowPunct/>
              <w:topLinePunct/>
              <w:autoSpaceDE/>
              <w:autoSpaceDN/>
              <w:bidi w:val="0"/>
              <w:adjustRightInd/>
              <w:snapToGrid/>
              <w:spacing w:line="240" w:lineRule="auto"/>
              <w:ind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3597B5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63E2C81E">
            <w:pPr>
              <w:keepNext w:val="0"/>
              <w:keepLines w:val="0"/>
              <w:pageBreakBefore w:val="0"/>
              <w:widowControl w:val="0"/>
              <w:kinsoku/>
              <w:wordWrap w:val="0"/>
              <w:overflowPunct/>
              <w:topLinePunct/>
              <w:autoSpaceDE/>
              <w:autoSpaceDN/>
              <w:bidi w:val="0"/>
              <w:adjustRightInd/>
              <w:snapToGrid/>
              <w:spacing w:line="240" w:lineRule="auto"/>
              <w:ind w:left="0" w:right="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noWrap w:val="0"/>
            <w:vAlign w:val="center"/>
          </w:tcPr>
          <w:p w14:paraId="0E07E11E">
            <w:pPr>
              <w:keepNext w:val="0"/>
              <w:keepLines w:val="0"/>
              <w:pageBreakBefore w:val="0"/>
              <w:widowControl w:val="0"/>
              <w:kinsoku/>
              <w:wordWrap w:val="0"/>
              <w:overflowPunct/>
              <w:topLinePunct/>
              <w:autoSpaceDE/>
              <w:autoSpaceDN/>
              <w:bidi w:val="0"/>
              <w:adjustRightInd/>
              <w:snapToGrid/>
              <w:spacing w:line="240" w:lineRule="auto"/>
              <w:ind w:left="0" w:right="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投标人</w:t>
            </w:r>
            <w:r>
              <w:rPr>
                <w:rFonts w:hint="eastAsia" w:ascii="仿宋" w:hAnsi="仿宋" w:eastAsia="仿宋" w:cs="仿宋"/>
                <w:b w:val="0"/>
                <w:bCs/>
                <w:color w:val="auto"/>
                <w:kern w:val="0"/>
                <w:sz w:val="21"/>
                <w:szCs w:val="21"/>
                <w:highlight w:val="none"/>
                <w:lang w:bidi="ar"/>
              </w:rPr>
              <w:t>应具有履行合同相应的专业团队、设备等。</w:t>
            </w:r>
          </w:p>
        </w:tc>
        <w:tc>
          <w:tcPr>
            <w:tcW w:w="2633" w:type="dxa"/>
            <w:noWrap w:val="0"/>
            <w:vAlign w:val="center"/>
          </w:tcPr>
          <w:p w14:paraId="1DC6BCDB">
            <w:pPr>
              <w:keepNext w:val="0"/>
              <w:keepLines w:val="0"/>
              <w:pageBreakBefore w:val="0"/>
              <w:widowControl w:val="0"/>
              <w:kinsoku/>
              <w:wordWrap w:val="0"/>
              <w:overflowPunct/>
              <w:topLinePunct/>
              <w:autoSpaceDE/>
              <w:autoSpaceDN/>
              <w:bidi w:val="0"/>
              <w:adjustRightInd/>
              <w:snapToGrid/>
              <w:spacing w:line="240" w:lineRule="auto"/>
              <w:ind w:right="0" w:firstLine="0" w:firstLineChars="0"/>
              <w:jc w:val="center"/>
              <w:textAlignment w:val="auto"/>
              <w:rPr>
                <w:rFonts w:hint="eastAsia" w:ascii="仿宋" w:hAnsi="仿宋" w:eastAsia="仿宋" w:cs="仿宋"/>
                <w:b w:val="0"/>
                <w:bCs/>
                <w:color w:val="auto"/>
                <w:kern w:val="0"/>
                <w:sz w:val="21"/>
                <w:szCs w:val="21"/>
                <w:highlight w:val="none"/>
                <w:lang w:val="en-US" w:eastAsia="zh-CN" w:bidi="ar"/>
              </w:rPr>
            </w:pPr>
            <w:r>
              <w:rPr>
                <w:rFonts w:hint="eastAsia" w:ascii="仿宋" w:hAnsi="仿宋" w:eastAsia="仿宋" w:cs="仿宋"/>
                <w:b w:val="0"/>
                <w:bCs/>
                <w:color w:val="auto"/>
                <w:kern w:val="0"/>
                <w:sz w:val="21"/>
                <w:szCs w:val="21"/>
                <w:highlight w:val="none"/>
                <w:lang w:bidi="ar"/>
              </w:rPr>
              <w:t>须附相关证明材料或承诺书</w:t>
            </w:r>
            <w:r>
              <w:rPr>
                <w:rFonts w:hint="eastAsia" w:ascii="仿宋" w:hAnsi="仿宋" w:eastAsia="仿宋" w:cs="仿宋"/>
                <w:b w:val="0"/>
                <w:bCs/>
                <w:color w:val="auto"/>
                <w:kern w:val="0"/>
                <w:sz w:val="21"/>
                <w:szCs w:val="21"/>
                <w:highlight w:val="none"/>
                <w:lang w:eastAsia="zh-CN" w:bidi="ar"/>
              </w:rPr>
              <w:t>。</w:t>
            </w:r>
          </w:p>
        </w:tc>
      </w:tr>
      <w:tr w14:paraId="47A10D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1630" w:type="dxa"/>
            <w:noWrap w:val="0"/>
            <w:vAlign w:val="center"/>
          </w:tcPr>
          <w:p w14:paraId="319F54C8">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en-US" w:eastAsia="zh-CN"/>
              </w:rPr>
              <w:t>基本资质证明材料</w:t>
            </w:r>
          </w:p>
        </w:tc>
        <w:tc>
          <w:tcPr>
            <w:tcW w:w="5406" w:type="dxa"/>
            <w:noWrap w:val="0"/>
            <w:vAlign w:val="center"/>
          </w:tcPr>
          <w:p w14:paraId="7495107F">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有依法缴纳税收和社会保障资金的良好记录</w:t>
            </w:r>
          </w:p>
          <w:p w14:paraId="7ED479A4">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lang w:eastAsia="zh-CN"/>
              </w:rPr>
              <w:t>税收缴纳证明：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6E4DCB90">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6411B93D">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lang w:eastAsia="zh-CN"/>
              </w:rPr>
              <w:t>社会保障资金缴纳证明：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77EC52AA">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tc>
        <w:tc>
          <w:tcPr>
            <w:tcW w:w="2633" w:type="dxa"/>
            <w:noWrap w:val="0"/>
            <w:vAlign w:val="center"/>
          </w:tcPr>
          <w:p w14:paraId="7A99C39B">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right="0" w:rightChars="0" w:firstLine="0" w:firstLineChars="0"/>
              <w:jc w:val="center"/>
              <w:textAlignment w:val="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7AFA8A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3A8E661D">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基本资质证明材料</w:t>
            </w:r>
          </w:p>
        </w:tc>
        <w:tc>
          <w:tcPr>
            <w:tcW w:w="5406" w:type="dxa"/>
            <w:shd w:val="clear" w:color="auto" w:fill="auto"/>
            <w:noWrap w:val="0"/>
            <w:vAlign w:val="center"/>
          </w:tcPr>
          <w:p w14:paraId="4CFE5846">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rPr>
              <w:t>参加政府采购活动前三年内，在经营活动中没有重大违法记录</w:t>
            </w:r>
          </w:p>
        </w:tc>
        <w:tc>
          <w:tcPr>
            <w:tcW w:w="2633" w:type="dxa"/>
            <w:shd w:val="clear" w:color="auto" w:fill="auto"/>
            <w:noWrap w:val="0"/>
            <w:vAlign w:val="center"/>
          </w:tcPr>
          <w:p w14:paraId="2054BD2B">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据实</w:t>
            </w:r>
            <w:r>
              <w:rPr>
                <w:rFonts w:hint="eastAsia" w:ascii="仿宋" w:hAnsi="仿宋" w:eastAsia="仿宋" w:cs="仿宋"/>
                <w:b w:val="0"/>
                <w:bCs/>
                <w:color w:val="auto"/>
                <w:sz w:val="21"/>
                <w:szCs w:val="21"/>
                <w:highlight w:val="none"/>
              </w:rPr>
              <w:t>提供</w:t>
            </w:r>
            <w:r>
              <w:rPr>
                <w:rFonts w:hint="eastAsia" w:ascii="仿宋" w:hAnsi="仿宋" w:eastAsia="仿宋" w:cs="仿宋"/>
                <w:b w:val="0"/>
                <w:bCs/>
                <w:color w:val="auto"/>
                <w:sz w:val="21"/>
                <w:szCs w:val="21"/>
                <w:highlight w:val="none"/>
                <w:lang w:eastAsia="zh-CN"/>
              </w:rPr>
              <w:t>《参加采购活动前三年内在经营活动中没有重大违法记录的书面声明》</w:t>
            </w:r>
            <w:r>
              <w:rPr>
                <w:rFonts w:hint="eastAsia" w:ascii="仿宋" w:hAnsi="仿宋" w:eastAsia="仿宋" w:cs="仿宋"/>
                <w:b w:val="0"/>
                <w:bCs/>
                <w:color w:val="auto"/>
                <w:sz w:val="21"/>
                <w:szCs w:val="21"/>
                <w:highlight w:val="none"/>
              </w:rPr>
              <w:t>。</w:t>
            </w:r>
          </w:p>
        </w:tc>
      </w:tr>
      <w:tr w14:paraId="287B4A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1630" w:type="dxa"/>
            <w:shd w:val="clear" w:color="auto" w:fill="auto"/>
            <w:noWrap w:val="0"/>
            <w:vAlign w:val="center"/>
          </w:tcPr>
          <w:p w14:paraId="2B3326B3">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shd w:val="clear" w:color="auto" w:fill="auto"/>
            <w:noWrap w:val="0"/>
            <w:vAlign w:val="center"/>
          </w:tcPr>
          <w:p w14:paraId="04020C4A">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lang w:val="en-US" w:eastAsia="zh-CN"/>
              </w:rPr>
              <w:t>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失信信息材料，由采购人或招标（采购）代理机构负责查询并存档。</w:t>
            </w:r>
          </w:p>
        </w:tc>
        <w:tc>
          <w:tcPr>
            <w:tcW w:w="2633" w:type="dxa"/>
            <w:shd w:val="clear" w:color="auto" w:fill="auto"/>
            <w:noWrap w:val="0"/>
            <w:vAlign w:val="center"/>
          </w:tcPr>
          <w:p w14:paraId="648C158F">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left="0" w:leftChars="0" w:right="0" w:firstLine="0" w:firstLineChars="0"/>
              <w:jc w:val="center"/>
              <w:textAlignment w:val="auto"/>
              <w:rPr>
                <w:rFonts w:hint="eastAsia" w:ascii="仿宋" w:hAnsi="仿宋" w:eastAsia="仿宋" w:cs="仿宋"/>
                <w:b w:val="0"/>
                <w:bCs/>
                <w:color w:val="auto"/>
                <w:sz w:val="21"/>
                <w:szCs w:val="21"/>
                <w:highlight w:val="none"/>
                <w:lang w:val="en-US" w:eastAsia="zh-CN"/>
              </w:rPr>
            </w:pPr>
          </w:p>
          <w:p w14:paraId="04FF8271">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w:t>
            </w:r>
          </w:p>
        </w:tc>
      </w:tr>
      <w:tr w14:paraId="303982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630" w:type="dxa"/>
            <w:shd w:val="clear" w:color="auto" w:fill="auto"/>
            <w:noWrap w:val="0"/>
            <w:vAlign w:val="center"/>
          </w:tcPr>
          <w:p w14:paraId="04B3663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其他证明材料</w:t>
            </w:r>
          </w:p>
        </w:tc>
        <w:tc>
          <w:tcPr>
            <w:tcW w:w="5406" w:type="dxa"/>
            <w:shd w:val="clear" w:color="auto" w:fill="auto"/>
            <w:noWrap w:val="0"/>
            <w:vAlign w:val="center"/>
          </w:tcPr>
          <w:p w14:paraId="2AD5FE38">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rPr>
              <w:t>法律、行政法规规定的其他条件</w:t>
            </w:r>
          </w:p>
        </w:tc>
        <w:tc>
          <w:tcPr>
            <w:tcW w:w="2633" w:type="dxa"/>
            <w:shd w:val="clear" w:color="auto" w:fill="auto"/>
            <w:noWrap w:val="0"/>
            <w:vAlign w:val="center"/>
          </w:tcPr>
          <w:p w14:paraId="1F633238">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据实提供《资格声明函》《无串通投标行为的承诺函》。</w:t>
            </w:r>
          </w:p>
        </w:tc>
      </w:tr>
      <w:tr w14:paraId="3D410C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9" w:hRule="atLeast"/>
          <w:jc w:val="center"/>
        </w:trPr>
        <w:tc>
          <w:tcPr>
            <w:tcW w:w="1630" w:type="dxa"/>
            <w:noWrap w:val="0"/>
            <w:vAlign w:val="center"/>
          </w:tcPr>
          <w:p w14:paraId="0E3F861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本项目的特定资格要求</w:t>
            </w:r>
          </w:p>
        </w:tc>
        <w:tc>
          <w:tcPr>
            <w:tcW w:w="5406" w:type="dxa"/>
            <w:noWrap w:val="0"/>
            <w:vAlign w:val="center"/>
          </w:tcPr>
          <w:p w14:paraId="5747AED3">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cs="仿宋"/>
                <w:b w:val="0"/>
                <w:bCs/>
                <w:snapToGrid w:val="0"/>
                <w:color w:val="auto"/>
                <w:sz w:val="21"/>
                <w:szCs w:val="21"/>
                <w:highlight w:val="none"/>
                <w:lang w:val="en-US" w:eastAsia="zh-CN" w:bidi="ar-SA"/>
              </w:rPr>
              <w:t>（1）投标人如果是代理商或经销商且所投产品为医疗器械的须提供</w:t>
            </w:r>
            <w:r>
              <w:rPr>
                <w:rFonts w:hint="eastAsia" w:ascii="仿宋" w:hAnsi="仿宋" w:eastAsia="仿宋" w:cs="仿宋"/>
                <w:b w:val="0"/>
                <w:bCs/>
                <w:snapToGrid w:val="0"/>
                <w:color w:val="auto"/>
                <w:sz w:val="21"/>
                <w:szCs w:val="21"/>
                <w:highlight w:val="none"/>
                <w:lang w:val="en-US" w:eastAsia="zh-CN" w:bidi="ar-SA"/>
              </w:rPr>
              <w:t>：</w:t>
            </w:r>
          </w:p>
          <w:p w14:paraId="5FB89854">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①有效的医疗器械经营许可证(或备案证明)；</w:t>
            </w:r>
          </w:p>
          <w:p w14:paraId="7EBDD57B">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②所投产品医疗器械生产许可证(或备案证明)(制造商工商注册地在中华人民共和国境外的，不做此要求)；</w:t>
            </w:r>
          </w:p>
          <w:p w14:paraId="6CF4560A">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③所投产品为一类医疗器械的，提供有效的一类医疗器械的备案凭证(或备案信息)，如有变更的必须提供有效的变更证明文件；</w:t>
            </w:r>
          </w:p>
          <w:p w14:paraId="174A8FB9">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72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4"/>
                <w:szCs w:val="24"/>
                <w:highlight w:val="none"/>
                <w:lang w:val="en-US" w:eastAsia="zh-CN" w:bidi="ar-SA"/>
              </w:rPr>
              <w:t>④</w:t>
            </w:r>
            <w:r>
              <w:rPr>
                <w:rFonts w:hint="eastAsia" w:ascii="仿宋" w:hAnsi="仿宋" w:eastAsia="仿宋" w:cs="仿宋"/>
                <w:b w:val="0"/>
                <w:bCs/>
                <w:snapToGrid w:val="0"/>
                <w:color w:val="auto"/>
                <w:sz w:val="21"/>
                <w:szCs w:val="21"/>
                <w:highlight w:val="none"/>
                <w:lang w:val="en-US" w:eastAsia="zh-CN" w:bidi="ar-SA"/>
              </w:rPr>
              <w:t>所投产品为二类(或三类)医疗器械的，提供有效的二类(或三类)医疗器械注册证，如有变更的必须提供有效的变更证明文件；</w:t>
            </w:r>
          </w:p>
          <w:p w14:paraId="5E4628BE">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cs="仿宋"/>
                <w:b w:val="0"/>
                <w:bCs/>
                <w:snapToGrid w:val="0"/>
                <w:color w:val="auto"/>
                <w:sz w:val="21"/>
                <w:szCs w:val="21"/>
                <w:highlight w:val="none"/>
                <w:lang w:val="en-US" w:eastAsia="zh-CN" w:bidi="ar-SA"/>
              </w:rPr>
              <w:t>（2）</w:t>
            </w:r>
            <w:r>
              <w:rPr>
                <w:rFonts w:hint="eastAsia" w:ascii="仿宋" w:hAnsi="仿宋" w:eastAsia="仿宋" w:cs="仿宋"/>
                <w:b w:val="0"/>
                <w:bCs/>
                <w:snapToGrid w:val="0"/>
                <w:color w:val="auto"/>
                <w:sz w:val="21"/>
                <w:szCs w:val="21"/>
                <w:highlight w:val="none"/>
                <w:lang w:val="en-US" w:eastAsia="zh-CN" w:bidi="ar-SA"/>
              </w:rPr>
              <w:t>投标人如果是制造商且所投产品为医疗器械的须提供：</w:t>
            </w:r>
          </w:p>
          <w:p w14:paraId="02193941">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①有效的医疗器械生产许可证(或备案证明)(制造商工商注册地在中华人民共和国境外的，不做此要求)；</w:t>
            </w:r>
          </w:p>
          <w:p w14:paraId="1D6D845F">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②所投产品为一类医疗器械的，提供有效的一类医疗器械的备案凭证(或备案信息)，如有变更的必须提供有效的变更证明文件；</w:t>
            </w:r>
          </w:p>
          <w:p w14:paraId="04FA44A6">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snapToGrid w:val="0"/>
                <w:color w:val="auto"/>
                <w:sz w:val="21"/>
                <w:szCs w:val="21"/>
                <w:highlight w:val="none"/>
                <w:lang w:val="en-US" w:eastAsia="zh-CN" w:bidi="ar-SA"/>
              </w:rPr>
              <w:t>③所投产品为二类(或三类)医疗器械的，提供有效的二类(或三类)医疗器械注册证，如有变更的必须提供有效的变更证明文件；</w:t>
            </w:r>
          </w:p>
          <w:p w14:paraId="093D5F36">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240" w:lineRule="auto"/>
              <w:ind w:right="0" w:firstLine="630" w:firstLineChars="300"/>
              <w:jc w:val="left"/>
              <w:textAlignment w:val="auto"/>
              <w:rPr>
                <w:rFonts w:hint="eastAsia"/>
                <w:lang w:eastAsia="zh-CN"/>
              </w:rPr>
            </w:pPr>
            <w:r>
              <w:rPr>
                <w:rFonts w:hint="eastAsia" w:cs="仿宋"/>
                <w:b w:val="0"/>
                <w:bCs/>
                <w:snapToGrid w:val="0"/>
                <w:color w:val="auto"/>
                <w:sz w:val="21"/>
                <w:szCs w:val="21"/>
                <w:highlight w:val="none"/>
                <w:lang w:val="en-US" w:eastAsia="zh-CN" w:bidi="ar-SA"/>
              </w:rPr>
              <w:t>注：</w:t>
            </w:r>
            <w:r>
              <w:rPr>
                <w:rFonts w:hint="eastAsia" w:ascii="仿宋" w:hAnsi="仿宋" w:eastAsia="仿宋" w:cs="仿宋"/>
                <w:b w:val="0"/>
                <w:bCs/>
                <w:snapToGrid w:val="0"/>
                <w:color w:val="auto"/>
                <w:sz w:val="21"/>
                <w:szCs w:val="21"/>
                <w:highlight w:val="none"/>
                <w:lang w:val="en-US" w:eastAsia="zh-CN" w:bidi="ar-SA"/>
              </w:rPr>
              <w:t>所投产品不属于医疗器械，不用提供任何证明材料。</w:t>
            </w:r>
          </w:p>
        </w:tc>
        <w:tc>
          <w:tcPr>
            <w:tcW w:w="2633" w:type="dxa"/>
            <w:noWrap w:val="0"/>
            <w:vAlign w:val="center"/>
          </w:tcPr>
          <w:p w14:paraId="4CCE3273">
            <w:pPr>
              <w:pStyle w:val="7"/>
              <w:keepNext w:val="0"/>
              <w:keepLines w:val="0"/>
              <w:pageBreakBefore w:val="0"/>
              <w:widowControl w:val="0"/>
              <w:tabs>
                <w:tab w:val="left" w:pos="2412"/>
              </w:tabs>
              <w:kinsoku/>
              <w:wordWrap w:val="0"/>
              <w:overflowPunct/>
              <w:topLinePunct/>
              <w:autoSpaceDE/>
              <w:autoSpaceDN/>
              <w:bidi w:val="0"/>
              <w:adjustRightInd/>
              <w:snapToGrid/>
              <w:spacing w:line="240" w:lineRule="auto"/>
              <w:ind w:left="0" w:leftChars="0"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r>
              <w:rPr>
                <w:rFonts w:hint="eastAsia" w:cs="仿宋"/>
                <w:b w:val="0"/>
                <w:bCs/>
                <w:color w:val="auto"/>
                <w:sz w:val="21"/>
                <w:szCs w:val="21"/>
                <w:highlight w:val="none"/>
                <w:lang w:val="en-US" w:eastAsia="zh-CN"/>
              </w:rPr>
              <w:t>。</w:t>
            </w:r>
          </w:p>
        </w:tc>
      </w:tr>
    </w:tbl>
    <w:p w14:paraId="064B526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公开招标采购项目开标结束后，采购人或采购代理机构依据招标文件的规定，对投标人的资格进行审查。合格投标人不足3家的，不得评审，只有通过资格审查的投标文件才能进入评审。</w:t>
      </w:r>
    </w:p>
    <w:p w14:paraId="4140D9C3">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6"/>
          <w:rFonts w:hint="eastAsia" w:ascii="仿宋" w:hAnsi="仿宋" w:eastAsia="仿宋" w:cs="仿宋"/>
          <w:b/>
          <w:bCs/>
          <w:color w:val="auto"/>
          <w:sz w:val="24"/>
          <w:szCs w:val="24"/>
          <w:highlight w:val="none"/>
          <w:lang w:val="en-US" w:eastAsia="zh-CN"/>
        </w:rPr>
        <w:sectPr>
          <w:pgSz w:w="11906" w:h="16838"/>
          <w:pgMar w:top="1440" w:right="1080" w:bottom="1440" w:left="1080" w:header="851" w:footer="907" w:gutter="0"/>
          <w:pgNumType w:fmt="decimal"/>
          <w:cols w:space="425" w:num="1"/>
          <w:docGrid w:type="lines" w:linePitch="312" w:charSpace="0"/>
        </w:sectPr>
      </w:pPr>
    </w:p>
    <w:p w14:paraId="539FCFA9">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6"/>
          <w:rFonts w:hint="eastAsia" w:ascii="仿宋" w:hAnsi="仿宋" w:eastAsia="仿宋" w:cs="仿宋"/>
          <w:b/>
          <w:bCs/>
          <w:color w:val="auto"/>
          <w:sz w:val="32"/>
          <w:szCs w:val="32"/>
          <w:highlight w:val="none"/>
          <w:lang w:eastAsia="zh-CN"/>
        </w:rPr>
      </w:pPr>
      <w:r>
        <w:rPr>
          <w:rStyle w:val="26"/>
          <w:rFonts w:hint="eastAsia" w:ascii="仿宋" w:hAnsi="仿宋" w:eastAsia="仿宋" w:cs="仿宋"/>
          <w:b/>
          <w:bCs/>
          <w:color w:val="auto"/>
          <w:sz w:val="24"/>
          <w:szCs w:val="24"/>
          <w:highlight w:val="none"/>
          <w:lang w:val="en-US" w:eastAsia="zh-CN"/>
        </w:rPr>
        <w:t>二、</w:t>
      </w:r>
      <w:r>
        <w:rPr>
          <w:rStyle w:val="26"/>
          <w:rFonts w:hint="eastAsia" w:ascii="仿宋" w:hAnsi="仿宋" w:eastAsia="仿宋" w:cs="仿宋"/>
          <w:b/>
          <w:bCs/>
          <w:color w:val="auto"/>
          <w:sz w:val="24"/>
          <w:szCs w:val="24"/>
          <w:highlight w:val="none"/>
          <w:lang w:eastAsia="zh-CN"/>
        </w:rPr>
        <w:t>符合性评审标准</w:t>
      </w:r>
    </w:p>
    <w:p w14:paraId="2D26269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委员会对符合资格审查的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的投标文件进行符合性审查，以确定其是否满足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的实质性要求。有下列情形投标文件不能通过符合性评审，未通过符合性评审的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将不进入综合评分</w:t>
      </w:r>
      <w:r>
        <w:rPr>
          <w:rFonts w:hint="eastAsia" w:ascii="仿宋" w:hAnsi="仿宋" w:eastAsia="仿宋" w:cs="仿宋"/>
          <w:color w:val="auto"/>
          <w:sz w:val="21"/>
          <w:szCs w:val="21"/>
          <w:highlight w:val="none"/>
          <w:lang w:eastAsia="zh-CN"/>
        </w:rPr>
        <w:t>。</w:t>
      </w:r>
    </w:p>
    <w:tbl>
      <w:tblPr>
        <w:tblStyle w:val="16"/>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46EC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3B9E85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内 容</w:t>
            </w:r>
          </w:p>
        </w:tc>
        <w:tc>
          <w:tcPr>
            <w:tcW w:w="7701" w:type="dxa"/>
            <w:noWrap w:val="0"/>
            <w:vAlign w:val="center"/>
          </w:tcPr>
          <w:p w14:paraId="353D822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标 准</w:t>
            </w:r>
          </w:p>
        </w:tc>
      </w:tr>
      <w:tr w14:paraId="0D2E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54772E3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投标文件格式</w:t>
            </w:r>
          </w:p>
        </w:tc>
        <w:tc>
          <w:tcPr>
            <w:tcW w:w="7701" w:type="dxa"/>
            <w:noWrap w:val="0"/>
            <w:vAlign w:val="center"/>
          </w:tcPr>
          <w:p w14:paraId="3C114B8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 第六章 投标文件格式“实质性格式”要求编制的。</w:t>
            </w:r>
          </w:p>
        </w:tc>
      </w:tr>
      <w:tr w14:paraId="032AF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CCE986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投标文件的签署</w:t>
            </w:r>
          </w:p>
        </w:tc>
        <w:tc>
          <w:tcPr>
            <w:tcW w:w="7701" w:type="dxa"/>
            <w:noWrap w:val="0"/>
            <w:vAlign w:val="center"/>
          </w:tcPr>
          <w:p w14:paraId="20E973C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投标文件未按招标文件要求签署、盖章的。</w:t>
            </w:r>
          </w:p>
        </w:tc>
      </w:tr>
      <w:tr w14:paraId="081C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F7ACCB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w:t>
            </w:r>
          </w:p>
        </w:tc>
        <w:tc>
          <w:tcPr>
            <w:tcW w:w="7701" w:type="dxa"/>
            <w:noWrap w:val="0"/>
            <w:vAlign w:val="center"/>
          </w:tcPr>
          <w:p w14:paraId="140ADD2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投标报价超过招标文件中规定的预算金额或者最高限价的。</w:t>
            </w:r>
          </w:p>
        </w:tc>
      </w:tr>
      <w:tr w14:paraId="16D3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C3CB99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投标有效期</w:t>
            </w:r>
          </w:p>
        </w:tc>
        <w:tc>
          <w:tcPr>
            <w:tcW w:w="7701" w:type="dxa"/>
            <w:noWrap w:val="0"/>
            <w:vAlign w:val="center"/>
          </w:tcPr>
          <w:p w14:paraId="645C068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w:t>
            </w:r>
            <w:r>
              <w:rPr>
                <w:rFonts w:hint="eastAsia" w:ascii="仿宋" w:hAnsi="仿宋" w:eastAsia="仿宋" w:cs="仿宋"/>
                <w:color w:val="auto"/>
                <w:sz w:val="21"/>
                <w:szCs w:val="21"/>
                <w:highlight w:val="none"/>
                <w:lang w:val="en-US" w:eastAsia="zh-CN"/>
              </w:rPr>
              <w:t>确定投标有效期</w:t>
            </w:r>
            <w:r>
              <w:rPr>
                <w:rFonts w:hint="eastAsia" w:ascii="仿宋" w:hAnsi="仿宋" w:eastAsia="仿宋" w:cs="仿宋"/>
                <w:color w:val="auto"/>
                <w:sz w:val="21"/>
                <w:szCs w:val="21"/>
                <w:highlight w:val="none"/>
                <w:lang w:eastAsia="zh-CN"/>
              </w:rPr>
              <w:t>的。</w:t>
            </w:r>
          </w:p>
        </w:tc>
      </w:tr>
      <w:tr w14:paraId="72B2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CAE437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实质性条款</w:t>
            </w:r>
          </w:p>
        </w:tc>
        <w:tc>
          <w:tcPr>
            <w:tcW w:w="7701" w:type="dxa"/>
            <w:noWrap w:val="0"/>
            <w:vAlign w:val="center"/>
          </w:tcPr>
          <w:p w14:paraId="2C9CBAD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未实质性响应招标文件中标注★条款内容的。</w:t>
            </w:r>
          </w:p>
        </w:tc>
      </w:tr>
      <w:tr w14:paraId="113C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379FDB7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w:t>
            </w:r>
          </w:p>
        </w:tc>
        <w:tc>
          <w:tcPr>
            <w:tcW w:w="7701" w:type="dxa"/>
            <w:noWrap w:val="0"/>
            <w:vAlign w:val="center"/>
          </w:tcPr>
          <w:p w14:paraId="75BF9437">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未</w:t>
            </w:r>
            <w:r>
              <w:rPr>
                <w:rFonts w:hint="eastAsia" w:ascii="仿宋" w:hAnsi="仿宋" w:eastAsia="仿宋" w:cs="仿宋"/>
                <w:color w:val="auto"/>
                <w:sz w:val="21"/>
                <w:szCs w:val="21"/>
                <w:highlight w:val="none"/>
                <w:lang w:eastAsia="zh-CN"/>
              </w:rPr>
              <w:t>按照招标文件的规定提交投标保证金</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lang w:eastAsia="zh-CN"/>
              </w:rPr>
              <w:t>。</w:t>
            </w:r>
          </w:p>
        </w:tc>
      </w:tr>
      <w:tr w14:paraId="74697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989" w:type="dxa"/>
            <w:noWrap w:val="0"/>
            <w:vAlign w:val="center"/>
          </w:tcPr>
          <w:p w14:paraId="733CF7F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无串通投标情形</w:t>
            </w:r>
          </w:p>
        </w:tc>
        <w:tc>
          <w:tcPr>
            <w:tcW w:w="7701" w:type="dxa"/>
            <w:noWrap w:val="0"/>
            <w:vAlign w:val="center"/>
          </w:tcPr>
          <w:p w14:paraId="3207338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有下列情形之一的，视为</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串通投标：</w:t>
            </w:r>
          </w:p>
          <w:p w14:paraId="060B553C">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的投标文件由同一单位或者个人编制；</w:t>
            </w:r>
          </w:p>
          <w:p w14:paraId="4B8DAC78">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委托同一单位或者个人办理投标事宜；</w:t>
            </w:r>
          </w:p>
          <w:p w14:paraId="4AE707F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的投标文件载明的项目管理成员或者联系人员为同一人；</w:t>
            </w:r>
          </w:p>
          <w:p w14:paraId="3F099CF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的投标文件异常一致或者投标报价呈规律性差异；</w:t>
            </w:r>
          </w:p>
          <w:p w14:paraId="57AACE6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的投标文件相互混装；</w:t>
            </w:r>
          </w:p>
          <w:p w14:paraId="034E846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⑥不同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的投标保证金从同一单位或者个人的账户转出</w:t>
            </w:r>
            <w:r>
              <w:rPr>
                <w:rFonts w:hint="eastAsia" w:ascii="仿宋" w:hAnsi="仿宋" w:eastAsia="仿宋" w:cs="仿宋"/>
                <w:color w:val="auto"/>
                <w:sz w:val="21"/>
                <w:szCs w:val="21"/>
                <w:highlight w:val="none"/>
                <w:lang w:eastAsia="zh-CN"/>
              </w:rPr>
              <w:t>；</w:t>
            </w:r>
          </w:p>
          <w:p w14:paraId="396EF56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⑦其他围标串标的情形</w:t>
            </w:r>
            <w:r>
              <w:rPr>
                <w:rFonts w:hint="eastAsia" w:ascii="仿宋" w:hAnsi="仿宋" w:eastAsia="仿宋" w:cs="仿宋"/>
                <w:color w:val="auto"/>
                <w:sz w:val="21"/>
                <w:szCs w:val="21"/>
                <w:highlight w:val="none"/>
                <w:lang w:eastAsia="zh-CN"/>
              </w:rPr>
              <w:t>。</w:t>
            </w:r>
          </w:p>
        </w:tc>
      </w:tr>
      <w:tr w14:paraId="07F9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9" w:type="dxa"/>
            <w:noWrap w:val="0"/>
            <w:vAlign w:val="center"/>
          </w:tcPr>
          <w:p w14:paraId="42E9A7C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val="0"/>
                <w:bCs w:val="0"/>
                <w:snapToGrid w:val="0"/>
                <w:color w:val="auto"/>
                <w:kern w:val="0"/>
                <w:sz w:val="21"/>
                <w:szCs w:val="21"/>
                <w:highlight w:val="none"/>
                <w:lang w:val="en-US" w:eastAsia="zh-CN" w:bidi="ar-SA"/>
              </w:rPr>
              <w:t>权利义务</w:t>
            </w:r>
          </w:p>
        </w:tc>
        <w:tc>
          <w:tcPr>
            <w:tcW w:w="7701" w:type="dxa"/>
            <w:noWrap w:val="0"/>
            <w:vAlign w:val="center"/>
          </w:tcPr>
          <w:p w14:paraId="2B32331C">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snapToGrid w:val="0"/>
                <w:color w:val="auto"/>
                <w:kern w:val="0"/>
                <w:sz w:val="21"/>
                <w:szCs w:val="21"/>
                <w:highlight w:val="none"/>
                <w:lang w:val="en-US" w:eastAsia="zh-CN" w:bidi="ar-SA"/>
              </w:rPr>
              <w:t>投标文件中</w:t>
            </w:r>
            <w:r>
              <w:rPr>
                <w:rFonts w:hint="eastAsia" w:ascii="仿宋" w:hAnsi="仿宋" w:eastAsia="仿宋" w:cs="仿宋"/>
                <w:color w:val="auto"/>
                <w:sz w:val="21"/>
                <w:szCs w:val="21"/>
                <w:highlight w:val="none"/>
              </w:rPr>
              <w:t>含有采购人不能接受的附加条件的</w:t>
            </w:r>
            <w:r>
              <w:rPr>
                <w:rFonts w:hint="eastAsia" w:ascii="仿宋" w:hAnsi="仿宋" w:eastAsia="仿宋" w:cs="仿宋"/>
                <w:color w:val="auto"/>
                <w:sz w:val="21"/>
                <w:szCs w:val="21"/>
                <w:highlight w:val="none"/>
                <w:lang w:eastAsia="zh-CN"/>
              </w:rPr>
              <w:t>。</w:t>
            </w:r>
          </w:p>
        </w:tc>
      </w:tr>
      <w:tr w14:paraId="5198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989" w:type="dxa"/>
            <w:noWrap w:val="0"/>
            <w:vAlign w:val="center"/>
          </w:tcPr>
          <w:p w14:paraId="450BBB7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rPr>
              <w:t>其他无效情形</w:t>
            </w:r>
          </w:p>
        </w:tc>
        <w:tc>
          <w:tcPr>
            <w:tcW w:w="7701" w:type="dxa"/>
            <w:noWrap w:val="0"/>
            <w:vAlign w:val="center"/>
          </w:tcPr>
          <w:p w14:paraId="1A8E62F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eastAsia="zh-CN"/>
              </w:rPr>
              <w:t>法律法规</w:t>
            </w:r>
            <w:r>
              <w:rPr>
                <w:rFonts w:hint="eastAsia" w:ascii="仿宋" w:hAnsi="仿宋" w:eastAsia="仿宋" w:cs="仿宋"/>
                <w:snapToGrid w:val="0"/>
                <w:color w:val="auto"/>
                <w:kern w:val="0"/>
                <w:sz w:val="21"/>
                <w:szCs w:val="21"/>
                <w:highlight w:val="none"/>
              </w:rPr>
              <w:t>和</w:t>
            </w:r>
            <w:r>
              <w:rPr>
                <w:rFonts w:hint="eastAsia" w:ascii="仿宋" w:hAnsi="仿宋" w:eastAsia="仿宋" w:cs="仿宋"/>
                <w:snapToGrid w:val="0"/>
                <w:color w:val="auto"/>
                <w:kern w:val="0"/>
                <w:sz w:val="21"/>
                <w:szCs w:val="21"/>
                <w:highlight w:val="none"/>
                <w:lang w:eastAsia="zh-CN"/>
              </w:rPr>
              <w:t>招标文件</w:t>
            </w:r>
            <w:r>
              <w:rPr>
                <w:rFonts w:hint="eastAsia" w:ascii="仿宋" w:hAnsi="仿宋" w:eastAsia="仿宋" w:cs="仿宋"/>
                <w:snapToGrid w:val="0"/>
                <w:color w:val="auto"/>
                <w:kern w:val="0"/>
                <w:sz w:val="21"/>
                <w:szCs w:val="21"/>
                <w:highlight w:val="none"/>
              </w:rPr>
              <w:t>规定的其他无效情形。</w:t>
            </w:r>
          </w:p>
        </w:tc>
      </w:tr>
    </w:tbl>
    <w:p w14:paraId="06FCC61B">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lang w:val="en-US" w:eastAsia="zh-CN"/>
        </w:rPr>
        <w:sectPr>
          <w:pgSz w:w="11906" w:h="16838"/>
          <w:pgMar w:top="1440" w:right="1080" w:bottom="1440" w:left="1080" w:header="851" w:footer="907" w:gutter="0"/>
          <w:pgNumType w:fmt="decimal"/>
          <w:cols w:space="425" w:num="1"/>
          <w:docGrid w:type="lines" w:linePitch="312" w:charSpace="0"/>
        </w:sectPr>
      </w:pPr>
    </w:p>
    <w:p w14:paraId="36C4BD66">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lang w:val="en-US" w:eastAsia="zh-CN"/>
        </w:rPr>
      </w:pPr>
      <w:r>
        <w:rPr>
          <w:rFonts w:hint="eastAsia" w:ascii="仿宋" w:hAnsi="仿宋" w:eastAsia="仿宋" w:cs="仿宋"/>
          <w:b/>
          <w:bCs/>
          <w:color w:val="auto"/>
          <w:spacing w:val="0"/>
          <w:w w:val="100"/>
          <w:position w:val="0"/>
          <w:sz w:val="24"/>
          <w:szCs w:val="24"/>
          <w:lang w:val="en-US" w:eastAsia="zh-CN"/>
        </w:rPr>
        <w:t>三、评分标准</w:t>
      </w:r>
    </w:p>
    <w:p w14:paraId="7364CDA6">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jc w:val="center"/>
        <w:textAlignment w:val="auto"/>
        <w:outlineLvl w:val="2"/>
        <w:rPr>
          <w:rFonts w:hint="eastAsia" w:ascii="仿宋" w:hAnsi="仿宋" w:eastAsia="仿宋" w:cs="仿宋"/>
          <w:i w:val="0"/>
          <w:iCs w:val="0"/>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投标报价</w:t>
      </w:r>
      <w:r>
        <w:rPr>
          <w:rFonts w:hint="eastAsia" w:ascii="仿宋" w:hAnsi="仿宋" w:eastAsia="仿宋" w:cs="仿宋"/>
          <w:color w:val="auto"/>
          <w:sz w:val="24"/>
          <w:szCs w:val="24"/>
          <w:highlight w:val="none"/>
          <w:lang w:val="en-US" w:eastAsia="zh-CN"/>
        </w:rPr>
        <w:t>评分标准（</w:t>
      </w:r>
      <w:r>
        <w:rPr>
          <w:rFonts w:hint="eastAsia" w:ascii="仿宋" w:hAnsi="仿宋" w:eastAsia="仿宋" w:cs="仿宋"/>
          <w:i w:val="0"/>
          <w:iCs w:val="0"/>
          <w:color w:val="auto"/>
          <w:sz w:val="24"/>
          <w:szCs w:val="24"/>
          <w:highlight w:val="none"/>
          <w:lang w:val="en-US" w:eastAsia="zh-CN"/>
        </w:rPr>
        <w:t>满分</w:t>
      </w:r>
      <w:r>
        <w:rPr>
          <w:rFonts w:hint="eastAsia" w:ascii="仿宋" w:hAnsi="仿宋" w:eastAsia="仿宋" w:cs="仿宋"/>
          <w:i w:val="0"/>
          <w:iCs w:val="0"/>
          <w:color w:val="auto"/>
          <w:sz w:val="24"/>
          <w:szCs w:val="24"/>
          <w:highlight w:val="none"/>
          <w:u w:val="single"/>
          <w:lang w:val="en-US" w:eastAsia="zh-CN"/>
        </w:rPr>
        <w:t>30</w:t>
      </w:r>
      <w:r>
        <w:rPr>
          <w:rFonts w:hint="eastAsia" w:ascii="仿宋" w:hAnsi="仿宋" w:eastAsia="仿宋" w:cs="仿宋"/>
          <w:i w:val="0"/>
          <w:iCs w:val="0"/>
          <w:color w:val="auto"/>
          <w:sz w:val="24"/>
          <w:szCs w:val="24"/>
          <w:highlight w:val="none"/>
          <w:lang w:val="en-US" w:eastAsia="zh-CN"/>
        </w:rPr>
        <w:t>分）</w:t>
      </w:r>
    </w:p>
    <w:tbl>
      <w:tblPr>
        <w:tblStyle w:val="1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7325"/>
        <w:gridCol w:w="869"/>
        <w:gridCol w:w="793"/>
      </w:tblGrid>
      <w:tr w14:paraId="4C07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6BA72DE4">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类型</w:t>
            </w:r>
          </w:p>
        </w:tc>
        <w:tc>
          <w:tcPr>
            <w:tcW w:w="7325" w:type="dxa"/>
            <w:vAlign w:val="center"/>
          </w:tcPr>
          <w:p w14:paraId="0BB03A3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评分标准</w:t>
            </w:r>
          </w:p>
        </w:tc>
        <w:tc>
          <w:tcPr>
            <w:tcW w:w="869" w:type="dxa"/>
            <w:vAlign w:val="center"/>
          </w:tcPr>
          <w:p w14:paraId="3FA45147">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分值</w:t>
            </w:r>
          </w:p>
        </w:tc>
        <w:tc>
          <w:tcPr>
            <w:tcW w:w="793" w:type="dxa"/>
            <w:shd w:val="clear" w:color="auto" w:fill="auto"/>
            <w:vAlign w:val="center"/>
          </w:tcPr>
          <w:p w14:paraId="109190A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打分方法</w:t>
            </w:r>
          </w:p>
        </w:tc>
      </w:tr>
      <w:tr w14:paraId="0C91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719" w:type="dxa"/>
            <w:vAlign w:val="center"/>
          </w:tcPr>
          <w:p w14:paraId="70637D79">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en-US" w:bidi="ar-SA"/>
              </w:rPr>
            </w:pPr>
            <w:r>
              <w:rPr>
                <w:rFonts w:hint="eastAsia" w:ascii="仿宋" w:hAnsi="仿宋" w:eastAsia="仿宋" w:cs="仿宋"/>
                <w:i w:val="0"/>
                <w:iCs w:val="0"/>
                <w:color w:val="auto"/>
                <w:sz w:val="21"/>
                <w:szCs w:val="21"/>
                <w:highlight w:val="none"/>
                <w:lang w:val="en-US" w:eastAsia="zh-CN"/>
              </w:rPr>
              <w:t>投标</w:t>
            </w:r>
            <w:r>
              <w:rPr>
                <w:rFonts w:hint="eastAsia" w:ascii="仿宋" w:hAnsi="仿宋" w:eastAsia="仿宋" w:cs="仿宋"/>
                <w:i w:val="0"/>
                <w:iCs w:val="0"/>
                <w:color w:val="auto"/>
                <w:sz w:val="21"/>
                <w:szCs w:val="21"/>
                <w:highlight w:val="none"/>
              </w:rPr>
              <w:t>报价</w:t>
            </w:r>
          </w:p>
        </w:tc>
        <w:tc>
          <w:tcPr>
            <w:tcW w:w="7325" w:type="dxa"/>
            <w:vAlign w:val="center"/>
          </w:tcPr>
          <w:p w14:paraId="07ACFA89">
            <w:pPr>
              <w:keepNext w:val="0"/>
              <w:keepLines w:val="0"/>
              <w:pageBreakBefore w:val="0"/>
              <w:widowControl w:val="0"/>
              <w:kinsoku/>
              <w:wordWrap w:val="0"/>
              <w:overflowPunct/>
              <w:topLinePunct/>
              <w:autoSpaceDE/>
              <w:autoSpaceDN/>
              <w:bidi w:val="0"/>
              <w:adjustRightInd/>
              <w:snapToGrid/>
              <w:spacing w:line="480" w:lineRule="auto"/>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投标报价计算公式= </w:t>
            </w:r>
            <w:r>
              <w:rPr>
                <w:rFonts w:hint="eastAsia" w:ascii="仿宋" w:hAnsi="仿宋" w:eastAsia="仿宋" w:cs="仿宋"/>
                <w:i w:val="0"/>
                <w:iCs w:val="0"/>
                <w:color w:val="auto"/>
                <w:position w:val="-26"/>
                <w:sz w:val="21"/>
                <w:szCs w:val="21"/>
                <w:highlight w:val="none"/>
              </w:rPr>
              <w:object>
                <v:shape id="_x0000_i1025" o:spt="75" alt="341228446826312" type="#_x0000_t75" style="height:31.5pt;width:66.95pt;" o:ole="t" filled="f" o:preferrelative="t" stroked="f" coordsize="21600,21600">
                  <v:path/>
                  <v:fill on="f" focussize="0,0"/>
                  <v:stroke on="f"/>
                  <v:imagedata r:id="rId23" o:title=""/>
                  <o:lock v:ext="edit" aspectratio="t"/>
                  <w10:wrap type="none"/>
                  <w10:anchorlock/>
                </v:shape>
                <o:OLEObject Type="Embed" ProgID="Equation.3" ShapeID="_x0000_i1025" DrawAspect="Content" ObjectID="_1468075725" r:id="rId22">
                  <o:LockedField>false</o:LockedField>
                </o:OLEObject>
              </w:objec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u w:val="none"/>
              </w:rPr>
              <w:t>30</w:t>
            </w:r>
          </w:p>
          <w:p w14:paraId="2FAB6E08">
            <w:pPr>
              <w:keepNext w:val="0"/>
              <w:keepLines w:val="0"/>
              <w:pageBreakBefore w:val="0"/>
              <w:widowControl w:val="0"/>
              <w:kinsoku/>
              <w:wordWrap w:val="0"/>
              <w:overflowPunct/>
              <w:topLinePunct/>
              <w:autoSpaceDE/>
              <w:autoSpaceDN/>
              <w:bidi w:val="0"/>
              <w:adjustRightInd/>
              <w:snapToGrid/>
              <w:spacing w:line="360" w:lineRule="exac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即：</w:t>
            </w:r>
            <w:r>
              <w:rPr>
                <w:rFonts w:hint="eastAsia" w:ascii="仿宋" w:hAnsi="仿宋" w:eastAsia="仿宋" w:cs="仿宋"/>
                <w:i w:val="0"/>
                <w:iCs w:val="0"/>
                <w:color w:val="auto"/>
                <w:sz w:val="21"/>
                <w:szCs w:val="21"/>
                <w:highlight w:val="none"/>
                <w:lang w:val="en-US" w:eastAsia="zh-CN"/>
              </w:rPr>
              <w:t>F1</w:t>
            </w:r>
            <w:r>
              <w:rPr>
                <w:rFonts w:hint="eastAsia" w:ascii="仿宋" w:hAnsi="仿宋" w:eastAsia="仿宋" w:cs="仿宋"/>
                <w:i w:val="0"/>
                <w:iCs w:val="0"/>
                <w:color w:val="auto"/>
                <w:sz w:val="21"/>
                <w:szCs w:val="21"/>
                <w:highlight w:val="none"/>
              </w:rPr>
              <w:t>=[C/（B1，B2，…，Bn）]×</w:t>
            </w:r>
            <w:r>
              <w:rPr>
                <w:rFonts w:hint="eastAsia" w:ascii="仿宋" w:hAnsi="仿宋" w:eastAsia="仿宋" w:cs="仿宋"/>
                <w:i w:val="0"/>
                <w:iCs w:val="0"/>
                <w:color w:val="auto"/>
                <w:sz w:val="21"/>
                <w:szCs w:val="21"/>
                <w:highlight w:val="none"/>
                <w:u w:val="none"/>
              </w:rPr>
              <w:t>30</w:t>
            </w:r>
          </w:p>
          <w:p w14:paraId="4241D20B">
            <w:pPr>
              <w:keepNext w:val="0"/>
              <w:keepLines w:val="0"/>
              <w:pageBreakBefore w:val="0"/>
              <w:widowControl w:val="0"/>
              <w:kinsoku/>
              <w:wordWrap w:val="0"/>
              <w:overflowPunct/>
              <w:topLinePunct/>
              <w:autoSpaceDE/>
              <w:autoSpaceDN/>
              <w:bidi w:val="0"/>
              <w:adjustRightInd/>
              <w:snapToGrid/>
              <w:spacing w:line="360" w:lineRule="exac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注：</w:t>
            </w:r>
            <w:r>
              <w:rPr>
                <w:rFonts w:hint="eastAsia" w:ascii="仿宋" w:hAnsi="仿宋" w:eastAsia="仿宋" w:cs="仿宋"/>
                <w:i w:val="0"/>
                <w:iCs w:val="0"/>
                <w:color w:val="auto"/>
                <w:sz w:val="21"/>
                <w:szCs w:val="21"/>
                <w:highlight w:val="none"/>
              </w:rPr>
              <w:t>C为</w:t>
            </w:r>
            <w:r>
              <w:rPr>
                <w:rFonts w:hint="eastAsia" w:ascii="仿宋" w:hAnsi="仿宋" w:eastAsia="仿宋" w:cs="仿宋"/>
                <w:i w:val="0"/>
                <w:iCs w:val="0"/>
                <w:color w:val="auto"/>
                <w:sz w:val="21"/>
                <w:szCs w:val="21"/>
                <w:highlight w:val="none"/>
                <w:lang w:eastAsia="zh-CN"/>
              </w:rPr>
              <w:t>评审</w:t>
            </w:r>
            <w:r>
              <w:rPr>
                <w:rFonts w:hint="eastAsia" w:ascii="仿宋" w:hAnsi="仿宋" w:eastAsia="仿宋" w:cs="仿宋"/>
                <w:i w:val="0"/>
                <w:iCs w:val="0"/>
                <w:color w:val="auto"/>
                <w:sz w:val="21"/>
                <w:szCs w:val="21"/>
                <w:highlight w:val="none"/>
              </w:rPr>
              <w:t>基准价，即经符合性评审合格且投标价格最低的投标报价；</w:t>
            </w:r>
          </w:p>
          <w:p w14:paraId="56FC3B56">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B1，B2，…，Bn为第n个经符合性评审合格的投标报价。</w:t>
            </w:r>
          </w:p>
          <w:p w14:paraId="4C0F39F4">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1.</w:t>
            </w:r>
            <w:r>
              <w:rPr>
                <w:rFonts w:hint="eastAsia" w:ascii="仿宋" w:hAnsi="仿宋" w:eastAsia="仿宋" w:cs="仿宋"/>
                <w:i w:val="0"/>
                <w:iCs w:val="0"/>
                <w:color w:val="auto"/>
                <w:sz w:val="21"/>
                <w:szCs w:val="21"/>
                <w:highlight w:val="none"/>
              </w:rPr>
              <w:t>在计算投标报价得分时，对小型或微型企业报价给予10%的扣除，用扣除后的价格参加评审。</w:t>
            </w:r>
          </w:p>
          <w:p w14:paraId="55BB7DDE">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2.</w:t>
            </w:r>
            <w:r>
              <w:rPr>
                <w:rFonts w:hint="eastAsia" w:ascii="仿宋" w:hAnsi="仿宋" w:eastAsia="仿宋" w:cs="仿宋"/>
                <w:i w:val="0"/>
                <w:iCs w:val="0"/>
                <w:color w:val="auto"/>
                <w:sz w:val="21"/>
                <w:szCs w:val="21"/>
                <w:highlight w:val="none"/>
              </w:rPr>
              <w:t>残疾人福利性单位、监狱企业视同小型、微型企业。</w:t>
            </w:r>
          </w:p>
          <w:p w14:paraId="0F37E9BE">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3.</w:t>
            </w:r>
            <w:r>
              <w:rPr>
                <w:rFonts w:hint="eastAsia" w:ascii="仿宋" w:hAnsi="仿宋" w:eastAsia="仿宋" w:cs="仿宋"/>
                <w:i w:val="0"/>
                <w:iCs w:val="0"/>
                <w:color w:val="auto"/>
                <w:sz w:val="21"/>
                <w:szCs w:val="21"/>
                <w:highlight w:val="none"/>
              </w:rPr>
              <w:t>监狱企业或残疾人福利性单位属于小型、微型企业的，不重复计算，只进行一次价格扣除。</w:t>
            </w:r>
          </w:p>
          <w:p w14:paraId="7AE73B63">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4.对本国产品的报价给予20%的价格扣除，用扣除后的价格参与评审。</w:t>
            </w:r>
          </w:p>
          <w:p w14:paraId="6E346C1C">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5.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w:t>
            </w:r>
          </w:p>
          <w:p w14:paraId="29220339">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6.对于仅有本国产品参与竞争的政府采购项目，本国产品不享受价格扣除评审优惠。</w:t>
            </w:r>
          </w:p>
          <w:p w14:paraId="563286AA">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7.当涉及以上政府采购政策叠加适用的，相关价格评审扣除优惠，均在供应商原始报价基础上计算，用扣除后的价格参与评审。</w:t>
            </w:r>
          </w:p>
          <w:p w14:paraId="6D619BC6">
            <w:pPr>
              <w:keepNext w:val="0"/>
              <w:keepLines w:val="0"/>
              <w:pageBreakBefore w:val="0"/>
              <w:widowControl w:val="0"/>
              <w:kinsoku/>
              <w:wordWrap w:val="0"/>
              <w:overflowPunct/>
              <w:topLinePunct/>
              <w:autoSpaceDE/>
              <w:autoSpaceDN/>
              <w:bidi w:val="0"/>
              <w:adjustRightInd/>
              <w:snapToGrid/>
              <w:spacing w:line="360" w:lineRule="exac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8.得分保留小数点后两位，第三位四舍五入。</w:t>
            </w:r>
          </w:p>
          <w:p w14:paraId="5686FCC6">
            <w:pPr>
              <w:keepNext w:val="0"/>
              <w:keepLines w:val="0"/>
              <w:pageBreakBefore w:val="0"/>
              <w:overflowPunct/>
              <w:bidi w:val="0"/>
              <w:spacing w:line="360" w:lineRule="exact"/>
              <w:jc w:val="left"/>
              <w:rPr>
                <w:rFonts w:hint="eastAsia" w:ascii="仿宋" w:hAnsi="仿宋" w:eastAsia="仿宋" w:cs="仿宋"/>
                <w:b/>
                <w:bCs/>
                <w:color w:val="000000"/>
                <w:highlight w:val="none"/>
              </w:rPr>
            </w:pPr>
            <w:r>
              <w:rPr>
                <w:rFonts w:hint="eastAsia" w:ascii="仿宋" w:hAnsi="仿宋" w:eastAsia="仿宋" w:cs="仿宋"/>
                <w:b/>
                <w:bCs/>
                <w:color w:val="000000"/>
                <w:highlight w:val="none"/>
              </w:rPr>
              <w:t>注：</w:t>
            </w:r>
          </w:p>
          <w:p w14:paraId="3277CB6D">
            <w:pPr>
              <w:keepNext w:val="0"/>
              <w:keepLines w:val="0"/>
              <w:pageBreakBefore w:val="0"/>
              <w:overflowPunct/>
              <w:bidi w:val="0"/>
              <w:spacing w:line="360" w:lineRule="exact"/>
              <w:jc w:val="lef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①如果评标委员会认为投标人的报价属于《关于推动解决政府采购异常低价问题的通知》【财库（2026）2号】规定的情形，应当启动异常低价投标（响应）审查程序，并按上述文件的有关规定作出处理。</w:t>
            </w:r>
          </w:p>
          <w:p w14:paraId="5C4CEAA0">
            <w:pPr>
              <w:keepNext w:val="0"/>
              <w:keepLines w:val="0"/>
              <w:pageBreakBefore w:val="0"/>
              <w:overflowPunct/>
              <w:bidi w:val="0"/>
              <w:spacing w:line="360" w:lineRule="exact"/>
              <w:jc w:val="lef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②</w:t>
            </w:r>
            <w:r>
              <w:rPr>
                <w:rFonts w:hint="eastAsia" w:ascii="仿宋" w:hAnsi="仿宋" w:eastAsia="仿宋" w:cs="仿宋"/>
                <w:b/>
                <w:bCs/>
                <w:color w:val="000000"/>
                <w:highlight w:val="none"/>
              </w:rPr>
              <w:t>评标委员会根据供应商提供的小微企业或监狱企业或残疾人福利性单位相关声明函，认定其是否属于小微企业或监狱企业或残疾人福利性单位并享受相应的优惠政策。供应商对其提供的声明函的真实性负责，如有虚假，自行承担相应责任。</w:t>
            </w:r>
          </w:p>
          <w:p w14:paraId="35BF015C">
            <w:pPr>
              <w:keepNext w:val="0"/>
              <w:keepLines w:val="0"/>
              <w:pageBreakBefore w:val="0"/>
              <w:widowControl w:val="0"/>
              <w:kinsoku/>
              <w:wordWrap w:val="0"/>
              <w:overflowPunct/>
              <w:topLinePunct/>
              <w:autoSpaceDE/>
              <w:autoSpaceDN/>
              <w:bidi w:val="0"/>
              <w:adjustRightInd/>
              <w:snapToGrid/>
              <w:spacing w:line="360" w:lineRule="exact"/>
              <w:ind w:right="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b/>
                <w:bCs/>
                <w:color w:val="000000"/>
                <w:highlight w:val="none"/>
                <w:lang w:val="en-US" w:eastAsia="zh-CN"/>
              </w:rPr>
              <w:t>③</w:t>
            </w:r>
            <w:r>
              <w:rPr>
                <w:rFonts w:hint="eastAsia" w:ascii="仿宋" w:hAnsi="仿宋" w:eastAsia="仿宋" w:cs="仿宋"/>
                <w:b/>
                <w:bCs/>
                <w:color w:val="000000"/>
                <w:highlight w:val="none"/>
              </w:rPr>
              <w:t>评标委员会根据</w:t>
            </w:r>
            <w:r>
              <w:rPr>
                <w:rFonts w:hint="eastAsia" w:ascii="仿宋" w:hAnsi="仿宋" w:eastAsia="仿宋" w:cs="仿宋"/>
                <w:b/>
                <w:bCs/>
                <w:color w:val="000000"/>
                <w:highlight w:val="none"/>
                <w:lang w:val="en-US" w:eastAsia="zh-CN"/>
              </w:rPr>
              <w:t>供应商对其提供的产品出具《关于符合本国产品标准的声明函》，认定</w:t>
            </w:r>
            <w:r>
              <w:rPr>
                <w:rFonts w:hint="eastAsia" w:ascii="仿宋" w:hAnsi="仿宋" w:eastAsia="仿宋" w:cs="仿宋"/>
                <w:b/>
                <w:bCs/>
                <w:color w:val="000000"/>
                <w:highlight w:val="none"/>
              </w:rPr>
              <w:t>其是否</w:t>
            </w:r>
            <w:r>
              <w:rPr>
                <w:rFonts w:hint="eastAsia" w:ascii="仿宋" w:hAnsi="仿宋" w:eastAsia="仿宋" w:cs="仿宋"/>
                <w:b/>
                <w:bCs/>
                <w:color w:val="000000"/>
                <w:highlight w:val="none"/>
                <w:lang w:val="en-US" w:eastAsia="zh-CN"/>
              </w:rPr>
              <w:t>享受相应优惠政策。</w:t>
            </w:r>
            <w:r>
              <w:rPr>
                <w:rFonts w:hint="eastAsia" w:ascii="仿宋" w:hAnsi="仿宋" w:eastAsia="仿宋" w:cs="仿宋"/>
                <w:b/>
                <w:bCs/>
                <w:color w:val="000000"/>
                <w:highlight w:val="none"/>
              </w:rPr>
              <w:t>供应商对其提供的声明函的真实性负责，如有虚假，自行承担相应责任。</w:t>
            </w:r>
          </w:p>
        </w:tc>
        <w:tc>
          <w:tcPr>
            <w:tcW w:w="869" w:type="dxa"/>
            <w:vAlign w:val="center"/>
          </w:tcPr>
          <w:p w14:paraId="0093E39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u w:val="none"/>
                <w:lang w:val="en-US" w:eastAsia="zh-CN"/>
              </w:rPr>
              <w:t>30</w:t>
            </w:r>
            <w:r>
              <w:rPr>
                <w:rFonts w:hint="eastAsia" w:ascii="仿宋" w:hAnsi="仿宋" w:eastAsia="仿宋" w:cs="仿宋"/>
                <w:b/>
                <w:bCs/>
                <w:i w:val="0"/>
                <w:iCs w:val="0"/>
                <w:color w:val="auto"/>
                <w:sz w:val="21"/>
                <w:szCs w:val="21"/>
                <w:highlight w:val="none"/>
                <w:lang w:val="en-US" w:eastAsia="zh-CN"/>
              </w:rPr>
              <w:t>分</w:t>
            </w:r>
          </w:p>
        </w:tc>
        <w:tc>
          <w:tcPr>
            <w:tcW w:w="793" w:type="dxa"/>
            <w:shd w:val="clear" w:color="auto" w:fill="auto"/>
            <w:vAlign w:val="center"/>
          </w:tcPr>
          <w:p w14:paraId="509A455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客观分</w:t>
            </w:r>
          </w:p>
        </w:tc>
      </w:tr>
    </w:tbl>
    <w:p w14:paraId="59507EE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4"/>
          <w:szCs w:val="24"/>
          <w:highlight w:val="none"/>
          <w:lang w:val="zh-CN" w:eastAsia="zh-CN"/>
        </w:rPr>
      </w:pPr>
    </w:p>
    <w:p w14:paraId="4F5C9182">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28BFAB9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1AB825DF">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sectPr>
          <w:pgSz w:w="11906" w:h="16838"/>
          <w:pgMar w:top="1440" w:right="1080" w:bottom="1440" w:left="1080" w:header="851" w:footer="907" w:gutter="0"/>
          <w:pgNumType w:fmt="decimal"/>
          <w:cols w:space="425" w:num="1"/>
          <w:docGrid w:type="lines" w:linePitch="312" w:charSpace="0"/>
        </w:sectPr>
      </w:pPr>
    </w:p>
    <w:p w14:paraId="4A608454">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24"/>
          <w:szCs w:val="24"/>
          <w:highlight w:val="none"/>
          <w:lang w:val="zh-CN" w:eastAsia="zh-CN"/>
        </w:rPr>
        <w:t>（</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val="zh-CN" w:eastAsia="zh-CN"/>
        </w:rPr>
        <w:t>）商务技术</w:t>
      </w:r>
      <w:r>
        <w:rPr>
          <w:rFonts w:hint="eastAsia" w:ascii="仿宋" w:hAnsi="仿宋" w:eastAsia="仿宋" w:cs="仿宋"/>
          <w:b/>
          <w:bCs/>
          <w:color w:val="auto"/>
          <w:sz w:val="24"/>
          <w:szCs w:val="24"/>
          <w:highlight w:val="none"/>
          <w:lang w:val="zh-CN"/>
        </w:rPr>
        <w:t>评分</w:t>
      </w:r>
      <w:r>
        <w:rPr>
          <w:rFonts w:hint="eastAsia" w:ascii="仿宋" w:hAnsi="仿宋" w:eastAsia="仿宋" w:cs="仿宋"/>
          <w:b/>
          <w:bCs/>
          <w:color w:val="auto"/>
          <w:sz w:val="24"/>
          <w:szCs w:val="24"/>
          <w:highlight w:val="none"/>
          <w:lang w:val="en-US" w:eastAsia="zh-CN"/>
        </w:rPr>
        <w:t>标准（满分70分）</w:t>
      </w:r>
    </w:p>
    <w:tbl>
      <w:tblPr>
        <w:tblStyle w:val="16"/>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7330"/>
        <w:gridCol w:w="854"/>
        <w:gridCol w:w="774"/>
      </w:tblGrid>
      <w:tr w14:paraId="2F32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Align w:val="center"/>
          </w:tcPr>
          <w:p w14:paraId="56BFC59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类型</w:t>
            </w:r>
          </w:p>
        </w:tc>
        <w:tc>
          <w:tcPr>
            <w:tcW w:w="7330" w:type="dxa"/>
            <w:vAlign w:val="center"/>
          </w:tcPr>
          <w:p w14:paraId="44A35624">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评分标准</w:t>
            </w:r>
          </w:p>
        </w:tc>
        <w:tc>
          <w:tcPr>
            <w:tcW w:w="854" w:type="dxa"/>
            <w:vAlign w:val="center"/>
          </w:tcPr>
          <w:p w14:paraId="0B2324A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分值</w:t>
            </w:r>
          </w:p>
        </w:tc>
        <w:tc>
          <w:tcPr>
            <w:tcW w:w="774" w:type="dxa"/>
            <w:vAlign w:val="center"/>
          </w:tcPr>
          <w:p w14:paraId="58CA459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打分方法</w:t>
            </w:r>
          </w:p>
        </w:tc>
      </w:tr>
      <w:tr w14:paraId="22BD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Align w:val="center"/>
          </w:tcPr>
          <w:p w14:paraId="5F3A897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
                <w:bCs/>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技术</w:t>
            </w:r>
          </w:p>
        </w:tc>
        <w:tc>
          <w:tcPr>
            <w:tcW w:w="7330" w:type="dxa"/>
            <w:vAlign w:val="center"/>
          </w:tcPr>
          <w:p w14:paraId="2FE244CE">
            <w:pPr>
              <w:keepNext w:val="0"/>
              <w:keepLines w:val="0"/>
              <w:pageBreakBefore w:val="0"/>
              <w:widowControl w:val="0"/>
              <w:kinsoku/>
              <w:wordWrap w:val="0"/>
              <w:overflowPunct/>
              <w:topLinePunct/>
              <w:autoSpaceDE/>
              <w:autoSpaceDN/>
              <w:bidi w:val="0"/>
              <w:adjustRightInd/>
              <w:snapToGrid/>
              <w:spacing w:line="20" w:lineRule="atLeast"/>
              <w:ind w:left="0" w:right="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技术参数指标响应评审：</w:t>
            </w:r>
          </w:p>
          <w:p w14:paraId="15F19B1E">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 </w:t>
            </w:r>
            <w:r>
              <w:rPr>
                <w:rFonts w:hint="eastAsia" w:ascii="仿宋" w:hAnsi="仿宋" w:eastAsia="仿宋" w:cs="仿宋"/>
                <w:bCs/>
                <w:color w:val="auto"/>
                <w:sz w:val="21"/>
                <w:szCs w:val="21"/>
                <w:highlight w:val="none"/>
              </w:rPr>
              <w:t>根据</w:t>
            </w:r>
            <w:r>
              <w:rPr>
                <w:rFonts w:hint="eastAsia" w:ascii="仿宋" w:hAnsi="仿宋" w:eastAsia="仿宋" w:cs="仿宋"/>
                <w:bCs/>
                <w:color w:val="auto"/>
                <w:sz w:val="21"/>
                <w:szCs w:val="21"/>
                <w:highlight w:val="none"/>
                <w:lang w:eastAsia="zh-CN"/>
              </w:rPr>
              <w:t>招标文件</w:t>
            </w:r>
            <w:r>
              <w:rPr>
                <w:rFonts w:hint="eastAsia" w:ascii="仿宋" w:hAnsi="仿宋" w:eastAsia="仿宋" w:cs="仿宋"/>
                <w:bCs/>
                <w:color w:val="auto"/>
                <w:sz w:val="21"/>
                <w:szCs w:val="21"/>
                <w:highlight w:val="none"/>
              </w:rPr>
              <w:t>第</w:t>
            </w:r>
            <w:r>
              <w:rPr>
                <w:rFonts w:hint="eastAsia" w:ascii="仿宋" w:hAnsi="仿宋" w:eastAsia="仿宋" w:cs="仿宋"/>
                <w:bCs/>
                <w:color w:val="auto"/>
                <w:sz w:val="21"/>
                <w:szCs w:val="21"/>
                <w:highlight w:val="none"/>
                <w:lang w:val="en-US" w:eastAsia="zh-CN"/>
              </w:rPr>
              <w:t>三</w:t>
            </w:r>
            <w:r>
              <w:rPr>
                <w:rFonts w:hint="eastAsia" w:ascii="仿宋" w:hAnsi="仿宋" w:eastAsia="仿宋" w:cs="仿宋"/>
                <w:bCs/>
                <w:color w:val="auto"/>
                <w:sz w:val="21"/>
                <w:szCs w:val="21"/>
                <w:highlight w:val="none"/>
              </w:rPr>
              <w:t>章</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采购需求及要求中除标注“★”条款外的技术</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参数</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内容进行评审：</w:t>
            </w:r>
          </w:p>
          <w:p w14:paraId="6CF41492">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1.1标注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的条款为重要技术指标及要求，共</w:t>
            </w:r>
            <w:r>
              <w:rPr>
                <w:rFonts w:hint="eastAsia" w:ascii="仿宋" w:hAnsi="仿宋" w:eastAsia="仿宋" w:cs="仿宋"/>
                <w:b/>
                <w:bCs w:val="0"/>
                <w:color w:val="auto"/>
                <w:sz w:val="21"/>
                <w:szCs w:val="21"/>
                <w:highlight w:val="none"/>
                <w:u w:val="single"/>
                <w:lang w:val="en-US" w:eastAsia="zh-CN"/>
              </w:rPr>
              <w:t>24</w:t>
            </w:r>
            <w:r>
              <w:rPr>
                <w:rFonts w:hint="eastAsia" w:ascii="仿宋" w:hAnsi="仿宋" w:eastAsia="仿宋" w:cs="仿宋"/>
                <w:bCs/>
                <w:color w:val="auto"/>
                <w:sz w:val="21"/>
                <w:szCs w:val="21"/>
                <w:highlight w:val="none"/>
              </w:rPr>
              <w:t>条</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满分</w:t>
            </w:r>
            <w:r>
              <w:rPr>
                <w:rFonts w:hint="eastAsia" w:ascii="仿宋" w:hAnsi="仿宋" w:eastAsia="仿宋" w:cs="仿宋"/>
                <w:b/>
                <w:bCs w:val="0"/>
                <w:color w:val="auto"/>
                <w:sz w:val="21"/>
                <w:szCs w:val="21"/>
                <w:highlight w:val="none"/>
                <w:u w:val="single"/>
                <w:lang w:val="en-US" w:eastAsia="zh-CN"/>
              </w:rPr>
              <w:t>21.12</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0.88</w:t>
            </w:r>
            <w:r>
              <w:rPr>
                <w:rFonts w:hint="eastAsia" w:ascii="仿宋" w:hAnsi="仿宋" w:eastAsia="仿宋" w:cs="仿宋"/>
                <w:bCs/>
                <w:color w:val="auto"/>
                <w:sz w:val="21"/>
                <w:szCs w:val="21"/>
                <w:highlight w:val="none"/>
              </w:rPr>
              <w:t>分；</w:t>
            </w:r>
          </w:p>
          <w:p w14:paraId="250D86CD">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1.2未标注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t>▲</w:t>
            </w:r>
            <w:r>
              <w:rPr>
                <w:rFonts w:hint="eastAsia" w:ascii="仿宋" w:hAnsi="仿宋" w:eastAsia="仿宋" w:cs="仿宋"/>
                <w:bCs/>
                <w:color w:val="auto"/>
                <w:sz w:val="21"/>
                <w:szCs w:val="21"/>
                <w:highlight w:val="none"/>
              </w:rPr>
              <w:t>”）的条款为一般技术条款，共</w:t>
            </w:r>
            <w:r>
              <w:rPr>
                <w:rFonts w:hint="eastAsia" w:ascii="仿宋" w:hAnsi="仿宋" w:eastAsia="仿宋" w:cs="仿宋"/>
                <w:b/>
                <w:bCs w:val="0"/>
                <w:color w:val="auto"/>
                <w:sz w:val="21"/>
                <w:szCs w:val="21"/>
                <w:highlight w:val="none"/>
                <w:u w:val="single"/>
                <w:lang w:val="en-US" w:eastAsia="zh-CN"/>
              </w:rPr>
              <w:t>59</w:t>
            </w:r>
            <w:r>
              <w:rPr>
                <w:rFonts w:hint="eastAsia" w:ascii="仿宋" w:hAnsi="仿宋" w:eastAsia="仿宋" w:cs="仿宋"/>
                <w:bCs/>
                <w:color w:val="auto"/>
                <w:sz w:val="21"/>
                <w:szCs w:val="21"/>
                <w:highlight w:val="none"/>
              </w:rPr>
              <w:t>条</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满分</w:t>
            </w:r>
            <w:r>
              <w:rPr>
                <w:rFonts w:hint="eastAsia" w:ascii="仿宋" w:hAnsi="仿宋" w:eastAsia="仿宋" w:cs="仿宋"/>
                <w:b/>
                <w:bCs w:val="0"/>
                <w:color w:val="auto"/>
                <w:sz w:val="21"/>
                <w:szCs w:val="21"/>
                <w:highlight w:val="none"/>
                <w:u w:val="single"/>
                <w:lang w:val="en-US" w:eastAsia="zh-CN"/>
              </w:rPr>
              <w:t>18.88</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0.32</w:t>
            </w:r>
            <w:r>
              <w:rPr>
                <w:rFonts w:hint="eastAsia" w:ascii="仿宋" w:hAnsi="仿宋" w:eastAsia="仿宋" w:cs="仿宋"/>
                <w:bCs/>
                <w:color w:val="auto"/>
                <w:sz w:val="21"/>
                <w:szCs w:val="21"/>
                <w:highlight w:val="none"/>
              </w:rPr>
              <w:t>分。</w:t>
            </w:r>
          </w:p>
          <w:p w14:paraId="15E5D90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2" w:firstLineChars="200"/>
              <w:rPr>
                <w:rFonts w:hint="eastAsia" w:ascii="仿宋" w:hAnsi="仿宋" w:eastAsia="仿宋" w:cs="仿宋"/>
                <w:b/>
                <w:bCs/>
                <w:sz w:val="21"/>
                <w:szCs w:val="21"/>
                <w:highlight w:val="none"/>
                <w:lang w:val="en-US" w:eastAsia="zh-CN" w:bidi="ar-SA"/>
              </w:rPr>
            </w:pPr>
            <w:r>
              <w:rPr>
                <w:rFonts w:hint="eastAsia" w:ascii="仿宋" w:hAnsi="仿宋" w:eastAsia="仿宋" w:cs="仿宋"/>
                <w:b/>
                <w:color w:val="auto"/>
                <w:sz w:val="21"/>
                <w:szCs w:val="21"/>
                <w:highlight w:val="none"/>
                <w:lang w:val="en-US" w:eastAsia="zh-CN"/>
              </w:rPr>
              <w:t>注：以技术规格偏离表和要求提供的证明资料为准。无标识项技术参数响应情况以技术规格偏离表中的响应情况为准；标注“★”和“▲”的条款，须提供相关证明材料，如招标文件中明确要求证明材料类型，则以招标文件明确要求的材料为准，如未明确证明材料的类型，则以技术支持资料作为评审依据，技术支持资料包括：制造商公开发布的资料或产品技术白皮书或产品彩页或产品制造商出具的加盖公章的证明材料或检测机构出具的检测报告为准。若制造商公开发布的资料与检测机构出具的检测报告不一致，以检测机构出具的检测报告为准。为便于评审，建议投标人对证明材料中的关键参数进行标注</w:t>
            </w:r>
            <w:r>
              <w:rPr>
                <w:rFonts w:hint="eastAsia" w:ascii="仿宋" w:hAnsi="仿宋" w:eastAsia="仿宋" w:cs="仿宋"/>
                <w:b/>
                <w:color w:val="auto"/>
                <w:sz w:val="21"/>
                <w:szCs w:val="21"/>
                <w:highlight w:val="none"/>
              </w:rPr>
              <w:t>。</w:t>
            </w:r>
          </w:p>
        </w:tc>
        <w:tc>
          <w:tcPr>
            <w:tcW w:w="854" w:type="dxa"/>
            <w:vAlign w:val="center"/>
          </w:tcPr>
          <w:p w14:paraId="74FA958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0～40分</w:t>
            </w:r>
          </w:p>
        </w:tc>
        <w:tc>
          <w:tcPr>
            <w:tcW w:w="774" w:type="dxa"/>
            <w:vAlign w:val="center"/>
          </w:tcPr>
          <w:p w14:paraId="5FFA5B1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客观分</w:t>
            </w:r>
          </w:p>
        </w:tc>
      </w:tr>
      <w:tr w14:paraId="5439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restart"/>
            <w:vAlign w:val="center"/>
          </w:tcPr>
          <w:p w14:paraId="39C09ECB">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商务</w:t>
            </w:r>
          </w:p>
        </w:tc>
        <w:tc>
          <w:tcPr>
            <w:tcW w:w="7330" w:type="dxa"/>
            <w:shd w:val="clear" w:color="auto" w:fill="auto"/>
            <w:vAlign w:val="center"/>
          </w:tcPr>
          <w:p w14:paraId="260994FA">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w:t>
            </w:r>
            <w:r>
              <w:rPr>
                <w:rFonts w:hint="eastAsia" w:cs="仿宋"/>
                <w:color w:val="auto"/>
                <w:kern w:val="2"/>
                <w:sz w:val="21"/>
                <w:szCs w:val="21"/>
                <w:highlight w:val="none"/>
                <w:lang w:val="en-US" w:eastAsia="zh-CN" w:bidi="ar-SA"/>
              </w:rPr>
              <w:t>三</w:t>
            </w:r>
            <w:r>
              <w:rPr>
                <w:rFonts w:hint="eastAsia" w:ascii="仿宋" w:hAnsi="仿宋" w:eastAsia="仿宋" w:cs="仿宋"/>
                <w:color w:val="auto"/>
                <w:kern w:val="2"/>
                <w:sz w:val="21"/>
                <w:szCs w:val="21"/>
                <w:highlight w:val="none"/>
                <w:lang w:val="en-US" w:eastAsia="zh-CN" w:bidi="ar-SA"/>
              </w:rPr>
              <w:t>章 采购需求及要求”</w:t>
            </w:r>
            <w:r>
              <w:rPr>
                <w:rFonts w:hint="eastAsia" w:ascii="仿宋" w:hAnsi="仿宋" w:eastAsia="仿宋" w:cs="仿宋"/>
                <w:b/>
                <w:bCs/>
                <w:color w:val="auto"/>
                <w:sz w:val="21"/>
                <w:szCs w:val="21"/>
                <w:highlight w:val="none"/>
                <w:lang w:val="en-US" w:eastAsia="zh-CN"/>
              </w:rPr>
              <w:t>编制项目实施方案</w:t>
            </w:r>
            <w:r>
              <w:rPr>
                <w:rFonts w:hint="eastAsia" w:ascii="仿宋" w:hAnsi="仿宋" w:eastAsia="仿宋" w:cs="仿宋"/>
                <w:b/>
                <w:bCs/>
                <w:color w:val="auto"/>
                <w:sz w:val="21"/>
                <w:szCs w:val="21"/>
                <w:highlight w:val="none"/>
                <w:lang w:eastAsia="zh-CN"/>
              </w:rPr>
              <w:t>：</w:t>
            </w:r>
          </w:p>
          <w:p w14:paraId="352CF6D2">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方案包括：①安装</w:t>
            </w:r>
            <w:r>
              <w:rPr>
                <w:rFonts w:hint="eastAsia" w:ascii="仿宋" w:hAnsi="仿宋" w:eastAsia="仿宋" w:cs="仿宋"/>
                <w:bCs/>
                <w:color w:val="auto"/>
                <w:sz w:val="21"/>
                <w:szCs w:val="21"/>
                <w:highlight w:val="none"/>
                <w:lang w:val="en-US" w:eastAsia="zh-CN"/>
              </w:rPr>
              <w:t>调试实施</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包括但不限于</w:t>
            </w:r>
            <w:r>
              <w:rPr>
                <w:rFonts w:hint="eastAsia" w:ascii="仿宋" w:hAnsi="仿宋" w:eastAsia="仿宋" w:cs="仿宋"/>
                <w:bCs/>
                <w:color w:val="auto"/>
                <w:sz w:val="21"/>
                <w:szCs w:val="21"/>
                <w:highlight w:val="none"/>
                <w:lang w:val="en-US" w:eastAsia="zh-CN"/>
              </w:rPr>
              <w:t>设备安装调试方案（包括但不限于行标校准、仪器性能验证、项目性能验证）</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设备</w:t>
            </w:r>
            <w:r>
              <w:rPr>
                <w:rFonts w:hint="eastAsia" w:ascii="仿宋" w:hAnsi="仿宋" w:eastAsia="仿宋" w:cs="仿宋"/>
                <w:bCs/>
                <w:color w:val="auto"/>
                <w:sz w:val="21"/>
                <w:szCs w:val="21"/>
                <w:highlight w:val="none"/>
              </w:rPr>
              <w:t>配套资料</w:t>
            </w:r>
            <w:r>
              <w:rPr>
                <w:rFonts w:hint="eastAsia" w:ascii="仿宋" w:hAnsi="仿宋" w:eastAsia="仿宋" w:cs="仿宋"/>
                <w:bCs/>
                <w:color w:val="auto"/>
                <w:sz w:val="21"/>
                <w:szCs w:val="21"/>
                <w:highlight w:val="none"/>
                <w:lang w:val="en-US" w:eastAsia="zh-CN"/>
              </w:rPr>
              <w:t>及配件</w:t>
            </w:r>
            <w:r>
              <w:rPr>
                <w:rFonts w:hint="eastAsia" w:ascii="仿宋" w:hAnsi="仿宋" w:eastAsia="仿宋" w:cs="仿宋"/>
                <w:bCs/>
                <w:color w:val="auto"/>
                <w:sz w:val="21"/>
                <w:szCs w:val="21"/>
                <w:highlight w:val="none"/>
              </w:rPr>
              <w:t>的</w:t>
            </w:r>
            <w:r>
              <w:rPr>
                <w:rFonts w:hint="eastAsia" w:ascii="仿宋" w:hAnsi="仿宋" w:eastAsia="仿宋" w:cs="仿宋"/>
                <w:bCs/>
                <w:color w:val="auto"/>
                <w:sz w:val="21"/>
                <w:szCs w:val="21"/>
                <w:highlight w:val="none"/>
                <w:lang w:val="en-US" w:eastAsia="zh-CN"/>
              </w:rPr>
              <w:t>交付方案〕</w:t>
            </w:r>
            <w:r>
              <w:rPr>
                <w:rFonts w:hint="eastAsia" w:ascii="仿宋" w:hAnsi="仿宋" w:eastAsia="仿宋" w:cs="仿宋"/>
                <w:bCs/>
                <w:color w:val="auto"/>
                <w:sz w:val="21"/>
                <w:szCs w:val="21"/>
                <w:highlight w:val="none"/>
              </w:rPr>
              <w:t>；②</w:t>
            </w:r>
            <w:r>
              <w:rPr>
                <w:rFonts w:hint="eastAsia" w:ascii="仿宋" w:hAnsi="仿宋" w:eastAsia="仿宋" w:cs="仿宋"/>
                <w:bCs/>
                <w:color w:val="auto"/>
                <w:sz w:val="21"/>
                <w:szCs w:val="21"/>
                <w:highlight w:val="none"/>
                <w:lang w:val="en-US" w:eastAsia="zh-CN"/>
              </w:rPr>
              <w:t>工作</w:t>
            </w:r>
            <w:r>
              <w:rPr>
                <w:rFonts w:hint="eastAsia" w:ascii="仿宋" w:hAnsi="仿宋" w:eastAsia="仿宋" w:cs="仿宋"/>
                <w:bCs/>
                <w:color w:val="auto"/>
                <w:sz w:val="21"/>
                <w:szCs w:val="21"/>
                <w:highlight w:val="none"/>
              </w:rPr>
              <w:t>进度计划（</w:t>
            </w:r>
            <w:r>
              <w:rPr>
                <w:rFonts w:hint="eastAsia" w:ascii="仿宋" w:hAnsi="仿宋" w:eastAsia="仿宋" w:cs="仿宋"/>
                <w:bCs/>
                <w:color w:val="auto"/>
                <w:sz w:val="21"/>
                <w:szCs w:val="21"/>
                <w:highlight w:val="none"/>
                <w:lang w:val="en-US" w:eastAsia="zh-CN"/>
              </w:rPr>
              <w:t>包含但不限于设备运输、安装、调试的时间安排</w:t>
            </w:r>
            <w:r>
              <w:rPr>
                <w:rFonts w:hint="eastAsia" w:ascii="仿宋" w:hAnsi="仿宋" w:eastAsia="仿宋" w:cs="仿宋"/>
                <w:bCs/>
                <w:color w:val="auto"/>
                <w:sz w:val="21"/>
                <w:szCs w:val="21"/>
                <w:highlight w:val="none"/>
              </w:rPr>
              <w:t>）；③产品质量</w:t>
            </w:r>
            <w:r>
              <w:rPr>
                <w:rFonts w:hint="eastAsia" w:ascii="仿宋" w:hAnsi="仿宋" w:eastAsia="仿宋" w:cs="仿宋"/>
                <w:bCs/>
                <w:color w:val="auto"/>
                <w:sz w:val="21"/>
                <w:szCs w:val="21"/>
                <w:highlight w:val="none"/>
                <w:lang w:val="en-US" w:eastAsia="zh-CN"/>
              </w:rPr>
              <w:t>保证</w:t>
            </w:r>
            <w:r>
              <w:rPr>
                <w:rFonts w:hint="eastAsia" w:ascii="仿宋" w:hAnsi="仿宋" w:eastAsia="仿宋" w:cs="仿宋"/>
                <w:bCs/>
                <w:color w:val="auto"/>
                <w:sz w:val="21"/>
                <w:szCs w:val="21"/>
                <w:highlight w:val="none"/>
              </w:rPr>
              <w:t>措施（包括但不限于产品质量保证</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违约承诺）；④突发事件紧急事件处置预案（包括</w:t>
            </w:r>
            <w:r>
              <w:rPr>
                <w:rFonts w:hint="eastAsia" w:ascii="仿宋" w:hAnsi="仿宋" w:eastAsia="仿宋" w:cs="仿宋"/>
                <w:bCs/>
                <w:color w:val="auto"/>
                <w:sz w:val="21"/>
                <w:szCs w:val="21"/>
                <w:highlight w:val="none"/>
                <w:lang w:val="en-US" w:eastAsia="zh-CN"/>
              </w:rPr>
              <w:t>但不限于设备运输过程中及安装</w:t>
            </w:r>
            <w:r>
              <w:rPr>
                <w:rFonts w:hint="eastAsia" w:ascii="仿宋" w:hAnsi="仿宋" w:eastAsia="仿宋" w:cs="仿宋"/>
                <w:bCs/>
                <w:color w:val="auto"/>
                <w:sz w:val="21"/>
                <w:szCs w:val="21"/>
                <w:highlight w:val="none"/>
              </w:rPr>
              <w:t>实施过程中可能遇到的各种风险</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有</w:t>
            </w:r>
            <w:r>
              <w:rPr>
                <w:rFonts w:hint="eastAsia" w:ascii="仿宋" w:hAnsi="仿宋" w:eastAsia="仿宋" w:cs="仿宋"/>
                <w:bCs/>
                <w:color w:val="auto"/>
                <w:sz w:val="21"/>
                <w:szCs w:val="21"/>
                <w:highlight w:val="none"/>
              </w:rPr>
              <w:t>应急预案及相应的解决措施）。</w:t>
            </w:r>
          </w:p>
          <w:p w14:paraId="01C28ABD">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w:t>
            </w:r>
            <w:r>
              <w:rPr>
                <w:rFonts w:hint="eastAsia" w:ascii="仿宋" w:hAnsi="仿宋" w:eastAsia="仿宋" w:cs="仿宋"/>
                <w:b w:val="0"/>
                <w:bCs/>
                <w:color w:val="auto"/>
                <w:sz w:val="21"/>
                <w:szCs w:val="21"/>
                <w:highlight w:val="none"/>
                <w:lang w:val="en-US" w:eastAsia="zh-CN"/>
              </w:rPr>
              <w:t>存</w:t>
            </w:r>
            <w:r>
              <w:rPr>
                <w:rFonts w:hint="eastAsia" w:ascii="仿宋" w:hAnsi="仿宋" w:eastAsia="仿宋" w:cs="仿宋"/>
                <w:b w:val="0"/>
                <w:bCs/>
                <w:color w:val="auto"/>
                <w:sz w:val="21"/>
                <w:szCs w:val="21"/>
                <w:highlight w:val="none"/>
              </w:rPr>
              <w:t>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1AF1EB6C">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rightChars="0" w:firstLine="420" w:firstLineChars="200"/>
              <w:textAlignment w:val="auto"/>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854" w:type="dxa"/>
            <w:shd w:val="clear" w:color="auto" w:fill="auto"/>
            <w:vAlign w:val="center"/>
          </w:tcPr>
          <w:p w14:paraId="7B43963E">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u w:val="none"/>
                <w:lang w:val="en-US" w:eastAsia="zh-CN"/>
              </w:rPr>
              <w:t>10分</w:t>
            </w:r>
          </w:p>
        </w:tc>
        <w:tc>
          <w:tcPr>
            <w:tcW w:w="774" w:type="dxa"/>
            <w:shd w:val="clear" w:color="auto" w:fill="auto"/>
            <w:vAlign w:val="center"/>
          </w:tcPr>
          <w:p w14:paraId="14F22D90">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0106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2ECD617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0" w:type="auto"/>
            <w:shd w:val="clear" w:color="auto" w:fill="auto"/>
            <w:vAlign w:val="center"/>
          </w:tcPr>
          <w:p w14:paraId="238F8792">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根据招标文件“第</w:t>
            </w:r>
            <w:r>
              <w:rPr>
                <w:rFonts w:hint="eastAsia" w:cs="仿宋"/>
                <w:color w:val="auto"/>
                <w:kern w:val="2"/>
                <w:sz w:val="21"/>
                <w:szCs w:val="21"/>
                <w:highlight w:val="none"/>
                <w:lang w:val="en-US" w:eastAsia="zh-CN" w:bidi="ar-SA"/>
              </w:rPr>
              <w:t>三</w:t>
            </w:r>
            <w:r>
              <w:rPr>
                <w:rFonts w:hint="eastAsia" w:ascii="仿宋" w:hAnsi="仿宋" w:eastAsia="仿宋" w:cs="仿宋"/>
                <w:color w:val="auto"/>
                <w:kern w:val="2"/>
                <w:sz w:val="21"/>
                <w:szCs w:val="21"/>
                <w:highlight w:val="none"/>
                <w:lang w:val="en-US" w:eastAsia="zh-CN" w:bidi="ar-SA"/>
              </w:rPr>
              <w:t>章 采购需求及要求”</w:t>
            </w:r>
            <w:r>
              <w:rPr>
                <w:rFonts w:hint="eastAsia" w:ascii="仿宋" w:hAnsi="仿宋" w:eastAsia="仿宋" w:cs="仿宋"/>
                <w:b/>
                <w:bCs/>
                <w:color w:val="auto"/>
                <w:sz w:val="21"/>
                <w:szCs w:val="21"/>
                <w:highlight w:val="none"/>
                <w:lang w:val="en-US" w:eastAsia="zh-CN"/>
              </w:rPr>
              <w:t>编制培训方案</w:t>
            </w:r>
            <w:r>
              <w:rPr>
                <w:rFonts w:hint="eastAsia" w:ascii="仿宋" w:hAnsi="仿宋" w:eastAsia="仿宋" w:cs="仿宋"/>
                <w:b/>
                <w:bCs/>
                <w:color w:val="auto"/>
                <w:sz w:val="21"/>
                <w:szCs w:val="21"/>
                <w:highlight w:val="none"/>
                <w:lang w:eastAsia="zh-CN"/>
              </w:rPr>
              <w:t>：</w:t>
            </w:r>
          </w:p>
          <w:p w14:paraId="1E9849BA">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方案包含：①培训方式、②培训内容</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包含但不限于</w:t>
            </w:r>
            <w:r>
              <w:rPr>
                <w:rFonts w:hint="eastAsia" w:ascii="仿宋" w:hAnsi="仿宋" w:eastAsia="仿宋" w:cs="仿宋"/>
                <w:bCs/>
                <w:color w:val="auto"/>
                <w:sz w:val="21"/>
                <w:szCs w:val="21"/>
                <w:highlight w:val="none"/>
              </w:rPr>
              <w:t>产品的功能、操作及</w:t>
            </w:r>
            <w:r>
              <w:rPr>
                <w:rFonts w:hint="eastAsia" w:ascii="仿宋" w:hAnsi="仿宋" w:eastAsia="仿宋" w:cs="仿宋"/>
                <w:bCs/>
                <w:color w:val="auto"/>
                <w:sz w:val="21"/>
                <w:szCs w:val="21"/>
                <w:highlight w:val="none"/>
                <w:lang w:val="en-US" w:eastAsia="zh-CN"/>
              </w:rPr>
              <w:t>日常</w:t>
            </w:r>
            <w:r>
              <w:rPr>
                <w:rFonts w:hint="eastAsia" w:ascii="仿宋" w:hAnsi="仿宋" w:eastAsia="仿宋" w:cs="仿宋"/>
                <w:bCs/>
                <w:color w:val="auto"/>
                <w:sz w:val="21"/>
                <w:szCs w:val="21"/>
                <w:highlight w:val="none"/>
              </w:rPr>
              <w:t>维护等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、③培训计划、④保障措施；</w:t>
            </w:r>
          </w:p>
          <w:p w14:paraId="6177E0D3">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5376F67C">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79A37B56">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10分</w:t>
            </w:r>
          </w:p>
        </w:tc>
        <w:tc>
          <w:tcPr>
            <w:tcW w:w="774" w:type="dxa"/>
            <w:shd w:val="clear" w:color="auto" w:fill="auto"/>
            <w:vAlign w:val="center"/>
          </w:tcPr>
          <w:p w14:paraId="0C914860">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4726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44B5967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0" w:type="auto"/>
            <w:shd w:val="clear" w:color="auto" w:fill="auto"/>
            <w:vAlign w:val="center"/>
          </w:tcPr>
          <w:p w14:paraId="0601B144">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jc w:val="left"/>
              <w:textAlignment w:val="auto"/>
              <w:rPr>
                <w:rFonts w:hint="eastAsia" w:ascii="仿宋" w:hAnsi="仿宋" w:eastAsia="仿宋" w:cs="仿宋"/>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w:t>
            </w:r>
            <w:r>
              <w:rPr>
                <w:rFonts w:hint="eastAsia" w:cs="仿宋"/>
                <w:color w:val="auto"/>
                <w:kern w:val="2"/>
                <w:sz w:val="21"/>
                <w:szCs w:val="21"/>
                <w:highlight w:val="none"/>
                <w:lang w:val="en-US" w:eastAsia="zh-CN" w:bidi="ar-SA"/>
              </w:rPr>
              <w:t>三</w:t>
            </w:r>
            <w:r>
              <w:rPr>
                <w:rFonts w:hint="eastAsia" w:ascii="仿宋" w:hAnsi="仿宋" w:eastAsia="仿宋" w:cs="仿宋"/>
                <w:color w:val="auto"/>
                <w:kern w:val="2"/>
                <w:sz w:val="21"/>
                <w:szCs w:val="21"/>
                <w:highlight w:val="none"/>
                <w:lang w:val="en-US" w:eastAsia="zh-CN" w:bidi="ar-SA"/>
              </w:rPr>
              <w:t>章 采购需求及要求”</w:t>
            </w:r>
            <w:r>
              <w:rPr>
                <w:rFonts w:hint="eastAsia" w:ascii="仿宋" w:hAnsi="仿宋" w:eastAsia="仿宋" w:cs="仿宋"/>
                <w:b/>
                <w:bCs/>
                <w:color w:val="auto"/>
                <w:sz w:val="21"/>
                <w:szCs w:val="21"/>
                <w:highlight w:val="none"/>
                <w:lang w:val="en-US" w:eastAsia="zh-CN"/>
              </w:rPr>
              <w:t>编制售后服务方案</w:t>
            </w:r>
            <w:r>
              <w:rPr>
                <w:rFonts w:hint="eastAsia" w:ascii="仿宋" w:hAnsi="仿宋" w:eastAsia="仿宋" w:cs="仿宋"/>
                <w:b/>
                <w:bCs/>
                <w:color w:val="auto"/>
                <w:sz w:val="21"/>
                <w:szCs w:val="21"/>
                <w:highlight w:val="none"/>
                <w:lang w:eastAsia="zh-CN"/>
              </w:rPr>
              <w:t>：</w:t>
            </w:r>
          </w:p>
          <w:p w14:paraId="0B976E67">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方案包括：①售后服务机构</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包括但不限于售后服务人员名单、售后服务联系方式、售后服务网点等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rPr>
              <w:t>售后服务</w:t>
            </w:r>
            <w:r>
              <w:rPr>
                <w:rFonts w:hint="eastAsia" w:ascii="仿宋" w:hAnsi="仿宋" w:eastAsia="仿宋" w:cs="仿宋"/>
                <w:b w:val="0"/>
                <w:bCs/>
                <w:color w:val="auto"/>
                <w:sz w:val="21"/>
                <w:szCs w:val="21"/>
                <w:highlight w:val="none"/>
                <w:lang w:val="en-US" w:eastAsia="zh-CN"/>
              </w:rPr>
              <w:t>内容</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包括但不限于</w:t>
            </w:r>
            <w:r>
              <w:rPr>
                <w:rFonts w:hint="eastAsia" w:ascii="仿宋" w:hAnsi="仿宋" w:eastAsia="仿宋" w:cs="仿宋"/>
                <w:b w:val="0"/>
                <w:bCs/>
                <w:color w:val="auto"/>
                <w:sz w:val="21"/>
                <w:szCs w:val="21"/>
                <w:highlight w:val="none"/>
                <w:lang w:eastAsia="zh-CN"/>
              </w:rPr>
              <w:t>巡检内容、</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性能</w:t>
            </w:r>
            <w:r>
              <w:rPr>
                <w:rFonts w:hint="eastAsia" w:ascii="仿宋" w:hAnsi="仿宋" w:eastAsia="仿宋" w:cs="仿宋"/>
                <w:b w:val="0"/>
                <w:bCs/>
                <w:color w:val="auto"/>
                <w:sz w:val="21"/>
                <w:szCs w:val="21"/>
                <w:highlight w:val="none"/>
                <w:lang w:val="en-US" w:eastAsia="zh-CN"/>
              </w:rPr>
              <w:t>调试</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升级服务等方面</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③故障处理方案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val="en-US" w:eastAsia="zh-CN"/>
              </w:rPr>
              <w:t>故障处理</w:t>
            </w:r>
            <w:r>
              <w:rPr>
                <w:rFonts w:hint="eastAsia" w:ascii="仿宋" w:hAnsi="仿宋" w:eastAsia="仿宋" w:cs="仿宋"/>
                <w:b w:val="0"/>
                <w:bCs/>
                <w:color w:val="auto"/>
                <w:sz w:val="21"/>
                <w:szCs w:val="21"/>
                <w:highlight w:val="none"/>
                <w:lang w:eastAsia="zh-CN"/>
              </w:rPr>
              <w:t>流程、</w:t>
            </w:r>
            <w:r>
              <w:rPr>
                <w:rFonts w:hint="eastAsia" w:ascii="仿宋" w:hAnsi="仿宋" w:eastAsia="仿宋" w:cs="仿宋"/>
                <w:b w:val="0"/>
                <w:bCs/>
                <w:color w:val="auto"/>
                <w:sz w:val="21"/>
                <w:szCs w:val="21"/>
                <w:highlight w:val="none"/>
                <w:lang w:val="en-US" w:eastAsia="zh-CN"/>
              </w:rPr>
              <w:t>故障</w:t>
            </w:r>
            <w:r>
              <w:rPr>
                <w:rFonts w:hint="eastAsia" w:ascii="仿宋" w:hAnsi="仿宋" w:eastAsia="仿宋" w:cs="仿宋"/>
                <w:b w:val="0"/>
                <w:bCs/>
                <w:color w:val="auto"/>
                <w:sz w:val="21"/>
                <w:szCs w:val="21"/>
                <w:highlight w:val="none"/>
                <w:lang w:eastAsia="zh-CN"/>
              </w:rPr>
              <w:t>响应</w:t>
            </w:r>
            <w:r>
              <w:rPr>
                <w:rFonts w:hint="eastAsia" w:ascii="仿宋" w:hAnsi="仿宋" w:eastAsia="仿宋" w:cs="仿宋"/>
                <w:b w:val="0"/>
                <w:bCs/>
                <w:color w:val="auto"/>
                <w:sz w:val="21"/>
                <w:szCs w:val="21"/>
                <w:highlight w:val="none"/>
                <w:lang w:val="en-US" w:eastAsia="zh-CN"/>
              </w:rPr>
              <w:t>/</w:t>
            </w:r>
            <w:r>
              <w:rPr>
                <w:rFonts w:hint="eastAsia" w:ascii="仿宋" w:hAnsi="仿宋" w:eastAsia="仿宋" w:cs="仿宋"/>
                <w:b w:val="0"/>
                <w:bCs/>
                <w:color w:val="auto"/>
                <w:sz w:val="21"/>
                <w:szCs w:val="21"/>
                <w:highlight w:val="none"/>
                <w:lang w:eastAsia="zh-CN"/>
              </w:rPr>
              <w:t>处理时间</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④质量监管及处罚措施（包含但不限于售后服务质量监管措施、处罚措施）</w:t>
            </w:r>
            <w:r>
              <w:rPr>
                <w:rFonts w:hint="eastAsia" w:ascii="仿宋" w:hAnsi="仿宋" w:eastAsia="仿宋" w:cs="仿宋"/>
                <w:b w:val="0"/>
                <w:bCs/>
                <w:color w:val="auto"/>
                <w:sz w:val="21"/>
                <w:szCs w:val="21"/>
                <w:highlight w:val="none"/>
              </w:rPr>
              <w:t>。</w:t>
            </w:r>
          </w:p>
          <w:p w14:paraId="4654320B">
            <w:pPr>
              <w:keepNext w:val="0"/>
              <w:keepLines w:val="0"/>
              <w:pageBreakBefore w:val="0"/>
              <w:widowControl w:val="0"/>
              <w:kinsoku/>
              <w:wordWrap w:val="0"/>
              <w:overflowPunct/>
              <w:topLinePunct/>
              <w:autoSpaceDE/>
              <w:autoSpaceDN/>
              <w:bidi w:val="0"/>
              <w:adjustRightInd/>
              <w:snapToGrid/>
              <w:spacing w:line="450" w:lineRule="exac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7B333C3C">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1849433E">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8分</w:t>
            </w:r>
          </w:p>
        </w:tc>
        <w:tc>
          <w:tcPr>
            <w:tcW w:w="774" w:type="dxa"/>
            <w:shd w:val="clear" w:color="auto" w:fill="auto"/>
            <w:vAlign w:val="center"/>
          </w:tcPr>
          <w:p w14:paraId="6B37100C">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5089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1DAA22F2">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0" w:type="auto"/>
            <w:shd w:val="clear" w:color="auto" w:fill="auto"/>
            <w:vAlign w:val="center"/>
          </w:tcPr>
          <w:p w14:paraId="70C8F435">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i w:val="0"/>
                <w:iCs w:val="0"/>
                <w:color w:val="auto"/>
                <w:sz w:val="21"/>
                <w:szCs w:val="21"/>
                <w:highlight w:val="none"/>
                <w:lang w:eastAsia="zh-CN"/>
              </w:rPr>
            </w:pPr>
            <w:r>
              <w:rPr>
                <w:rFonts w:hint="eastAsia" w:ascii="仿宋" w:hAnsi="仿宋" w:eastAsia="仿宋" w:cs="仿宋"/>
                <w:b/>
                <w:bCs/>
                <w:i w:val="0"/>
                <w:iCs w:val="0"/>
                <w:color w:val="auto"/>
                <w:sz w:val="21"/>
                <w:szCs w:val="21"/>
                <w:highlight w:val="none"/>
                <w:lang w:eastAsia="zh-CN"/>
              </w:rPr>
              <w:t>类似业绩评审：</w:t>
            </w:r>
            <w:r>
              <w:rPr>
                <w:rFonts w:hint="eastAsia" w:ascii="仿宋" w:hAnsi="仿宋" w:eastAsia="仿宋" w:cs="仿宋"/>
                <w:b w:val="0"/>
                <w:bCs w:val="0"/>
                <w:i w:val="0"/>
                <w:iCs w:val="0"/>
                <w:color w:val="auto"/>
                <w:sz w:val="21"/>
                <w:szCs w:val="21"/>
                <w:highlight w:val="none"/>
                <w:lang w:eastAsia="zh-CN"/>
              </w:rPr>
              <w:t>（</w:t>
            </w:r>
            <w:r>
              <w:rPr>
                <w:rFonts w:hint="eastAsia" w:ascii="仿宋" w:hAnsi="仿宋" w:eastAsia="仿宋" w:cs="仿宋"/>
                <w:b w:val="0"/>
                <w:bCs w:val="0"/>
                <w:i w:val="0"/>
                <w:iCs w:val="0"/>
                <w:color w:val="auto"/>
                <w:sz w:val="21"/>
                <w:szCs w:val="21"/>
                <w:highlight w:val="none"/>
                <w:lang w:val="en-US" w:eastAsia="zh-CN"/>
              </w:rPr>
              <w:t>有效业绩的标准详见“</w:t>
            </w:r>
            <w:r>
              <w:rPr>
                <w:rFonts w:hint="eastAsia" w:cs="仿宋"/>
                <w:b w:val="0"/>
                <w:bCs w:val="0"/>
                <w:i w:val="0"/>
                <w:iCs w:val="0"/>
                <w:color w:val="auto"/>
                <w:sz w:val="21"/>
                <w:szCs w:val="21"/>
                <w:highlight w:val="none"/>
                <w:lang w:val="en-US" w:eastAsia="zh-CN"/>
              </w:rPr>
              <w:t>投标人</w:t>
            </w:r>
            <w:r>
              <w:rPr>
                <w:rFonts w:hint="eastAsia" w:ascii="仿宋" w:hAnsi="仿宋" w:eastAsia="仿宋" w:cs="仿宋"/>
                <w:b w:val="0"/>
                <w:bCs w:val="0"/>
                <w:i w:val="0"/>
                <w:iCs w:val="0"/>
                <w:color w:val="auto"/>
                <w:sz w:val="21"/>
                <w:szCs w:val="21"/>
                <w:highlight w:val="none"/>
                <w:lang w:val="en-US" w:eastAsia="zh-CN"/>
              </w:rPr>
              <w:t>须知前附表”</w:t>
            </w:r>
            <w:r>
              <w:rPr>
                <w:rFonts w:hint="eastAsia" w:ascii="仿宋" w:hAnsi="仿宋" w:eastAsia="仿宋" w:cs="仿宋"/>
                <w:b w:val="0"/>
                <w:bCs w:val="0"/>
                <w:i w:val="0"/>
                <w:iCs w:val="0"/>
                <w:color w:val="auto"/>
                <w:sz w:val="21"/>
                <w:szCs w:val="21"/>
                <w:highlight w:val="none"/>
                <w:lang w:eastAsia="zh-CN"/>
              </w:rPr>
              <w:t>）</w:t>
            </w:r>
          </w:p>
          <w:p w14:paraId="7362FEF7">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eastAsia="zh-CN"/>
              </w:rPr>
              <w:t>投标人</w:t>
            </w:r>
            <w:r>
              <w:rPr>
                <w:rFonts w:hint="eastAsia" w:ascii="仿宋" w:hAnsi="仿宋" w:eastAsia="仿宋" w:cs="仿宋"/>
                <w:b w:val="0"/>
                <w:bCs w:val="0"/>
                <w:i w:val="0"/>
                <w:iCs w:val="0"/>
                <w:color w:val="auto"/>
                <w:sz w:val="21"/>
                <w:szCs w:val="21"/>
                <w:highlight w:val="none"/>
                <w:lang w:val="en-US" w:eastAsia="zh-CN"/>
              </w:rPr>
              <w:t>自</w:t>
            </w:r>
            <w:r>
              <w:rPr>
                <w:rFonts w:hint="eastAsia" w:ascii="仿宋" w:hAnsi="仿宋" w:eastAsia="仿宋" w:cs="仿宋"/>
                <w:b w:val="0"/>
                <w:bCs w:val="0"/>
                <w:i w:val="0"/>
                <w:iCs w:val="0"/>
                <w:color w:val="auto"/>
                <w:sz w:val="21"/>
                <w:szCs w:val="21"/>
                <w:highlight w:val="none"/>
                <w:lang w:eastAsia="zh-CN"/>
              </w:rPr>
              <w:t>投标截止时间前</w:t>
            </w:r>
            <w:r>
              <w:rPr>
                <w:rFonts w:hint="eastAsia" w:ascii="仿宋" w:hAnsi="仿宋" w:eastAsia="仿宋" w:cs="仿宋"/>
                <w:b w:val="0"/>
                <w:bCs w:val="0"/>
                <w:i w:val="0"/>
                <w:iCs w:val="0"/>
                <w:color w:val="auto"/>
                <w:sz w:val="21"/>
                <w:szCs w:val="21"/>
                <w:highlight w:val="none"/>
                <w:lang w:val="en-US" w:eastAsia="zh-CN"/>
              </w:rPr>
              <w:t>近三年的</w:t>
            </w:r>
            <w:r>
              <w:rPr>
                <w:rFonts w:hint="eastAsia" w:ascii="仿宋" w:hAnsi="仿宋" w:eastAsia="仿宋" w:cs="仿宋"/>
                <w:b w:val="0"/>
                <w:bCs w:val="0"/>
                <w:i w:val="0"/>
                <w:iCs w:val="0"/>
                <w:color w:val="auto"/>
                <w:sz w:val="21"/>
                <w:szCs w:val="21"/>
                <w:highlight w:val="none"/>
                <w:lang w:eastAsia="zh-CN"/>
              </w:rPr>
              <w:t>类似业绩，每提供一项得</w:t>
            </w:r>
            <w:r>
              <w:rPr>
                <w:rFonts w:hint="eastAsia" w:ascii="仿宋" w:hAnsi="仿宋" w:eastAsia="仿宋" w:cs="仿宋"/>
                <w:b w:val="0"/>
                <w:bCs w:val="0"/>
                <w:i w:val="0"/>
                <w:iCs w:val="0"/>
                <w:color w:val="auto"/>
                <w:sz w:val="21"/>
                <w:szCs w:val="21"/>
                <w:highlight w:val="none"/>
                <w:lang w:val="en-US" w:eastAsia="zh-CN"/>
              </w:rPr>
              <w:t>1</w:t>
            </w:r>
            <w:r>
              <w:rPr>
                <w:rFonts w:hint="eastAsia" w:ascii="仿宋" w:hAnsi="仿宋" w:eastAsia="仿宋" w:cs="仿宋"/>
                <w:b w:val="0"/>
                <w:bCs w:val="0"/>
                <w:i w:val="0"/>
                <w:iCs w:val="0"/>
                <w:color w:val="auto"/>
                <w:sz w:val="21"/>
                <w:szCs w:val="21"/>
                <w:highlight w:val="none"/>
                <w:lang w:eastAsia="zh-CN"/>
              </w:rPr>
              <w:t>分；业绩如果为同一个项目统招分签的，仅作为一项业绩计分。</w:t>
            </w:r>
          </w:p>
        </w:tc>
        <w:tc>
          <w:tcPr>
            <w:tcW w:w="0" w:type="auto"/>
            <w:shd w:val="clear" w:color="auto" w:fill="auto"/>
            <w:vAlign w:val="center"/>
          </w:tcPr>
          <w:p w14:paraId="7CFBC9A4">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2分</w:t>
            </w:r>
          </w:p>
        </w:tc>
        <w:tc>
          <w:tcPr>
            <w:tcW w:w="774" w:type="dxa"/>
            <w:shd w:val="clear" w:color="auto" w:fill="auto"/>
            <w:vAlign w:val="center"/>
          </w:tcPr>
          <w:p w14:paraId="0B1F14D8">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客观分</w:t>
            </w:r>
          </w:p>
        </w:tc>
      </w:tr>
    </w:tbl>
    <w:p w14:paraId="74BF7003">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both"/>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四、评标程序 </w:t>
      </w:r>
    </w:p>
    <w:p w14:paraId="08DC909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评标原则：“客观、公正、审慎”。评标时，评标委员会各成员应当独立对每个有效投标人的标书进行评价、打分，然后汇总每个投标人每项评分因素的得分。</w:t>
      </w:r>
    </w:p>
    <w:p w14:paraId="52296C32">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（1）评标委员会和评标专家的组成</w:t>
      </w:r>
    </w:p>
    <w:p w14:paraId="5A1DBA78">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根据《政府采购货物和服务招标投标管理办法》第47条规定，评标委员会由采购人代表和评审专家组成，成员人数应当为5人以上单数，其中评审专家不得少于成员总数的三分之二。采购数额在 1000万元以上、技术复杂、社会影响较大的项目，评标委员会成员人数应当为7人以上单数。评标委员会应当推选组长，但采购人代表不得担任组长。</w:t>
      </w:r>
    </w:p>
    <w:p w14:paraId="133B1F70">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（2）评标委员会成员应当履行下列义务</w:t>
      </w:r>
    </w:p>
    <w:p w14:paraId="4C49F543">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）遵纪守法，客观、公正、廉洁地履行职责；</w:t>
      </w:r>
    </w:p>
    <w:p w14:paraId="1640A58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）按招标文件规定的评标方法和评标标准进行评标，对评审意见承担个人责任；</w:t>
      </w:r>
    </w:p>
    <w:p w14:paraId="2CB68B65">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）对评标过程和结果以及投标人的商业秘密保密；</w:t>
      </w:r>
    </w:p>
    <w:p w14:paraId="65BAE391">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）参与评标报告的起草；</w:t>
      </w:r>
    </w:p>
    <w:p w14:paraId="0236A868">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）配合</w:t>
      </w:r>
      <w:r>
        <w:rPr>
          <w:rFonts w:hint="eastAsia" w:ascii="仿宋" w:hAnsi="仿宋" w:eastAsia="仿宋" w:cs="仿宋"/>
          <w:color w:val="auto"/>
          <w:sz w:val="21"/>
          <w:szCs w:val="21"/>
          <w:highlight w:val="none"/>
          <w:lang w:val="en-US" w:eastAsia="zh-CN"/>
        </w:rPr>
        <w:t>采购人或采购代理机构</w:t>
      </w:r>
      <w:r>
        <w:rPr>
          <w:rFonts w:hint="eastAsia" w:ascii="仿宋" w:hAnsi="仿宋" w:eastAsia="仿宋" w:cs="仿宋"/>
          <w:color w:val="auto"/>
          <w:sz w:val="21"/>
          <w:szCs w:val="21"/>
          <w:highlight w:val="none"/>
          <w:lang w:eastAsia="zh-CN"/>
        </w:rPr>
        <w:t>答复投标人提出的质疑；</w:t>
      </w:r>
    </w:p>
    <w:p w14:paraId="06706A4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）配合财政部门受理的投诉处理工作。</w:t>
      </w:r>
    </w:p>
    <w:p w14:paraId="6FA173AA">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（3）比较与评价 </w:t>
      </w:r>
    </w:p>
    <w:p w14:paraId="165152B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经符合性审查合格的投标文件，评标委员会将根据招标文件确定的评标方法和标准，对其投标文件作进一步的比较与评价。 </w:t>
      </w:r>
    </w:p>
    <w:p w14:paraId="4ADE25A7">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（4）落实政府采购政策：</w:t>
      </w:r>
    </w:p>
    <w:p w14:paraId="5222CB84">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根据《政府采购促进中小企业发展管理办法》（财库〔2020〕46 号）、《三部门联合发布关于促进残疾人就业政府采购政策的通知》（财库〔2017〕141号）和《财政部司法部关于政府采购支持监狱企业发展有关问题的通知》（财库〔2014〕68 号）的规定，对满足价格扣除条件且在投标文件中提交了《中小企业声明函》《残疾人福利性单位声明函》或省级以上监狱管理局、戒毒管理局（含新疆生产建设兵团）出具的属于监狱企业的证明文件的投标人，其投标报价按照投标人须知前附表中规定的标准扣除后的价格参与评审。对于同时属于小微企业、监狱企业或残疾人福利性单位的，不重复进行投标报价扣除。</w:t>
      </w:r>
    </w:p>
    <w:p w14:paraId="73ED6376">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投标人须知前附表中规定的标准扣除后的价格参与评审。组成联合体或者接受分包的小微企业与联合体内其他企业、分包企业之间存在直接控股、管理关系的，不享受价格扣除优惠政策。 </w:t>
      </w:r>
    </w:p>
    <w:p w14:paraId="32D98D50">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以联合体形式参加政府采购活动，联合体各方均为中小企业的，联合体视同中小企业。其中，联合体各方均为小微企业的，联合体视同小微企业。</w:t>
      </w:r>
    </w:p>
    <w:p w14:paraId="4319074F">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根据《国务院办公厅关于在政府采购中实施本国产品标准及相关政策的通知》（国办发〔2025〕34号）以及《关于贯彻落实&lt;国务院办公厅关于在政府采购中实施本国产品标准及相关政策的通知&gt;的意见》（ 财库〔2025〕30号），供应商提供的产品符合本国产品标准及相关政策的，享受评标方法规定的本国产品支持政策。</w:t>
      </w:r>
    </w:p>
    <w:p w14:paraId="377AB74A">
      <w:pPr>
        <w:pStyle w:val="9"/>
        <w:tabs>
          <w:tab w:val="left" w:pos="2472"/>
        </w:tabs>
        <w:snapToGrid w:val="0"/>
        <w:spacing w:line="360" w:lineRule="auto"/>
        <w:ind w:firstLine="422" w:firstLineChars="200"/>
        <w:rPr>
          <w:rFonts w:hint="eastAsia" w:ascii="仿宋" w:hAnsi="仿宋" w:eastAsia="仿宋" w:cs="仿宋"/>
          <w:b/>
          <w:bCs/>
          <w:snapToGrid w:val="0"/>
          <w:color w:val="000000"/>
          <w:kern w:val="0"/>
          <w:sz w:val="21"/>
          <w:szCs w:val="21"/>
          <w:highlight w:val="none"/>
          <w:lang w:val="en-US" w:eastAsia="zh-CN" w:bidi="ar-SA"/>
        </w:rPr>
      </w:pPr>
      <w:r>
        <w:rPr>
          <w:rFonts w:hint="eastAsia" w:ascii="仿宋" w:hAnsi="仿宋" w:eastAsia="仿宋" w:cs="仿宋"/>
          <w:b/>
          <w:bCs/>
          <w:snapToGrid w:val="0"/>
          <w:color w:val="000000"/>
          <w:kern w:val="0"/>
          <w:sz w:val="21"/>
          <w:szCs w:val="21"/>
          <w:highlight w:val="none"/>
          <w:lang w:val="en-US" w:eastAsia="zh-CN" w:bidi="ar-SA"/>
        </w:rPr>
        <w:t>（5）异常低价审查</w:t>
      </w:r>
    </w:p>
    <w:p w14:paraId="794BF533">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在评标过程中出现下列情形之一的，评标委员会应当启动异常低价投标审查程序：</w:t>
      </w:r>
    </w:p>
    <w:p w14:paraId="424F47EA">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1.投标报价低于全部通过符合性审查供应商投标报价平均值50%的，即投标报价（全部通过符合性审查供应商投标报价平均值×50%）；</w:t>
      </w:r>
    </w:p>
    <w:p w14:paraId="3EDBB8B9">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2.投标报价低于通过符合性审查的次低报价供应商投标报价50%的，即投标报价（通过符合性审查的次低报价供应商投标报价×50%）；</w:t>
      </w:r>
    </w:p>
    <w:p w14:paraId="288FF793">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3.投标报价低于采购项目最高限价45%的，即投标报价（采购项目最高限价×45%）；</w:t>
      </w:r>
    </w:p>
    <w:p w14:paraId="63AFA178">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4.评标委员会基于专业判断，认为供应商报价过低，有可能影响产品质量或者不能诚信履约的其他情形。</w:t>
      </w:r>
    </w:p>
    <w:p w14:paraId="369EE4D5">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评标委员会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57506F4E">
      <w:pPr>
        <w:pStyle w:val="9"/>
        <w:tabs>
          <w:tab w:val="left" w:pos="2472"/>
        </w:tabs>
        <w:snapToGrid w:val="0"/>
        <w:spacing w:line="360" w:lineRule="auto"/>
        <w:ind w:firstLine="420" w:firstLineChars="200"/>
        <w:rPr>
          <w:rFonts w:hint="eastAsia" w:ascii="仿宋" w:hAnsi="仿宋" w:eastAsia="仿宋" w:cs="仿宋"/>
          <w:snapToGrid w:val="0"/>
          <w:color w:val="000000"/>
          <w:kern w:val="0"/>
          <w:sz w:val="21"/>
          <w:szCs w:val="21"/>
          <w:highlight w:val="none"/>
          <w:lang w:val="en-US" w:eastAsia="zh-CN" w:bidi="ar-SA"/>
        </w:rPr>
      </w:pPr>
      <w:r>
        <w:rPr>
          <w:rFonts w:hint="eastAsia" w:ascii="仿宋" w:hAnsi="仿宋" w:eastAsia="仿宋" w:cs="仿宋"/>
          <w:snapToGrid w:val="0"/>
          <w:color w:val="000000"/>
          <w:kern w:val="0"/>
          <w:sz w:val="21"/>
          <w:szCs w:val="21"/>
          <w:highlight w:val="none"/>
          <w:lang w:val="en-US" w:eastAsia="zh-CN" w:bidi="ar-SA"/>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D95F946">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（6）废标、重新招标与变更采购方式 </w:t>
      </w:r>
    </w:p>
    <w:p w14:paraId="68EE185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出现下列情形之一，将导致项目废标：</w:t>
      </w:r>
    </w:p>
    <w:p w14:paraId="16DEB1C8">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（1）符合专业条件的投标人或者对招标文件做实质性响应的投标人不足规定数量的； </w:t>
      </w:r>
    </w:p>
    <w:p w14:paraId="30CAFEC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（2）出现影响采购公正的违法、违规行为的； </w:t>
      </w:r>
    </w:p>
    <w:p w14:paraId="5799A55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（3）投标人的报价均超过了采购预算，采购人不能支付的； </w:t>
      </w:r>
    </w:p>
    <w:p w14:paraId="7219CF20">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（4）因重大变故，采购任务取消的。 </w:t>
      </w:r>
    </w:p>
    <w:p w14:paraId="71C79CFD">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 xml:space="preserve">公开招标数额标准以上的采购项目，投标截止后投标人不足3家或者通过资格审查或符合性审查的投标人不足3家的，除采购任务取消情形外，按照以下方式处理： </w:t>
      </w:r>
    </w:p>
    <w:p w14:paraId="4D1F6BF6">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（1）招标文件存在不合理条款或者招标程序不符合规定的，采购人、采购代理机构改正后依法重新招标； </w:t>
      </w:r>
    </w:p>
    <w:p w14:paraId="78F23C80">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招标文件没有不合理条款、招标程序符合规定，需要采用其他采购方式采购的，采购人应当依法报政府采购监督管理部门批准。（符合专业条件或者对招标文件作出实质性响应的投标人只有一家，经评标委员会出具了招标文件没有不合理条款论证意见的。） </w:t>
      </w:r>
    </w:p>
    <w:p w14:paraId="62C05BFF">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（7）中标候选人的确定原则及标准 </w:t>
      </w:r>
    </w:p>
    <w:p w14:paraId="41E4B2A9">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bCs/>
          <w:color w:val="auto"/>
          <w:sz w:val="21"/>
          <w:szCs w:val="21"/>
        </w:rPr>
        <w:t>评标委员会对满足招标文件全部实质性要求（即通过资格性评审及符合性评审）的投标文件，按照本章评分标准进行打分，并按评标总得分计算公式计算评标总得分，按总得分由高到低的顺序推荐3名中标候选人；</w:t>
      </w:r>
      <w:r>
        <w:rPr>
          <w:rFonts w:hint="eastAsia" w:ascii="仿宋" w:hAnsi="仿宋" w:eastAsia="仿宋" w:cs="仿宋"/>
          <w:b w:val="0"/>
          <w:bCs w:val="0"/>
          <w:color w:val="auto"/>
          <w:sz w:val="21"/>
          <w:szCs w:val="21"/>
          <w:highlight w:val="none"/>
          <w:lang w:eastAsia="zh-CN"/>
        </w:rPr>
        <w:t>得分相同的，按投标报价由低到高顺序排列。得分且投标报价相同的并列。</w:t>
      </w:r>
      <w:r>
        <w:rPr>
          <w:rFonts w:hint="eastAsia" w:ascii="仿宋" w:hAnsi="仿宋" w:eastAsia="仿宋" w:cs="仿宋"/>
          <w:b w:val="0"/>
          <w:bCs w:val="0"/>
          <w:color w:val="auto"/>
          <w:sz w:val="21"/>
          <w:szCs w:val="21"/>
          <w:highlight w:val="none"/>
          <w:lang w:val="en-US" w:eastAsia="zh-CN"/>
        </w:rPr>
        <w:t>按照《政府采购货物和服务招标投标管理办法》第五十七条、第六十八条相关规定执行</w:t>
      </w:r>
      <w:r>
        <w:rPr>
          <w:rFonts w:hint="eastAsia" w:ascii="仿宋" w:hAnsi="仿宋" w:eastAsia="仿宋" w:cs="仿宋"/>
          <w:color w:val="auto"/>
          <w:sz w:val="21"/>
          <w:szCs w:val="21"/>
          <w:highlight w:val="none"/>
          <w:lang w:eastAsia="zh-CN"/>
        </w:rPr>
        <w:t>。</w:t>
      </w:r>
      <w:r>
        <w:rPr>
          <w:rFonts w:hint="eastAsia" w:ascii="仿宋" w:hAnsi="仿宋" w:eastAsia="仿宋" w:cs="仿宋"/>
          <w:highlight w:val="none"/>
          <w:lang w:val="en-US" w:eastAsia="zh-CN"/>
        </w:rPr>
        <w:t xml:space="preserve"> </w:t>
      </w:r>
    </w:p>
    <w:p w14:paraId="5230C752">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（8）确定中标候选人和中标人 </w:t>
      </w:r>
    </w:p>
    <w:p w14:paraId="44959E23">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r>
        <w:rPr>
          <w:rFonts w:hint="eastAsia" w:ascii="仿宋" w:hAnsi="仿宋" w:eastAsia="仿宋" w:cs="仿宋"/>
          <w:color w:val="auto"/>
          <w:sz w:val="21"/>
          <w:szCs w:val="21"/>
        </w:rPr>
        <w:t>评标委员会按最终得分由高到低顺序推荐3名中标候选人，并提</w:t>
      </w:r>
      <w:r>
        <w:rPr>
          <w:rFonts w:hint="eastAsia" w:ascii="仿宋" w:hAnsi="仿宋" w:eastAsia="仿宋" w:cs="仿宋"/>
          <w:color w:val="auto"/>
          <w:sz w:val="21"/>
          <w:szCs w:val="21"/>
          <w:lang w:val="en-US" w:eastAsia="zh-CN"/>
        </w:rPr>
        <w:t>交</w:t>
      </w:r>
      <w:r>
        <w:rPr>
          <w:rFonts w:hint="eastAsia" w:ascii="仿宋" w:hAnsi="仿宋" w:eastAsia="仿宋" w:cs="仿宋"/>
          <w:color w:val="auto"/>
          <w:sz w:val="21"/>
          <w:szCs w:val="21"/>
        </w:rPr>
        <w:t>评标报告</w:t>
      </w:r>
      <w:r>
        <w:rPr>
          <w:rFonts w:hint="eastAsia" w:ascii="仿宋" w:hAnsi="仿宋" w:eastAsia="仿宋" w:cs="仿宋"/>
          <w:color w:val="auto"/>
          <w:highlight w:val="none"/>
          <w:lang w:val="en-US" w:eastAsia="zh-CN"/>
        </w:rPr>
        <w:t xml:space="preserve">。 </w:t>
      </w:r>
    </w:p>
    <w:p w14:paraId="44437CB6">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sz w:val="21"/>
          <w:szCs w:val="21"/>
        </w:rPr>
        <w:t>采购人根据评标委员会提</w:t>
      </w:r>
      <w:r>
        <w:rPr>
          <w:rFonts w:hint="eastAsia" w:ascii="仿宋" w:hAnsi="仿宋" w:eastAsia="仿宋" w:cs="仿宋"/>
          <w:color w:val="auto"/>
          <w:sz w:val="21"/>
          <w:szCs w:val="21"/>
          <w:lang w:val="en-US" w:eastAsia="zh-CN"/>
        </w:rPr>
        <w:t>交</w:t>
      </w:r>
      <w:r>
        <w:rPr>
          <w:rFonts w:hint="eastAsia" w:ascii="仿宋" w:hAnsi="仿宋" w:eastAsia="仿宋" w:cs="仿宋"/>
          <w:color w:val="auto"/>
          <w:sz w:val="21"/>
          <w:szCs w:val="21"/>
        </w:rPr>
        <w:t>的评标报告和推荐的中标候选人名单，确定中标人</w:t>
      </w:r>
      <w:r>
        <w:rPr>
          <w:rFonts w:hint="eastAsia" w:ascii="仿宋" w:hAnsi="仿宋" w:eastAsia="仿宋" w:cs="仿宋"/>
          <w:color w:val="auto"/>
          <w:highlight w:val="none"/>
          <w:lang w:val="en-US" w:eastAsia="zh-CN"/>
        </w:rPr>
        <w:t>。</w:t>
      </w:r>
    </w:p>
    <w:p w14:paraId="5884C87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3）因重大变故采购任务取消时，采购人有权拒绝任何投标人中标，且对受影响的投标人不承担任何责任。 </w:t>
      </w:r>
    </w:p>
    <w:p w14:paraId="30028862">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（9）编写评标报告 </w:t>
      </w:r>
    </w:p>
    <w:p w14:paraId="3D8FE41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left"/>
        <w:outlineLvl w:val="0"/>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r>
        <w:rPr>
          <w:rFonts w:hint="eastAsia" w:ascii="仿宋" w:hAnsi="仿宋" w:eastAsia="仿宋" w:cs="仿宋"/>
          <w:highlight w:val="none"/>
          <w:lang w:val="en-US" w:eastAsia="zh-CN"/>
        </w:rPr>
        <w:t xml:space="preserve">   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14:paraId="05BC37B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663A4B8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50720D2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7BAD4794">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529DA052">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33BA4A20">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6369FE98">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4EFAC24D">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0B065F9C">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52D71095">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57267EAB">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7723223C">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686C83A6">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176EA82C">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7482305B">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7EBC263B">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60C3AFF6">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1CD1BD26">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278DE68D">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43003C59">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6BC81325">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1F79D061">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0CA01A65">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10078D2B">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51054ED2">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0B84236E">
      <w:pPr>
        <w:pStyle w:val="7"/>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pPr>
    </w:p>
    <w:p w14:paraId="3DEDE28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color w:val="auto"/>
          <w:spacing w:val="0"/>
          <w:w w:val="100"/>
          <w:position w:val="0"/>
          <w:sz w:val="21"/>
          <w:szCs w:val="21"/>
          <w:lang w:eastAsia="zh-CN"/>
          <w14:textOutline w14:w="5791"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t>第五章</w:t>
      </w:r>
      <w:r>
        <w:rPr>
          <w:rFonts w:hint="eastAsia" w:ascii="仿宋" w:hAnsi="仿宋" w:eastAsia="仿宋" w:cs="仿宋"/>
          <w:color w:val="auto"/>
          <w:spacing w:val="0"/>
          <w:w w:val="100"/>
          <w:position w:val="0"/>
          <w:sz w:val="32"/>
          <w:szCs w:val="32"/>
          <w:lang w:eastAsia="zh-CN"/>
        </w:rPr>
        <w:t xml:space="preserve"> </w:t>
      </w:r>
      <w:r>
        <w:rPr>
          <w:rFonts w:hint="eastAsia" w:ascii="仿宋" w:hAnsi="仿宋" w:eastAsia="仿宋" w:cs="仿宋"/>
          <w:color w:val="auto"/>
          <w:spacing w:val="0"/>
          <w:w w:val="100"/>
          <w:position w:val="0"/>
          <w:sz w:val="32"/>
          <w:szCs w:val="32"/>
          <w:lang w:eastAsia="zh-CN"/>
          <w14:textOutline w14:w="5791" w14:cap="sq" w14:cmpd="sng" w14:algn="ctr">
            <w14:solidFill>
              <w14:srgbClr w14:val="000000"/>
            </w14:solidFill>
            <w14:prstDash w14:val="solid"/>
            <w14:bevel/>
          </w14:textOutline>
        </w:rPr>
        <w:t>拟签订的合同文本</w:t>
      </w:r>
      <w:bookmarkEnd w:id="521"/>
    </w:p>
    <w:p w14:paraId="286CDE0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i w:val="0"/>
          <w:iCs w:val="0"/>
          <w:caps w:val="0"/>
          <w:color w:val="000000"/>
          <w:spacing w:val="0"/>
          <w:sz w:val="24"/>
          <w:szCs w:val="24"/>
          <w:u w:val="none"/>
        </w:rPr>
      </w:pPr>
      <w:r>
        <w:rPr>
          <w:rFonts w:hint="eastAsia" w:ascii="仿宋" w:hAnsi="仿宋" w:eastAsia="仿宋" w:cs="仿宋"/>
          <w:i w:val="0"/>
          <w:iCs w:val="0"/>
          <w:caps w:val="0"/>
          <w:color w:val="000000"/>
          <w:spacing w:val="0"/>
          <w:sz w:val="24"/>
          <w:szCs w:val="24"/>
          <w:u w:val="none"/>
          <w:shd w:val="clear" w:fill="FFFFFF"/>
          <w:lang w:val="en-US" w:eastAsia="zh-CN"/>
        </w:rPr>
        <w:t>1.</w:t>
      </w:r>
      <w:r>
        <w:rPr>
          <w:rFonts w:hint="eastAsia" w:ascii="仿宋" w:hAnsi="仿宋" w:eastAsia="仿宋" w:cs="仿宋"/>
          <w:i w:val="0"/>
          <w:iCs w:val="0"/>
          <w:caps w:val="0"/>
          <w:color w:val="000000"/>
          <w:spacing w:val="0"/>
          <w:sz w:val="24"/>
          <w:szCs w:val="24"/>
          <w:u w:val="none"/>
          <w:shd w:val="clear" w:fill="FFFFFF"/>
        </w:rPr>
        <w:t>为推进政府采购标准化建设，规范政府采购合同签订行为，财政部制定了《政府采购货物买卖合同（试行）》，供采购人</w:t>
      </w:r>
      <w:r>
        <w:rPr>
          <w:rFonts w:hint="eastAsia" w:ascii="仿宋" w:hAnsi="仿宋" w:eastAsia="仿宋" w:cs="仿宋"/>
          <w:i w:val="0"/>
          <w:iCs w:val="0"/>
          <w:caps w:val="0"/>
          <w:color w:val="000000"/>
          <w:spacing w:val="0"/>
          <w:sz w:val="24"/>
          <w:szCs w:val="24"/>
          <w:u w:val="none"/>
          <w:shd w:val="clear" w:fill="FFFFFF"/>
          <w:lang w:val="en-US" w:eastAsia="zh-CN"/>
        </w:rPr>
        <w:t>及投标人</w:t>
      </w:r>
      <w:r>
        <w:rPr>
          <w:rFonts w:hint="eastAsia" w:ascii="仿宋" w:hAnsi="仿宋" w:eastAsia="仿宋" w:cs="仿宋"/>
          <w:i w:val="0"/>
          <w:iCs w:val="0"/>
          <w:caps w:val="0"/>
          <w:color w:val="000000"/>
          <w:spacing w:val="0"/>
          <w:sz w:val="24"/>
          <w:szCs w:val="24"/>
          <w:u w:val="none"/>
          <w:shd w:val="clear" w:fill="FFFFFF"/>
        </w:rPr>
        <w:t>参考使用。</w:t>
      </w:r>
    </w:p>
    <w:p w14:paraId="158FEF1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b w:val="0"/>
          <w:bCs w:val="0"/>
          <w:i w:val="0"/>
          <w:iCs w:val="0"/>
          <w:caps w:val="0"/>
          <w:color w:val="000000"/>
          <w:spacing w:val="0"/>
          <w:sz w:val="24"/>
          <w:szCs w:val="24"/>
          <w:u w:val="none"/>
          <w:shd w:val="clear" w:fill="FFFFFF"/>
          <w:lang w:val="en-US" w:eastAsia="zh-CN"/>
        </w:rPr>
      </w:pPr>
      <w:r>
        <w:rPr>
          <w:rFonts w:hint="eastAsia" w:ascii="仿宋" w:hAnsi="仿宋" w:eastAsia="仿宋" w:cs="仿宋"/>
          <w:i w:val="0"/>
          <w:iCs w:val="0"/>
          <w:caps w:val="0"/>
          <w:color w:val="000000"/>
          <w:spacing w:val="0"/>
          <w:sz w:val="24"/>
          <w:szCs w:val="24"/>
          <w:u w:val="none"/>
          <w:shd w:val="clear" w:fill="FFFFFF"/>
          <w:lang w:val="en-US" w:eastAsia="zh-CN"/>
        </w:rPr>
        <w:t>2.</w:t>
      </w:r>
      <w:r>
        <w:rPr>
          <w:rFonts w:hint="eastAsia" w:ascii="仿宋" w:hAnsi="仿宋" w:eastAsia="仿宋" w:cs="仿宋"/>
          <w:i w:val="0"/>
          <w:iCs w:val="0"/>
          <w:caps w:val="0"/>
          <w:color w:val="000000"/>
          <w:spacing w:val="0"/>
          <w:sz w:val="24"/>
          <w:szCs w:val="24"/>
          <w:u w:val="none"/>
          <w:shd w:val="clear" w:fill="FFFFFF"/>
        </w:rPr>
        <w:t>政府采购货物买卖合同（试行）</w:t>
      </w:r>
      <w:r>
        <w:rPr>
          <w:rFonts w:hint="eastAsia" w:ascii="仿宋" w:hAnsi="仿宋" w:eastAsia="仿宋" w:cs="仿宋"/>
          <w:b w:val="0"/>
          <w:bCs w:val="0"/>
          <w:color w:val="auto"/>
          <w:kern w:val="2"/>
          <w:sz w:val="24"/>
          <w:szCs w:val="24"/>
          <w:highlight w:val="none"/>
          <w:lang w:eastAsia="zh-CN"/>
        </w:rPr>
        <w:t>基本格式及主要条款以中标人和采购人最终协商确定的内容为准，但</w:t>
      </w:r>
      <w:r>
        <w:rPr>
          <w:rFonts w:hint="eastAsia" w:ascii="仿宋" w:hAnsi="仿宋" w:eastAsia="仿宋" w:cs="仿宋"/>
          <w:b w:val="0"/>
          <w:bCs w:val="0"/>
          <w:color w:val="auto"/>
          <w:kern w:val="2"/>
          <w:sz w:val="24"/>
          <w:highlight w:val="none"/>
          <w:lang w:eastAsia="zh-CN"/>
        </w:rPr>
        <w:t>所签订的合同不得对招标文件确定的事项和中标人的投标文件作实质性修改。</w:t>
      </w:r>
    </w:p>
    <w:p w14:paraId="5B5C624F">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i w:val="0"/>
          <w:iCs w:val="0"/>
          <w:caps w:val="0"/>
          <w:color w:val="000000"/>
          <w:spacing w:val="0"/>
          <w:sz w:val="24"/>
          <w:szCs w:val="24"/>
          <w:u w:val="none"/>
          <w:shd w:val="clear" w:fill="FFFFFF"/>
          <w:lang w:val="en-US" w:eastAsia="zh-CN"/>
        </w:rPr>
        <w:t>3.</w:t>
      </w:r>
      <w:r>
        <w:rPr>
          <w:rFonts w:hint="eastAsia" w:ascii="仿宋" w:hAnsi="仿宋" w:eastAsia="仿宋" w:cs="仿宋"/>
          <w:i w:val="0"/>
          <w:iCs w:val="0"/>
          <w:caps w:val="0"/>
          <w:color w:val="000000"/>
          <w:spacing w:val="0"/>
          <w:sz w:val="24"/>
          <w:szCs w:val="24"/>
          <w:u w:val="none"/>
          <w:shd w:val="clear" w:fill="FFFFFF"/>
        </w:rPr>
        <w:t>《政府采购货物买卖合同（试行）》电子版，请</w:t>
      </w:r>
      <w:r>
        <w:rPr>
          <w:rFonts w:hint="eastAsia" w:ascii="仿宋" w:hAnsi="仿宋" w:eastAsia="仿宋" w:cs="仿宋"/>
          <w:i w:val="0"/>
          <w:iCs w:val="0"/>
          <w:caps w:val="0"/>
          <w:color w:val="000000"/>
          <w:spacing w:val="0"/>
          <w:sz w:val="24"/>
          <w:szCs w:val="24"/>
          <w:u w:val="none"/>
          <w:shd w:val="clear" w:fill="FFFFFF"/>
          <w:lang w:val="en-US" w:eastAsia="zh-CN"/>
        </w:rPr>
        <w:t>前往</w:t>
      </w:r>
      <w:r>
        <w:rPr>
          <w:rFonts w:hint="eastAsia" w:ascii="仿宋" w:hAnsi="仿宋" w:eastAsia="仿宋" w:cs="仿宋"/>
          <w:i w:val="0"/>
          <w:iCs w:val="0"/>
          <w:caps w:val="0"/>
          <w:color w:val="000000"/>
          <w:spacing w:val="0"/>
          <w:sz w:val="24"/>
          <w:szCs w:val="24"/>
          <w:u w:val="none"/>
          <w:shd w:val="clear" w:fill="FFFFFF"/>
        </w:rPr>
        <w:t>中国政府采购网（www.ccgp.gov.cn）</w:t>
      </w:r>
      <w:r>
        <w:rPr>
          <w:rFonts w:hint="eastAsia" w:ascii="仿宋" w:hAnsi="仿宋" w:eastAsia="仿宋" w:cs="仿宋"/>
          <w:i w:val="0"/>
          <w:iCs w:val="0"/>
          <w:caps w:val="0"/>
          <w:color w:val="000000"/>
          <w:spacing w:val="0"/>
          <w:sz w:val="24"/>
          <w:szCs w:val="24"/>
          <w:u w:val="none"/>
          <w:shd w:val="clear" w:fill="FFFFFF"/>
          <w:lang w:val="en-US" w:eastAsia="zh-CN"/>
        </w:rPr>
        <w:t>或扫描下方二维码查看</w:t>
      </w:r>
      <w:r>
        <w:rPr>
          <w:rFonts w:hint="eastAsia" w:ascii="仿宋" w:hAnsi="仿宋" w:eastAsia="仿宋" w:cs="仿宋"/>
          <w:i w:val="0"/>
          <w:iCs w:val="0"/>
          <w:caps w:val="0"/>
          <w:color w:val="000000"/>
          <w:spacing w:val="0"/>
          <w:sz w:val="24"/>
          <w:szCs w:val="24"/>
          <w:u w:val="none"/>
          <w:shd w:val="clear" w:fill="FFFFFF"/>
        </w:rPr>
        <w:t>下载。</w:t>
      </w:r>
    </w:p>
    <w:p w14:paraId="248B0B30">
      <w:pPr>
        <w:pStyle w:val="7"/>
        <w:keepNext w:val="0"/>
        <w:keepLines w:val="0"/>
        <w:pageBreakBefore w:val="0"/>
        <w:widowControl w:val="0"/>
        <w:numPr>
          <w:ilvl w:val="0"/>
          <w:numId w:val="0"/>
        </w:numPr>
        <w:kinsoku/>
        <w:wordWrap w:val="0"/>
        <w:overflowPunct/>
        <w:topLinePunct/>
        <w:autoSpaceDE/>
        <w:autoSpaceDN/>
        <w:bidi w:val="0"/>
        <w:adjustRightInd/>
        <w:snapToGrid/>
        <w:spacing w:afterAutospacing="0" w:line="360" w:lineRule="auto"/>
        <w:ind w:left="0" w:leftChars="0" w:right="0" w:firstLine="0" w:firstLineChars="0"/>
        <w:jc w:val="center"/>
        <w:rPr>
          <w:rFonts w:hint="eastAsia" w:ascii="仿宋" w:hAnsi="仿宋" w:eastAsia="仿宋" w:cs="仿宋"/>
          <w:b/>
          <w:bCs/>
          <w:color w:val="auto"/>
          <w:kern w:val="2"/>
          <w:sz w:val="24"/>
          <w:szCs w:val="24"/>
          <w:highlight w:val="none"/>
          <w:lang w:eastAsia="zh-CN"/>
        </w:rPr>
        <w:sectPr>
          <w:pgSz w:w="11906" w:h="16838"/>
          <w:pgMar w:top="1440" w:right="1080" w:bottom="1440" w:left="1080" w:header="851" w:footer="907" w:gutter="0"/>
          <w:pgNumType w:fmt="decimal"/>
          <w:cols w:space="425" w:num="1"/>
          <w:docGrid w:type="lines" w:linePitch="312" w:charSpace="0"/>
        </w:sectPr>
      </w:pPr>
      <w:r>
        <w:drawing>
          <wp:inline distT="0" distB="0" distL="114300" distR="114300">
            <wp:extent cx="1857375" cy="1828800"/>
            <wp:effectExtent l="0" t="0" r="9525"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4"/>
                    <a:stretch>
                      <a:fillRect/>
                    </a:stretch>
                  </pic:blipFill>
                  <pic:spPr>
                    <a:xfrm>
                      <a:off x="0" y="0"/>
                      <a:ext cx="1857375" cy="1828800"/>
                    </a:xfrm>
                    <a:prstGeom prst="rect">
                      <a:avLst/>
                    </a:prstGeom>
                    <a:noFill/>
                    <a:ln>
                      <a:noFill/>
                    </a:ln>
                  </pic:spPr>
                </pic:pic>
              </a:graphicData>
            </a:graphic>
          </wp:inline>
        </w:drawing>
      </w:r>
    </w:p>
    <w:p w14:paraId="31219C76">
      <w:pPr>
        <w:pStyle w:val="7"/>
        <w:keepNext w:val="0"/>
        <w:keepLines w:val="0"/>
        <w:pageBreakBefore w:val="0"/>
        <w:widowControl w:val="0"/>
        <w:kinsoku/>
        <w:wordWrap w:val="0"/>
        <w:overflowPunct/>
        <w:topLinePunct/>
        <w:autoSpaceDE/>
        <w:autoSpaceDN/>
        <w:bidi w:val="0"/>
        <w:adjustRightInd/>
        <w:snapToGrid/>
        <w:ind w:left="0" w:leftChars="0" w:right="0"/>
        <w:jc w:val="center"/>
        <w:outlineLvl w:val="0"/>
        <w:rPr>
          <w:rStyle w:val="21"/>
          <w:rFonts w:hint="eastAsia" w:ascii="仿宋" w:hAnsi="仿宋" w:eastAsia="仿宋" w:cs="仿宋"/>
          <w:color w:val="auto"/>
          <w:sz w:val="32"/>
          <w:szCs w:val="32"/>
          <w:highlight w:val="none"/>
          <w:lang w:eastAsia="zh-CN"/>
        </w:rPr>
      </w:pPr>
      <w:bookmarkStart w:id="522" w:name="_Toc2286"/>
      <w:bookmarkStart w:id="523" w:name="_Toc17934"/>
      <w:bookmarkStart w:id="524" w:name="_Toc7511"/>
      <w:r>
        <w:rPr>
          <w:rStyle w:val="21"/>
          <w:rFonts w:hint="eastAsia" w:ascii="仿宋" w:hAnsi="仿宋" w:eastAsia="仿宋" w:cs="仿宋"/>
          <w:color w:val="auto"/>
          <w:sz w:val="32"/>
          <w:szCs w:val="32"/>
          <w:highlight w:val="none"/>
          <w:lang w:eastAsia="zh-CN"/>
        </w:rPr>
        <w:t>第六章</w:t>
      </w:r>
      <w:r>
        <w:rPr>
          <w:rStyle w:val="21"/>
          <w:rFonts w:hint="eastAsia" w:ascii="仿宋" w:hAnsi="仿宋" w:eastAsia="仿宋" w:cs="仿宋"/>
          <w:color w:val="auto"/>
          <w:sz w:val="32"/>
          <w:szCs w:val="32"/>
          <w:highlight w:val="none"/>
          <w:lang w:val="en-US" w:eastAsia="zh-CN"/>
        </w:rPr>
        <w:t xml:space="preserve"> </w:t>
      </w:r>
      <w:r>
        <w:rPr>
          <w:rStyle w:val="21"/>
          <w:rFonts w:hint="eastAsia" w:ascii="仿宋" w:hAnsi="仿宋" w:eastAsia="仿宋" w:cs="仿宋"/>
          <w:color w:val="auto"/>
          <w:sz w:val="32"/>
          <w:szCs w:val="32"/>
          <w:highlight w:val="none"/>
          <w:lang w:eastAsia="zh-CN"/>
        </w:rPr>
        <w:t>投标文件格式</w:t>
      </w:r>
      <w:bookmarkEnd w:id="522"/>
      <w:bookmarkEnd w:id="523"/>
    </w:p>
    <w:bookmarkEnd w:id="524"/>
    <w:p w14:paraId="2B6D342E">
      <w:pPr>
        <w:pStyle w:val="9"/>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投标人编制文件须知 </w:t>
      </w:r>
    </w:p>
    <w:p w14:paraId="46DF1E33">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bCs w:val="0"/>
          <w:color w:val="auto"/>
          <w:sz w:val="21"/>
          <w:szCs w:val="21"/>
          <w:highlight w:val="none"/>
          <w:u w:val="none"/>
        </w:rPr>
      </w:pPr>
      <w:r>
        <w:rPr>
          <w:rFonts w:hint="eastAsia" w:ascii="仿宋" w:hAnsi="仿宋" w:eastAsia="仿宋" w:cs="仿宋"/>
          <w:bCs/>
          <w:color w:val="auto"/>
          <w:sz w:val="21"/>
          <w:szCs w:val="21"/>
          <w:highlight w:val="none"/>
          <w:lang w:val="en-US" w:eastAsia="zh-CN"/>
        </w:rPr>
        <w:t>1.投标人按照本部分的顺序编制投标文件，编制中涉及格式资料的，应按照本部分提供的内容和格式（所有表格的格式可扩展）填写提交。</w:t>
      </w:r>
      <w:r>
        <w:rPr>
          <w:rFonts w:hint="eastAsia" w:ascii="仿宋" w:hAnsi="仿宋" w:eastAsia="仿宋" w:cs="仿宋"/>
          <w:b/>
          <w:bCs w:val="0"/>
          <w:color w:val="auto"/>
          <w:sz w:val="21"/>
          <w:szCs w:val="21"/>
          <w:highlight w:val="none"/>
          <w:u w:val="none"/>
          <w:lang w:val="en-US" w:eastAsia="zh-CN"/>
        </w:rPr>
        <w:t xml:space="preserve"> </w:t>
      </w:r>
    </w:p>
    <w:p w14:paraId="1932B47C">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bCs w:val="0"/>
          <w:color w:val="auto"/>
          <w:sz w:val="21"/>
          <w:szCs w:val="21"/>
          <w:highlight w:val="none"/>
          <w:lang w:val="en-US" w:eastAsia="zh-CN"/>
        </w:rPr>
        <w:t>响应无效</w:t>
      </w:r>
      <w:r>
        <w:rPr>
          <w:rFonts w:hint="eastAsia" w:ascii="仿宋" w:hAnsi="仿宋" w:eastAsia="仿宋" w:cs="仿宋"/>
          <w:bCs/>
          <w:color w:val="auto"/>
          <w:sz w:val="21"/>
          <w:szCs w:val="21"/>
          <w:highlight w:val="none"/>
          <w:lang w:val="en-US" w:eastAsia="zh-CN"/>
        </w:rPr>
        <w:t xml:space="preserve">。未标记“实质性格式”的文件和招标文件未提供格式的内容，可由投标人自行编写。 </w:t>
      </w:r>
    </w:p>
    <w:p w14:paraId="79A19E65">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3.全部声明和问题的回答及所附材料必须是真实的、准确的和完整的。</w:t>
      </w:r>
    </w:p>
    <w:p w14:paraId="157CDED2">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color w:val="auto"/>
          <w:sz w:val="40"/>
          <w:szCs w:val="40"/>
          <w:highlight w:val="none"/>
          <w:lang w:eastAsia="zh-CN"/>
        </w:rPr>
        <w:sectPr>
          <w:footerReference r:id="rId6" w:type="first"/>
          <w:footerReference r:id="rId5" w:type="default"/>
          <w:pgSz w:w="11906" w:h="16838"/>
          <w:pgMar w:top="1440" w:right="1080" w:bottom="1440" w:left="1080"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Cs/>
          <w:color w:val="auto"/>
          <w:sz w:val="21"/>
          <w:szCs w:val="21"/>
          <w:highlight w:val="none"/>
          <w:lang w:val="en-US" w:eastAsia="zh-CN"/>
        </w:rPr>
        <w:t>4.建议设置审查索引，以便资格审查小组顺利开展审查工作。</w:t>
      </w:r>
    </w:p>
    <w:p w14:paraId="0F6BE527">
      <w:pPr>
        <w:pStyle w:val="9"/>
        <w:wordWrap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封面格式：</w:t>
      </w:r>
    </w:p>
    <w:p w14:paraId="3D513D26">
      <w:pPr>
        <w:pStyle w:val="9"/>
        <w:wordWrap w:val="0"/>
        <w:spacing w:line="360" w:lineRule="auto"/>
        <w:jc w:val="center"/>
        <w:outlineLvl w:val="1"/>
        <w:rPr>
          <w:rFonts w:hint="eastAsia" w:ascii="仿宋" w:hAnsi="仿宋" w:eastAsia="仿宋" w:cs="仿宋"/>
          <w:b/>
          <w:color w:val="auto"/>
          <w:sz w:val="32"/>
          <w:szCs w:val="36"/>
          <w:highlight w:val="none"/>
          <w:lang w:eastAsia="zh-CN"/>
        </w:rPr>
      </w:pPr>
      <w:bookmarkStart w:id="525" w:name="_Toc529957200"/>
      <w:bookmarkStart w:id="526" w:name="_Toc145164057"/>
      <w:bookmarkStart w:id="527" w:name="_Toc520749005"/>
      <w:bookmarkStart w:id="528" w:name="_Toc389644551"/>
      <w:bookmarkStart w:id="529" w:name="_Toc10117026"/>
      <w:bookmarkStart w:id="530" w:name="_Toc450064600"/>
      <w:bookmarkStart w:id="531" w:name="_Toc486584248"/>
      <w:bookmarkStart w:id="532" w:name="_Toc451856213"/>
      <w:r>
        <w:rPr>
          <w:rFonts w:hint="eastAsia" w:ascii="仿宋" w:hAnsi="仿宋" w:eastAsia="仿宋" w:cs="仿宋"/>
          <w:b/>
          <w:bCs/>
          <w:color w:val="auto"/>
          <w:sz w:val="36"/>
          <w:szCs w:val="36"/>
          <w:highlight w:val="none"/>
          <w:u w:val="none"/>
          <w:lang w:val="en-US" w:eastAsia="zh-CN"/>
        </w:rPr>
        <w:t>楚雄彝族自治州人民医院2026年肝胆外二科电子十二指肠镜系统采购项目（公立医院改革与高质量发展示范项目—肿瘤防治中心）</w:t>
      </w:r>
    </w:p>
    <w:p w14:paraId="32609D3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2881714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1B98026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5EE1BFD0">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6304AD38">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516" w:firstLineChars="700"/>
        <w:jc w:val="both"/>
        <w:rPr>
          <w:rFonts w:hint="eastAsia" w:ascii="仿宋" w:hAnsi="仿宋" w:eastAsia="仿宋" w:cs="仿宋"/>
          <w:b/>
          <w:color w:val="auto"/>
          <w:spacing w:val="-1"/>
          <w:sz w:val="36"/>
          <w:szCs w:val="36"/>
          <w:highlight w:val="none"/>
          <w:u w:val="single"/>
          <w:lang w:val="en-US" w:eastAsia="zh-CN"/>
        </w:rPr>
      </w:pPr>
      <w:r>
        <w:rPr>
          <w:rFonts w:hint="eastAsia" w:ascii="仿宋" w:hAnsi="仿宋" w:eastAsia="仿宋" w:cs="仿宋"/>
          <w:b/>
          <w:color w:val="auto"/>
          <w:spacing w:val="-1"/>
          <w:sz w:val="36"/>
          <w:szCs w:val="36"/>
          <w:highlight w:val="none"/>
          <w:lang w:val="zh-CN" w:eastAsia="zh-CN"/>
        </w:rPr>
        <w:t>项目编号</w:t>
      </w:r>
      <w:r>
        <w:rPr>
          <w:rFonts w:hint="eastAsia" w:ascii="仿宋" w:hAnsi="仿宋" w:eastAsia="仿宋" w:cs="仿宋"/>
          <w:b/>
          <w:color w:val="auto"/>
          <w:spacing w:val="-1"/>
          <w:sz w:val="36"/>
          <w:szCs w:val="36"/>
          <w:highlight w:val="none"/>
          <w:lang w:eastAsia="zh-CN"/>
        </w:rPr>
        <w:t>：</w:t>
      </w:r>
      <w:r>
        <w:rPr>
          <w:rFonts w:hint="eastAsia" w:ascii="仿宋" w:hAnsi="仿宋" w:eastAsia="仿宋" w:cs="仿宋"/>
          <w:b/>
          <w:color w:val="auto"/>
          <w:spacing w:val="-1"/>
          <w:sz w:val="36"/>
          <w:szCs w:val="36"/>
          <w:highlight w:val="none"/>
          <w:u w:val="single"/>
          <w:lang w:val="en-US" w:eastAsia="zh-CN"/>
        </w:rPr>
        <w:t xml:space="preserve">              </w:t>
      </w:r>
    </w:p>
    <w:p w14:paraId="5EACBCB2">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pacing w:val="-1"/>
          <w:sz w:val="36"/>
          <w:szCs w:val="36"/>
          <w:highlight w:val="none"/>
          <w:u w:val="none"/>
          <w:lang w:val="en-US" w:eastAsia="zh-CN"/>
        </w:rPr>
        <w:t>标项：</w:t>
      </w:r>
      <w:r>
        <w:rPr>
          <w:rFonts w:hint="eastAsia" w:ascii="仿宋" w:hAnsi="仿宋" w:eastAsia="仿宋" w:cs="仿宋"/>
          <w:b/>
          <w:color w:val="auto"/>
          <w:spacing w:val="-1"/>
          <w:sz w:val="36"/>
          <w:szCs w:val="36"/>
          <w:highlight w:val="none"/>
          <w:u w:val="single"/>
          <w:lang w:val="en-US" w:eastAsia="zh-CN"/>
        </w:rPr>
        <w:t xml:space="preserve">               </w:t>
      </w:r>
    </w:p>
    <w:p w14:paraId="5C6AAB45">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仿宋" w:hAnsi="仿宋" w:eastAsia="仿宋" w:cs="仿宋"/>
          <w:b/>
          <w:color w:val="auto"/>
          <w:sz w:val="40"/>
          <w:szCs w:val="44"/>
          <w:highlight w:val="none"/>
          <w:lang w:eastAsia="zh-CN"/>
        </w:rPr>
      </w:pPr>
      <w:r>
        <w:rPr>
          <w:rFonts w:hint="eastAsia" w:ascii="仿宋" w:hAnsi="仿宋" w:eastAsia="仿宋" w:cs="仿宋"/>
          <w:b/>
          <w:color w:val="auto"/>
          <w:spacing w:val="-1"/>
          <w:sz w:val="36"/>
          <w:szCs w:val="36"/>
          <w:highlight w:val="none"/>
          <w:lang w:val="en-US" w:eastAsia="zh-CN"/>
        </w:rPr>
        <w:t xml:space="preserve">  </w:t>
      </w:r>
      <w:r>
        <w:rPr>
          <w:rFonts w:hint="eastAsia" w:ascii="仿宋" w:hAnsi="仿宋" w:eastAsia="仿宋" w:cs="仿宋"/>
          <w:b/>
          <w:color w:val="auto"/>
          <w:sz w:val="40"/>
          <w:szCs w:val="44"/>
          <w:highlight w:val="none"/>
          <w:lang w:val="en-US" w:eastAsia="zh-CN"/>
        </w:rPr>
        <w:t xml:space="preserve"> </w:t>
      </w:r>
    </w:p>
    <w:p w14:paraId="5EE49A2D">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06797D1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72"/>
          <w:szCs w:val="28"/>
          <w:highlight w:val="none"/>
          <w:lang w:eastAsia="zh-CN"/>
        </w:rPr>
      </w:pPr>
      <w:r>
        <w:rPr>
          <w:rFonts w:hint="eastAsia" w:ascii="仿宋" w:hAnsi="仿宋" w:eastAsia="仿宋" w:cs="仿宋"/>
          <w:b/>
          <w:bCs/>
          <w:color w:val="auto"/>
          <w:sz w:val="72"/>
          <w:szCs w:val="28"/>
          <w:highlight w:val="none"/>
          <w:lang w:eastAsia="zh-CN"/>
        </w:rPr>
        <w:t>投 标 文 件</w:t>
      </w:r>
    </w:p>
    <w:p w14:paraId="5EE0BEEF">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4D53BFAA">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109F8AB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78D5ADA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24031D5">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559C97A0">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1E2CA608">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lang w:eastAsia="zh-CN"/>
        </w:rPr>
        <w:t>投标人：</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lang w:eastAsia="zh-CN"/>
        </w:rPr>
        <w:t>（电子公章）</w:t>
      </w:r>
    </w:p>
    <w:p w14:paraId="233D2BA5">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仿宋" w:hAnsi="仿宋" w:eastAsia="仿宋" w:cs="仿宋"/>
          <w:b/>
          <w:color w:val="auto"/>
          <w:spacing w:val="-1"/>
          <w:sz w:val="24"/>
          <w:szCs w:val="28"/>
          <w:highlight w:val="none"/>
          <w:lang w:eastAsia="zh-CN"/>
        </w:rPr>
      </w:pPr>
    </w:p>
    <w:p w14:paraId="5A29E89F">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pacing w:val="-1"/>
          <w:sz w:val="24"/>
          <w:szCs w:val="28"/>
          <w:highlight w:val="none"/>
          <w:lang w:eastAsia="zh-CN"/>
        </w:rPr>
      </w:pPr>
      <w:r>
        <w:rPr>
          <w:rFonts w:hint="eastAsia" w:ascii="仿宋" w:hAnsi="仿宋" w:eastAsia="仿宋" w:cs="仿宋"/>
          <w:b/>
          <w:color w:val="auto"/>
          <w:spacing w:val="-1"/>
          <w:sz w:val="24"/>
          <w:szCs w:val="28"/>
          <w:highlight w:val="none"/>
          <w:lang w:eastAsia="zh-CN"/>
        </w:rPr>
        <w:t>法定代表人或其委托代理人：</w:t>
      </w:r>
      <w:r>
        <w:rPr>
          <w:rFonts w:hint="eastAsia" w:ascii="仿宋" w:hAnsi="仿宋" w:eastAsia="仿宋" w:cs="仿宋"/>
          <w:b/>
          <w:color w:val="auto"/>
          <w:spacing w:val="-1"/>
          <w:sz w:val="24"/>
          <w:szCs w:val="28"/>
          <w:highlight w:val="none"/>
          <w:u w:val="single"/>
          <w:lang w:val="en-US" w:eastAsia="zh-CN"/>
        </w:rPr>
        <w:t xml:space="preserve">              </w:t>
      </w:r>
      <w:r>
        <w:rPr>
          <w:rFonts w:hint="eastAsia" w:ascii="仿宋" w:hAnsi="仿宋" w:eastAsia="仿宋" w:cs="仿宋"/>
          <w:b/>
          <w:color w:val="auto"/>
          <w:spacing w:val="-1"/>
          <w:sz w:val="24"/>
          <w:szCs w:val="28"/>
          <w:highlight w:val="none"/>
          <w:lang w:eastAsia="zh-CN"/>
        </w:rPr>
        <w:t>（签字或电子签章）</w:t>
      </w:r>
    </w:p>
    <w:p w14:paraId="24104C40">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u w:val="none" w:color="auto"/>
          <w:lang w:val="en-US" w:eastAsia="zh-CN"/>
        </w:rPr>
      </w:pPr>
    </w:p>
    <w:p w14:paraId="3330C20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1"/>
          <w:highlight w:val="none"/>
          <w:lang w:eastAsia="zh-CN"/>
        </w:rPr>
        <w:sectPr>
          <w:footerReference r:id="rId8" w:type="first"/>
          <w:footerReference r:id="rId7" w:type="default"/>
          <w:pgSz w:w="11906" w:h="16838"/>
          <w:pgMar w:top="1440" w:right="1080" w:bottom="1440" w:left="1080"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
          <w:color w:val="auto"/>
          <w:sz w:val="24"/>
          <w:szCs w:val="28"/>
          <w:highlight w:val="none"/>
          <w:u w:val="none" w:color="auto"/>
          <w:lang w:val="en-US" w:eastAsia="zh-CN"/>
        </w:rPr>
        <w:t>日期：</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年</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月</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日</w:t>
      </w:r>
    </w:p>
    <w:bookmarkEnd w:id="525"/>
    <w:bookmarkEnd w:id="526"/>
    <w:bookmarkEnd w:id="527"/>
    <w:bookmarkEnd w:id="528"/>
    <w:bookmarkEnd w:id="529"/>
    <w:bookmarkEnd w:id="530"/>
    <w:bookmarkEnd w:id="531"/>
    <w:bookmarkEnd w:id="532"/>
    <w:p w14:paraId="7B1D5B4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仿宋" w:hAnsi="仿宋" w:eastAsia="仿宋" w:cs="仿宋"/>
          <w:color w:val="auto"/>
          <w:sz w:val="32"/>
          <w:szCs w:val="32"/>
          <w:highlight w:val="none"/>
          <w:lang w:val="en-US" w:eastAsia="zh-CN"/>
        </w:rPr>
      </w:pPr>
      <w:bookmarkStart w:id="533" w:name="_Toc24168"/>
      <w:bookmarkStart w:id="534" w:name="_Toc13272"/>
      <w:bookmarkStart w:id="535" w:name="_Toc18471"/>
      <w:bookmarkStart w:id="536" w:name="_Toc10117027"/>
      <w:bookmarkStart w:id="537" w:name="_Toc8694"/>
      <w:bookmarkStart w:id="538" w:name="_Toc520749006"/>
      <w:r>
        <w:rPr>
          <w:rFonts w:hint="eastAsia" w:ascii="仿宋" w:hAnsi="仿宋" w:eastAsia="仿宋" w:cs="仿宋"/>
          <w:color w:val="auto"/>
          <w:highlight w:val="none"/>
          <w:lang w:eastAsia="zh-CN"/>
        </w:rPr>
        <w:t>资格审查部分</w:t>
      </w:r>
      <w:bookmarkEnd w:id="533"/>
      <w:bookmarkEnd w:id="534"/>
      <w:bookmarkEnd w:id="535"/>
      <w:bookmarkEnd w:id="536"/>
      <w:bookmarkEnd w:id="537"/>
      <w:bookmarkEnd w:id="538"/>
      <w:bookmarkStart w:id="539" w:name="_Toc4306"/>
      <w:bookmarkStart w:id="540" w:name="_Toc11975"/>
      <w:bookmarkStart w:id="541" w:name="_Toc30229"/>
      <w:bookmarkStart w:id="542" w:name="_Toc16060"/>
      <w:bookmarkStart w:id="543" w:name="_Toc145164058"/>
      <w:bookmarkStart w:id="544" w:name="_Toc12779"/>
      <w:bookmarkStart w:id="545" w:name="_Toc21991"/>
      <w:bookmarkStart w:id="546" w:name="_Toc30478"/>
      <w:bookmarkStart w:id="547" w:name="_Toc14819"/>
      <w:bookmarkStart w:id="548" w:name="_Toc10812"/>
      <w:bookmarkStart w:id="549" w:name="_Toc17869"/>
      <w:bookmarkStart w:id="550" w:name="_Toc12446"/>
      <w:bookmarkStart w:id="551" w:name="_Toc20556"/>
    </w:p>
    <w:bookmarkEnd w:id="539"/>
    <w:bookmarkEnd w:id="540"/>
    <w:bookmarkEnd w:id="541"/>
    <w:bookmarkEnd w:id="542"/>
    <w:bookmarkEnd w:id="543"/>
    <w:bookmarkEnd w:id="544"/>
    <w:bookmarkEnd w:id="545"/>
    <w:bookmarkEnd w:id="546"/>
    <w:bookmarkEnd w:id="547"/>
    <w:bookmarkEnd w:id="548"/>
    <w:bookmarkEnd w:id="549"/>
    <w:bookmarkEnd w:id="550"/>
    <w:bookmarkEnd w:id="551"/>
    <w:p w14:paraId="20C83C2C">
      <w:pPr>
        <w:pStyle w:val="4"/>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28"/>
          <w:szCs w:val="28"/>
          <w:highlight w:val="none"/>
        </w:rPr>
      </w:pPr>
      <w:bookmarkStart w:id="552" w:name="_Toc25187"/>
      <w:bookmarkStart w:id="553" w:name="_Toc12367"/>
      <w:bookmarkStart w:id="554" w:name="_Toc9399"/>
      <w:bookmarkStart w:id="555" w:name="_Toc9112"/>
      <w:bookmarkStart w:id="556" w:name="_Toc8669"/>
      <w:bookmarkStart w:id="557" w:name="_Toc28293"/>
      <w:bookmarkStart w:id="558" w:name="_Toc20737"/>
      <w:bookmarkStart w:id="559" w:name="_Toc30987"/>
      <w:bookmarkStart w:id="560" w:name="_Toc113"/>
      <w:bookmarkStart w:id="561" w:name="_Toc20708"/>
      <w:bookmarkStart w:id="562" w:name="_Toc14542"/>
      <w:bookmarkStart w:id="563" w:name="_Toc30809"/>
      <w:bookmarkStart w:id="564" w:name="_Toc20443"/>
      <w:bookmarkStart w:id="565" w:name="_Toc6772"/>
      <w:bookmarkStart w:id="566" w:name="_Toc32118"/>
      <w:bookmarkStart w:id="567" w:name="_Toc8210"/>
      <w:bookmarkStart w:id="568" w:name="_Toc16238"/>
      <w:bookmarkStart w:id="569" w:name="_Toc16708"/>
      <w:bookmarkStart w:id="570" w:name="_Toc11889"/>
      <w:bookmarkStart w:id="571" w:name="_Toc28803"/>
      <w:bookmarkStart w:id="572" w:name="_Toc17095"/>
      <w:bookmarkStart w:id="573" w:name="_Toc17112"/>
      <w:bookmarkStart w:id="574" w:name="_Toc28205"/>
      <w:bookmarkStart w:id="575" w:name="_Toc7165"/>
      <w:bookmarkStart w:id="576" w:name="_Toc485"/>
      <w:bookmarkStart w:id="577" w:name="_Toc24304"/>
      <w:bookmarkStart w:id="578" w:name="_Toc29724"/>
      <w:bookmarkStart w:id="579" w:name="_Toc11495"/>
      <w:bookmarkStart w:id="580" w:name="_Toc13388"/>
      <w:bookmarkStart w:id="581" w:name="_Toc520749007"/>
      <w:bookmarkStart w:id="582" w:name="_Toc29111"/>
      <w:bookmarkStart w:id="583" w:name="_Toc89951837"/>
      <w:bookmarkStart w:id="584" w:name="_Toc27820"/>
      <w:bookmarkStart w:id="585" w:name="_Toc14046"/>
      <w:bookmarkStart w:id="586" w:name="_Toc32506"/>
      <w:bookmarkStart w:id="587" w:name="_Toc6430"/>
      <w:bookmarkStart w:id="588" w:name="_Toc16314"/>
      <w:bookmarkStart w:id="589" w:name="_Toc8362"/>
      <w:bookmarkStart w:id="590" w:name="_Toc25201"/>
      <w:bookmarkStart w:id="591" w:name="_Toc8243"/>
      <w:bookmarkStart w:id="592" w:name="_Toc10117028"/>
      <w:bookmarkStart w:id="593" w:name="_Toc25485"/>
      <w:bookmarkStart w:id="594" w:name="_Toc2489"/>
      <w:r>
        <w:rPr>
          <w:rFonts w:hint="eastAsia" w:ascii="仿宋" w:hAnsi="仿宋" w:eastAsia="仿宋" w:cs="仿宋"/>
          <w:b/>
          <w:bCs/>
          <w:color w:val="auto"/>
          <w:kern w:val="0"/>
          <w:sz w:val="28"/>
          <w:szCs w:val="28"/>
          <w:highlight w:val="none"/>
          <w:lang w:val="en-US" w:eastAsia="zh-CN" w:bidi="ar-SA"/>
        </w:rPr>
        <w:t>一、</w:t>
      </w:r>
      <w:r>
        <w:rPr>
          <w:rFonts w:hint="eastAsia" w:ascii="仿宋" w:hAnsi="仿宋" w:eastAsia="仿宋" w:cs="仿宋"/>
          <w:b/>
          <w:bCs/>
          <w:color w:val="auto"/>
          <w:sz w:val="28"/>
          <w:szCs w:val="28"/>
          <w:highlight w:val="none"/>
        </w:rPr>
        <w:t>具有独立承担民事责任的能力</w:t>
      </w:r>
      <w:bookmarkEnd w:id="552"/>
      <w:bookmarkEnd w:id="553"/>
      <w:bookmarkEnd w:id="554"/>
      <w:bookmarkEnd w:id="555"/>
      <w:bookmarkEnd w:id="556"/>
      <w:r>
        <w:rPr>
          <w:rFonts w:hint="eastAsia" w:ascii="仿宋" w:hAnsi="仿宋" w:eastAsia="仿宋" w:cs="仿宋"/>
          <w:b/>
          <w:bCs/>
          <w:color w:val="auto"/>
          <w:sz w:val="28"/>
          <w:szCs w:val="28"/>
          <w:highlight w:val="none"/>
          <w:lang w:val="en-US" w:eastAsia="zh-CN"/>
        </w:rPr>
        <w:t>（实质性格式）</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Pr>
          <w:rFonts w:hint="eastAsia" w:ascii="仿宋" w:hAnsi="仿宋" w:eastAsia="仿宋" w:cs="仿宋"/>
          <w:b/>
          <w:bCs/>
          <w:color w:val="auto"/>
          <w:sz w:val="28"/>
          <w:szCs w:val="28"/>
          <w:highlight w:val="none"/>
          <w:lang w:val="en-US" w:eastAsia="zh-CN"/>
        </w:rPr>
        <w:t xml:space="preserve"> </w:t>
      </w:r>
    </w:p>
    <w:p w14:paraId="358C6903">
      <w:pPr>
        <w:pStyle w:val="4"/>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595" w:name="_Toc7203"/>
      <w:bookmarkStart w:id="596" w:name="_Toc19573"/>
      <w:bookmarkStart w:id="597" w:name="_Toc18023"/>
      <w:bookmarkStart w:id="598" w:name="_Toc23641"/>
      <w:bookmarkStart w:id="599" w:name="_Toc4464"/>
      <w:bookmarkStart w:id="600" w:name="_Toc20426"/>
      <w:bookmarkStart w:id="601" w:name="_Toc14521"/>
      <w:bookmarkStart w:id="602" w:name="_Toc26059"/>
      <w:bookmarkStart w:id="603" w:name="_Toc7128"/>
      <w:bookmarkStart w:id="604" w:name="_Toc825"/>
      <w:bookmarkStart w:id="605" w:name="_Toc331"/>
      <w:bookmarkStart w:id="606" w:name="_Toc29862"/>
      <w:bookmarkStart w:id="607" w:name="_Toc16770"/>
      <w:bookmarkStart w:id="608" w:name="_Toc1125"/>
      <w:bookmarkStart w:id="609" w:name="_Toc21894"/>
      <w:bookmarkStart w:id="610" w:name="_Toc12645"/>
      <w:bookmarkStart w:id="611" w:name="_Toc2516"/>
      <w:bookmarkStart w:id="612" w:name="_Toc29767"/>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基本情况表</w:t>
      </w:r>
      <w:bookmarkEnd w:id="571"/>
      <w:bookmarkEnd w:id="572"/>
      <w:bookmarkEnd w:id="573"/>
      <w:bookmarkEnd w:id="574"/>
      <w:bookmarkEnd w:id="575"/>
      <w:bookmarkEnd w:id="576"/>
      <w:bookmarkEnd w:id="577"/>
      <w:bookmarkEnd w:id="578"/>
      <w:bookmarkEnd w:id="57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tbl>
      <w:tblPr>
        <w:tblStyle w:val="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8DC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F5AF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4E7276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373A4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78FE8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4C8E6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总部地址：</w:t>
            </w:r>
          </w:p>
        </w:tc>
      </w:tr>
      <w:tr w14:paraId="65DE7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F7AFD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53A94B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当地代表处地址：</w:t>
            </w:r>
          </w:p>
        </w:tc>
      </w:tr>
      <w:tr w14:paraId="2D398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68B8A1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14:paraId="546E4DEB">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69A5C17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328C3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42C6D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14:paraId="4C7B674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7B1AD2C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104CB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38ACA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14:paraId="3008496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F4CA0A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3F42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E9BDF2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4022BB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p>
          <w:p w14:paraId="689C39C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12F7F1D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495B743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3924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C2A1E07">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1542C70">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1FD7209B">
            <w:pPr>
              <w:ind w:firstLine="100"/>
              <w:rPr>
                <w:rFonts w:hint="eastAsia" w:ascii="仿宋" w:hAnsi="仿宋" w:eastAsia="仿宋" w:cs="仿宋"/>
                <w:color w:val="auto"/>
                <w:sz w:val="24"/>
                <w:highlight w:val="none"/>
              </w:rPr>
            </w:pPr>
          </w:p>
          <w:p w14:paraId="23057FAD">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75ED87D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7B96A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924BC9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CE461F3">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0DE72FC7">
            <w:pPr>
              <w:ind w:firstLine="1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w:t>
            </w:r>
          </w:p>
          <w:p w14:paraId="442CF23F">
            <w:pPr>
              <w:ind w:firstLine="1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670C2CE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94CD6A6">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388D9A8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53B1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27E03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E7F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76BFAAC8">
      <w:pPr>
        <w:pStyle w:val="29"/>
        <w:wordWrap w:val="0"/>
        <w:overflowPunct w:val="0"/>
        <w:topLinePunct/>
        <w:ind w:firstLine="480"/>
        <w:rPr>
          <w:rFonts w:hint="eastAsia" w:ascii="仿宋" w:hAnsi="仿宋" w:eastAsia="仿宋" w:cs="仿宋"/>
          <w:color w:val="auto"/>
          <w:szCs w:val="21"/>
          <w:highlight w:val="none"/>
        </w:rPr>
      </w:pPr>
    </w:p>
    <w:p w14:paraId="36EDF16A">
      <w:pPr>
        <w:wordWrap w:val="0"/>
        <w:overflowPunct w:val="0"/>
        <w:topLinePunct/>
        <w:spacing w:line="360" w:lineRule="auto"/>
        <w:jc w:val="left"/>
        <w:rPr>
          <w:rFonts w:hint="eastAsia" w:ascii="仿宋" w:hAnsi="仿宋" w:eastAsia="仿宋" w:cs="仿宋"/>
          <w:color w:val="auto"/>
          <w:sz w:val="24"/>
          <w:highlight w:val="none"/>
          <w:lang w:eastAsia="zh-CN"/>
        </w:rPr>
      </w:pPr>
    </w:p>
    <w:p w14:paraId="71F33BC3">
      <w:pPr>
        <w:wordWrap w:val="0"/>
        <w:overflowPunct w:val="0"/>
        <w:topLinePunct/>
        <w:spacing w:line="360" w:lineRule="auto"/>
        <w:jc w:val="left"/>
        <w:rPr>
          <w:rFonts w:hint="eastAsia" w:ascii="仿宋" w:hAnsi="仿宋" w:eastAsia="仿宋" w:cs="仿宋"/>
          <w:color w:val="auto"/>
          <w:sz w:val="24"/>
          <w:highlight w:val="none"/>
          <w:lang w:eastAsia="zh-CN"/>
        </w:rPr>
      </w:pPr>
    </w:p>
    <w:p w14:paraId="00960904">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187B558">
      <w:pPr>
        <w:wordWrap w:val="0"/>
        <w:overflowPunct w:val="0"/>
        <w:topLinePunct/>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25FA8AD">
      <w:pPr>
        <w:pStyle w:val="30"/>
        <w:autoSpaceDE w:val="0"/>
        <w:autoSpaceDN w:val="0"/>
        <w:spacing w:line="360" w:lineRule="auto"/>
        <w:ind w:firstLine="0" w:firstLineChars="0"/>
        <w:jc w:val="center"/>
        <w:textAlignment w:val="baseline"/>
        <w:rPr>
          <w:rFonts w:hint="eastAsia" w:ascii="仿宋" w:hAnsi="仿宋" w:eastAsia="仿宋" w:cs="仿宋"/>
          <w:color w:val="auto"/>
          <w:sz w:val="24"/>
          <w:highlight w:val="none"/>
        </w:rPr>
        <w:sectPr>
          <w:footerReference r:id="rId9" w:type="default"/>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580"/>
      <w:bookmarkEnd w:id="581"/>
      <w:bookmarkEnd w:id="582"/>
      <w:bookmarkEnd w:id="583"/>
      <w:bookmarkEnd w:id="584"/>
      <w:bookmarkEnd w:id="585"/>
      <w:bookmarkEnd w:id="586"/>
      <w:bookmarkEnd w:id="587"/>
      <w:bookmarkEnd w:id="588"/>
      <w:bookmarkEnd w:id="589"/>
      <w:bookmarkEnd w:id="590"/>
      <w:bookmarkEnd w:id="591"/>
      <w:bookmarkEnd w:id="592"/>
      <w:bookmarkStart w:id="613" w:name="_Toc32253"/>
      <w:bookmarkStart w:id="614" w:name="_Toc8357"/>
      <w:bookmarkStart w:id="615" w:name="_Toc19280"/>
      <w:bookmarkStart w:id="616" w:name="_Toc2887"/>
      <w:bookmarkStart w:id="617" w:name="_Toc17892"/>
      <w:bookmarkStart w:id="618" w:name="_Toc1847"/>
      <w:bookmarkStart w:id="619" w:name="_Toc9627"/>
      <w:bookmarkStart w:id="620" w:name="_Toc12102"/>
      <w:bookmarkStart w:id="621" w:name="_Toc10601"/>
      <w:bookmarkStart w:id="622" w:name="_Toc16622"/>
      <w:bookmarkStart w:id="623" w:name="_Toc24615"/>
    </w:p>
    <w:p w14:paraId="55F1BFD4">
      <w:pPr>
        <w:pStyle w:val="30"/>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624" w:name="_Toc5438"/>
      <w:bookmarkStart w:id="625" w:name="_Toc2748"/>
      <w:bookmarkStart w:id="626" w:name="_Toc32299"/>
      <w:bookmarkStart w:id="627" w:name="_Toc2594"/>
      <w:bookmarkStart w:id="628" w:name="_Toc22749"/>
      <w:bookmarkStart w:id="629" w:name="_Toc2070"/>
      <w:bookmarkStart w:id="630" w:name="_Toc2165"/>
      <w:bookmarkStart w:id="631" w:name="_Toc28882"/>
      <w:bookmarkStart w:id="632" w:name="_Toc26483"/>
      <w:bookmarkStart w:id="633" w:name="_Toc13390"/>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593"/>
      <w:bookmarkEnd w:id="594"/>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0B40AA3D">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highlight w:val="none"/>
        </w:rPr>
      </w:pPr>
      <w:bookmarkStart w:id="634" w:name="_Toc28525"/>
      <w:bookmarkStart w:id="635" w:name="_Toc26688"/>
      <w:bookmarkStart w:id="636" w:name="_Toc30758"/>
      <w:bookmarkStart w:id="637" w:name="_Toc2919"/>
      <w:bookmarkStart w:id="638" w:name="_Toc20851"/>
      <w:bookmarkStart w:id="639" w:name="_Toc8240"/>
      <w:bookmarkStart w:id="640" w:name="_Toc21998"/>
      <w:bookmarkStart w:id="641" w:name="_Toc31389"/>
      <w:bookmarkStart w:id="642" w:name="_Toc28483"/>
      <w:bookmarkStart w:id="643" w:name="_Toc4872"/>
      <w:bookmarkStart w:id="644" w:name="_Toc11620"/>
      <w:bookmarkStart w:id="645" w:name="_Toc8937"/>
      <w:bookmarkStart w:id="646" w:name="_Toc1949"/>
      <w:bookmarkStart w:id="647" w:name="_Toc22989"/>
      <w:bookmarkStart w:id="648" w:name="_Toc20568"/>
      <w:bookmarkStart w:id="649" w:name="_Toc1262"/>
      <w:bookmarkStart w:id="650" w:name="_Toc4823"/>
      <w:bookmarkStart w:id="651" w:name="_Toc13025"/>
      <w:bookmarkStart w:id="652" w:name="_Toc23927"/>
      <w:bookmarkStart w:id="653" w:name="_Toc8238"/>
      <w:bookmarkStart w:id="654" w:name="_Toc13192"/>
      <w:bookmarkStart w:id="655" w:name="_Toc5280"/>
      <w:bookmarkStart w:id="656" w:name="_Toc19236"/>
      <w:bookmarkStart w:id="657" w:name="_Toc21345"/>
      <w:bookmarkStart w:id="658" w:name="_Toc18379"/>
      <w:bookmarkStart w:id="659" w:name="_Toc32342"/>
      <w:bookmarkStart w:id="660" w:name="_Toc15414"/>
      <w:bookmarkStart w:id="661" w:name="_Toc13521"/>
      <w:bookmarkStart w:id="662" w:name="_Toc22651"/>
      <w:bookmarkStart w:id="663" w:name="_Toc5232"/>
      <w:bookmarkStart w:id="664" w:name="_Toc1054"/>
      <w:bookmarkStart w:id="665" w:name="_Toc27526"/>
      <w:bookmarkStart w:id="666" w:name="_Toc30146"/>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扫描件电子公章</w:t>
      </w:r>
      <w:r>
        <w:rPr>
          <w:rFonts w:hint="eastAsia" w:ascii="仿宋" w:hAnsi="仿宋" w:eastAsia="仿宋" w:cs="仿宋"/>
          <w:color w:val="auto"/>
          <w:sz w:val="24"/>
          <w:szCs w:val="24"/>
          <w:highlight w:val="none"/>
        </w:rPr>
        <w:t>）</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29B3A859">
      <w:pPr>
        <w:jc w:val="center"/>
        <w:rPr>
          <w:rFonts w:hint="eastAsia" w:ascii="仿宋" w:hAnsi="仿宋" w:eastAsia="仿宋" w:cs="仿宋"/>
          <w:color w:val="auto"/>
          <w:sz w:val="24"/>
          <w:highlight w:val="none"/>
        </w:rPr>
      </w:pPr>
      <w:bookmarkStart w:id="667" w:name="_Toc14718"/>
      <w:bookmarkStart w:id="668" w:name="_Toc21719"/>
      <w:bookmarkStart w:id="669" w:name="_Toc7508"/>
      <w:bookmarkStart w:id="670" w:name="_Toc20522"/>
      <w:bookmarkStart w:id="671" w:name="_Toc1417"/>
      <w:bookmarkStart w:id="672" w:name="_Toc25932"/>
      <w:bookmarkStart w:id="673" w:name="_Toc13488"/>
      <w:bookmarkStart w:id="674" w:name="_Toc18700"/>
      <w:bookmarkStart w:id="675" w:name="_Toc30029"/>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w:t>
      </w: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章 评审办法”资格审查标准</w:t>
      </w:r>
    </w:p>
    <w:p w14:paraId="1DCB6C2C">
      <w:pPr>
        <w:jc w:val="center"/>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相关要求。</w:t>
      </w:r>
    </w:p>
    <w:p w14:paraId="619E6FA6">
      <w:pPr>
        <w:jc w:val="center"/>
        <w:outlineLvl w:val="2"/>
        <w:rPr>
          <w:rFonts w:hint="eastAsia" w:ascii="仿宋" w:hAnsi="仿宋" w:eastAsia="仿宋" w:cs="仿宋"/>
          <w:color w:val="auto"/>
          <w:sz w:val="22"/>
          <w:szCs w:val="22"/>
          <w:highlight w:val="none"/>
        </w:rPr>
      </w:pPr>
      <w:bookmarkStart w:id="676" w:name="_Toc23265"/>
      <w:bookmarkStart w:id="677" w:name="_Toc17491"/>
      <w:bookmarkStart w:id="678" w:name="_Toc18845"/>
      <w:bookmarkStart w:id="679" w:name="_Toc31108"/>
      <w:bookmarkStart w:id="680" w:name="_Toc5453"/>
      <w:bookmarkStart w:id="681" w:name="_Toc28809"/>
      <w:bookmarkStart w:id="682" w:name="_Toc8587"/>
      <w:bookmarkStart w:id="683" w:name="_Toc29183"/>
      <w:bookmarkStart w:id="684" w:name="_Toc7195"/>
      <w:bookmarkStart w:id="685" w:name="_Toc7706"/>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183FF73D">
      <w:pPr>
        <w:wordWrap w:val="0"/>
        <w:overflowPunct w:val="0"/>
        <w:topLinePunct/>
        <w:spacing w:line="360" w:lineRule="auto"/>
        <w:rPr>
          <w:rFonts w:hint="eastAsia" w:ascii="仿宋" w:hAnsi="仿宋" w:eastAsia="仿宋" w:cs="仿宋"/>
          <w:color w:val="auto"/>
          <w:szCs w:val="21"/>
          <w:highlight w:val="none"/>
        </w:rPr>
      </w:pPr>
    </w:p>
    <w:p w14:paraId="2D1E8016">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10EBD7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050BE29">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58F021F4">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8CD86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3B814BE7">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69EEE74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FAE48B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名称）的法定代表人（负责人）。</w:t>
      </w:r>
    </w:p>
    <w:p w14:paraId="0ED8D11E">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37276DD7">
      <w:pPr>
        <w:wordWrap w:val="0"/>
        <w:overflowPunct w:val="0"/>
        <w:topLinePunct/>
        <w:spacing w:line="360" w:lineRule="auto"/>
        <w:rPr>
          <w:rFonts w:hint="eastAsia" w:ascii="仿宋" w:hAnsi="仿宋" w:eastAsia="仿宋" w:cs="仿宋"/>
          <w:b/>
          <w:color w:val="auto"/>
          <w:szCs w:val="21"/>
          <w:highlight w:val="none"/>
        </w:rPr>
      </w:pPr>
    </w:p>
    <w:p w14:paraId="1F096675">
      <w:pPr>
        <w:wordWrap w:val="0"/>
        <w:overflowPunct w:val="0"/>
        <w:topLinePunct/>
        <w:spacing w:line="360" w:lineRule="auto"/>
        <w:rPr>
          <w:rFonts w:hint="eastAsia" w:ascii="仿宋" w:hAnsi="仿宋" w:eastAsia="仿宋" w:cs="仿宋"/>
          <w:b/>
          <w:color w:val="auto"/>
          <w:szCs w:val="21"/>
          <w:highlight w:val="none"/>
        </w:rPr>
      </w:pPr>
    </w:p>
    <w:p w14:paraId="24959F1E">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706A357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694B7BC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569032F8">
            <w:pPr>
              <w:wordWrap w:val="0"/>
              <w:overflowPunct w:val="0"/>
              <w:topLinePunct/>
              <w:spacing w:line="460" w:lineRule="exact"/>
              <w:jc w:val="center"/>
              <w:rPr>
                <w:rFonts w:hint="eastAsia" w:ascii="仿宋" w:hAnsi="仿宋" w:eastAsia="仿宋" w:cs="仿宋"/>
                <w:color w:val="auto"/>
                <w:szCs w:val="21"/>
                <w:highlight w:val="none"/>
              </w:rPr>
            </w:pPr>
          </w:p>
          <w:p w14:paraId="42F6EACF">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6C11EC3">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F03C83B">
      <w:pPr>
        <w:wordWrap w:val="0"/>
        <w:overflowPunct w:val="0"/>
        <w:topLinePunct/>
        <w:spacing w:line="360" w:lineRule="auto"/>
        <w:rPr>
          <w:rFonts w:hint="eastAsia" w:ascii="仿宋" w:hAnsi="仿宋" w:eastAsia="仿宋" w:cs="仿宋"/>
          <w:color w:val="auto"/>
          <w:szCs w:val="21"/>
          <w:highlight w:val="none"/>
        </w:rPr>
      </w:pPr>
    </w:p>
    <w:p w14:paraId="53C9E3CA">
      <w:pPr>
        <w:wordWrap w:val="0"/>
        <w:overflowPunct w:val="0"/>
        <w:topLinePunct/>
        <w:spacing w:line="360" w:lineRule="auto"/>
        <w:jc w:val="center"/>
        <w:outlineLvl w:val="9"/>
        <w:rPr>
          <w:rFonts w:hint="eastAsia" w:ascii="仿宋" w:hAnsi="仿宋" w:eastAsia="仿宋" w:cs="仿宋"/>
          <w:color w:val="auto"/>
          <w:sz w:val="24"/>
          <w:highlight w:val="none"/>
        </w:rPr>
      </w:pPr>
      <w:bookmarkStart w:id="686" w:name="_Toc22906"/>
      <w:bookmarkStart w:id="687" w:name="_Toc10268"/>
      <w:bookmarkStart w:id="688" w:name="_Toc14214"/>
      <w:bookmarkStart w:id="689" w:name="_Toc29456"/>
      <w:bookmarkStart w:id="690" w:name="_Toc29647"/>
      <w:bookmarkStart w:id="691" w:name="_Toc30689"/>
      <w:bookmarkStart w:id="692" w:name="_Toc1220"/>
      <w:bookmarkStart w:id="693" w:name="_Toc24067"/>
      <w:bookmarkStart w:id="694" w:name="_Toc18649"/>
      <w:bookmarkStart w:id="695" w:name="_Toc27032"/>
      <w:bookmarkStart w:id="696" w:name="_Toc22256"/>
      <w:bookmarkStart w:id="697" w:name="_Toc16464"/>
      <w:bookmarkStart w:id="698" w:name="_Toc15523"/>
      <w:bookmarkStart w:id="699" w:name="_Toc29157"/>
    </w:p>
    <w:p w14:paraId="4A1C612D">
      <w:pPr>
        <w:wordWrap w:val="0"/>
        <w:overflowPunct w:val="0"/>
        <w:topLinePunct/>
        <w:spacing w:line="360" w:lineRule="auto"/>
        <w:jc w:val="center"/>
        <w:outlineLvl w:val="1"/>
        <w:rPr>
          <w:rFonts w:hint="eastAsia" w:ascii="仿宋" w:hAnsi="仿宋" w:eastAsia="仿宋" w:cs="仿宋"/>
          <w:color w:val="auto"/>
          <w:sz w:val="24"/>
          <w:highlight w:val="none"/>
        </w:rPr>
      </w:pPr>
      <w:bookmarkStart w:id="700" w:name="_Toc14843"/>
      <w:bookmarkStart w:id="701" w:name="_Toc32741"/>
      <w:bookmarkStart w:id="702" w:name="_Toc30526"/>
      <w:bookmarkStart w:id="703" w:name="_Toc55"/>
      <w:bookmarkStart w:id="704" w:name="_Toc31415"/>
      <w:bookmarkStart w:id="705" w:name="_Toc31219"/>
      <w:bookmarkStart w:id="706" w:name="_Toc12304"/>
      <w:bookmarkStart w:id="707" w:name="_Toc19207"/>
      <w:bookmarkStart w:id="708" w:name="_Toc25270"/>
      <w:bookmarkStart w:id="709" w:name="_Toc15985"/>
      <w:bookmarkStart w:id="710" w:name="_Toc30707"/>
      <w:bookmarkStart w:id="711" w:name="_Toc27445"/>
      <w:bookmarkStart w:id="712" w:name="_Toc6575"/>
      <w:bookmarkStart w:id="713" w:name="_Toc32294"/>
      <w:bookmarkStart w:id="714" w:name="_Toc28300"/>
      <w:bookmarkStart w:id="715" w:name="_Toc30450"/>
      <w:bookmarkStart w:id="716" w:name="_Toc31371"/>
      <w:bookmarkStart w:id="717" w:name="_Toc21889"/>
      <w:bookmarkStart w:id="718" w:name="_Toc27946"/>
      <w:bookmarkStart w:id="719" w:name="_Toc18128"/>
      <w:bookmarkStart w:id="720" w:name="_Toc24102"/>
      <w:bookmarkStart w:id="721" w:name="_Toc3578"/>
      <w:bookmarkStart w:id="722" w:name="_Toc26711"/>
      <w:bookmarkStart w:id="723" w:name="_Toc26112"/>
      <w:bookmarkStart w:id="724" w:name="_Toc10294"/>
      <w:bookmarkStart w:id="725" w:name="_Toc29348"/>
      <w:bookmarkStart w:id="726" w:name="_Toc18175"/>
      <w:bookmarkStart w:id="727" w:name="_Toc22991"/>
      <w:bookmarkStart w:id="728" w:name="_Toc23658"/>
      <w:bookmarkStart w:id="729" w:name="_Toc24641"/>
      <w:bookmarkStart w:id="730" w:name="_Toc28749"/>
      <w:bookmarkStart w:id="731" w:name="_Toc9484"/>
      <w:bookmarkStart w:id="732" w:name="_Toc15051"/>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（电子公章）</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75693AAD">
      <w:pPr>
        <w:wordWrap w:val="0"/>
        <w:overflowPunct w:val="0"/>
        <w:topLinePunct/>
        <w:spacing w:line="360" w:lineRule="auto"/>
        <w:jc w:val="center"/>
        <w:outlineLvl w:val="1"/>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733" w:name="_Toc11794"/>
      <w:bookmarkStart w:id="734" w:name="_Toc31942"/>
      <w:bookmarkStart w:id="735" w:name="_Toc23390"/>
      <w:bookmarkStart w:id="736" w:name="_Toc20508"/>
      <w:bookmarkStart w:id="737" w:name="_Toc6487"/>
      <w:bookmarkStart w:id="738" w:name="_Toc7346"/>
      <w:bookmarkStart w:id="739" w:name="_Toc6364"/>
      <w:bookmarkStart w:id="740" w:name="_Toc10705"/>
      <w:bookmarkStart w:id="741" w:name="_Toc23117"/>
      <w:bookmarkStart w:id="742" w:name="_Toc12451"/>
      <w:bookmarkStart w:id="743" w:name="_Toc30715"/>
      <w:bookmarkStart w:id="744" w:name="_Toc18846"/>
      <w:bookmarkStart w:id="745" w:name="_Toc32288"/>
      <w:bookmarkStart w:id="746" w:name="_Toc11384"/>
      <w:bookmarkStart w:id="747" w:name="_Toc9847"/>
      <w:bookmarkStart w:id="748" w:name="_Toc6752"/>
      <w:bookmarkStart w:id="749" w:name="_Toc27858"/>
      <w:bookmarkStart w:id="750" w:name="_Toc12658"/>
      <w:bookmarkStart w:id="751" w:name="_Toc4487"/>
      <w:bookmarkStart w:id="752" w:name="_Toc15649"/>
      <w:bookmarkStart w:id="753" w:name="_Toc28135"/>
      <w:bookmarkStart w:id="754" w:name="_Toc26113"/>
      <w:bookmarkStart w:id="755" w:name="_Toc23747"/>
      <w:bookmarkStart w:id="756" w:name="_Toc31303"/>
      <w:bookmarkStart w:id="757" w:name="_Toc2136"/>
      <w:bookmarkStart w:id="758" w:name="_Toc8856"/>
      <w:bookmarkStart w:id="759" w:name="_Toc22087"/>
      <w:bookmarkStart w:id="760" w:name="_Toc8655"/>
      <w:bookmarkStart w:id="761" w:name="_Toc20859"/>
      <w:bookmarkStart w:id="762" w:name="_Toc22685"/>
      <w:bookmarkStart w:id="763" w:name="_Toc20023"/>
      <w:bookmarkStart w:id="764" w:name="_Toc14874"/>
      <w:bookmarkStart w:id="765" w:name="_Toc2876"/>
      <w:bookmarkStart w:id="766" w:name="_Toc10824"/>
      <w:bookmarkStart w:id="767" w:name="_Toc12133"/>
      <w:bookmarkStart w:id="768" w:name="_Toc19695"/>
      <w:bookmarkStart w:id="769" w:name="_Toc22248"/>
      <w:bookmarkStart w:id="770" w:name="_Toc1711"/>
      <w:bookmarkStart w:id="771" w:name="_Toc18576"/>
      <w:bookmarkStart w:id="772" w:name="_Toc17725"/>
      <w:bookmarkStart w:id="773" w:name="_Toc11921"/>
      <w:bookmarkStart w:id="774" w:name="_Toc23274"/>
      <w:bookmarkStart w:id="775" w:name="_Toc15294"/>
      <w:bookmarkStart w:id="776" w:name="_Toc9190"/>
      <w:bookmarkStart w:id="777" w:name="_Toc23041"/>
      <w:bookmarkStart w:id="778" w:name="_Toc23556"/>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779"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Start w:id="780" w:name="_Toc89951846"/>
      <w:bookmarkStart w:id="781" w:name="_Toc10117038"/>
      <w:bookmarkStart w:id="782" w:name="_Toc22693"/>
      <w:bookmarkStart w:id="783" w:name="_Toc30636"/>
      <w:bookmarkStart w:id="784" w:name="_Toc30066"/>
      <w:bookmarkStart w:id="785" w:name="_Toc18991"/>
      <w:bookmarkStart w:id="786" w:name="_Toc27274"/>
      <w:bookmarkStart w:id="787" w:name="_Toc18667"/>
      <w:bookmarkStart w:id="788" w:name="_Toc2962"/>
      <w:bookmarkStart w:id="789" w:name="_Toc14073"/>
      <w:bookmarkStart w:id="790" w:name="_Toc23322"/>
      <w:bookmarkStart w:id="791" w:name="_Toc8164"/>
      <w:bookmarkStart w:id="792" w:name="_Toc16717"/>
      <w:bookmarkStart w:id="793" w:name="_Toc13689"/>
      <w:bookmarkStart w:id="794" w:name="_Toc4950"/>
      <w:bookmarkStart w:id="795" w:name="_Toc16490"/>
      <w:bookmarkStart w:id="796" w:name="_Toc17855"/>
      <w:bookmarkStart w:id="797" w:name="_Toc20369"/>
      <w:bookmarkStart w:id="798" w:name="_Toc6637"/>
      <w:bookmarkStart w:id="799" w:name="_Toc21113"/>
      <w:bookmarkStart w:id="800" w:name="_Toc22953"/>
      <w:bookmarkStart w:id="801" w:name="_Toc5395"/>
      <w:bookmarkStart w:id="802" w:name="_Toc5101"/>
      <w:bookmarkStart w:id="803" w:name="_Toc17641"/>
      <w:bookmarkStart w:id="804" w:name="_Toc20029"/>
      <w:bookmarkStart w:id="805" w:name="_Toc5043"/>
      <w:bookmarkStart w:id="806" w:name="_Toc18494"/>
      <w:bookmarkStart w:id="807" w:name="_Toc19112"/>
    </w:p>
    <w:p w14:paraId="12745D7A">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808" w:name="_Toc26278"/>
      <w:bookmarkStart w:id="809" w:name="_Toc15087"/>
      <w:bookmarkStart w:id="810" w:name="_Toc13495"/>
      <w:bookmarkStart w:id="811" w:name="_Toc3798"/>
      <w:bookmarkStart w:id="812" w:name="_Toc18780"/>
      <w:bookmarkStart w:id="813" w:name="_Toc13515"/>
      <w:bookmarkStart w:id="814" w:name="_Toc1668"/>
      <w:bookmarkStart w:id="815" w:name="_Toc10643"/>
      <w:bookmarkStart w:id="816" w:name="_Toc13796"/>
      <w:bookmarkStart w:id="817" w:name="_Toc12946"/>
      <w:bookmarkStart w:id="818" w:name="_Toc22768"/>
      <w:bookmarkStart w:id="819" w:name="_Toc6706"/>
      <w:bookmarkStart w:id="820" w:name="_Toc20637"/>
      <w:bookmarkStart w:id="821" w:name="_Toc17592"/>
      <w:bookmarkStart w:id="822" w:name="_Toc13145"/>
      <w:bookmarkStart w:id="823" w:name="_Toc17381"/>
      <w:bookmarkStart w:id="824" w:name="_Toc2201"/>
      <w:r>
        <w:rPr>
          <w:rFonts w:hint="eastAsia" w:ascii="仿宋" w:hAnsi="仿宋" w:eastAsia="仿宋" w:cs="仿宋"/>
          <w:b/>
          <w:bCs/>
          <w:color w:val="auto"/>
          <w:sz w:val="28"/>
          <w:szCs w:val="28"/>
          <w:highlight w:val="none"/>
        </w:rPr>
        <w:t>法定代表人（负责人）授权委托书</w:t>
      </w:r>
      <w:bookmarkEnd w:id="780"/>
      <w:bookmarkEnd w:id="781"/>
      <w:bookmarkEnd w:id="782"/>
      <w:bookmarkEnd w:id="783"/>
      <w:r>
        <w:rPr>
          <w:rFonts w:hint="eastAsia" w:ascii="仿宋" w:hAnsi="仿宋" w:eastAsia="仿宋" w:cs="仿宋"/>
          <w:b/>
          <w:bCs/>
          <w:color w:val="auto"/>
          <w:sz w:val="28"/>
          <w:szCs w:val="28"/>
          <w:highlight w:val="none"/>
        </w:rPr>
        <w:t>（若有）</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06DF07F3">
      <w:pPr>
        <w:wordWrap w:val="0"/>
        <w:overflowPunct w:val="0"/>
        <w:topLinePunct/>
        <w:spacing w:line="360" w:lineRule="auto"/>
        <w:rPr>
          <w:rFonts w:hint="eastAsia" w:ascii="仿宋" w:hAnsi="仿宋" w:eastAsia="仿宋" w:cs="仿宋"/>
          <w:color w:val="auto"/>
          <w:szCs w:val="21"/>
          <w:highlight w:val="none"/>
        </w:rPr>
      </w:pPr>
    </w:p>
    <w:p w14:paraId="75D0D320">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、签订合同和处理有关事宜，其法律后果由我方承担。</w:t>
      </w:r>
    </w:p>
    <w:p w14:paraId="75840E1C">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4D8C140">
      <w:pPr>
        <w:wordWrap w:val="0"/>
        <w:overflowPunct w:val="0"/>
        <w:topLinePunct/>
        <w:spacing w:line="360" w:lineRule="auto"/>
        <w:rPr>
          <w:rFonts w:hint="eastAsia" w:ascii="仿宋" w:hAnsi="仿宋" w:eastAsia="仿宋" w:cs="仿宋"/>
          <w:color w:val="auto"/>
          <w:sz w:val="24"/>
          <w:highlight w:val="none"/>
        </w:rPr>
      </w:pPr>
    </w:p>
    <w:p w14:paraId="196D21AE">
      <w:pPr>
        <w:wordWrap w:val="0"/>
        <w:overflowPunct w:val="0"/>
        <w:topLinePunc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供 应 商</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（电子公章）</w:t>
      </w:r>
    </w:p>
    <w:p w14:paraId="1029A1F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1214A2C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5815BC3">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089F896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22940FB">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1F812">
      <w:pPr>
        <w:wordWrap w:val="0"/>
        <w:overflowPunct w:val="0"/>
        <w:topLinePunct/>
        <w:spacing w:line="360" w:lineRule="auto"/>
        <w:rPr>
          <w:rFonts w:hint="eastAsia" w:ascii="仿宋" w:hAnsi="仿宋" w:eastAsia="仿宋" w:cs="仿宋"/>
          <w:color w:val="auto"/>
          <w:szCs w:val="21"/>
          <w:highlight w:val="none"/>
        </w:rPr>
      </w:pP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E67EE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55F492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798C2D24">
            <w:pPr>
              <w:wordWrap w:val="0"/>
              <w:overflowPunct w:val="0"/>
              <w:topLinePunct/>
              <w:spacing w:line="460" w:lineRule="exact"/>
              <w:jc w:val="center"/>
              <w:rPr>
                <w:rFonts w:hint="eastAsia" w:ascii="仿宋" w:hAnsi="仿宋" w:eastAsia="仿宋" w:cs="仿宋"/>
                <w:color w:val="auto"/>
                <w:szCs w:val="21"/>
                <w:highlight w:val="none"/>
              </w:rPr>
            </w:pPr>
          </w:p>
          <w:p w14:paraId="758147BC">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6BFFBFE5">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5D5C575D">
      <w:pPr>
        <w:wordWrap w:val="0"/>
        <w:overflowPunct w:val="0"/>
        <w:topLinePunct/>
        <w:spacing w:line="360" w:lineRule="auto"/>
        <w:rPr>
          <w:rFonts w:hint="eastAsia" w:ascii="仿宋" w:hAnsi="仿宋" w:eastAsia="仿宋" w:cs="仿宋"/>
          <w:color w:val="auto"/>
          <w:szCs w:val="21"/>
          <w:highlight w:val="none"/>
        </w:rPr>
      </w:pPr>
    </w:p>
    <w:p w14:paraId="19D9D49F">
      <w:pPr>
        <w:pStyle w:val="14"/>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1065FD0B">
      <w:pPr>
        <w:pStyle w:val="15"/>
        <w:rPr>
          <w:rFonts w:hint="eastAsia" w:ascii="仿宋" w:hAnsi="仿宋" w:eastAsia="仿宋" w:cs="仿宋"/>
          <w:b/>
          <w:color w:val="auto"/>
          <w:sz w:val="21"/>
          <w:szCs w:val="21"/>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由法定代表人（负责人）亲自签署</w:t>
      </w:r>
      <w:r>
        <w:rPr>
          <w:rFonts w:hint="eastAsia" w:ascii="仿宋" w:hAnsi="仿宋" w:eastAsia="仿宋" w:cs="仿宋"/>
          <w:b/>
          <w:color w:val="auto"/>
          <w:sz w:val="21"/>
          <w:szCs w:val="21"/>
          <w:highlight w:val="none"/>
          <w:lang w:eastAsia="zh-CN"/>
        </w:rPr>
        <w:t>投标文件</w:t>
      </w:r>
      <w:r>
        <w:rPr>
          <w:rFonts w:hint="eastAsia" w:ascii="仿宋" w:hAnsi="仿宋" w:eastAsia="仿宋" w:cs="仿宋"/>
          <w:b/>
          <w:color w:val="auto"/>
          <w:sz w:val="21"/>
          <w:szCs w:val="21"/>
          <w:highlight w:val="none"/>
        </w:rPr>
        <w:t>并参与相关活动，则不需要办理授权。如有被授权的代理人签署上述文件，则必须按本格式规定填报并提交授权书，否则被授权的代理人将不被认可。</w:t>
      </w:r>
      <w:bookmarkStart w:id="825" w:name="_Toc4894"/>
      <w:bookmarkStart w:id="826" w:name="_Toc14030"/>
      <w:bookmarkStart w:id="827" w:name="_Toc24423"/>
      <w:bookmarkStart w:id="828" w:name="_Toc25299"/>
      <w:bookmarkStart w:id="829" w:name="_Toc30079"/>
      <w:bookmarkStart w:id="830" w:name="_Toc25082"/>
      <w:bookmarkStart w:id="831" w:name="_Toc8211"/>
      <w:bookmarkStart w:id="832" w:name="_Toc12747"/>
      <w:bookmarkStart w:id="833" w:name="_Toc28918"/>
      <w:bookmarkStart w:id="834" w:name="_Toc3893"/>
      <w:bookmarkStart w:id="835" w:name="_Toc20304"/>
      <w:bookmarkStart w:id="836" w:name="_Toc11687"/>
      <w:bookmarkStart w:id="837" w:name="_Toc5671"/>
      <w:bookmarkStart w:id="838" w:name="_Toc3751"/>
      <w:bookmarkStart w:id="839" w:name="_Toc18692"/>
      <w:bookmarkStart w:id="840" w:name="_Toc4795"/>
      <w:bookmarkStart w:id="841" w:name="_Toc4341"/>
      <w:bookmarkStart w:id="842" w:name="_Toc2811"/>
      <w:bookmarkStart w:id="843" w:name="_Toc21664"/>
      <w:bookmarkStart w:id="844" w:name="_Toc7472"/>
      <w:bookmarkStart w:id="845" w:name="_Toc23833"/>
      <w:bookmarkStart w:id="846" w:name="_Toc19503"/>
    </w:p>
    <w:p w14:paraId="1DF3B7E5">
      <w:pPr>
        <w:pStyle w:val="15"/>
        <w:ind w:left="0" w:leftChars="0" w:firstLine="0" w:firstLineChars="0"/>
        <w:jc w:val="center"/>
        <w:outlineLvl w:val="1"/>
        <w:rPr>
          <w:rFonts w:hint="eastAsia" w:ascii="仿宋" w:hAnsi="仿宋" w:eastAsia="仿宋" w:cs="仿宋"/>
          <w:b/>
          <w:bCs/>
          <w:color w:val="auto"/>
          <w:sz w:val="32"/>
          <w:szCs w:val="32"/>
          <w:highlight w:val="none"/>
        </w:rPr>
      </w:pPr>
      <w:bookmarkStart w:id="847" w:name="_Toc17587"/>
      <w:bookmarkStart w:id="848" w:name="_Toc17765"/>
      <w:bookmarkStart w:id="849" w:name="_Toc20039"/>
      <w:bookmarkStart w:id="850" w:name="_Toc18759"/>
      <w:bookmarkStart w:id="851" w:name="_Toc1040"/>
      <w:bookmarkStart w:id="852" w:name="_Toc5803"/>
      <w:bookmarkStart w:id="853" w:name="_Toc24709"/>
      <w:bookmarkStart w:id="854" w:name="_Toc14371"/>
      <w:bookmarkStart w:id="855" w:name="_Toc13335"/>
      <w:bookmarkStart w:id="856" w:name="_Toc29892"/>
      <w:bookmarkStart w:id="857" w:name="_Toc21473"/>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、具有良好的商业信誉和健全的财务会计制度</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hint="eastAsia" w:ascii="仿宋" w:hAnsi="仿宋" w:eastAsia="仿宋" w:cs="仿宋"/>
          <w:b/>
          <w:bCs/>
          <w:color w:val="auto"/>
          <w:sz w:val="28"/>
          <w:szCs w:val="28"/>
          <w:highlight w:val="none"/>
          <w:lang w:val="en-US" w:eastAsia="zh-CN"/>
        </w:rPr>
        <w:t>（实质性格式）</w:t>
      </w:r>
      <w:bookmarkEnd w:id="847"/>
      <w:bookmarkEnd w:id="848"/>
      <w:bookmarkEnd w:id="849"/>
      <w:bookmarkEnd w:id="850"/>
      <w:bookmarkEnd w:id="851"/>
      <w:bookmarkEnd w:id="852"/>
      <w:bookmarkEnd w:id="853"/>
      <w:bookmarkEnd w:id="854"/>
      <w:bookmarkEnd w:id="855"/>
      <w:bookmarkEnd w:id="856"/>
      <w:bookmarkEnd w:id="857"/>
      <w:r>
        <w:rPr>
          <w:rFonts w:hint="eastAsia" w:ascii="仿宋" w:hAnsi="仿宋" w:eastAsia="仿宋" w:cs="仿宋"/>
          <w:b/>
          <w:bCs/>
          <w:color w:val="auto"/>
          <w:sz w:val="32"/>
          <w:szCs w:val="32"/>
          <w:highlight w:val="none"/>
          <w:lang w:val="en-US" w:eastAsia="zh-CN"/>
        </w:rPr>
        <w:t xml:space="preserve"> </w:t>
      </w:r>
    </w:p>
    <w:p w14:paraId="578D87AC">
      <w:pPr>
        <w:wordWrap w:val="0"/>
        <w:spacing w:line="360" w:lineRule="auto"/>
        <w:ind w:firstLine="480" w:firstLineChars="200"/>
        <w:jc w:val="left"/>
        <w:rPr>
          <w:rFonts w:hint="eastAsia" w:ascii="仿宋" w:hAnsi="仿宋" w:eastAsia="仿宋" w:cs="仿宋"/>
          <w:color w:val="auto"/>
          <w:sz w:val="24"/>
          <w:highlight w:val="none"/>
          <w:lang w:eastAsia="zh-CN"/>
        </w:rPr>
      </w:pPr>
    </w:p>
    <w:p w14:paraId="4F48DDD9">
      <w:pPr>
        <w:wordWrap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具备健全的财务会计制度的证明材料{注(任选其一):①可提供响应文件递交截止日前三年内至少1年经会计师事务所或审计机构出具的财务审计报告(包括财务审计报告及“四表一注”，“四表一注”即资产负债表、利润表、现金流量表、所有者权益变动表及其附注)，执行小企业会计准则的投标人可不提供所有者权益变动表;②也可提供财政部门认可的政府采购专业担保机构出具的投标担保函;③也可提供截至响应文件递交截止日前六个月内银行出具的资信证明(复印件);④投标人注册时间截至响应文件递交截止日不足一年的，也可提供在工商备案主管部门备案的公司章程复印件。}。</w:t>
      </w:r>
    </w:p>
    <w:p w14:paraId="5C410812">
      <w:pPr>
        <w:wordWrap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注:根据财政部、国务院国资委、金融监管总局《关于加强审计报告查验工作的通知》(财会(2023)15号)和《云南省财政厅·云南省人民政府国有资产监督管理委员会国家金融监督管理总局云南监管局关于进一步·加强审计报告报备和查验工作的通知》(云财会(2026)23号)的规定，供应商提供的年度财务审计报告须在注册会计师行业统一监管平台(http://acc.mof.gov.cn)报备赋码，且查验结果正常。未赋码、无法查验或查验异常的，</w:t>
      </w:r>
      <w:r>
        <w:rPr>
          <w:rFonts w:hint="eastAsia" w:ascii="仿宋" w:hAnsi="仿宋" w:eastAsia="仿宋" w:cs="仿宋"/>
          <w:color w:val="auto"/>
          <w:sz w:val="24"/>
          <w:highlight w:val="none"/>
          <w:lang w:val="en-US" w:eastAsia="zh-CN"/>
        </w:rPr>
        <w:t>审计报告视为无效</w:t>
      </w:r>
      <w:r>
        <w:rPr>
          <w:rFonts w:hint="eastAsia" w:ascii="仿宋" w:hAnsi="仿宋" w:eastAsia="仿宋" w:cs="仿宋"/>
          <w:color w:val="auto"/>
          <w:sz w:val="24"/>
          <w:highlight w:val="none"/>
          <w:lang w:eastAsia="zh-CN"/>
        </w:rPr>
        <w:t>。</w:t>
      </w:r>
    </w:p>
    <w:p w14:paraId="4BD9991F">
      <w:pPr>
        <w:wordWrap w:val="0"/>
        <w:spacing w:line="360" w:lineRule="auto"/>
        <w:jc w:val="left"/>
        <w:rPr>
          <w:rFonts w:hint="eastAsia" w:ascii="仿宋" w:hAnsi="仿宋" w:eastAsia="仿宋" w:cs="仿宋"/>
          <w:color w:val="auto"/>
          <w:sz w:val="24"/>
          <w:highlight w:val="none"/>
        </w:rPr>
      </w:pPr>
    </w:p>
    <w:p w14:paraId="45BB47D7">
      <w:pPr>
        <w:wordWrap w:val="0"/>
        <w:spacing w:line="360" w:lineRule="auto"/>
        <w:jc w:val="both"/>
        <w:rPr>
          <w:rFonts w:hint="eastAsia" w:ascii="仿宋" w:hAnsi="仿宋" w:eastAsia="仿宋" w:cs="仿宋"/>
          <w:b/>
          <w:bCs/>
          <w:color w:val="auto"/>
          <w:sz w:val="21"/>
          <w:szCs w:val="21"/>
          <w:highlight w:val="none"/>
          <w:lang w:val="en-US" w:eastAsia="zh-CN"/>
        </w:rPr>
      </w:pPr>
    </w:p>
    <w:p w14:paraId="50058DE6">
      <w:pPr>
        <w:wordWrap w:val="0"/>
        <w:spacing w:line="360" w:lineRule="auto"/>
        <w:jc w:val="both"/>
        <w:rPr>
          <w:rFonts w:hint="eastAsia" w:ascii="仿宋" w:hAnsi="仿宋" w:eastAsia="仿宋" w:cs="仿宋"/>
          <w:b/>
          <w:bCs/>
          <w:color w:val="auto"/>
          <w:sz w:val="21"/>
          <w:szCs w:val="21"/>
          <w:highlight w:val="none"/>
          <w:lang w:val="en-US" w:eastAsia="zh-CN"/>
        </w:rPr>
      </w:pPr>
    </w:p>
    <w:p w14:paraId="5EE2C0F9">
      <w:pPr>
        <w:wordWrap w:val="0"/>
        <w:spacing w:line="360" w:lineRule="auto"/>
        <w:jc w:val="both"/>
        <w:rPr>
          <w:rFonts w:hint="eastAsia" w:ascii="仿宋" w:hAnsi="仿宋" w:eastAsia="仿宋" w:cs="仿宋"/>
          <w:b/>
          <w:bCs/>
          <w:color w:val="auto"/>
          <w:sz w:val="21"/>
          <w:szCs w:val="21"/>
          <w:highlight w:val="none"/>
          <w:lang w:val="en-US" w:eastAsia="zh-CN"/>
        </w:rPr>
      </w:pPr>
    </w:p>
    <w:p w14:paraId="3275C24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bookmarkStart w:id="858" w:name="_Toc18160"/>
      <w:bookmarkStart w:id="859" w:name="_Toc9048"/>
      <w:bookmarkStart w:id="860" w:name="_Toc32653"/>
      <w:bookmarkStart w:id="861" w:name="_Toc32071"/>
      <w:bookmarkStart w:id="862" w:name="_Toc25957"/>
      <w:bookmarkStart w:id="863" w:name="_Toc11937"/>
      <w:bookmarkStart w:id="864" w:name="_Toc32727"/>
      <w:bookmarkStart w:id="865" w:name="_Toc16897"/>
      <w:bookmarkStart w:id="866" w:name="_Toc3873"/>
      <w:bookmarkStart w:id="867" w:name="_Toc9776"/>
      <w:bookmarkStart w:id="868" w:name="_Toc29987"/>
      <w:bookmarkStart w:id="869" w:name="_Toc6785"/>
      <w:bookmarkStart w:id="870" w:name="_Toc29390"/>
      <w:bookmarkStart w:id="871" w:name="_Toc21554"/>
      <w:bookmarkStart w:id="872" w:name="_Toc16253"/>
      <w:bookmarkStart w:id="873" w:name="_Toc11047"/>
      <w:bookmarkStart w:id="874" w:name="_Toc24217"/>
      <w:bookmarkStart w:id="875" w:name="_Toc29612"/>
      <w:bookmarkStart w:id="876" w:name="_Toc20891"/>
      <w:bookmarkStart w:id="877" w:name="_Toc27567"/>
      <w:bookmarkStart w:id="878" w:name="_Toc5305"/>
      <w:bookmarkStart w:id="879" w:name="_Toc396"/>
      <w:bookmarkStart w:id="880" w:name="_Toc29688"/>
      <w:bookmarkStart w:id="881" w:name="_Toc2663"/>
      <w:bookmarkStart w:id="882" w:name="_Toc15847"/>
      <w:bookmarkStart w:id="883" w:name="_Toc126"/>
      <w:bookmarkStart w:id="884" w:name="_Toc15710"/>
      <w:bookmarkStart w:id="885" w:name="_Toc28020"/>
    </w:p>
    <w:p w14:paraId="349F8C75">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9485B30">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CF775F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11550BB">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C6DFC63">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0D1314">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478BF74">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3CACE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9F69353">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55AD149C">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088D188">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5B38337">
      <w:pPr>
        <w:pStyle w:val="15"/>
        <w:ind w:left="0" w:leftChars="0" w:firstLine="0" w:firstLineChars="0"/>
        <w:jc w:val="center"/>
        <w:outlineLvl w:val="1"/>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hint="eastAsia" w:ascii="仿宋" w:hAnsi="仿宋" w:eastAsia="仿宋" w:cs="仿宋"/>
          <w:b/>
          <w:bCs/>
          <w:color w:val="auto"/>
          <w:kern w:val="0"/>
          <w:sz w:val="28"/>
          <w:szCs w:val="28"/>
          <w:highlight w:val="none"/>
          <w:lang w:bidi="ar"/>
        </w:rPr>
        <w:t>具有履行合同所必需的设备和专业技术能力的承诺函</w:t>
      </w:r>
      <w:r>
        <w:rPr>
          <w:rFonts w:hint="eastAsia" w:ascii="仿宋" w:hAnsi="仿宋" w:eastAsia="仿宋" w:cs="仿宋"/>
          <w:b/>
          <w:bCs/>
          <w:color w:val="auto"/>
          <w:kern w:val="0"/>
          <w:sz w:val="28"/>
          <w:szCs w:val="28"/>
          <w:highlight w:val="none"/>
          <w:lang w:val="en-US" w:eastAsia="zh-CN" w:bidi="ar"/>
        </w:rPr>
        <w:t>（实质性格式）</w:t>
      </w:r>
      <w:bookmarkEnd w:id="875"/>
      <w:bookmarkEnd w:id="876"/>
      <w:bookmarkEnd w:id="877"/>
      <w:bookmarkEnd w:id="878"/>
      <w:bookmarkEnd w:id="879"/>
      <w:bookmarkEnd w:id="880"/>
      <w:bookmarkEnd w:id="881"/>
      <w:bookmarkEnd w:id="882"/>
      <w:bookmarkEnd w:id="883"/>
      <w:bookmarkEnd w:id="884"/>
      <w:bookmarkEnd w:id="885"/>
    </w:p>
    <w:p w14:paraId="387C78D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69FC64B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公开招标</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B5C0DC2">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w:t>
      </w:r>
      <w:r>
        <w:rPr>
          <w:rFonts w:hint="eastAsia" w:ascii="仿宋" w:hAnsi="仿宋" w:eastAsia="仿宋" w:cs="仿宋"/>
          <w:color w:val="auto"/>
          <w:kern w:val="0"/>
          <w:sz w:val="24"/>
          <w:highlight w:val="none"/>
          <w:lang w:eastAsia="zh-CN" w:bidi="ar"/>
        </w:rPr>
        <w:t>员的</w:t>
      </w:r>
      <w:r>
        <w:rPr>
          <w:rFonts w:hint="eastAsia" w:ascii="仿宋" w:hAnsi="仿宋" w:eastAsia="仿宋" w:cs="仿宋"/>
          <w:color w:val="auto"/>
          <w:kern w:val="0"/>
          <w:sz w:val="24"/>
          <w:highlight w:val="none"/>
          <w:lang w:bidi="ar"/>
        </w:rPr>
        <w:t>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05C790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432689D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16639D5E">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4F24F437">
      <w:pPr>
        <w:wordWrap w:val="0"/>
        <w:overflowPunct w:val="0"/>
        <w:topLinePunct/>
        <w:spacing w:line="360" w:lineRule="auto"/>
        <w:jc w:val="center"/>
        <w:rPr>
          <w:rFonts w:hint="eastAsia" w:ascii="仿宋" w:hAnsi="仿宋" w:eastAsia="仿宋" w:cs="仿宋"/>
          <w:color w:val="auto"/>
          <w:sz w:val="24"/>
          <w:highlight w:val="none"/>
        </w:rPr>
      </w:pPr>
    </w:p>
    <w:p w14:paraId="769110BF">
      <w:pPr>
        <w:wordWrap w:val="0"/>
        <w:overflowPunct w:val="0"/>
        <w:topLinePunct/>
        <w:spacing w:line="360" w:lineRule="auto"/>
        <w:jc w:val="center"/>
        <w:rPr>
          <w:rFonts w:hint="eastAsia" w:ascii="仿宋" w:hAnsi="仿宋" w:eastAsia="仿宋" w:cs="仿宋"/>
          <w:color w:val="auto"/>
          <w:sz w:val="24"/>
          <w:highlight w:val="none"/>
        </w:rPr>
      </w:pPr>
    </w:p>
    <w:p w14:paraId="13C0CD91">
      <w:pPr>
        <w:wordWrap w:val="0"/>
        <w:overflowPunct w:val="0"/>
        <w:topLinePunct/>
        <w:spacing w:line="360" w:lineRule="auto"/>
        <w:jc w:val="center"/>
        <w:rPr>
          <w:rFonts w:hint="eastAsia" w:ascii="仿宋" w:hAnsi="仿宋" w:eastAsia="仿宋" w:cs="仿宋"/>
          <w:color w:val="auto"/>
          <w:sz w:val="24"/>
          <w:highlight w:val="none"/>
        </w:rPr>
      </w:pPr>
    </w:p>
    <w:p w14:paraId="0493C774">
      <w:pPr>
        <w:wordWrap w:val="0"/>
        <w:overflowPunct w:val="0"/>
        <w:topLinePunct/>
        <w:spacing w:line="360" w:lineRule="auto"/>
        <w:jc w:val="both"/>
        <w:rPr>
          <w:rFonts w:hint="eastAsia" w:ascii="仿宋" w:hAnsi="仿宋" w:eastAsia="仿宋" w:cs="仿宋"/>
          <w:color w:val="auto"/>
          <w:sz w:val="24"/>
          <w:highlight w:val="none"/>
        </w:rPr>
      </w:pPr>
    </w:p>
    <w:p w14:paraId="23553DFF">
      <w:pPr>
        <w:wordWrap w:val="0"/>
        <w:overflowPunct w:val="0"/>
        <w:topLinePunct/>
        <w:spacing w:line="360" w:lineRule="auto"/>
        <w:jc w:val="center"/>
        <w:rPr>
          <w:rFonts w:hint="eastAsia" w:ascii="仿宋" w:hAnsi="仿宋" w:eastAsia="仿宋" w:cs="仿宋"/>
          <w:color w:val="auto"/>
          <w:sz w:val="24"/>
          <w:highlight w:val="none"/>
        </w:rPr>
      </w:pPr>
    </w:p>
    <w:p w14:paraId="194BF86E">
      <w:pPr>
        <w:wordWrap w:val="0"/>
        <w:overflowPunct w:val="0"/>
        <w:topLinePunct/>
        <w:spacing w:line="360" w:lineRule="auto"/>
        <w:jc w:val="center"/>
        <w:rPr>
          <w:rFonts w:hint="eastAsia" w:ascii="仿宋" w:hAnsi="仿宋" w:eastAsia="仿宋" w:cs="仿宋"/>
          <w:color w:val="auto"/>
          <w:sz w:val="24"/>
          <w:highlight w:val="none"/>
        </w:rPr>
      </w:pPr>
    </w:p>
    <w:p w14:paraId="0E13F5AB">
      <w:pPr>
        <w:wordWrap w:val="0"/>
        <w:overflowPunct w:val="0"/>
        <w:topLinePunct/>
        <w:spacing w:line="360" w:lineRule="auto"/>
        <w:jc w:val="center"/>
        <w:rPr>
          <w:rFonts w:hint="eastAsia" w:ascii="仿宋" w:hAnsi="仿宋" w:eastAsia="仿宋" w:cs="仿宋"/>
          <w:color w:val="auto"/>
          <w:sz w:val="24"/>
          <w:highlight w:val="none"/>
        </w:rPr>
      </w:pPr>
    </w:p>
    <w:p w14:paraId="0F5F6725">
      <w:pPr>
        <w:wordWrap w:val="0"/>
        <w:overflowPunct w:val="0"/>
        <w:topLinePunct/>
        <w:spacing w:line="360" w:lineRule="auto"/>
        <w:rPr>
          <w:rFonts w:hint="eastAsia" w:ascii="仿宋" w:hAnsi="仿宋" w:eastAsia="仿宋" w:cs="仿宋"/>
          <w:color w:val="auto"/>
          <w:sz w:val="24"/>
          <w:highlight w:val="none"/>
        </w:rPr>
      </w:pPr>
    </w:p>
    <w:p w14:paraId="04B3BF60">
      <w:pPr>
        <w:wordWrap w:val="0"/>
        <w:overflowPunct w:val="0"/>
        <w:topLinePunct/>
        <w:spacing w:line="360" w:lineRule="auto"/>
        <w:jc w:val="center"/>
        <w:rPr>
          <w:rFonts w:hint="eastAsia" w:ascii="仿宋" w:hAnsi="仿宋" w:eastAsia="仿宋" w:cs="仿宋"/>
          <w:color w:val="auto"/>
          <w:sz w:val="24"/>
          <w:highlight w:val="none"/>
        </w:rPr>
      </w:pPr>
    </w:p>
    <w:p w14:paraId="5126A264">
      <w:pPr>
        <w:wordWrap w:val="0"/>
        <w:overflowPunct w:val="0"/>
        <w:topLinePunct/>
        <w:spacing w:line="360" w:lineRule="auto"/>
        <w:jc w:val="left"/>
        <w:rPr>
          <w:rFonts w:hint="eastAsia" w:ascii="仿宋" w:hAnsi="仿宋" w:eastAsia="仿宋" w:cs="仿宋"/>
          <w:color w:val="auto"/>
          <w:sz w:val="24"/>
          <w:highlight w:val="none"/>
          <w:lang w:eastAsia="zh-CN"/>
        </w:rPr>
      </w:pPr>
    </w:p>
    <w:p w14:paraId="1EC17394">
      <w:pPr>
        <w:wordWrap w:val="0"/>
        <w:overflowPunct w:val="0"/>
        <w:topLinePunct/>
        <w:spacing w:line="360" w:lineRule="auto"/>
        <w:jc w:val="left"/>
        <w:rPr>
          <w:rFonts w:hint="eastAsia" w:ascii="仿宋" w:hAnsi="仿宋" w:eastAsia="仿宋" w:cs="仿宋"/>
          <w:color w:val="auto"/>
          <w:sz w:val="24"/>
          <w:highlight w:val="none"/>
          <w:lang w:eastAsia="zh-CN"/>
        </w:rPr>
      </w:pPr>
    </w:p>
    <w:p w14:paraId="0076E49E">
      <w:pPr>
        <w:wordWrap w:val="0"/>
        <w:overflowPunct w:val="0"/>
        <w:topLinePunct/>
        <w:spacing w:line="360" w:lineRule="auto"/>
        <w:jc w:val="left"/>
        <w:rPr>
          <w:rFonts w:hint="eastAsia" w:ascii="仿宋" w:hAnsi="仿宋" w:eastAsia="仿宋" w:cs="仿宋"/>
          <w:color w:val="auto"/>
          <w:sz w:val="24"/>
          <w:highlight w:val="none"/>
          <w:lang w:eastAsia="zh-CN"/>
        </w:rPr>
      </w:pPr>
    </w:p>
    <w:p w14:paraId="3496ECF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3F2104F">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886" w:name="_Toc13924"/>
      <w:bookmarkStart w:id="887" w:name="_Toc10982"/>
      <w:bookmarkStart w:id="888" w:name="_Toc21989"/>
      <w:bookmarkStart w:id="889" w:name="_Toc9883"/>
      <w:bookmarkStart w:id="890" w:name="_Toc30115"/>
      <w:bookmarkStart w:id="891" w:name="_Toc20149"/>
      <w:bookmarkStart w:id="892" w:name="_Toc10192"/>
      <w:bookmarkStart w:id="893" w:name="_Toc5792"/>
      <w:bookmarkStart w:id="894" w:name="_Toc16461"/>
      <w:bookmarkStart w:id="895" w:name="_Toc732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886"/>
      <w:bookmarkEnd w:id="887"/>
      <w:bookmarkEnd w:id="888"/>
      <w:bookmarkEnd w:id="889"/>
      <w:bookmarkEnd w:id="890"/>
      <w:bookmarkEnd w:id="891"/>
      <w:bookmarkEnd w:id="892"/>
      <w:bookmarkEnd w:id="893"/>
      <w:bookmarkEnd w:id="894"/>
      <w:bookmarkEnd w:id="895"/>
    </w:p>
    <w:p w14:paraId="74BB13D5">
      <w:pPr>
        <w:pStyle w:val="14"/>
        <w:ind w:left="0" w:leftChars="0" w:firstLine="0" w:firstLineChars="0"/>
        <w:jc w:val="center"/>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896" w:name="_Toc28472"/>
      <w:bookmarkStart w:id="897" w:name="_Toc12656"/>
      <w:bookmarkStart w:id="898" w:name="_Toc14942"/>
      <w:bookmarkStart w:id="899" w:name="_Toc19171"/>
      <w:bookmarkStart w:id="900" w:name="_Toc15385"/>
      <w:bookmarkStart w:id="901" w:name="_Toc26614"/>
    </w:p>
    <w:p w14:paraId="137420DE">
      <w:pPr>
        <w:pStyle w:val="14"/>
        <w:spacing w:line="360" w:lineRule="auto"/>
        <w:ind w:left="0" w:leftChars="0" w:firstLine="0" w:firstLineChars="0"/>
        <w:jc w:val="center"/>
        <w:outlineLvl w:val="1"/>
        <w:rPr>
          <w:rFonts w:hint="eastAsia" w:ascii="仿宋" w:hAnsi="仿宋" w:eastAsia="仿宋" w:cs="仿宋"/>
          <w:b/>
          <w:bCs/>
          <w:color w:val="auto"/>
          <w:sz w:val="32"/>
          <w:szCs w:val="32"/>
          <w:highlight w:val="none"/>
        </w:rPr>
      </w:pPr>
      <w:bookmarkStart w:id="902" w:name="_Toc21495"/>
      <w:bookmarkStart w:id="903" w:name="_Toc3568"/>
      <w:bookmarkStart w:id="904" w:name="_Toc4897"/>
      <w:bookmarkStart w:id="905" w:name="_Toc22536"/>
      <w:bookmarkStart w:id="906" w:name="_Toc14543"/>
      <w:bookmarkStart w:id="907" w:name="_Toc12033"/>
      <w:bookmarkStart w:id="908" w:name="_Toc21796"/>
      <w:bookmarkStart w:id="909" w:name="_Toc838"/>
      <w:bookmarkStart w:id="910" w:name="_Toc5176"/>
      <w:bookmarkStart w:id="911" w:name="_Toc15211"/>
      <w:bookmarkStart w:id="912" w:name="_Toc18034"/>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、依法缴纳税收和社会保障资金</w:t>
      </w:r>
      <w:bookmarkEnd w:id="896"/>
      <w:bookmarkEnd w:id="897"/>
      <w:bookmarkEnd w:id="898"/>
      <w:bookmarkEnd w:id="899"/>
      <w:bookmarkEnd w:id="900"/>
      <w:bookmarkEnd w:id="901"/>
      <w:r>
        <w:rPr>
          <w:rFonts w:hint="eastAsia" w:ascii="仿宋" w:hAnsi="仿宋" w:eastAsia="仿宋" w:cs="仿宋"/>
          <w:b/>
          <w:bCs/>
          <w:color w:val="auto"/>
          <w:sz w:val="28"/>
          <w:szCs w:val="28"/>
          <w:highlight w:val="none"/>
          <w:lang w:eastAsia="zh-CN"/>
        </w:rPr>
        <w:t>的</w:t>
      </w:r>
      <w:r>
        <w:rPr>
          <w:rFonts w:hint="eastAsia" w:ascii="仿宋" w:hAnsi="仿宋" w:eastAsia="仿宋" w:cs="仿宋"/>
          <w:b/>
          <w:bCs/>
          <w:color w:val="auto"/>
          <w:sz w:val="28"/>
          <w:szCs w:val="28"/>
          <w:highlight w:val="none"/>
        </w:rPr>
        <w:t>良好记录</w:t>
      </w:r>
      <w:r>
        <w:rPr>
          <w:rFonts w:hint="eastAsia" w:ascii="仿宋" w:hAnsi="仿宋" w:eastAsia="仿宋" w:cs="仿宋"/>
          <w:b/>
          <w:bCs/>
          <w:color w:val="auto"/>
          <w:sz w:val="28"/>
          <w:szCs w:val="28"/>
          <w:highlight w:val="none"/>
          <w:lang w:val="en-US" w:eastAsia="zh-CN"/>
        </w:rPr>
        <w:t>（实质性格式）</w:t>
      </w:r>
      <w:bookmarkEnd w:id="902"/>
      <w:bookmarkEnd w:id="903"/>
      <w:bookmarkEnd w:id="904"/>
      <w:bookmarkEnd w:id="905"/>
      <w:bookmarkEnd w:id="906"/>
      <w:bookmarkEnd w:id="907"/>
      <w:bookmarkEnd w:id="908"/>
      <w:bookmarkEnd w:id="909"/>
      <w:bookmarkEnd w:id="910"/>
      <w:bookmarkEnd w:id="911"/>
      <w:bookmarkEnd w:id="912"/>
      <w:r>
        <w:rPr>
          <w:rFonts w:hint="eastAsia" w:ascii="仿宋" w:hAnsi="仿宋" w:eastAsia="仿宋" w:cs="仿宋"/>
          <w:b/>
          <w:bCs/>
          <w:color w:val="auto"/>
          <w:sz w:val="32"/>
          <w:szCs w:val="32"/>
          <w:highlight w:val="none"/>
          <w:lang w:val="en-US" w:eastAsia="zh-CN"/>
        </w:rPr>
        <w:t xml:space="preserve"> </w:t>
      </w:r>
    </w:p>
    <w:p w14:paraId="38A59D3A">
      <w:pPr>
        <w:wordWrap w:val="0"/>
        <w:topLinePunct/>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highlight w:val="none"/>
          <w:lang w:val="en-US" w:eastAsia="zh-CN" w:bidi="ar"/>
        </w:rPr>
        <w:t>1</w:t>
      </w:r>
      <w:r>
        <w:rPr>
          <w:rFonts w:hint="eastAsia" w:ascii="仿宋" w:hAnsi="仿宋" w:eastAsia="仿宋" w:cs="仿宋"/>
          <w:b/>
          <w:bCs/>
          <w:color w:val="auto"/>
          <w:kern w:val="0"/>
          <w:sz w:val="24"/>
          <w:highlight w:val="none"/>
          <w:lang w:bidi="ar"/>
        </w:rPr>
        <w:t>）税收缴纳证明：</w:t>
      </w:r>
      <w:r>
        <w:rPr>
          <w:rFonts w:hint="eastAsia" w:ascii="仿宋" w:hAnsi="仿宋" w:eastAsia="仿宋" w:cs="仿宋"/>
          <w:color w:val="auto"/>
          <w:kern w:val="0"/>
          <w:sz w:val="24"/>
          <w:highlight w:val="none"/>
          <w:lang w:bidi="ar"/>
        </w:rPr>
        <w:t>提供截至</w:t>
      </w:r>
      <w:r>
        <w:rPr>
          <w:rFonts w:hint="eastAsia" w:ascii="仿宋" w:hAnsi="仿宋" w:eastAsia="仿宋" w:cs="仿宋"/>
          <w:color w:val="auto"/>
          <w:kern w:val="0"/>
          <w:sz w:val="24"/>
          <w:highlight w:val="none"/>
          <w:lang w:eastAsia="zh-CN" w:bidi="ar"/>
        </w:rPr>
        <w:t>投标文件</w:t>
      </w:r>
      <w:r>
        <w:rPr>
          <w:rFonts w:hint="eastAsia" w:ascii="仿宋" w:hAnsi="仿宋" w:eastAsia="仿宋" w:cs="仿宋"/>
          <w:color w:val="auto"/>
          <w:kern w:val="0"/>
          <w:sz w:val="24"/>
          <w:highlight w:val="none"/>
          <w:lang w:bidi="ar"/>
        </w:rPr>
        <w:t>递交截止日前六个月内已缴纳至少1个月的纳税证明或完税证明（</w:t>
      </w:r>
      <w:r>
        <w:rPr>
          <w:rFonts w:hint="eastAsia" w:ascii="仿宋" w:hAnsi="仿宋" w:eastAsia="仿宋" w:cs="仿宋"/>
          <w:color w:val="auto"/>
          <w:kern w:val="0"/>
          <w:sz w:val="24"/>
          <w:highlight w:val="none"/>
          <w:lang w:eastAsia="zh-CN" w:bidi="ar"/>
        </w:rPr>
        <w:t>成立未满3个月的，提供成立以来的</w:t>
      </w:r>
      <w:r>
        <w:rPr>
          <w:rFonts w:hint="eastAsia" w:ascii="仿宋" w:hAnsi="仿宋" w:eastAsia="仿宋" w:cs="仿宋"/>
          <w:color w:val="auto"/>
          <w:kern w:val="0"/>
          <w:sz w:val="24"/>
          <w:highlight w:val="none"/>
          <w:lang w:bidi="ar"/>
        </w:rPr>
        <w:t>纳税证明或完税证明</w:t>
      </w:r>
      <w:r>
        <w:rPr>
          <w:rFonts w:hint="eastAsia" w:ascii="仿宋" w:hAnsi="仿宋" w:eastAsia="仿宋" w:cs="仿宋"/>
          <w:color w:val="auto"/>
          <w:kern w:val="0"/>
          <w:sz w:val="24"/>
          <w:highlight w:val="none"/>
          <w:lang w:eastAsia="zh-CN" w:bidi="ar"/>
        </w:rPr>
        <w:t>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依法免税的</w:t>
      </w:r>
      <w:r>
        <w:rPr>
          <w:rFonts w:hint="eastAsia" w:ascii="仿宋" w:hAnsi="仿宋" w:eastAsia="仿宋" w:cs="仿宋"/>
          <w:color w:val="auto"/>
          <w:kern w:val="0"/>
          <w:sz w:val="24"/>
          <w:highlight w:val="none"/>
          <w:lang w:eastAsia="zh-CN" w:bidi="ar"/>
        </w:rPr>
        <w:t>投标人</w:t>
      </w:r>
      <w:r>
        <w:rPr>
          <w:rFonts w:hint="eastAsia" w:ascii="仿宋" w:hAnsi="仿宋" w:eastAsia="仿宋" w:cs="仿宋"/>
          <w:color w:val="auto"/>
          <w:kern w:val="0"/>
          <w:sz w:val="24"/>
          <w:highlight w:val="none"/>
          <w:lang w:bidi="ar"/>
        </w:rPr>
        <w:t>应提供相关文件证明；</w:t>
      </w:r>
      <w:r>
        <w:rPr>
          <w:rFonts w:hint="eastAsia" w:ascii="仿宋" w:hAnsi="仿宋" w:eastAsia="仿宋" w:cs="仿宋"/>
          <w:color w:val="auto"/>
          <w:sz w:val="24"/>
          <w:szCs w:val="24"/>
          <w:highlight w:val="none"/>
        </w:rPr>
        <w:t>（注：依法免税或零申报的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r>
        <w:rPr>
          <w:rFonts w:hint="eastAsia" w:ascii="仿宋" w:hAnsi="仿宋" w:eastAsia="仿宋" w:cs="仿宋"/>
          <w:color w:val="auto"/>
          <w:sz w:val="24"/>
          <w:szCs w:val="24"/>
          <w:highlight w:val="none"/>
          <w:lang w:eastAsia="zh-CN"/>
        </w:rPr>
        <w:t>）</w:t>
      </w:r>
    </w:p>
    <w:p w14:paraId="0ABD874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2CEE523C">
      <w:pPr>
        <w:spacing w:line="360" w:lineRule="auto"/>
        <w:ind w:firstLine="482" w:firstLineChars="200"/>
        <w:jc w:val="left"/>
        <w:rPr>
          <w:rFonts w:hint="eastAsia" w:ascii="仿宋" w:hAnsi="仿宋" w:eastAsia="仿宋" w:cs="仿宋"/>
          <w:b/>
          <w:bCs/>
          <w:color w:val="auto"/>
          <w:sz w:val="24"/>
          <w:szCs w:val="24"/>
          <w:highlight w:val="none"/>
          <w:lang w:val="en-US" w:eastAsia="zh-CN"/>
        </w:rPr>
      </w:pPr>
    </w:p>
    <w:p w14:paraId="7B2F4743">
      <w:pPr>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）社会保障资金缴纳证明：</w:t>
      </w:r>
      <w:r>
        <w:rPr>
          <w:rFonts w:hint="eastAsia" w:ascii="仿宋" w:hAnsi="仿宋" w:eastAsia="仿宋" w:cs="仿宋"/>
          <w:color w:val="auto"/>
          <w:sz w:val="24"/>
          <w:szCs w:val="24"/>
          <w:highlight w:val="none"/>
        </w:rPr>
        <w:t>提供截至</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递交截止日前六个月内已缴纳至少1个月的社会保障资金缴存单据或社保机构开具的社会保险参保缴费情况证明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成立未满3个月的，提供成立以来的社会保障资金缴纳凭证或相关情况说明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sz w:val="24"/>
          <w:szCs w:val="24"/>
          <w:highlight w:val="none"/>
        </w:rPr>
        <w:t>。依法不需要缴纳社会保障资金的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p>
    <w:p w14:paraId="184ED6B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4D289AAD">
      <w:pPr>
        <w:wordWrap w:val="0"/>
        <w:overflowPunct w:val="0"/>
        <w:topLinePunct/>
        <w:spacing w:line="360" w:lineRule="auto"/>
        <w:jc w:val="center"/>
        <w:rPr>
          <w:rFonts w:hint="eastAsia" w:ascii="仿宋" w:hAnsi="仿宋" w:eastAsia="仿宋" w:cs="仿宋"/>
          <w:color w:val="auto"/>
          <w:sz w:val="24"/>
          <w:highlight w:val="none"/>
        </w:rPr>
      </w:pPr>
    </w:p>
    <w:p w14:paraId="49A39008">
      <w:pPr>
        <w:wordWrap w:val="0"/>
        <w:overflowPunct w:val="0"/>
        <w:topLinePunct/>
        <w:spacing w:line="360" w:lineRule="auto"/>
        <w:jc w:val="center"/>
        <w:rPr>
          <w:rFonts w:hint="eastAsia" w:ascii="仿宋" w:hAnsi="仿宋" w:eastAsia="仿宋" w:cs="仿宋"/>
          <w:color w:val="auto"/>
          <w:sz w:val="24"/>
          <w:highlight w:val="none"/>
        </w:rPr>
      </w:pPr>
    </w:p>
    <w:p w14:paraId="7EFED54E">
      <w:pPr>
        <w:wordWrap w:val="0"/>
        <w:overflowPunct w:val="0"/>
        <w:topLinePunct/>
        <w:spacing w:line="360" w:lineRule="auto"/>
        <w:jc w:val="center"/>
        <w:rPr>
          <w:rFonts w:hint="eastAsia" w:ascii="仿宋" w:hAnsi="仿宋" w:eastAsia="仿宋" w:cs="仿宋"/>
          <w:color w:val="auto"/>
          <w:sz w:val="24"/>
          <w:highlight w:val="none"/>
        </w:rPr>
      </w:pPr>
    </w:p>
    <w:p w14:paraId="39AE9E07">
      <w:pPr>
        <w:wordWrap w:val="0"/>
        <w:overflowPunct w:val="0"/>
        <w:topLinePunct/>
        <w:spacing w:line="360" w:lineRule="auto"/>
        <w:jc w:val="center"/>
        <w:rPr>
          <w:rFonts w:hint="eastAsia" w:ascii="仿宋" w:hAnsi="仿宋" w:eastAsia="仿宋" w:cs="仿宋"/>
          <w:color w:val="auto"/>
          <w:sz w:val="24"/>
          <w:highlight w:val="none"/>
        </w:rPr>
      </w:pPr>
    </w:p>
    <w:p w14:paraId="7A1F756A">
      <w:pPr>
        <w:wordWrap w:val="0"/>
        <w:overflowPunct w:val="0"/>
        <w:topLinePunct/>
        <w:spacing w:line="360" w:lineRule="auto"/>
        <w:jc w:val="center"/>
        <w:rPr>
          <w:rFonts w:hint="eastAsia" w:ascii="仿宋" w:hAnsi="仿宋" w:eastAsia="仿宋" w:cs="仿宋"/>
          <w:color w:val="auto"/>
          <w:sz w:val="24"/>
          <w:highlight w:val="none"/>
        </w:rPr>
      </w:pPr>
    </w:p>
    <w:p w14:paraId="02BB7DBE">
      <w:pPr>
        <w:wordWrap w:val="0"/>
        <w:overflowPunct w:val="0"/>
        <w:topLinePunct/>
        <w:spacing w:line="360" w:lineRule="auto"/>
        <w:jc w:val="both"/>
        <w:rPr>
          <w:rFonts w:hint="eastAsia" w:ascii="仿宋" w:hAnsi="仿宋" w:eastAsia="仿宋" w:cs="仿宋"/>
          <w:color w:val="auto"/>
          <w:sz w:val="24"/>
          <w:highlight w:val="none"/>
        </w:rPr>
      </w:pPr>
    </w:p>
    <w:p w14:paraId="76053E50">
      <w:pPr>
        <w:wordWrap w:val="0"/>
        <w:overflowPunct w:val="0"/>
        <w:topLinePunct/>
        <w:spacing w:line="360" w:lineRule="auto"/>
        <w:jc w:val="center"/>
        <w:rPr>
          <w:rFonts w:hint="eastAsia" w:ascii="仿宋" w:hAnsi="仿宋" w:eastAsia="仿宋" w:cs="仿宋"/>
          <w:color w:val="auto"/>
          <w:sz w:val="24"/>
          <w:highlight w:val="none"/>
        </w:rPr>
      </w:pPr>
    </w:p>
    <w:p w14:paraId="2921190B">
      <w:pPr>
        <w:wordWrap w:val="0"/>
        <w:overflowPunct w:val="0"/>
        <w:topLinePunct/>
        <w:spacing w:line="360" w:lineRule="auto"/>
        <w:rPr>
          <w:rFonts w:hint="eastAsia" w:ascii="仿宋" w:hAnsi="仿宋" w:eastAsia="仿宋" w:cs="仿宋"/>
          <w:color w:val="auto"/>
          <w:sz w:val="24"/>
          <w:highlight w:val="none"/>
        </w:rPr>
      </w:pPr>
    </w:p>
    <w:p w14:paraId="51FC6B41">
      <w:pPr>
        <w:wordWrap w:val="0"/>
        <w:overflowPunct w:val="0"/>
        <w:topLinePunct/>
        <w:spacing w:line="360" w:lineRule="auto"/>
        <w:jc w:val="left"/>
        <w:rPr>
          <w:rFonts w:hint="eastAsia" w:ascii="仿宋" w:hAnsi="仿宋" w:eastAsia="仿宋" w:cs="仿宋"/>
          <w:color w:val="auto"/>
          <w:sz w:val="24"/>
          <w:highlight w:val="none"/>
          <w:lang w:eastAsia="zh-CN"/>
        </w:rPr>
      </w:pPr>
    </w:p>
    <w:p w14:paraId="5CCF1427">
      <w:pPr>
        <w:wordWrap w:val="0"/>
        <w:overflowPunct w:val="0"/>
        <w:topLinePunct/>
        <w:spacing w:line="360" w:lineRule="auto"/>
        <w:jc w:val="left"/>
        <w:rPr>
          <w:rFonts w:hint="eastAsia" w:ascii="仿宋" w:hAnsi="仿宋" w:eastAsia="仿宋" w:cs="仿宋"/>
          <w:color w:val="auto"/>
          <w:sz w:val="24"/>
          <w:highlight w:val="none"/>
          <w:lang w:eastAsia="zh-CN"/>
        </w:rPr>
      </w:pPr>
    </w:p>
    <w:p w14:paraId="5E5787A5">
      <w:pPr>
        <w:wordWrap w:val="0"/>
        <w:overflowPunct w:val="0"/>
        <w:topLinePunct/>
        <w:spacing w:line="360" w:lineRule="auto"/>
        <w:jc w:val="left"/>
        <w:rPr>
          <w:rFonts w:hint="eastAsia" w:ascii="仿宋" w:hAnsi="仿宋" w:eastAsia="仿宋" w:cs="仿宋"/>
          <w:color w:val="auto"/>
          <w:sz w:val="24"/>
          <w:highlight w:val="none"/>
          <w:lang w:eastAsia="zh-CN"/>
        </w:rPr>
      </w:pPr>
    </w:p>
    <w:p w14:paraId="1A35BD1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6B173AE">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13" w:name="_Toc29541"/>
      <w:bookmarkStart w:id="914" w:name="_Toc4184"/>
      <w:bookmarkStart w:id="915" w:name="_Toc13614"/>
      <w:bookmarkStart w:id="916" w:name="_Toc15948"/>
      <w:bookmarkStart w:id="917" w:name="_Toc10529"/>
      <w:bookmarkStart w:id="918" w:name="_Toc623"/>
      <w:bookmarkStart w:id="919" w:name="_Toc9309"/>
      <w:bookmarkStart w:id="920" w:name="_Toc17093"/>
      <w:bookmarkStart w:id="921" w:name="_Toc9607"/>
      <w:bookmarkStart w:id="922" w:name="_Toc9266"/>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13"/>
      <w:bookmarkEnd w:id="914"/>
      <w:bookmarkEnd w:id="915"/>
      <w:bookmarkEnd w:id="916"/>
      <w:bookmarkEnd w:id="917"/>
      <w:bookmarkEnd w:id="918"/>
      <w:bookmarkEnd w:id="919"/>
      <w:bookmarkEnd w:id="920"/>
      <w:bookmarkEnd w:id="921"/>
      <w:bookmarkEnd w:id="922"/>
    </w:p>
    <w:p w14:paraId="19000502">
      <w:pPr>
        <w:jc w:val="center"/>
        <w:rPr>
          <w:rFonts w:hint="eastAsia" w:ascii="仿宋" w:hAnsi="仿宋" w:eastAsia="仿宋" w:cs="仿宋"/>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923" w:name="_Toc17375"/>
      <w:bookmarkStart w:id="924" w:name="_Toc28027"/>
      <w:bookmarkStart w:id="925" w:name="_Toc951"/>
      <w:bookmarkStart w:id="926" w:name="_Toc9859"/>
      <w:bookmarkStart w:id="927" w:name="_Toc12551"/>
      <w:bookmarkStart w:id="928" w:name="_Toc22954"/>
      <w:bookmarkStart w:id="929" w:name="_Toc6427"/>
      <w:bookmarkStart w:id="930" w:name="_Toc27102"/>
      <w:bookmarkStart w:id="931" w:name="_Toc1206"/>
      <w:bookmarkStart w:id="932" w:name="_Toc21304"/>
      <w:bookmarkStart w:id="933" w:name="_Toc1938"/>
      <w:bookmarkStart w:id="934" w:name="_Toc25918"/>
      <w:bookmarkStart w:id="935" w:name="_Toc2730"/>
      <w:bookmarkStart w:id="936" w:name="_Toc6499"/>
      <w:bookmarkStart w:id="937" w:name="_Toc26677"/>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Start w:id="938" w:name="_Toc26515"/>
      <w:bookmarkStart w:id="939" w:name="_Toc27342"/>
      <w:bookmarkStart w:id="940" w:name="_Toc23251"/>
      <w:bookmarkStart w:id="941" w:name="_Toc16541"/>
      <w:bookmarkStart w:id="942" w:name="_Toc24824"/>
      <w:bookmarkStart w:id="943" w:name="_Toc4512"/>
      <w:bookmarkStart w:id="944" w:name="_Toc2606"/>
      <w:bookmarkStart w:id="945" w:name="_Toc9115"/>
      <w:bookmarkStart w:id="946" w:name="_Toc20354"/>
      <w:bookmarkStart w:id="947" w:name="_Toc18486"/>
      <w:bookmarkStart w:id="948" w:name="_Toc17246"/>
      <w:bookmarkStart w:id="949" w:name="_Toc27660"/>
      <w:bookmarkStart w:id="950" w:name="_Toc31843"/>
      <w:bookmarkStart w:id="951" w:name="_Toc16508"/>
      <w:bookmarkStart w:id="952" w:name="_Toc5784"/>
      <w:bookmarkStart w:id="953" w:name="_Toc13148"/>
      <w:bookmarkStart w:id="954" w:name="_Toc12192"/>
      <w:bookmarkStart w:id="955" w:name="_Toc15699"/>
      <w:bookmarkStart w:id="956" w:name="_Toc18483"/>
      <w:bookmarkStart w:id="957" w:name="_Toc29999"/>
      <w:bookmarkStart w:id="958" w:name="_Toc24121"/>
      <w:bookmarkStart w:id="959" w:name="_Toc1258"/>
      <w:bookmarkStart w:id="960" w:name="_Toc29572"/>
    </w:p>
    <w:p w14:paraId="4F58E49A">
      <w:pPr>
        <w:numPr>
          <w:ilvl w:val="0"/>
          <w:numId w:val="2"/>
        </w:numPr>
        <w:jc w:val="center"/>
        <w:outlineLvl w:val="1"/>
        <w:rPr>
          <w:rFonts w:hint="eastAsia" w:ascii="仿宋" w:hAnsi="仿宋" w:eastAsia="仿宋" w:cs="仿宋"/>
          <w:b/>
          <w:bCs/>
          <w:color w:val="auto"/>
          <w:sz w:val="28"/>
          <w:szCs w:val="28"/>
          <w:highlight w:val="none"/>
        </w:rPr>
      </w:pPr>
      <w:bookmarkStart w:id="961" w:name="_Toc18491"/>
      <w:bookmarkStart w:id="962" w:name="_Toc30680"/>
      <w:bookmarkStart w:id="963" w:name="_Toc30307"/>
      <w:bookmarkStart w:id="964" w:name="_Toc20742"/>
      <w:bookmarkStart w:id="965" w:name="_Toc20416"/>
      <w:bookmarkStart w:id="966" w:name="_Toc22817"/>
      <w:bookmarkStart w:id="967" w:name="_Toc10329"/>
      <w:bookmarkStart w:id="968" w:name="_Toc14343"/>
      <w:bookmarkStart w:id="969" w:name="_Toc31021"/>
      <w:bookmarkStart w:id="970" w:name="_Toc28740"/>
      <w:bookmarkStart w:id="971" w:name="_Toc24571"/>
      <w:r>
        <w:rPr>
          <w:rFonts w:hint="eastAsia" w:ascii="仿宋" w:hAnsi="仿宋" w:eastAsia="仿宋" w:cs="仿宋"/>
          <w:b/>
          <w:bCs/>
          <w:color w:val="auto"/>
          <w:sz w:val="28"/>
          <w:szCs w:val="28"/>
          <w:highlight w:val="none"/>
        </w:rPr>
        <w:t>参加采购活动前三年内在经营活动中没有重大违法记录书面声明</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p w14:paraId="47E381AA">
      <w:pPr>
        <w:numPr>
          <w:ilvl w:val="0"/>
          <w:numId w:val="0"/>
        </w:num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（实质性格式）</w:t>
      </w:r>
    </w:p>
    <w:p w14:paraId="1CE34B91">
      <w:pPr>
        <w:pStyle w:val="7"/>
        <w:wordWrap w:val="0"/>
        <w:overflowPunct w:val="0"/>
        <w:topLinePunct/>
        <w:rPr>
          <w:rFonts w:hint="eastAsia" w:ascii="仿宋" w:hAnsi="仿宋" w:eastAsia="仿宋" w:cs="仿宋"/>
          <w:color w:val="auto"/>
          <w:highlight w:val="none"/>
        </w:rPr>
      </w:pPr>
    </w:p>
    <w:p w14:paraId="63C68152">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云南拓航工程管理咨询有限公司</w:t>
      </w:r>
    </w:p>
    <w:p w14:paraId="47E2056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11A207E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35C8715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02534F5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3.我方因违法经营被处以较大数额罚款等行政处罚。</w:t>
      </w:r>
    </w:p>
    <w:p w14:paraId="529D9FE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630C46B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2E95D74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5361E24">
      <w:pPr>
        <w:pStyle w:val="7"/>
        <w:wordWrap w:val="0"/>
        <w:overflowPunct w:val="0"/>
        <w:topLinePunct/>
        <w:ind w:left="0" w:leftChars="0" w:firstLine="0" w:firstLineChars="0"/>
        <w:rPr>
          <w:rFonts w:hint="eastAsia" w:ascii="仿宋" w:hAnsi="仿宋" w:eastAsia="仿宋" w:cs="仿宋"/>
          <w:color w:val="auto"/>
          <w:highlight w:val="none"/>
        </w:rPr>
      </w:pPr>
    </w:p>
    <w:p w14:paraId="22C5B40E">
      <w:pPr>
        <w:wordWrap w:val="0"/>
        <w:overflowPunct w:val="0"/>
        <w:topLinePunct/>
        <w:spacing w:line="360" w:lineRule="auto"/>
        <w:jc w:val="left"/>
        <w:rPr>
          <w:rFonts w:hint="eastAsia" w:ascii="仿宋" w:hAnsi="仿宋" w:eastAsia="仿宋" w:cs="仿宋"/>
          <w:color w:val="auto"/>
          <w:sz w:val="24"/>
          <w:highlight w:val="none"/>
          <w:lang w:eastAsia="zh-CN"/>
        </w:rPr>
      </w:pPr>
    </w:p>
    <w:p w14:paraId="7A8DACBB">
      <w:pPr>
        <w:wordWrap w:val="0"/>
        <w:overflowPunct w:val="0"/>
        <w:topLinePunct/>
        <w:spacing w:line="360" w:lineRule="auto"/>
        <w:jc w:val="left"/>
        <w:rPr>
          <w:rFonts w:hint="eastAsia" w:ascii="仿宋" w:hAnsi="仿宋" w:eastAsia="仿宋" w:cs="仿宋"/>
          <w:color w:val="auto"/>
          <w:sz w:val="24"/>
          <w:highlight w:val="none"/>
          <w:lang w:eastAsia="zh-CN"/>
        </w:rPr>
      </w:pPr>
    </w:p>
    <w:p w14:paraId="13DFEE26">
      <w:pPr>
        <w:wordWrap w:val="0"/>
        <w:overflowPunct w:val="0"/>
        <w:topLinePunct/>
        <w:spacing w:line="360" w:lineRule="auto"/>
        <w:jc w:val="left"/>
        <w:rPr>
          <w:rFonts w:hint="eastAsia" w:ascii="仿宋" w:hAnsi="仿宋" w:eastAsia="仿宋" w:cs="仿宋"/>
          <w:color w:val="auto"/>
          <w:sz w:val="24"/>
          <w:highlight w:val="none"/>
          <w:lang w:eastAsia="zh-CN"/>
        </w:rPr>
      </w:pPr>
    </w:p>
    <w:p w14:paraId="522F94E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6BB2AE9">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72" w:name="_Toc19940"/>
      <w:bookmarkStart w:id="973" w:name="_Toc9016"/>
      <w:bookmarkStart w:id="974" w:name="_Toc5533"/>
      <w:bookmarkStart w:id="975" w:name="_Toc615"/>
      <w:bookmarkStart w:id="976" w:name="_Toc23595"/>
      <w:bookmarkStart w:id="977" w:name="_Toc7351"/>
      <w:bookmarkStart w:id="978" w:name="_Toc12291"/>
      <w:bookmarkStart w:id="979" w:name="_Toc25200"/>
      <w:bookmarkStart w:id="980" w:name="_Toc22388"/>
      <w:bookmarkStart w:id="981" w:name="_Toc32726"/>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72"/>
      <w:bookmarkEnd w:id="973"/>
      <w:bookmarkEnd w:id="974"/>
      <w:bookmarkEnd w:id="975"/>
      <w:bookmarkEnd w:id="976"/>
      <w:bookmarkEnd w:id="977"/>
      <w:bookmarkEnd w:id="978"/>
      <w:bookmarkEnd w:id="979"/>
      <w:bookmarkEnd w:id="980"/>
      <w:bookmarkEnd w:id="981"/>
    </w:p>
    <w:p w14:paraId="2062660B">
      <w:pPr>
        <w:wordWrap w:val="0"/>
        <w:overflowPunct w:val="0"/>
        <w:topLinePun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D16E801">
      <w:pPr>
        <w:wordWrap w:val="0"/>
        <w:overflowPunct w:val="0"/>
        <w:topLinePunct/>
        <w:rPr>
          <w:rFonts w:hint="eastAsia" w:ascii="仿宋" w:hAnsi="仿宋" w:eastAsia="仿宋" w:cs="仿宋"/>
          <w:color w:val="auto"/>
          <w:szCs w:val="21"/>
          <w:highlight w:val="none"/>
        </w:rPr>
      </w:pPr>
    </w:p>
    <w:p w14:paraId="79B51C5A">
      <w:pPr>
        <w:wordWrap w:val="0"/>
        <w:overflowPunct w:val="0"/>
        <w:topLinePunct/>
        <w:spacing w:line="0" w:lineRule="atLeast"/>
        <w:ind w:firstLine="422" w:firstLineChars="200"/>
        <w:jc w:val="left"/>
        <w:rPr>
          <w:rFonts w:hint="eastAsia" w:ascii="仿宋" w:hAnsi="仿宋" w:eastAsia="仿宋" w:cs="仿宋"/>
          <w:b/>
          <w:bCs/>
          <w:color w:val="auto"/>
          <w:szCs w:val="21"/>
          <w:highlight w:val="none"/>
        </w:rPr>
      </w:pPr>
    </w:p>
    <w:p w14:paraId="2DC34805">
      <w:pPr>
        <w:pStyle w:val="15"/>
        <w:ind w:left="0" w:leftChars="0" w:firstLine="422" w:firstLineChars="200"/>
        <w:rPr>
          <w:rFonts w:hint="eastAsia" w:ascii="仿宋" w:hAnsi="仿宋" w:eastAsia="仿宋" w:cs="仿宋"/>
          <w:b/>
          <w:bCs/>
          <w:color w:val="auto"/>
          <w:szCs w:val="21"/>
          <w:highlight w:val="none"/>
        </w:rPr>
      </w:pPr>
    </w:p>
    <w:p w14:paraId="62629122">
      <w:pPr>
        <w:pStyle w:val="15"/>
        <w:ind w:left="0" w:leftChars="0" w:firstLine="422" w:firstLineChars="200"/>
        <w:rPr>
          <w:rFonts w:hint="eastAsia" w:ascii="仿宋" w:hAnsi="仿宋" w:eastAsia="仿宋" w:cs="仿宋"/>
          <w:b/>
          <w:bCs/>
          <w:color w:val="auto"/>
          <w:szCs w:val="21"/>
          <w:highlight w:val="none"/>
        </w:rPr>
      </w:pPr>
    </w:p>
    <w:p w14:paraId="58197ACE">
      <w:pPr>
        <w:pStyle w:val="15"/>
        <w:ind w:left="0" w:leftChars="0" w:firstLine="422" w:firstLineChars="200"/>
        <w:rPr>
          <w:rFonts w:hint="eastAsia" w:ascii="仿宋" w:hAnsi="仿宋" w:eastAsia="仿宋" w:cs="仿宋"/>
          <w:b/>
          <w:bCs/>
          <w:color w:val="auto"/>
          <w:szCs w:val="21"/>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982" w:name="_Toc28798"/>
      <w:bookmarkStart w:id="983" w:name="_Toc27915"/>
      <w:bookmarkStart w:id="984" w:name="_Toc11659"/>
      <w:bookmarkStart w:id="985" w:name="_Toc423"/>
      <w:bookmarkStart w:id="986" w:name="_Toc31196"/>
      <w:bookmarkStart w:id="987" w:name="_Toc16458"/>
      <w:bookmarkStart w:id="988" w:name="_Toc18125"/>
      <w:bookmarkStart w:id="989" w:name="_Toc3236"/>
      <w:bookmarkStart w:id="990" w:name="_Toc26414"/>
      <w:bookmarkStart w:id="991" w:name="_Toc9639"/>
      <w:bookmarkStart w:id="992" w:name="_Toc15161"/>
      <w:bookmarkStart w:id="993" w:name="_Toc21558"/>
      <w:bookmarkStart w:id="994" w:name="_Toc29489"/>
      <w:bookmarkStart w:id="995" w:name="_Toc13406"/>
      <w:bookmarkStart w:id="996" w:name="_Toc11016"/>
      <w:bookmarkStart w:id="997" w:name="_Toc32760"/>
      <w:bookmarkStart w:id="998" w:name="_Toc21278"/>
      <w:bookmarkStart w:id="999" w:name="_Toc25115"/>
      <w:bookmarkStart w:id="1000" w:name="_Toc10094"/>
      <w:bookmarkStart w:id="1001" w:name="_Toc9599"/>
      <w:bookmarkStart w:id="1002" w:name="_Toc13604"/>
      <w:bookmarkStart w:id="1003" w:name="_Toc27336"/>
      <w:bookmarkStart w:id="1004" w:name="_Toc29298"/>
      <w:bookmarkStart w:id="1005" w:name="_Toc6906"/>
      <w:bookmarkStart w:id="1006" w:name="_Toc22564"/>
    </w:p>
    <w:p w14:paraId="689D3972">
      <w:pPr>
        <w:pStyle w:val="15"/>
        <w:ind w:left="0" w:leftChars="0" w:firstLine="0" w:firstLineChars="0"/>
        <w:jc w:val="center"/>
        <w:outlineLvl w:val="1"/>
        <w:rPr>
          <w:rFonts w:hint="eastAsia" w:ascii="仿宋" w:hAnsi="仿宋" w:eastAsia="仿宋" w:cs="仿宋"/>
          <w:b/>
          <w:bCs/>
          <w:color w:val="auto"/>
          <w:sz w:val="28"/>
          <w:szCs w:val="28"/>
          <w:highlight w:val="none"/>
        </w:rPr>
      </w:pPr>
      <w:bookmarkStart w:id="1007" w:name="_Toc19345"/>
      <w:bookmarkStart w:id="1008" w:name="_Toc25079"/>
      <w:bookmarkStart w:id="1009" w:name="_Toc12565"/>
      <w:bookmarkStart w:id="1010" w:name="_Toc22347"/>
      <w:bookmarkStart w:id="1011" w:name="_Toc5650"/>
      <w:bookmarkStart w:id="1012" w:name="_Toc20536"/>
      <w:bookmarkStart w:id="1013" w:name="_Toc16867"/>
      <w:bookmarkStart w:id="1014" w:name="_Toc1871"/>
      <w:bookmarkStart w:id="1015" w:name="_Toc32324"/>
      <w:bookmarkStart w:id="1016" w:name="_Toc3157"/>
      <w:bookmarkStart w:id="1017" w:name="_Toc17479"/>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bookmarkEnd w:id="982"/>
      <w:bookmarkEnd w:id="983"/>
      <w:bookmarkEnd w:id="984"/>
      <w:bookmarkEnd w:id="985"/>
      <w:bookmarkEnd w:id="986"/>
      <w:bookmarkEnd w:id="987"/>
      <w:bookmarkEnd w:id="988"/>
      <w:bookmarkEnd w:id="989"/>
      <w:bookmarkEnd w:id="990"/>
      <w:r>
        <w:rPr>
          <w:rFonts w:hint="eastAsia" w:ascii="仿宋" w:hAnsi="仿宋" w:eastAsia="仿宋" w:cs="仿宋"/>
          <w:b/>
          <w:bCs/>
          <w:color w:val="auto"/>
          <w:sz w:val="28"/>
          <w:szCs w:val="28"/>
          <w:highlight w:val="none"/>
        </w:rPr>
        <w:t>法律、行政法规规定的其他条件</w:t>
      </w:r>
      <w:bookmarkEnd w:id="991"/>
      <w:bookmarkEnd w:id="992"/>
      <w:r>
        <w:rPr>
          <w:rFonts w:hint="eastAsia" w:ascii="仿宋" w:hAnsi="仿宋" w:eastAsia="仿宋" w:cs="仿宋"/>
          <w:b/>
          <w:bCs/>
          <w:color w:val="auto"/>
          <w:sz w:val="28"/>
          <w:szCs w:val="28"/>
          <w:highlight w:val="none"/>
          <w:lang w:val="en-US" w:eastAsia="zh-CN"/>
        </w:rPr>
        <w:t>（实质性格式）</w:t>
      </w:r>
      <w:bookmarkEnd w:id="1007"/>
      <w:bookmarkEnd w:id="1008"/>
      <w:bookmarkEnd w:id="1009"/>
      <w:bookmarkEnd w:id="1010"/>
      <w:bookmarkEnd w:id="1011"/>
      <w:bookmarkEnd w:id="1012"/>
      <w:bookmarkEnd w:id="1013"/>
      <w:bookmarkEnd w:id="1014"/>
      <w:bookmarkEnd w:id="1015"/>
      <w:bookmarkEnd w:id="1016"/>
      <w:bookmarkEnd w:id="1017"/>
      <w:r>
        <w:rPr>
          <w:rFonts w:hint="eastAsia" w:ascii="仿宋" w:hAnsi="仿宋" w:eastAsia="仿宋" w:cs="仿宋"/>
          <w:b/>
          <w:bCs/>
          <w:color w:val="auto"/>
          <w:sz w:val="28"/>
          <w:szCs w:val="28"/>
          <w:highlight w:val="none"/>
          <w:lang w:val="en-US" w:eastAsia="zh-CN"/>
        </w:rPr>
        <w:t xml:space="preserve"> </w:t>
      </w:r>
    </w:p>
    <w:p w14:paraId="23D84AB7">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018" w:name="_Toc4613"/>
      <w:bookmarkStart w:id="1019" w:name="_Toc5353"/>
      <w:bookmarkStart w:id="1020" w:name="_Toc16863"/>
      <w:bookmarkStart w:id="1021" w:name="_Toc8366"/>
      <w:bookmarkStart w:id="1022" w:name="_Toc22023"/>
      <w:bookmarkStart w:id="1023" w:name="_Toc8699"/>
      <w:bookmarkStart w:id="1024" w:name="_Toc20069"/>
      <w:bookmarkStart w:id="1025" w:name="_Toc5509"/>
      <w:bookmarkStart w:id="1026" w:name="_Toc29726"/>
      <w:bookmarkStart w:id="1027" w:name="_Toc6292"/>
      <w:bookmarkStart w:id="1028" w:name="_Toc24666"/>
      <w:bookmarkStart w:id="1029" w:name="_Toc4314"/>
      <w:bookmarkStart w:id="1030" w:name="_Toc23157"/>
      <w:bookmarkStart w:id="1031" w:name="_Toc24546"/>
      <w:bookmarkStart w:id="1032" w:name="_Toc2717"/>
      <w:bookmarkStart w:id="1033" w:name="_Toc3079"/>
      <w:bookmarkStart w:id="1034" w:name="_Toc16013"/>
      <w:bookmarkStart w:id="1035" w:name="_Toc7558"/>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p w14:paraId="6BD6D701">
      <w:pPr>
        <w:pStyle w:val="29"/>
        <w:wordWrap w:val="0"/>
        <w:overflowPunct w:val="0"/>
        <w:topLinePunct/>
        <w:spacing w:before="0"/>
        <w:ind w:firstLine="0" w:firstLineChars="0"/>
        <w:jc w:val="left"/>
        <w:rPr>
          <w:rFonts w:hint="eastAsia" w:ascii="仿宋" w:hAnsi="仿宋" w:eastAsia="仿宋" w:cs="仿宋"/>
          <w:color w:val="auto"/>
          <w:highlight w:val="none"/>
        </w:rPr>
      </w:pPr>
    </w:p>
    <w:p w14:paraId="13C384BF">
      <w:pPr>
        <w:pStyle w:val="29"/>
        <w:wordWrap w:val="0"/>
        <w:overflowPunct w:val="0"/>
        <w:topLinePunct/>
        <w:spacing w:before="0"/>
        <w:ind w:firstLine="0" w:firstLineChars="0"/>
        <w:jc w:val="left"/>
        <w:rPr>
          <w:rFonts w:hint="eastAsia" w:ascii="仿宋" w:hAnsi="仿宋" w:eastAsia="仿宋" w:cs="仿宋"/>
          <w:color w:val="auto"/>
          <w:kern w:val="0"/>
          <w:highlight w:val="none"/>
          <w:lang w:bidi="ar"/>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云南拓航工程管理咨询有限公司</w:t>
      </w:r>
    </w:p>
    <w:p w14:paraId="1AA5639B">
      <w:pPr>
        <w:pStyle w:val="29"/>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公开招标</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27F7F70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我公司在参加政府采购活动前3年内未因违法经营被禁止在一定期限内参加政府采购活动，可以参加本次政府采购活动。</w:t>
      </w:r>
    </w:p>
    <w:p w14:paraId="2C5779F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我方未被列入“信用中国”网站失信被执行人名单。</w:t>
      </w:r>
    </w:p>
    <w:p w14:paraId="25B421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我方未被列入“信用中国”网站重大税收违法案件当事人名单。</w:t>
      </w:r>
    </w:p>
    <w:p w14:paraId="086B1FF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我方未被列入“中国政府采购网”政府采购严重违法失信行为记录名单。</w:t>
      </w:r>
    </w:p>
    <w:p w14:paraId="3398B263">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186A64F">
      <w:pPr>
        <w:wordWrap w:val="0"/>
        <w:overflowPunct w:val="0"/>
        <w:topLinePunct/>
        <w:spacing w:line="360" w:lineRule="auto"/>
        <w:jc w:val="both"/>
        <w:rPr>
          <w:rFonts w:hint="eastAsia" w:ascii="仿宋" w:hAnsi="仿宋" w:eastAsia="仿宋" w:cs="仿宋"/>
          <w:color w:val="auto"/>
          <w:sz w:val="24"/>
          <w:highlight w:val="none"/>
        </w:rPr>
      </w:pPr>
    </w:p>
    <w:p w14:paraId="54E9E068">
      <w:pPr>
        <w:wordWrap w:val="0"/>
        <w:overflowPunct w:val="0"/>
        <w:topLinePunct/>
        <w:spacing w:line="360" w:lineRule="auto"/>
        <w:jc w:val="center"/>
        <w:rPr>
          <w:rFonts w:hint="eastAsia" w:ascii="仿宋" w:hAnsi="仿宋" w:eastAsia="仿宋" w:cs="仿宋"/>
          <w:color w:val="auto"/>
          <w:sz w:val="24"/>
          <w:highlight w:val="none"/>
        </w:rPr>
      </w:pPr>
    </w:p>
    <w:p w14:paraId="0AD752A4">
      <w:pPr>
        <w:wordWrap w:val="0"/>
        <w:overflowPunct w:val="0"/>
        <w:topLinePunct/>
        <w:spacing w:line="360" w:lineRule="auto"/>
        <w:jc w:val="center"/>
        <w:rPr>
          <w:rFonts w:hint="eastAsia" w:ascii="仿宋" w:hAnsi="仿宋" w:eastAsia="仿宋" w:cs="仿宋"/>
          <w:color w:val="auto"/>
          <w:sz w:val="24"/>
          <w:highlight w:val="none"/>
          <w:lang w:eastAsia="zh-CN"/>
        </w:rPr>
      </w:pPr>
    </w:p>
    <w:p w14:paraId="4FF6101D">
      <w:pPr>
        <w:wordWrap w:val="0"/>
        <w:overflowPunct w:val="0"/>
        <w:topLinePunct/>
        <w:spacing w:line="360" w:lineRule="auto"/>
        <w:jc w:val="center"/>
        <w:rPr>
          <w:rFonts w:hint="eastAsia" w:ascii="仿宋" w:hAnsi="仿宋" w:eastAsia="仿宋" w:cs="仿宋"/>
          <w:color w:val="auto"/>
          <w:sz w:val="24"/>
          <w:highlight w:val="none"/>
          <w:lang w:eastAsia="zh-CN"/>
        </w:rPr>
      </w:pPr>
    </w:p>
    <w:p w14:paraId="574E13A4">
      <w:pPr>
        <w:wordWrap w:val="0"/>
        <w:overflowPunct w:val="0"/>
        <w:topLinePunct/>
        <w:spacing w:line="360" w:lineRule="auto"/>
        <w:jc w:val="center"/>
        <w:rPr>
          <w:rFonts w:hint="eastAsia" w:ascii="仿宋" w:hAnsi="仿宋" w:eastAsia="仿宋" w:cs="仿宋"/>
          <w:color w:val="auto"/>
          <w:sz w:val="24"/>
          <w:highlight w:val="none"/>
          <w:lang w:eastAsia="zh-CN"/>
        </w:rPr>
      </w:pPr>
    </w:p>
    <w:p w14:paraId="7E92160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A5A097F">
      <w:pPr>
        <w:pStyle w:val="29"/>
        <w:wordWrap w:val="0"/>
        <w:overflowPunct w:val="0"/>
        <w:topLinePunct/>
        <w:spacing w:before="0"/>
        <w:ind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25DEFEF">
      <w:pPr>
        <w:pStyle w:val="29"/>
        <w:wordWrap w:val="0"/>
        <w:overflowPunct w:val="0"/>
        <w:topLinePunct/>
        <w:spacing w:before="0"/>
        <w:jc w:val="both"/>
        <w:rPr>
          <w:rFonts w:hint="eastAsia" w:ascii="仿宋" w:hAnsi="仿宋" w:eastAsia="仿宋" w:cs="仿宋"/>
          <w:color w:val="auto"/>
          <w:highlight w:val="none"/>
        </w:rPr>
      </w:pPr>
    </w:p>
    <w:p w14:paraId="08E6E32B">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66FEB103">
      <w:pPr>
        <w:pStyle w:val="14"/>
        <w:rPr>
          <w:rFonts w:hint="eastAsia" w:ascii="仿宋" w:hAnsi="仿宋" w:eastAsia="仿宋" w:cs="仿宋"/>
          <w:b/>
          <w:bCs/>
          <w:color w:val="auto"/>
          <w:sz w:val="21"/>
          <w:szCs w:val="21"/>
          <w:highlight w:val="none"/>
        </w:rPr>
      </w:pPr>
    </w:p>
    <w:p w14:paraId="47050835">
      <w:pPr>
        <w:pStyle w:val="14"/>
        <w:rPr>
          <w:rFonts w:hint="eastAsia" w:ascii="仿宋" w:hAnsi="仿宋" w:eastAsia="仿宋" w:cs="仿宋"/>
          <w:b/>
          <w:bCs/>
          <w:color w:val="auto"/>
          <w:sz w:val="21"/>
          <w:szCs w:val="21"/>
          <w:highlight w:val="none"/>
        </w:rPr>
      </w:pPr>
    </w:p>
    <w:p w14:paraId="40E7F52B">
      <w:pPr>
        <w:pStyle w:val="14"/>
        <w:rPr>
          <w:rFonts w:hint="eastAsia" w:ascii="仿宋" w:hAnsi="仿宋" w:eastAsia="仿宋" w:cs="仿宋"/>
          <w:b/>
          <w:bCs/>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036" w:name="_Toc16693"/>
      <w:bookmarkStart w:id="1037" w:name="_Toc25072"/>
      <w:bookmarkStart w:id="1038" w:name="_Toc3606"/>
      <w:bookmarkStart w:id="1039" w:name="_Toc4806"/>
      <w:bookmarkStart w:id="1040" w:name="_Toc4238"/>
      <w:bookmarkStart w:id="1041" w:name="_Toc28900"/>
      <w:bookmarkStart w:id="1042" w:name="_Toc7287"/>
      <w:bookmarkStart w:id="1043" w:name="_Toc18012"/>
      <w:bookmarkStart w:id="1044" w:name="_Toc32199"/>
      <w:bookmarkStart w:id="1045" w:name="_Toc23880"/>
      <w:bookmarkStart w:id="1046" w:name="_Toc16572"/>
    </w:p>
    <w:bookmarkEnd w:id="1036"/>
    <w:bookmarkEnd w:id="1037"/>
    <w:bookmarkEnd w:id="1038"/>
    <w:bookmarkEnd w:id="1039"/>
    <w:bookmarkEnd w:id="1040"/>
    <w:bookmarkEnd w:id="1041"/>
    <w:bookmarkEnd w:id="1042"/>
    <w:bookmarkEnd w:id="1043"/>
    <w:bookmarkEnd w:id="1044"/>
    <w:bookmarkEnd w:id="1045"/>
    <w:bookmarkEnd w:id="1046"/>
    <w:p w14:paraId="4936FBD2">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047" w:name="_Toc26176"/>
      <w:bookmarkStart w:id="1048" w:name="_Toc17726"/>
      <w:bookmarkStart w:id="1049" w:name="_Toc32517"/>
      <w:bookmarkStart w:id="1050" w:name="_Toc3027"/>
      <w:bookmarkStart w:id="1051" w:name="_Toc14260"/>
      <w:bookmarkStart w:id="1052" w:name="_Toc22029"/>
      <w:bookmarkStart w:id="1053" w:name="_Toc7120"/>
      <w:bookmarkStart w:id="1054" w:name="_Toc9598"/>
      <w:bookmarkStart w:id="1055" w:name="_Toc25852"/>
      <w:bookmarkStart w:id="1056" w:name="_Toc22500"/>
      <w:bookmarkStart w:id="1057" w:name="_Toc698"/>
      <w:bookmarkStart w:id="1058" w:name="_Toc120277425"/>
      <w:bookmarkStart w:id="1059" w:name="_Toc19537"/>
      <w:bookmarkStart w:id="1060" w:name="_Toc112677164"/>
      <w:bookmarkStart w:id="1061" w:name="_Toc7266"/>
      <w:bookmarkStart w:id="1062" w:name="_Toc21545"/>
      <w:bookmarkStart w:id="1063" w:name="_Toc15174"/>
      <w:bookmarkStart w:id="1064" w:name="_Toc22406"/>
      <w:bookmarkStart w:id="1065" w:name="_Toc20757"/>
      <w:bookmarkStart w:id="1066" w:name="_Toc23889"/>
      <w:bookmarkStart w:id="1067" w:name="_Toc27828"/>
      <w:bookmarkStart w:id="1068" w:name="_Toc31270"/>
      <w:bookmarkStart w:id="1069" w:name="_Toc1648"/>
      <w:bookmarkStart w:id="1070" w:name="_Toc9578"/>
      <w:bookmarkStart w:id="1071" w:name="_Toc7746"/>
      <w:bookmarkStart w:id="1072" w:name="_Toc22394"/>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r>
        <w:rPr>
          <w:rFonts w:hint="eastAsia" w:ascii="仿宋" w:hAnsi="仿宋" w:eastAsia="仿宋" w:cs="仿宋"/>
          <w:b/>
          <w:bCs/>
          <w:color w:val="auto"/>
          <w:sz w:val="28"/>
          <w:szCs w:val="28"/>
          <w:highlight w:val="none"/>
          <w:lang w:val="en-US" w:eastAsia="zh-CN"/>
        </w:rPr>
        <w:t>（实质性格式）</w:t>
      </w:r>
      <w:bookmarkEnd w:id="1047"/>
      <w:bookmarkEnd w:id="1048"/>
      <w:bookmarkEnd w:id="1049"/>
      <w:bookmarkEnd w:id="1050"/>
      <w:bookmarkEnd w:id="1051"/>
      <w:bookmarkEnd w:id="1052"/>
      <w:bookmarkEnd w:id="1053"/>
      <w:bookmarkEnd w:id="1054"/>
      <w:bookmarkEnd w:id="1055"/>
      <w:bookmarkEnd w:id="1056"/>
    </w:p>
    <w:p w14:paraId="77B051F3">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云南拓航工程管理咨询有限公司</w:t>
      </w:r>
    </w:p>
    <w:p w14:paraId="70356A9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公开招标</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中规定的货物及服务，并针对本项目的相关资格条款，我公司作出以下声明；</w:t>
      </w:r>
    </w:p>
    <w:p w14:paraId="6700CA2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bookmarkStart w:id="1073" w:name="_Toc3450"/>
      <w:bookmarkStart w:id="1074" w:name="_Toc26904"/>
      <w:bookmarkStart w:id="1075" w:name="_Toc5283"/>
      <w:bookmarkStart w:id="1076" w:name="_Toc28986"/>
      <w:bookmarkStart w:id="1077" w:name="_Toc14160"/>
      <w:bookmarkStart w:id="1078" w:name="_Toc26981"/>
      <w:bookmarkStart w:id="1079" w:name="_Toc23865"/>
      <w:bookmarkStart w:id="1080" w:name="_Toc30423"/>
      <w:bookmarkStart w:id="1081" w:name="_Toc10065"/>
      <w:r>
        <w:rPr>
          <w:rFonts w:hint="eastAsia" w:ascii="仿宋" w:hAnsi="仿宋" w:eastAsia="仿宋" w:cs="仿宋"/>
          <w:color w:val="auto"/>
          <w:sz w:val="24"/>
          <w:szCs w:val="24"/>
          <w:highlight w:val="none"/>
        </w:rPr>
        <w:t>1.我公司是依法注册的法人，在法律上、财务上和运作上完全独立于</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u w:val="single"/>
          <w:lang w:val="en-US" w:eastAsia="zh-CN"/>
        </w:rPr>
        <w:t>云南拓航工程管理咨询有限公司</w:t>
      </w:r>
    </w:p>
    <w:p w14:paraId="2DA571B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遵守国家有关的法律、法令和条例，以及符合并承认和履行招标文件中的各项规定。</w:t>
      </w:r>
    </w:p>
    <w:p w14:paraId="64E65E2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End w:id="1073"/>
      <w:bookmarkEnd w:id="1074"/>
      <w:bookmarkEnd w:id="1075"/>
      <w:bookmarkEnd w:id="1076"/>
      <w:bookmarkEnd w:id="1077"/>
      <w:bookmarkEnd w:id="1078"/>
      <w:bookmarkEnd w:id="1079"/>
      <w:bookmarkEnd w:id="1080"/>
      <w:bookmarkEnd w:id="1081"/>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1C92E89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7547D1C1">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3D72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710E6E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noWrap w:val="0"/>
            <w:vAlign w:val="center"/>
          </w:tcPr>
          <w:p w14:paraId="6D8358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noWrap w:val="0"/>
            <w:vAlign w:val="center"/>
          </w:tcPr>
          <w:p w14:paraId="05FFEB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2A544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66D7D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noWrap w:val="0"/>
            <w:vAlign w:val="center"/>
          </w:tcPr>
          <w:p w14:paraId="5284EB2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1E1E847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312B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04CF96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noWrap w:val="0"/>
            <w:vAlign w:val="center"/>
          </w:tcPr>
          <w:p w14:paraId="64C819F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40645FC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70E0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3F9AA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noWrap w:val="0"/>
            <w:vAlign w:val="center"/>
          </w:tcPr>
          <w:p w14:paraId="6A56D1F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70C9ED6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6428526">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1B39985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D087D94">
      <w:pPr>
        <w:pStyle w:val="30"/>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32FFFF88">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8C24D5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5B835FE">
      <w:pPr>
        <w:keepNext w:val="0"/>
        <w:keepLines w:val="0"/>
        <w:pageBreakBefore w:val="0"/>
        <w:widowControl w:val="0"/>
        <w:kinsoku/>
        <w:wordWrap w:val="0"/>
        <w:overflowPunct w:val="0"/>
        <w:topLinePunct/>
        <w:bidi w:val="0"/>
        <w:adjustRightInd/>
        <w:snapToGrid/>
        <w:spacing w:before="63" w:beforeLines="20" w:after="63" w:afterLines="20" w:line="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（电子公章）</w:t>
      </w:r>
    </w:p>
    <w:p w14:paraId="220DA9F9">
      <w:pPr>
        <w:keepNext w:val="0"/>
        <w:keepLines w:val="0"/>
        <w:pageBreakBefore w:val="0"/>
        <w:widowControl w:val="0"/>
        <w:kinsoku/>
        <w:wordWrap w:val="0"/>
        <w:overflowPunct w:val="0"/>
        <w:topLinePunct/>
        <w:bidi w:val="0"/>
        <w:adjustRightInd/>
        <w:snapToGrid/>
        <w:spacing w:before="63" w:beforeLines="20" w:after="63" w:afterLines="20" w:line="0" w:lineRule="atLeast"/>
        <w:jc w:val="center"/>
        <w:outlineLvl w:val="1"/>
        <w:rPr>
          <w:rFonts w:hint="eastAsia" w:ascii="仿宋" w:hAnsi="仿宋" w:eastAsia="仿宋" w:cs="仿宋"/>
          <w:color w:val="auto"/>
          <w:sz w:val="24"/>
          <w:szCs w:val="24"/>
          <w:highlight w:val="none"/>
          <w:u w:val="single"/>
        </w:rPr>
      </w:pPr>
      <w:bookmarkStart w:id="1082" w:name="_Toc19428"/>
      <w:bookmarkStart w:id="1083" w:name="_Toc22019"/>
      <w:bookmarkStart w:id="1084" w:name="_Toc2101"/>
      <w:bookmarkStart w:id="1085" w:name="_Toc8792"/>
      <w:bookmarkStart w:id="1086" w:name="_Toc29188"/>
      <w:bookmarkStart w:id="1087" w:name="_Toc13847"/>
      <w:bookmarkStart w:id="1088" w:name="_Toc4675"/>
      <w:bookmarkStart w:id="1089" w:name="_Toc27762"/>
      <w:bookmarkStart w:id="1090" w:name="_Toc11847"/>
      <w:bookmarkStart w:id="1091" w:name="_Toc5323"/>
      <w:bookmarkStart w:id="1092" w:name="_Toc14851"/>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082"/>
      <w:bookmarkEnd w:id="1083"/>
      <w:bookmarkEnd w:id="1084"/>
      <w:bookmarkEnd w:id="1085"/>
      <w:bookmarkEnd w:id="1086"/>
      <w:bookmarkEnd w:id="1087"/>
      <w:bookmarkEnd w:id="1088"/>
      <w:bookmarkEnd w:id="1089"/>
      <w:bookmarkEnd w:id="1090"/>
      <w:bookmarkEnd w:id="1091"/>
      <w:bookmarkEnd w:id="1092"/>
    </w:p>
    <w:p w14:paraId="661E4B49">
      <w:pPr>
        <w:keepNext w:val="0"/>
        <w:keepLines w:val="0"/>
        <w:pageBreakBefore w:val="0"/>
        <w:widowControl w:val="0"/>
        <w:kinsoku/>
        <w:bidi w:val="0"/>
        <w:adjustRightInd/>
        <w:snapToGrid/>
        <w:spacing w:before="63" w:beforeLines="20" w:after="63" w:afterLines="20" w:line="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DB96AE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135AF58">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ACC525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65EC278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4F48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2FBB793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rPr>
        <w:t>单位负责人，是指单位法定代表人或者法律、行政法规规定代表单位行使职权的主要负责人。</w:t>
      </w:r>
    </w:p>
    <w:p w14:paraId="55EB85FC">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2.</w:t>
      </w:r>
      <w:r>
        <w:rPr>
          <w:rFonts w:hint="eastAsia" w:ascii="仿宋" w:hAnsi="仿宋" w:eastAsia="仿宋" w:cs="仿宋"/>
          <w:b/>
          <w:color w:val="auto"/>
          <w:sz w:val="21"/>
          <w:szCs w:val="21"/>
          <w:highlight w:val="none"/>
        </w:rPr>
        <w:t>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237530B7">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rPr>
        <w:t>直接管理关系，是指不具有出资持股关系的其他单位之间存在的直接管理与被管理关系，如上下级关系的事业单位和团体组织。</w:t>
      </w:r>
    </w:p>
    <w:p w14:paraId="696E153A">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color w:val="auto"/>
          <w:sz w:val="40"/>
          <w:szCs w:val="24"/>
          <w:highlight w:val="none"/>
        </w:rPr>
      </w:pPr>
      <w:bookmarkStart w:id="1093" w:name="_Toc19200"/>
      <w:bookmarkStart w:id="1094" w:name="_Toc25946"/>
      <w:bookmarkStart w:id="1095" w:name="_Toc2607"/>
      <w:bookmarkStart w:id="1096" w:name="_Toc20617"/>
      <w:bookmarkStart w:id="1097" w:name="_Toc14317"/>
      <w:bookmarkStart w:id="1098" w:name="_Toc10708"/>
      <w:bookmarkStart w:id="1099" w:name="_Toc14390"/>
      <w:bookmarkStart w:id="1100" w:name="_Toc28297"/>
      <w:bookmarkStart w:id="1101" w:name="_Toc3515"/>
      <w:bookmarkStart w:id="1102" w:name="_Toc25347"/>
      <w:bookmarkStart w:id="1103" w:name="_Toc6890"/>
      <w:bookmarkStart w:id="1104" w:name="_Toc12270"/>
      <w:bookmarkStart w:id="1105" w:name="_Toc10657"/>
      <w:bookmarkStart w:id="1106" w:name="_Toc23453"/>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无串通投标行为的承诺函</w:t>
      </w:r>
      <w:bookmarkEnd w:id="1057"/>
      <w:bookmarkEnd w:id="1058"/>
      <w:bookmarkEnd w:id="1059"/>
      <w:bookmarkEnd w:id="1060"/>
      <w:r>
        <w:rPr>
          <w:rFonts w:hint="eastAsia" w:ascii="仿宋" w:hAnsi="仿宋" w:eastAsia="仿宋" w:cs="仿宋"/>
          <w:color w:val="auto"/>
          <w:sz w:val="28"/>
          <w:szCs w:val="28"/>
          <w:highlight w:val="none"/>
          <w:lang w:val="en-US" w:eastAsia="zh-CN"/>
        </w:rPr>
        <w:t>（实质性格式）</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Pr>
          <w:rFonts w:hint="eastAsia" w:ascii="仿宋" w:hAnsi="仿宋" w:eastAsia="仿宋" w:cs="仿宋"/>
          <w:color w:val="auto"/>
          <w:sz w:val="28"/>
          <w:szCs w:val="28"/>
          <w:highlight w:val="none"/>
          <w:lang w:val="en-US" w:eastAsia="zh-CN"/>
        </w:rPr>
        <w:t xml:space="preserve"> </w:t>
      </w:r>
    </w:p>
    <w:p w14:paraId="282E6386">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b/>
          <w:color w:val="000000" w:themeColor="text1"/>
          <w:kern w:val="0"/>
          <w:sz w:val="24"/>
          <w:highlight w:val="none"/>
          <w14:textFill>
            <w14:solidFill>
              <w14:schemeClr w14:val="tx1"/>
            </w14:solidFill>
          </w14:textFill>
        </w:rPr>
      </w:pPr>
      <w:bookmarkStart w:id="1107" w:name="_Toc6957"/>
      <w:r>
        <w:rPr>
          <w:rFonts w:hint="eastAsia" w:ascii="仿宋" w:hAnsi="仿宋" w:eastAsia="仿宋" w:cs="仿宋"/>
          <w:b/>
          <w:color w:val="000000" w:themeColor="text1"/>
          <w:kern w:val="0"/>
          <w:sz w:val="24"/>
          <w:highlight w:val="none"/>
          <w14:textFill>
            <w14:solidFill>
              <w14:schemeClr w14:val="tx1"/>
            </w14:solidFill>
          </w14:textFill>
        </w:rPr>
        <w:t>一、</w:t>
      </w:r>
      <w:r>
        <w:rPr>
          <w:rFonts w:hint="eastAsia" w:ascii="仿宋" w:hAnsi="仿宋" w:eastAsia="仿宋" w:cs="仿宋"/>
          <w:b/>
          <w:color w:val="000000" w:themeColor="text1"/>
          <w:kern w:val="0"/>
          <w:sz w:val="24"/>
          <w:highlight w:val="none"/>
          <w:lang w:eastAsia="zh-CN"/>
          <w14:textFill>
            <w14:solidFill>
              <w14:schemeClr w14:val="tx1"/>
            </w14:solidFill>
          </w14:textFill>
        </w:rPr>
        <w:t>我</w:t>
      </w:r>
      <w:r>
        <w:rPr>
          <w:rFonts w:hint="eastAsia" w:ascii="仿宋" w:hAnsi="仿宋" w:eastAsia="仿宋" w:cs="仿宋"/>
          <w:b/>
          <w:color w:val="000000" w:themeColor="text1"/>
          <w:kern w:val="0"/>
          <w:sz w:val="24"/>
          <w:highlight w:val="none"/>
          <w:lang w:val="en-US" w:eastAsia="zh-CN"/>
          <w14:textFill>
            <w14:solidFill>
              <w14:schemeClr w14:val="tx1"/>
            </w14:solidFill>
          </w14:textFill>
        </w:rPr>
        <w:t>公司承诺无下列恶意串通投标的情形（包括但不限于）</w:t>
      </w:r>
      <w:r>
        <w:rPr>
          <w:rFonts w:hint="eastAsia" w:ascii="仿宋" w:hAnsi="仿宋" w:eastAsia="仿宋" w:cs="仿宋"/>
          <w:b/>
          <w:color w:val="000000" w:themeColor="text1"/>
          <w:kern w:val="0"/>
          <w:sz w:val="24"/>
          <w:highlight w:val="none"/>
          <w14:textFill>
            <w14:solidFill>
              <w14:schemeClr w14:val="tx1"/>
            </w14:solidFill>
          </w14:textFill>
        </w:rPr>
        <w:t>：</w:t>
      </w:r>
      <w:bookmarkEnd w:id="1107"/>
    </w:p>
    <w:p w14:paraId="7C3F5C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（一）</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直接或者间接从采购人或者采购代理机构处获得其他</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的相关情况并修改其投标文件或者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w:t>
      </w:r>
    </w:p>
    <w:p w14:paraId="6863D32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按照采购人或者采购代理机构的授意撤换、修改投标文件或者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w:t>
      </w:r>
    </w:p>
    <w:p w14:paraId="123316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（三）</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之间协商报价、技术方案等投标文件或者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的实质性内容；</w:t>
      </w:r>
    </w:p>
    <w:p w14:paraId="33236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（四）属于同一集团、协会、商会等组织成员的</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按照该组织要求协同参加政府采购活动；</w:t>
      </w:r>
    </w:p>
    <w:p w14:paraId="45F1F62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（五）</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之间事先约定由某一特定</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中标、成交；</w:t>
      </w:r>
    </w:p>
    <w:p w14:paraId="544789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（六）</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之间商定部分</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放弃参加政府采购活动或者放弃中标、成交；</w:t>
      </w:r>
    </w:p>
    <w:p w14:paraId="6EB245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（七）</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与采购人或者采购代理机构之间、</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相互之间，为谋求特定</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中标、成交或者排斥其他</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的其他串通行为。</w:t>
      </w:r>
    </w:p>
    <w:p w14:paraId="6AC667D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000000" w:themeColor="text1"/>
          <w:kern w:val="0"/>
          <w:sz w:val="24"/>
          <w:highlight w:val="none"/>
          <w14:textFill>
            <w14:solidFill>
              <w14:schemeClr w14:val="tx1"/>
            </w14:solidFill>
          </w14:textFill>
        </w:rPr>
      </w:pPr>
      <w:bookmarkStart w:id="1108" w:name="_Toc27695"/>
      <w:r>
        <w:rPr>
          <w:rFonts w:hint="eastAsia" w:ascii="仿宋" w:hAnsi="仿宋" w:eastAsia="仿宋" w:cs="仿宋"/>
          <w:b/>
          <w:color w:val="000000" w:themeColor="text1"/>
          <w:kern w:val="0"/>
          <w:sz w:val="24"/>
          <w:highlight w:val="none"/>
          <w14:textFill>
            <w14:solidFill>
              <w14:schemeClr w14:val="tx1"/>
            </w14:solidFill>
          </w14:textFill>
        </w:rPr>
        <w:t>二、</w:t>
      </w:r>
      <w:r>
        <w:rPr>
          <w:rFonts w:hint="eastAsia" w:ascii="仿宋" w:hAnsi="仿宋" w:eastAsia="仿宋" w:cs="仿宋"/>
          <w:b/>
          <w:color w:val="000000" w:themeColor="text1"/>
          <w:kern w:val="0"/>
          <w:sz w:val="24"/>
          <w:highlight w:val="none"/>
          <w:lang w:eastAsia="zh-CN"/>
          <w14:textFill>
            <w14:solidFill>
              <w14:schemeClr w14:val="tx1"/>
            </w14:solidFill>
          </w14:textFill>
        </w:rPr>
        <w:t>我</w:t>
      </w:r>
      <w:r>
        <w:rPr>
          <w:rFonts w:hint="eastAsia" w:ascii="仿宋" w:hAnsi="仿宋" w:eastAsia="仿宋" w:cs="仿宋"/>
          <w:b/>
          <w:color w:val="000000" w:themeColor="text1"/>
          <w:kern w:val="0"/>
          <w:sz w:val="24"/>
          <w:highlight w:val="none"/>
          <w:lang w:val="en-US" w:eastAsia="zh-CN"/>
          <w14:textFill>
            <w14:solidFill>
              <w14:schemeClr w14:val="tx1"/>
            </w14:solidFill>
          </w14:textFill>
        </w:rPr>
        <w:t>公司承诺无下列相互串通投标的情形（包括但不限于）</w:t>
      </w:r>
      <w:r>
        <w:rPr>
          <w:rFonts w:hint="eastAsia" w:ascii="仿宋" w:hAnsi="仿宋" w:eastAsia="仿宋" w:cs="仿宋"/>
          <w:b/>
          <w:color w:val="000000" w:themeColor="text1"/>
          <w:kern w:val="0"/>
          <w:sz w:val="24"/>
          <w:highlight w:val="none"/>
          <w14:textFill>
            <w14:solidFill>
              <w14:schemeClr w14:val="tx1"/>
            </w14:solidFill>
          </w14:textFill>
        </w:rPr>
        <w:t>：</w:t>
      </w:r>
      <w:bookmarkEnd w:id="1108"/>
    </w:p>
    <w:p w14:paraId="70C1043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（一）不同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的投标文件由同一单位或者个人编制；</w:t>
      </w:r>
    </w:p>
    <w:p w14:paraId="7B23A8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（二）不同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委托同一单位或者个人办理投标事宜；</w:t>
      </w:r>
    </w:p>
    <w:p w14:paraId="01BB1C0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（三）不同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的投标文件载明的项目管理成员或者联系人员为同一人；</w:t>
      </w:r>
    </w:p>
    <w:p w14:paraId="6D01BB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（四）不同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的投标文件异常一致或者投标报价呈规律性差异；</w:t>
      </w:r>
    </w:p>
    <w:p w14:paraId="7168302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（五）不同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的投标文件相互混装；</w:t>
      </w:r>
    </w:p>
    <w:p w14:paraId="6C8624B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（六）不同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的投标保证金从同一单位或者个人的账户转出。</w:t>
      </w:r>
    </w:p>
    <w:p w14:paraId="47DDB98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000000" w:themeColor="text1"/>
          <w:kern w:val="0"/>
          <w:sz w:val="24"/>
          <w:highlight w:val="none"/>
          <w14:textFill>
            <w14:solidFill>
              <w14:schemeClr w14:val="tx1"/>
            </w14:solidFill>
          </w14:textFill>
        </w:rPr>
        <w:t>以上情形一经核查属实，我方愿意承担一切后果，并不再寻求任何旨在减轻或者免除法律责任的辩解</w:t>
      </w:r>
      <w:r>
        <w:rPr>
          <w:rFonts w:hint="eastAsia" w:ascii="仿宋" w:hAnsi="仿宋" w:eastAsia="仿宋" w:cs="仿宋"/>
          <w:b/>
          <w:color w:val="auto"/>
          <w:kern w:val="0"/>
          <w:sz w:val="24"/>
          <w:highlight w:val="none"/>
        </w:rPr>
        <w:t>。</w:t>
      </w:r>
    </w:p>
    <w:p w14:paraId="2818DAA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53716B3F">
      <w:pPr>
        <w:wordWrap w:val="0"/>
        <w:overflowPunct w:val="0"/>
        <w:topLinePunct/>
        <w:spacing w:line="360" w:lineRule="auto"/>
        <w:jc w:val="left"/>
        <w:rPr>
          <w:rFonts w:hint="eastAsia" w:ascii="仿宋" w:hAnsi="仿宋" w:eastAsia="仿宋" w:cs="仿宋"/>
          <w:color w:val="auto"/>
          <w:sz w:val="24"/>
          <w:highlight w:val="none"/>
          <w:lang w:eastAsia="zh-CN"/>
        </w:rPr>
      </w:pPr>
    </w:p>
    <w:p w14:paraId="65E57853">
      <w:pPr>
        <w:wordWrap w:val="0"/>
        <w:overflowPunct w:val="0"/>
        <w:topLinePunct/>
        <w:spacing w:line="360" w:lineRule="auto"/>
        <w:jc w:val="left"/>
        <w:rPr>
          <w:rFonts w:hint="eastAsia" w:ascii="仿宋" w:hAnsi="仿宋" w:eastAsia="仿宋" w:cs="仿宋"/>
          <w:color w:val="auto"/>
          <w:sz w:val="24"/>
          <w:highlight w:val="none"/>
          <w:lang w:eastAsia="zh-CN"/>
        </w:rPr>
      </w:pPr>
    </w:p>
    <w:p w14:paraId="577EABB5">
      <w:pPr>
        <w:wordWrap w:val="0"/>
        <w:overflowPunct w:val="0"/>
        <w:topLinePunct/>
        <w:spacing w:line="360" w:lineRule="auto"/>
        <w:jc w:val="left"/>
        <w:rPr>
          <w:rFonts w:hint="eastAsia" w:ascii="仿宋" w:hAnsi="仿宋" w:eastAsia="仿宋" w:cs="仿宋"/>
          <w:color w:val="auto"/>
          <w:sz w:val="24"/>
          <w:highlight w:val="none"/>
          <w:lang w:eastAsia="zh-CN"/>
        </w:rPr>
      </w:pPr>
    </w:p>
    <w:p w14:paraId="6ECF1C5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9DC0BC4">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109" w:name="_Toc31825"/>
      <w:bookmarkStart w:id="1110" w:name="_Toc9216"/>
      <w:bookmarkStart w:id="1111" w:name="_Toc11005"/>
      <w:bookmarkStart w:id="1112" w:name="_Toc27773"/>
      <w:bookmarkStart w:id="1113" w:name="_Toc16604"/>
      <w:bookmarkStart w:id="1114" w:name="_Toc10443"/>
      <w:bookmarkStart w:id="1115" w:name="_Toc13274"/>
      <w:bookmarkStart w:id="1116" w:name="_Toc16803"/>
      <w:bookmarkStart w:id="1117" w:name="_Toc17160"/>
      <w:bookmarkStart w:id="1118" w:name="_Toc731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09"/>
      <w:bookmarkEnd w:id="1110"/>
      <w:bookmarkEnd w:id="1111"/>
      <w:bookmarkEnd w:id="1112"/>
      <w:bookmarkEnd w:id="1113"/>
      <w:bookmarkEnd w:id="1114"/>
      <w:bookmarkEnd w:id="1115"/>
      <w:bookmarkEnd w:id="1116"/>
      <w:bookmarkEnd w:id="1117"/>
      <w:bookmarkEnd w:id="1118"/>
    </w:p>
    <w:p w14:paraId="4FD4D4C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color w:val="auto"/>
          <w:kern w:val="0"/>
          <w:sz w:val="24"/>
          <w:highlight w:val="none"/>
          <w:lang w:val="en-US" w:eastAsia="zh-CN"/>
        </w:rPr>
        <w:sectPr>
          <w:footerReference r:id="rId11" w:type="first"/>
          <w:footerReference r:id="rId10"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06F37B1">
      <w:pPr>
        <w:jc w:val="center"/>
        <w:outlineLvl w:val="1"/>
        <w:rPr>
          <w:rFonts w:hint="eastAsia" w:ascii="仿宋" w:hAnsi="仿宋" w:eastAsia="仿宋" w:cs="仿宋"/>
          <w:b/>
          <w:bCs/>
          <w:color w:val="auto"/>
          <w:sz w:val="32"/>
          <w:szCs w:val="32"/>
          <w:highlight w:val="none"/>
          <w:lang w:val="en-US" w:eastAsia="zh-CN"/>
        </w:rPr>
      </w:pPr>
      <w:bookmarkStart w:id="1119" w:name="_Toc12343"/>
      <w:bookmarkStart w:id="1120" w:name="_Toc16335"/>
      <w:bookmarkStart w:id="1121" w:name="_Toc8670"/>
      <w:bookmarkStart w:id="1122" w:name="_Toc22255"/>
      <w:bookmarkStart w:id="1123" w:name="_Toc14138"/>
      <w:bookmarkStart w:id="1124" w:name="_Toc5455"/>
      <w:bookmarkStart w:id="1125" w:name="_Toc19107"/>
      <w:bookmarkStart w:id="1126" w:name="_Toc2263"/>
      <w:bookmarkStart w:id="1127" w:name="_Toc20820"/>
      <w:bookmarkStart w:id="1128" w:name="_Toc18548"/>
      <w:bookmarkStart w:id="1129" w:name="_Toc10101"/>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w:t>
      </w:r>
      <w:bookmarkEnd w:id="1061"/>
      <w:bookmarkEnd w:id="1062"/>
      <w:bookmarkEnd w:id="1063"/>
      <w:bookmarkEnd w:id="1064"/>
      <w:bookmarkEnd w:id="1065"/>
      <w:bookmarkEnd w:id="1066"/>
      <w:bookmarkEnd w:id="1067"/>
      <w:bookmarkEnd w:id="1068"/>
      <w:bookmarkEnd w:id="1069"/>
      <w:bookmarkEnd w:id="1070"/>
      <w:bookmarkEnd w:id="1071"/>
      <w:bookmarkEnd w:id="1072"/>
      <w:r>
        <w:rPr>
          <w:rFonts w:hint="eastAsia" w:ascii="仿宋" w:hAnsi="仿宋" w:eastAsia="仿宋" w:cs="仿宋"/>
          <w:b/>
          <w:bCs/>
          <w:color w:val="auto"/>
          <w:sz w:val="28"/>
          <w:szCs w:val="28"/>
          <w:highlight w:val="none"/>
        </w:rPr>
        <w:t>本项目的特定资格</w:t>
      </w:r>
      <w:r>
        <w:rPr>
          <w:rFonts w:hint="eastAsia" w:ascii="仿宋" w:hAnsi="仿宋" w:eastAsia="仿宋" w:cs="仿宋"/>
          <w:b/>
          <w:bCs/>
          <w:color w:val="auto"/>
          <w:sz w:val="28"/>
          <w:szCs w:val="28"/>
          <w:highlight w:val="none"/>
          <w:lang w:val="en-US" w:eastAsia="zh-CN"/>
        </w:rPr>
        <w:t>证明文件</w:t>
      </w:r>
      <w:bookmarkEnd w:id="1119"/>
      <w:bookmarkEnd w:id="1120"/>
      <w:bookmarkEnd w:id="1121"/>
      <w:bookmarkEnd w:id="1122"/>
      <w:bookmarkEnd w:id="1123"/>
      <w:bookmarkEnd w:id="1124"/>
      <w:bookmarkEnd w:id="1125"/>
      <w:bookmarkEnd w:id="1126"/>
      <w:bookmarkEnd w:id="1127"/>
      <w:bookmarkEnd w:id="1128"/>
      <w:bookmarkEnd w:id="1129"/>
      <w:r>
        <w:rPr>
          <w:rFonts w:hint="eastAsia" w:ascii="仿宋" w:hAnsi="仿宋" w:eastAsia="仿宋" w:cs="仿宋"/>
          <w:b/>
          <w:bCs/>
          <w:color w:val="auto"/>
          <w:sz w:val="32"/>
          <w:szCs w:val="32"/>
          <w:highlight w:val="none"/>
          <w:lang w:val="en-US" w:eastAsia="zh-CN"/>
        </w:rPr>
        <w:t xml:space="preserve"> </w:t>
      </w:r>
    </w:p>
    <w:p w14:paraId="0B780F6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highlight w:val="none"/>
          <w:lang w:eastAsia="zh-CN"/>
        </w:rPr>
      </w:pPr>
      <w:bookmarkStart w:id="1130" w:name="_Toc145164067"/>
    </w:p>
    <w:p w14:paraId="762BB64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w:t>
      </w:r>
      <w:r>
        <w:rPr>
          <w:rFonts w:hint="eastAsia" w:ascii="仿宋" w:hAnsi="仿宋" w:eastAsia="仿宋" w:cs="仿宋"/>
          <w:color w:val="auto"/>
          <w:sz w:val="24"/>
          <w:highlight w:val="none"/>
          <w:lang w:val="en-US" w:eastAsia="zh-CN"/>
        </w:rPr>
        <w:t>四</w:t>
      </w:r>
      <w:r>
        <w:rPr>
          <w:rFonts w:hint="eastAsia" w:ascii="仿宋" w:hAnsi="仿宋" w:eastAsia="仿宋" w:cs="仿宋"/>
          <w:color w:val="auto"/>
          <w:sz w:val="24"/>
          <w:highlight w:val="none"/>
        </w:rPr>
        <w:t>章 评审办法”资格审查标准</w:t>
      </w:r>
    </w:p>
    <w:p w14:paraId="661D2F8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rPr>
        <w:t>相关要求。</w:t>
      </w:r>
    </w:p>
    <w:p w14:paraId="159A396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bCs/>
          <w:color w:val="auto"/>
          <w:sz w:val="30"/>
          <w:szCs w:val="30"/>
          <w:highlight w:val="none"/>
          <w:lang w:val="en-US" w:eastAsia="zh-CN"/>
        </w:rPr>
      </w:pPr>
    </w:p>
    <w:p w14:paraId="6D9C2A9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bCs/>
          <w:color w:val="auto"/>
          <w:sz w:val="30"/>
          <w:szCs w:val="30"/>
          <w:highlight w:val="none"/>
          <w:lang w:val="en-US" w:eastAsia="zh-CN"/>
        </w:rPr>
      </w:pPr>
    </w:p>
    <w:p w14:paraId="150715B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z w:val="30"/>
          <w:szCs w:val="30"/>
          <w:highlight w:val="none"/>
          <w:lang w:val="en-US" w:eastAsia="zh-CN"/>
        </w:rPr>
      </w:pPr>
    </w:p>
    <w:p w14:paraId="1C9E9F95">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2EFE4A3">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4A16EEC6">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7DD5770B">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203B8DD">
      <w:pPr>
        <w:rPr>
          <w:rFonts w:hint="eastAsia" w:ascii="仿宋" w:hAnsi="仿宋" w:eastAsia="仿宋" w:cs="仿宋"/>
          <w:b/>
          <w:bCs/>
          <w:color w:val="auto"/>
          <w:sz w:val="32"/>
          <w:szCs w:val="32"/>
          <w:highlight w:val="none"/>
          <w:lang w:val="en-US" w:eastAsia="zh-CN"/>
        </w:rPr>
      </w:pPr>
    </w:p>
    <w:p w14:paraId="34A219E5">
      <w:pPr>
        <w:rPr>
          <w:rFonts w:hint="eastAsia" w:ascii="仿宋" w:hAnsi="仿宋" w:eastAsia="仿宋" w:cs="仿宋"/>
          <w:b/>
          <w:bCs/>
          <w:color w:val="auto"/>
          <w:sz w:val="32"/>
          <w:szCs w:val="32"/>
          <w:highlight w:val="none"/>
          <w:lang w:val="en-US" w:eastAsia="zh-CN"/>
        </w:rPr>
      </w:pPr>
    </w:p>
    <w:p w14:paraId="73C1B18E">
      <w:pPr>
        <w:rPr>
          <w:rFonts w:hint="eastAsia" w:ascii="仿宋" w:hAnsi="仿宋" w:eastAsia="仿宋" w:cs="仿宋"/>
          <w:b/>
          <w:bCs/>
          <w:color w:val="auto"/>
          <w:sz w:val="32"/>
          <w:szCs w:val="32"/>
          <w:highlight w:val="none"/>
          <w:lang w:val="en-US" w:eastAsia="zh-CN"/>
        </w:rPr>
      </w:pPr>
    </w:p>
    <w:p w14:paraId="1A42E81B">
      <w:pPr>
        <w:rPr>
          <w:rFonts w:hint="eastAsia" w:ascii="仿宋" w:hAnsi="仿宋" w:eastAsia="仿宋" w:cs="仿宋"/>
          <w:b/>
          <w:bCs/>
          <w:color w:val="auto"/>
          <w:sz w:val="32"/>
          <w:szCs w:val="32"/>
          <w:highlight w:val="none"/>
          <w:lang w:val="en-US" w:eastAsia="zh-CN"/>
        </w:rPr>
      </w:pPr>
    </w:p>
    <w:p w14:paraId="072C5444">
      <w:pPr>
        <w:rPr>
          <w:rFonts w:hint="eastAsia" w:ascii="仿宋" w:hAnsi="仿宋" w:eastAsia="仿宋" w:cs="仿宋"/>
          <w:b/>
          <w:bCs/>
          <w:color w:val="auto"/>
          <w:sz w:val="32"/>
          <w:szCs w:val="32"/>
          <w:highlight w:val="none"/>
          <w:lang w:val="en-US" w:eastAsia="zh-CN"/>
        </w:rPr>
      </w:pPr>
    </w:p>
    <w:p w14:paraId="062F0179">
      <w:pPr>
        <w:rPr>
          <w:rFonts w:hint="eastAsia" w:ascii="仿宋" w:hAnsi="仿宋" w:eastAsia="仿宋" w:cs="仿宋"/>
          <w:b/>
          <w:bCs/>
          <w:color w:val="auto"/>
          <w:sz w:val="32"/>
          <w:szCs w:val="32"/>
          <w:highlight w:val="none"/>
          <w:lang w:val="en-US" w:eastAsia="zh-CN"/>
        </w:rPr>
      </w:pPr>
    </w:p>
    <w:p w14:paraId="1A8BA76E">
      <w:pPr>
        <w:rPr>
          <w:rFonts w:hint="eastAsia" w:ascii="仿宋" w:hAnsi="仿宋" w:eastAsia="仿宋" w:cs="仿宋"/>
          <w:b/>
          <w:bCs/>
          <w:color w:val="auto"/>
          <w:sz w:val="32"/>
          <w:szCs w:val="32"/>
          <w:highlight w:val="none"/>
          <w:lang w:val="en-US" w:eastAsia="zh-CN"/>
        </w:rPr>
      </w:pPr>
    </w:p>
    <w:p w14:paraId="40C312ED">
      <w:pPr>
        <w:rPr>
          <w:rFonts w:hint="eastAsia" w:ascii="仿宋" w:hAnsi="仿宋" w:eastAsia="仿宋" w:cs="仿宋"/>
          <w:b/>
          <w:bCs/>
          <w:color w:val="auto"/>
          <w:sz w:val="32"/>
          <w:szCs w:val="32"/>
          <w:highlight w:val="none"/>
          <w:lang w:val="en-US" w:eastAsia="zh-CN"/>
        </w:rPr>
      </w:pPr>
    </w:p>
    <w:p w14:paraId="4B88832B">
      <w:pPr>
        <w:rPr>
          <w:rFonts w:hint="eastAsia" w:ascii="仿宋" w:hAnsi="仿宋" w:eastAsia="仿宋" w:cs="仿宋"/>
          <w:b/>
          <w:bCs/>
          <w:color w:val="auto"/>
          <w:sz w:val="32"/>
          <w:szCs w:val="32"/>
          <w:highlight w:val="none"/>
          <w:lang w:val="en-US" w:eastAsia="zh-CN"/>
        </w:rPr>
      </w:pPr>
    </w:p>
    <w:p w14:paraId="64360A30">
      <w:pPr>
        <w:rPr>
          <w:rFonts w:hint="eastAsia" w:ascii="仿宋" w:hAnsi="仿宋" w:eastAsia="仿宋" w:cs="仿宋"/>
          <w:b/>
          <w:bCs/>
          <w:color w:val="auto"/>
          <w:sz w:val="32"/>
          <w:szCs w:val="32"/>
          <w:highlight w:val="none"/>
          <w:lang w:val="en-US" w:eastAsia="zh-CN"/>
        </w:rPr>
      </w:pPr>
    </w:p>
    <w:p w14:paraId="12FE2810">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6203775D">
      <w:pPr>
        <w:rPr>
          <w:rFonts w:hint="eastAsia" w:ascii="仿宋" w:hAnsi="仿宋" w:eastAsia="仿宋" w:cs="仿宋"/>
          <w:b/>
          <w:bCs/>
          <w:color w:val="auto"/>
          <w:sz w:val="32"/>
          <w:szCs w:val="32"/>
          <w:highlight w:val="none"/>
          <w:lang w:val="en-US" w:eastAsia="zh-CN"/>
        </w:rPr>
      </w:pPr>
    </w:p>
    <w:p w14:paraId="2869623E">
      <w:pPr>
        <w:pStyle w:val="15"/>
        <w:rPr>
          <w:rFonts w:hint="eastAsia" w:ascii="仿宋" w:hAnsi="仿宋" w:eastAsia="仿宋" w:cs="仿宋"/>
          <w:b/>
          <w:bCs/>
          <w:color w:val="auto"/>
          <w:sz w:val="32"/>
          <w:szCs w:val="32"/>
          <w:highlight w:val="none"/>
          <w:lang w:val="en-US" w:eastAsia="zh-CN"/>
        </w:rPr>
      </w:pPr>
    </w:p>
    <w:p w14:paraId="784A06AA">
      <w:pPr>
        <w:pStyle w:val="15"/>
        <w:rPr>
          <w:rFonts w:hint="eastAsia" w:ascii="仿宋" w:hAnsi="仿宋" w:eastAsia="仿宋" w:cs="仿宋"/>
          <w:b/>
          <w:bCs/>
          <w:color w:val="auto"/>
          <w:sz w:val="32"/>
          <w:szCs w:val="32"/>
          <w:highlight w:val="none"/>
          <w:lang w:val="en-US" w:eastAsia="zh-CN"/>
        </w:rPr>
      </w:pPr>
    </w:p>
    <w:p w14:paraId="35474B88">
      <w:pPr>
        <w:pStyle w:val="15"/>
        <w:rPr>
          <w:rFonts w:hint="eastAsia" w:ascii="仿宋" w:hAnsi="仿宋" w:eastAsia="仿宋" w:cs="仿宋"/>
          <w:b/>
          <w:bCs/>
          <w:color w:val="auto"/>
          <w:sz w:val="32"/>
          <w:szCs w:val="32"/>
          <w:highlight w:val="none"/>
          <w:lang w:val="en-US" w:eastAsia="zh-CN"/>
        </w:rPr>
      </w:pPr>
    </w:p>
    <w:p w14:paraId="5444E3F5">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1D5F28FD">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79ADE11">
      <w:pPr>
        <w:rPr>
          <w:rFonts w:hint="eastAsia" w:ascii="仿宋" w:hAnsi="仿宋" w:eastAsia="仿宋" w:cs="仿宋"/>
          <w:b/>
          <w:bCs/>
          <w:color w:val="auto"/>
          <w:sz w:val="32"/>
          <w:szCs w:val="32"/>
          <w:highlight w:val="none"/>
          <w:lang w:val="en-US" w:eastAsia="zh-CN"/>
        </w:rPr>
      </w:pPr>
    </w:p>
    <w:p w14:paraId="216FFBAE">
      <w:pPr>
        <w:pStyle w:val="15"/>
        <w:rPr>
          <w:rFonts w:hint="eastAsia" w:ascii="仿宋" w:hAnsi="仿宋" w:eastAsia="仿宋" w:cs="仿宋"/>
          <w:color w:val="auto"/>
          <w:highlight w:val="none"/>
          <w:lang w:val="en-US" w:eastAsia="zh-CN"/>
        </w:rPr>
      </w:pPr>
    </w:p>
    <w:p w14:paraId="74BEF8AA">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bookmarkEnd w:id="1130"/>
    <w:p w14:paraId="23817DCE">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color w:val="auto"/>
          <w:sz w:val="28"/>
          <w:szCs w:val="28"/>
          <w:highlight w:val="none"/>
          <w:lang w:val="en-US" w:eastAsia="zh-CN"/>
        </w:rPr>
        <w:sectPr>
          <w:footerReference r:id="rId12" w:type="default"/>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sectPr>
      </w:pPr>
      <w:bookmarkStart w:id="1131" w:name="_Toc14821"/>
      <w:bookmarkStart w:id="1132" w:name="_Toc19034"/>
    </w:p>
    <w:bookmarkEnd w:id="1131"/>
    <w:bookmarkEnd w:id="1132"/>
    <w:p w14:paraId="1523F3F3">
      <w:pPr>
        <w:pStyle w:val="4"/>
        <w:jc w:val="center"/>
        <w:rPr>
          <w:rFonts w:hint="eastAsia" w:ascii="仿宋" w:hAnsi="仿宋" w:eastAsia="仿宋" w:cs="仿宋"/>
          <w:b w:val="0"/>
          <w:color w:val="auto"/>
          <w:highlight w:val="none"/>
          <w:lang w:eastAsia="zh-CN"/>
        </w:rPr>
      </w:pPr>
      <w:bookmarkStart w:id="1133" w:name="_Toc15822"/>
      <w:bookmarkStart w:id="1134" w:name="_Toc17347"/>
      <w:bookmarkStart w:id="1135" w:name="_Toc22372"/>
      <w:bookmarkStart w:id="1136" w:name="_Toc27318"/>
      <w:bookmarkStart w:id="1137" w:name="_Toc6708"/>
      <w:r>
        <w:rPr>
          <w:rStyle w:val="26"/>
          <w:rFonts w:hint="eastAsia" w:ascii="仿宋" w:hAnsi="仿宋" w:eastAsia="仿宋" w:cs="仿宋"/>
          <w:b/>
          <w:bCs/>
          <w:sz w:val="44"/>
          <w:szCs w:val="44"/>
          <w:lang w:val="en-US" w:eastAsia="zh-CN"/>
        </w:rPr>
        <w:t>报价</w:t>
      </w:r>
      <w:r>
        <w:rPr>
          <w:rStyle w:val="26"/>
          <w:rFonts w:hint="eastAsia" w:ascii="仿宋" w:hAnsi="仿宋" w:eastAsia="仿宋" w:cs="仿宋"/>
          <w:b/>
          <w:bCs/>
          <w:sz w:val="44"/>
          <w:szCs w:val="44"/>
          <w:lang w:eastAsia="zh-CN"/>
        </w:rPr>
        <w:t>部分</w:t>
      </w:r>
      <w:bookmarkEnd w:id="1133"/>
      <w:bookmarkEnd w:id="1134"/>
      <w:bookmarkEnd w:id="1135"/>
      <w:bookmarkEnd w:id="1136"/>
      <w:bookmarkEnd w:id="1137"/>
    </w:p>
    <w:p w14:paraId="099FC444">
      <w:pPr>
        <w:pStyle w:val="4"/>
        <w:bidi w:val="0"/>
        <w:jc w:val="center"/>
        <w:outlineLvl w:val="1"/>
        <w:rPr>
          <w:rFonts w:hint="eastAsia" w:ascii="仿宋" w:hAnsi="仿宋" w:eastAsia="仿宋" w:cs="仿宋"/>
          <w:color w:val="auto"/>
          <w:sz w:val="28"/>
          <w:szCs w:val="28"/>
          <w:highlight w:val="none"/>
          <w:lang w:val="en-US" w:eastAsia="zh-CN"/>
        </w:rPr>
      </w:pPr>
      <w:bookmarkStart w:id="1138" w:name="_Toc24607"/>
      <w:bookmarkStart w:id="1139" w:name="_Toc30656"/>
      <w:bookmarkStart w:id="1140" w:name="_Toc18783"/>
      <w:bookmarkStart w:id="1141" w:name="_Toc21143"/>
      <w:bookmarkStart w:id="1142" w:name="_Toc10605"/>
      <w:bookmarkStart w:id="1143" w:name="_Toc19698"/>
      <w:bookmarkStart w:id="1144" w:name="_Toc2199"/>
      <w:bookmarkStart w:id="1145" w:name="_Toc20840"/>
      <w:bookmarkStart w:id="1146" w:name="_Toc1452"/>
      <w:bookmarkStart w:id="1147" w:name="_Toc14293"/>
      <w:bookmarkStart w:id="1148" w:name="_Toc8360"/>
      <w:bookmarkStart w:id="1149" w:name="_Toc19622"/>
      <w:bookmarkStart w:id="1150" w:name="_Toc6010"/>
      <w:bookmarkStart w:id="1151" w:name="_Toc17485"/>
    </w:p>
    <w:p w14:paraId="59311212">
      <w:pPr>
        <w:pStyle w:val="4"/>
        <w:bidi w:val="0"/>
        <w:jc w:val="center"/>
        <w:outlineLvl w:val="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一、开标</w:t>
      </w:r>
      <w:r>
        <w:rPr>
          <w:rFonts w:hint="eastAsia" w:ascii="仿宋" w:hAnsi="仿宋" w:eastAsia="仿宋" w:cs="仿宋"/>
          <w:color w:val="auto"/>
          <w:sz w:val="28"/>
          <w:szCs w:val="28"/>
          <w:highlight w:val="none"/>
          <w:lang w:eastAsia="zh-CN"/>
        </w:rPr>
        <w:t>一览表</w:t>
      </w:r>
      <w:r>
        <w:rPr>
          <w:rFonts w:hint="eastAsia" w:ascii="仿宋" w:hAnsi="仿宋" w:eastAsia="仿宋" w:cs="仿宋"/>
          <w:color w:val="auto"/>
          <w:sz w:val="28"/>
          <w:szCs w:val="28"/>
          <w:highlight w:val="none"/>
          <w:lang w:val="en-US" w:eastAsia="zh-CN"/>
        </w:rPr>
        <w:t>（实质性格式）</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p>
    <w:p w14:paraId="692FDD19">
      <w:pPr>
        <w:keepNext w:val="0"/>
        <w:keepLines w:val="0"/>
        <w:pageBreakBefore w:val="0"/>
        <w:widowControl w:val="0"/>
        <w:numPr>
          <w:ilvl w:val="0"/>
          <w:numId w:val="0"/>
        </w:numPr>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14:paraId="13EE3A52">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4FF78E16">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26FA349A">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金额单位：人民币 元</w:t>
      </w:r>
    </w:p>
    <w:tbl>
      <w:tblPr>
        <w:tblStyle w:val="16"/>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2961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204E5744">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c>
          <w:tcPr>
            <w:tcW w:w="7911" w:type="dxa"/>
            <w:tcBorders>
              <w:right w:val="single" w:color="auto" w:sz="4" w:space="0"/>
            </w:tcBorders>
            <w:noWrap w:val="0"/>
            <w:vAlign w:val="center"/>
          </w:tcPr>
          <w:p w14:paraId="54452233">
            <w:pPr>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lang w:val="en-US" w:eastAsia="zh-CN"/>
              </w:rPr>
              <w:t xml:space="preserve">                            </w:t>
            </w:r>
          </w:p>
          <w:p w14:paraId="2C397352">
            <w:pPr>
              <w:pStyle w:val="7"/>
              <w:rPr>
                <w:rFonts w:hint="eastAsia" w:ascii="仿宋" w:hAnsi="仿宋" w:eastAsia="仿宋" w:cs="仿宋"/>
                <w:color w:val="auto"/>
                <w:highlight w:val="none"/>
                <w:lang w:val="en-US" w:eastAsia="zh-CN"/>
              </w:rPr>
            </w:pPr>
          </w:p>
          <w:p w14:paraId="436AB95B">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lang w:val="en-US" w:eastAsia="zh-CN"/>
              </w:rPr>
              <w:t xml:space="preserve">                            </w:t>
            </w:r>
          </w:p>
        </w:tc>
      </w:tr>
      <w:tr w14:paraId="64A1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2410" w:type="dxa"/>
            <w:noWrap w:val="0"/>
            <w:vAlign w:val="center"/>
          </w:tcPr>
          <w:p w14:paraId="534BE11C">
            <w:pPr>
              <w:ind w:firstLine="9" w:firstLineChars="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911" w:type="dxa"/>
            <w:tcBorders>
              <w:right w:val="single" w:color="auto" w:sz="4" w:space="0"/>
            </w:tcBorders>
            <w:noWrap w:val="0"/>
            <w:vAlign w:val="center"/>
          </w:tcPr>
          <w:p w14:paraId="513BA0F5">
            <w:pPr>
              <w:widowControl/>
              <w:rPr>
                <w:rFonts w:hint="eastAsia" w:ascii="仿宋" w:hAnsi="仿宋" w:eastAsia="仿宋" w:cs="仿宋"/>
                <w:color w:val="auto"/>
                <w:sz w:val="24"/>
                <w:szCs w:val="24"/>
                <w:highlight w:val="none"/>
              </w:rPr>
            </w:pPr>
          </w:p>
        </w:tc>
      </w:tr>
      <w:tr w14:paraId="6906C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1" w:hRule="atLeast"/>
          <w:jc w:val="center"/>
        </w:trPr>
        <w:tc>
          <w:tcPr>
            <w:tcW w:w="2410" w:type="dxa"/>
            <w:noWrap w:val="0"/>
            <w:vAlign w:val="center"/>
          </w:tcPr>
          <w:p w14:paraId="3085409E">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交货（交付）期</w:t>
            </w:r>
          </w:p>
        </w:tc>
        <w:tc>
          <w:tcPr>
            <w:tcW w:w="7911" w:type="dxa"/>
            <w:tcBorders>
              <w:right w:val="single" w:color="auto" w:sz="4" w:space="0"/>
            </w:tcBorders>
            <w:noWrap w:val="0"/>
            <w:vAlign w:val="center"/>
          </w:tcPr>
          <w:p w14:paraId="004E6AFB">
            <w:pPr>
              <w:widowControl/>
              <w:rPr>
                <w:rFonts w:hint="eastAsia" w:ascii="仿宋" w:hAnsi="仿宋" w:eastAsia="仿宋" w:cs="仿宋"/>
                <w:color w:val="auto"/>
                <w:sz w:val="24"/>
                <w:szCs w:val="24"/>
                <w:highlight w:val="none"/>
              </w:rPr>
            </w:pPr>
          </w:p>
        </w:tc>
      </w:tr>
      <w:tr w14:paraId="1342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8" w:hRule="atLeast"/>
          <w:jc w:val="center"/>
        </w:trPr>
        <w:tc>
          <w:tcPr>
            <w:tcW w:w="2410" w:type="dxa"/>
            <w:noWrap w:val="0"/>
            <w:vAlign w:val="center"/>
          </w:tcPr>
          <w:p w14:paraId="7C8515CB">
            <w:pPr>
              <w:keepNext w:val="0"/>
              <w:keepLines w:val="0"/>
              <w:pageBreakBefore w:val="0"/>
              <w:widowControl/>
              <w:kinsoku w:val="0"/>
              <w:wordWrap/>
              <w:overflowPunct/>
              <w:topLinePunct w:val="0"/>
              <w:autoSpaceDE w:val="0"/>
              <w:autoSpaceDN w:val="0"/>
              <w:bidi w:val="0"/>
              <w:adjustRightInd/>
              <w:snapToGrid/>
              <w:ind w:firstLine="9" w:firstLineChars="4"/>
              <w:jc w:val="center"/>
              <w:textAlignment w:val="baseline"/>
            </w:pPr>
            <w:r>
              <w:rPr>
                <w:rFonts w:hint="eastAsia" w:ascii="仿宋" w:hAnsi="仿宋" w:eastAsia="仿宋" w:cs="仿宋"/>
                <w:color w:val="auto"/>
                <w:sz w:val="24"/>
                <w:szCs w:val="24"/>
                <w:highlight w:val="none"/>
                <w:lang w:eastAsia="zh-CN"/>
              </w:rPr>
              <w:t>交货地点</w:t>
            </w:r>
          </w:p>
        </w:tc>
        <w:tc>
          <w:tcPr>
            <w:tcW w:w="7911" w:type="dxa"/>
            <w:tcBorders>
              <w:right w:val="single" w:color="auto" w:sz="4" w:space="0"/>
            </w:tcBorders>
            <w:noWrap w:val="0"/>
            <w:vAlign w:val="center"/>
          </w:tcPr>
          <w:p w14:paraId="50E4444D">
            <w:pPr>
              <w:keepNext w:val="0"/>
              <w:keepLines w:val="0"/>
              <w:pageBreakBefore w:val="0"/>
              <w:widowControl/>
              <w:kinsoku w:val="0"/>
              <w:wordWrap/>
              <w:overflowPunct/>
              <w:topLinePunct w:val="0"/>
              <w:autoSpaceDE w:val="0"/>
              <w:autoSpaceDN w:val="0"/>
              <w:bidi w:val="0"/>
              <w:adjustRightInd/>
              <w:snapToGrid/>
              <w:textAlignment w:val="baseline"/>
              <w:rPr>
                <w:rFonts w:hint="eastAsia" w:ascii="仿宋" w:hAnsi="仿宋" w:eastAsia="仿宋" w:cs="仿宋"/>
                <w:color w:val="auto"/>
                <w:sz w:val="24"/>
                <w:szCs w:val="24"/>
                <w:highlight w:val="none"/>
              </w:rPr>
            </w:pPr>
          </w:p>
        </w:tc>
      </w:tr>
      <w:tr w14:paraId="6B0E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2410" w:type="dxa"/>
            <w:noWrap w:val="0"/>
            <w:vAlign w:val="center"/>
          </w:tcPr>
          <w:p w14:paraId="69300067">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rPr>
                <w:rFonts w:hint="eastAsia" w:eastAsia="宋体"/>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投标有效期</w:t>
            </w:r>
          </w:p>
        </w:tc>
        <w:tc>
          <w:tcPr>
            <w:tcW w:w="7911" w:type="dxa"/>
            <w:tcBorders>
              <w:right w:val="single" w:color="auto" w:sz="4" w:space="0"/>
            </w:tcBorders>
            <w:noWrap w:val="0"/>
            <w:vAlign w:val="center"/>
          </w:tcPr>
          <w:p w14:paraId="42D6DE80">
            <w:pPr>
              <w:keepNext w:val="0"/>
              <w:keepLines w:val="0"/>
              <w:pageBreakBefore w:val="0"/>
              <w:widowControl/>
              <w:kinsoku w:val="0"/>
              <w:wordWrap/>
              <w:overflowPunct/>
              <w:topLinePunct w:val="0"/>
              <w:autoSpaceDE w:val="0"/>
              <w:autoSpaceDN w:val="0"/>
              <w:bidi w:val="0"/>
              <w:adjustRightInd/>
              <w:snapToGrid/>
              <w:spacing w:line="240" w:lineRule="auto"/>
              <w:textAlignment w:val="baseline"/>
              <w:rPr>
                <w:rFonts w:hint="eastAsia" w:ascii="仿宋" w:hAnsi="仿宋" w:eastAsia="仿宋" w:cs="仿宋"/>
                <w:color w:val="auto"/>
                <w:sz w:val="24"/>
                <w:szCs w:val="24"/>
                <w:highlight w:val="none"/>
              </w:rPr>
            </w:pPr>
          </w:p>
        </w:tc>
      </w:tr>
      <w:tr w14:paraId="3D75E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69" w:hRule="atLeast"/>
          <w:jc w:val="center"/>
        </w:trPr>
        <w:tc>
          <w:tcPr>
            <w:tcW w:w="2410" w:type="dxa"/>
            <w:noWrap w:val="0"/>
            <w:vAlign w:val="center"/>
          </w:tcPr>
          <w:p w14:paraId="64C68E35">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其他承诺或声明</w:t>
            </w:r>
          </w:p>
        </w:tc>
        <w:tc>
          <w:tcPr>
            <w:tcW w:w="7911" w:type="dxa"/>
            <w:tcBorders>
              <w:right w:val="single" w:color="auto" w:sz="4" w:space="0"/>
            </w:tcBorders>
            <w:noWrap w:val="0"/>
            <w:vAlign w:val="center"/>
          </w:tcPr>
          <w:p w14:paraId="43EF4286">
            <w:pPr>
              <w:widowControl/>
              <w:rPr>
                <w:rFonts w:hint="eastAsia" w:ascii="仿宋" w:hAnsi="仿宋" w:eastAsia="仿宋" w:cs="仿宋"/>
                <w:color w:val="auto"/>
                <w:sz w:val="24"/>
                <w:szCs w:val="24"/>
                <w:highlight w:val="none"/>
              </w:rPr>
            </w:pPr>
          </w:p>
        </w:tc>
      </w:tr>
    </w:tbl>
    <w:p w14:paraId="5FB1E135">
      <w:pPr>
        <w:keepNext w:val="0"/>
        <w:keepLines w:val="0"/>
        <w:pageBreakBefore w:val="0"/>
        <w:widowControl w:val="0"/>
        <w:kinsoku/>
        <w:wordWrap/>
        <w:overflowPunct w:val="0"/>
        <w:topLinePunct/>
        <w:autoSpaceDE/>
        <w:autoSpaceDN/>
        <w:bidi w:val="0"/>
        <w:adjustRightInd/>
        <w:snapToGrid/>
        <w:ind w:left="-88" w:leftChars="-42"/>
        <w:jc w:val="center"/>
        <w:rPr>
          <w:rFonts w:hint="eastAsia" w:ascii="仿宋" w:hAnsi="仿宋" w:eastAsia="仿宋" w:cs="仿宋"/>
          <w:color w:val="FF0000"/>
          <w:sz w:val="24"/>
          <w:szCs w:val="24"/>
          <w:highlight w:val="none"/>
          <w:lang w:val="en-US" w:eastAsia="zh-CN"/>
        </w:rPr>
      </w:pPr>
    </w:p>
    <w:p w14:paraId="40A0554C">
      <w:pPr>
        <w:wordWrap w:val="0"/>
        <w:overflowPunct w:val="0"/>
        <w:topLinePunct/>
        <w:spacing w:line="360" w:lineRule="auto"/>
        <w:jc w:val="center"/>
        <w:rPr>
          <w:rFonts w:hint="eastAsia" w:ascii="仿宋" w:hAnsi="仿宋" w:eastAsia="仿宋" w:cs="仿宋"/>
          <w:color w:val="auto"/>
          <w:sz w:val="24"/>
          <w:highlight w:val="none"/>
          <w:lang w:eastAsia="zh-CN"/>
        </w:rPr>
      </w:pPr>
    </w:p>
    <w:p w14:paraId="5A9C44ED">
      <w:pPr>
        <w:wordWrap w:val="0"/>
        <w:overflowPunct w:val="0"/>
        <w:topLinePunct/>
        <w:spacing w:line="360" w:lineRule="auto"/>
        <w:jc w:val="center"/>
        <w:rPr>
          <w:rFonts w:hint="eastAsia" w:ascii="仿宋" w:hAnsi="仿宋" w:eastAsia="仿宋" w:cs="仿宋"/>
          <w:color w:val="auto"/>
          <w:sz w:val="24"/>
          <w:highlight w:val="none"/>
          <w:lang w:eastAsia="zh-CN"/>
        </w:rPr>
      </w:pPr>
    </w:p>
    <w:p w14:paraId="2BFC4FEA">
      <w:pPr>
        <w:wordWrap w:val="0"/>
        <w:overflowPunct w:val="0"/>
        <w:topLinePunct/>
        <w:spacing w:line="360" w:lineRule="auto"/>
        <w:jc w:val="center"/>
        <w:rPr>
          <w:rFonts w:hint="eastAsia" w:ascii="仿宋" w:hAnsi="仿宋" w:eastAsia="仿宋" w:cs="仿宋"/>
          <w:color w:val="auto"/>
          <w:sz w:val="24"/>
          <w:highlight w:val="none"/>
          <w:lang w:eastAsia="zh-CN"/>
        </w:rPr>
      </w:pPr>
    </w:p>
    <w:p w14:paraId="3B291E94">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4BF7BBC">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07855C96">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73E4538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 w:val="24"/>
          <w:szCs w:val="24"/>
          <w:highlight w:val="none"/>
          <w:u w:val="single"/>
          <w:lang w:eastAsia="zh-CN"/>
        </w:rPr>
      </w:pPr>
      <w:bookmarkStart w:id="1152" w:name="_Toc20204"/>
      <w:bookmarkStart w:id="1153" w:name="_Toc4682"/>
      <w:bookmarkStart w:id="1154" w:name="_Toc30449"/>
      <w:bookmarkStart w:id="1155" w:name="_Toc12085"/>
      <w:bookmarkStart w:id="1156" w:name="_Toc3855"/>
      <w:bookmarkStart w:id="1157" w:name="_Toc11077"/>
      <w:bookmarkStart w:id="1158" w:name="_Toc5585"/>
      <w:bookmarkStart w:id="1159" w:name="_Toc23518"/>
      <w:bookmarkStart w:id="1160" w:name="_Toc30101"/>
      <w:bookmarkStart w:id="1161" w:name="_Toc765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52"/>
      <w:bookmarkEnd w:id="1153"/>
      <w:bookmarkEnd w:id="1154"/>
      <w:bookmarkEnd w:id="1155"/>
      <w:bookmarkEnd w:id="1156"/>
      <w:bookmarkEnd w:id="1157"/>
      <w:bookmarkEnd w:id="1158"/>
      <w:bookmarkEnd w:id="1159"/>
      <w:bookmarkEnd w:id="1160"/>
      <w:bookmarkEnd w:id="1161"/>
    </w:p>
    <w:p w14:paraId="520B725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0FD05EF8">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sectPr>
      </w:pPr>
    </w:p>
    <w:p w14:paraId="6EA47F34">
      <w:pPr>
        <w:keepNext w:val="0"/>
        <w:keepLines w:val="0"/>
        <w:pageBreakBefore w:val="0"/>
        <w:widowControl w:val="0"/>
        <w:kinsoku/>
        <w:wordWrap/>
        <w:overflowPunct w:val="0"/>
        <w:topLinePunct/>
        <w:autoSpaceDE/>
        <w:autoSpaceDN/>
        <w:bidi w:val="0"/>
        <w:adjustRightInd/>
        <w:snapToGrid/>
        <w:jc w:val="center"/>
        <w:outlineLvl w:val="1"/>
        <w:rPr>
          <w:rFonts w:hint="eastAsia" w:ascii="仿宋" w:hAnsi="仿宋" w:eastAsia="仿宋" w:cs="仿宋"/>
          <w:color w:val="auto"/>
          <w:szCs w:val="21"/>
          <w:highlight w:val="none"/>
          <w:lang w:eastAsia="zh-CN"/>
        </w:rPr>
      </w:pPr>
      <w:r>
        <w:rPr>
          <w:rStyle w:val="31"/>
          <w:rFonts w:hint="eastAsia" w:ascii="仿宋" w:hAnsi="仿宋" w:eastAsia="仿宋" w:cs="仿宋"/>
          <w:color w:val="auto"/>
          <w:sz w:val="28"/>
          <w:szCs w:val="28"/>
          <w:highlight w:val="none"/>
          <w:lang w:val="en-US" w:eastAsia="zh-CN"/>
        </w:rPr>
        <w:t>二、</w:t>
      </w:r>
      <w:r>
        <w:rPr>
          <w:rStyle w:val="31"/>
          <w:rFonts w:hint="eastAsia" w:ascii="仿宋" w:hAnsi="仿宋" w:eastAsia="仿宋" w:cs="仿宋"/>
          <w:color w:val="auto"/>
          <w:sz w:val="32"/>
          <w:szCs w:val="32"/>
          <w:highlight w:val="none"/>
          <w:lang w:val="en-US" w:eastAsia="zh-CN"/>
        </w:rPr>
        <w:t>分项报价表（实质性格式）</w:t>
      </w:r>
    </w:p>
    <w:p w14:paraId="561A5E5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p w14:paraId="716EF9A8">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72ACB4A">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48A7B802">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7850E199">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4"/>
          <w:highlight w:val="none"/>
        </w:rPr>
        <w:t>金额单位：人民币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single"/>
          <w:lang w:val="en-US" w:eastAsia="zh-CN"/>
        </w:rPr>
        <w:t xml:space="preserve"> </w:t>
      </w:r>
    </w:p>
    <w:p w14:paraId="216BE03F">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tbl>
      <w:tblPr>
        <w:tblStyle w:val="25"/>
        <w:tblW w:w="15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7"/>
        <w:gridCol w:w="1614"/>
        <w:gridCol w:w="1229"/>
        <w:gridCol w:w="1057"/>
        <w:gridCol w:w="1600"/>
        <w:gridCol w:w="1600"/>
        <w:gridCol w:w="1229"/>
        <w:gridCol w:w="1885"/>
        <w:gridCol w:w="772"/>
        <w:gridCol w:w="1257"/>
        <w:gridCol w:w="871"/>
        <w:gridCol w:w="834"/>
        <w:gridCol w:w="583"/>
      </w:tblGrid>
      <w:tr w14:paraId="005C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757" w:type="dxa"/>
            <w:vAlign w:val="center"/>
          </w:tcPr>
          <w:p w14:paraId="04666504">
            <w:pPr>
              <w:bidi w:val="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614" w:type="dxa"/>
            <w:vAlign w:val="center"/>
          </w:tcPr>
          <w:p w14:paraId="63174595">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标的名称（必填）</w:t>
            </w:r>
          </w:p>
        </w:tc>
        <w:tc>
          <w:tcPr>
            <w:tcW w:w="1229" w:type="dxa"/>
            <w:vAlign w:val="center"/>
          </w:tcPr>
          <w:p w14:paraId="4B914204">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所属行业</w:t>
            </w:r>
          </w:p>
        </w:tc>
        <w:tc>
          <w:tcPr>
            <w:tcW w:w="1057" w:type="dxa"/>
            <w:vAlign w:val="center"/>
          </w:tcPr>
          <w:p w14:paraId="6EA0CA6E">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品牌</w:t>
            </w:r>
          </w:p>
          <w:p w14:paraId="57DD3A89">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1600" w:type="dxa"/>
            <w:vAlign w:val="center"/>
          </w:tcPr>
          <w:p w14:paraId="12B9507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制造商</w:t>
            </w:r>
          </w:p>
        </w:tc>
        <w:tc>
          <w:tcPr>
            <w:tcW w:w="1600" w:type="dxa"/>
            <w:vAlign w:val="center"/>
          </w:tcPr>
          <w:p w14:paraId="0F1F1246">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型号（必填）/服务要求</w:t>
            </w:r>
          </w:p>
        </w:tc>
        <w:tc>
          <w:tcPr>
            <w:tcW w:w="1229" w:type="dxa"/>
            <w:vAlign w:val="center"/>
          </w:tcPr>
          <w:p w14:paraId="1BF66BEC">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节能/节水/环保</w:t>
            </w:r>
          </w:p>
        </w:tc>
        <w:tc>
          <w:tcPr>
            <w:tcW w:w="1885" w:type="dxa"/>
            <w:vAlign w:val="center"/>
          </w:tcPr>
          <w:p w14:paraId="6DCF8E62">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产地类型</w:t>
            </w:r>
          </w:p>
          <w:p w14:paraId="295FEF1D">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772" w:type="dxa"/>
            <w:vAlign w:val="center"/>
          </w:tcPr>
          <w:p w14:paraId="4C46BC71">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国家</w:t>
            </w:r>
          </w:p>
        </w:tc>
        <w:tc>
          <w:tcPr>
            <w:tcW w:w="1257" w:type="dxa"/>
            <w:vAlign w:val="center"/>
          </w:tcPr>
          <w:p w14:paraId="3A2830B7">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企业类型</w:t>
            </w:r>
          </w:p>
        </w:tc>
        <w:tc>
          <w:tcPr>
            <w:tcW w:w="871" w:type="dxa"/>
            <w:vAlign w:val="center"/>
          </w:tcPr>
          <w:p w14:paraId="36556EC5">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数量</w:t>
            </w:r>
          </w:p>
          <w:p w14:paraId="19A767B7">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834" w:type="dxa"/>
            <w:vAlign w:val="center"/>
          </w:tcPr>
          <w:p w14:paraId="27B2EA08">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单价</w:t>
            </w:r>
          </w:p>
          <w:p w14:paraId="5567843E">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583" w:type="dxa"/>
            <w:vAlign w:val="center"/>
          </w:tcPr>
          <w:p w14:paraId="3FDF9BB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合计</w:t>
            </w:r>
          </w:p>
        </w:tc>
      </w:tr>
      <w:tr w14:paraId="4077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4EEA4FE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614" w:type="dxa"/>
            <w:vAlign w:val="center"/>
          </w:tcPr>
          <w:p w14:paraId="7C0BD5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3F56FA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747E3E7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279E01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8F4EA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6B29D2B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77AA7AD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70A18C2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5FAB190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721443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34" w:type="dxa"/>
            <w:vAlign w:val="center"/>
          </w:tcPr>
          <w:p w14:paraId="3F8982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83" w:type="dxa"/>
            <w:vAlign w:val="center"/>
          </w:tcPr>
          <w:p w14:paraId="2679265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0FB79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7B10602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614" w:type="dxa"/>
            <w:vAlign w:val="center"/>
          </w:tcPr>
          <w:p w14:paraId="5D0F06D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12A9F4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1FAF7E5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6DC2A98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47FB98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45B30F0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743550A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0B273CB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6D89FD2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35B82DE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34" w:type="dxa"/>
            <w:vAlign w:val="center"/>
          </w:tcPr>
          <w:p w14:paraId="023D79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83" w:type="dxa"/>
            <w:vAlign w:val="center"/>
          </w:tcPr>
          <w:p w14:paraId="31827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E93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174AC9A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614" w:type="dxa"/>
            <w:vAlign w:val="center"/>
          </w:tcPr>
          <w:p w14:paraId="4A623FE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0CBD49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555D4EC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78C62C8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1A8C02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4AD53B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0AC51D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767163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7A3E123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2BC283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34" w:type="dxa"/>
            <w:vAlign w:val="center"/>
          </w:tcPr>
          <w:p w14:paraId="0AF245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83" w:type="dxa"/>
            <w:vAlign w:val="center"/>
          </w:tcPr>
          <w:p w14:paraId="65414D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492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071BA45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614" w:type="dxa"/>
            <w:vAlign w:val="center"/>
          </w:tcPr>
          <w:p w14:paraId="675547D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66426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4187BB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CA7933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474D9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035026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46BFA54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1856597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04B784E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3ACB6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34" w:type="dxa"/>
            <w:vAlign w:val="center"/>
          </w:tcPr>
          <w:p w14:paraId="34518A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83" w:type="dxa"/>
            <w:vAlign w:val="center"/>
          </w:tcPr>
          <w:p w14:paraId="30C0E0F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2693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5288" w:type="dxa"/>
            <w:gridSpan w:val="13"/>
            <w:vAlign w:val="center"/>
          </w:tcPr>
          <w:p w14:paraId="1897B07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共计：</w:t>
            </w:r>
          </w:p>
        </w:tc>
      </w:tr>
    </w:tbl>
    <w:p w14:paraId="060DE277">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注：</w:t>
      </w:r>
    </w:p>
    <w:p w14:paraId="7BD344DA">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（1）★投标人须对所投标项的所有产品进行整体投标报价，不得缺项漏项，否则按不实质性响应招标文件要求处理。</w:t>
      </w:r>
    </w:p>
    <w:p w14:paraId="140770EE">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 xml:space="preserve">（2）如所投设备为中型、小型、微型企业产品，须在上表“企业类型”中全部体现并明确。 </w:t>
      </w:r>
    </w:p>
    <w:p w14:paraId="26FAEEFD">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auto"/>
          <w:sz w:val="20"/>
          <w:szCs w:val="21"/>
          <w:highlight w:val="none"/>
        </w:rPr>
      </w:pPr>
      <w:r>
        <w:rPr>
          <w:rFonts w:hint="eastAsia" w:ascii="仿宋" w:hAnsi="仿宋" w:eastAsia="仿宋" w:cs="仿宋"/>
          <w:b/>
          <w:bCs/>
          <w:color w:val="auto"/>
          <w:sz w:val="21"/>
          <w:szCs w:val="21"/>
          <w:highlight w:val="none"/>
          <w:lang w:val="en-US" w:eastAsia="zh-CN" w:bidi="ar"/>
        </w:rPr>
        <w:t>（3）投标人对填写生产制造企业的企业类型负责，如有虚假，将依法承担相应责任</w:t>
      </w:r>
      <w:r>
        <w:rPr>
          <w:rFonts w:hint="eastAsia" w:ascii="仿宋" w:hAnsi="仿宋" w:eastAsia="仿宋" w:cs="仿宋"/>
          <w:b/>
          <w:color w:val="auto"/>
          <w:sz w:val="20"/>
          <w:szCs w:val="21"/>
          <w:highlight w:val="none"/>
        </w:rPr>
        <w:t>。</w:t>
      </w:r>
    </w:p>
    <w:p w14:paraId="29739E92">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val="en-US" w:eastAsia="zh-CN"/>
        </w:rPr>
        <w:t>4</w:t>
      </w: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eastAsia="zh-CN"/>
        </w:rPr>
        <w:t>投标人</w:t>
      </w:r>
      <w:r>
        <w:rPr>
          <w:rFonts w:hint="eastAsia" w:ascii="仿宋" w:hAnsi="仿宋" w:eastAsia="仿宋" w:cs="仿宋"/>
          <w:b/>
          <w:color w:val="auto"/>
          <w:sz w:val="20"/>
          <w:szCs w:val="21"/>
          <w:highlight w:val="none"/>
        </w:rPr>
        <w:t>可根据项目性质自行增减行数，但不得对表格中规定的内容进行更改。</w:t>
      </w:r>
    </w:p>
    <w:p w14:paraId="6E2F4B4A">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p>
    <w:p w14:paraId="0A57F56A">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CA08DE7">
      <w:pPr>
        <w:keepNext w:val="0"/>
        <w:keepLines w:val="0"/>
        <w:pageBreakBefore w:val="0"/>
        <w:widowControl w:val="0"/>
        <w:kinsoku/>
        <w:wordWrap w:val="0"/>
        <w:overflowPunct w:val="0"/>
        <w:topLinePunct/>
        <w:autoSpaceDE/>
        <w:autoSpaceDN/>
        <w:bidi w:val="0"/>
        <w:adjustRightInd/>
        <w:snapToGrid/>
        <w:spacing w:line="360" w:lineRule="auto"/>
        <w:jc w:val="both"/>
        <w:textAlignment w:val="auto"/>
        <w:outlineLvl w:val="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49662F2">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2C696A92">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pPr>
    </w:p>
    <w:p w14:paraId="63EB1621">
      <w:pPr>
        <w:rPr>
          <w:rFonts w:hint="eastAsia" w:ascii="仿宋" w:hAnsi="仿宋" w:eastAsia="仿宋" w:cs="仿宋"/>
          <w:b/>
          <w:bCs/>
          <w:color w:val="000000"/>
          <w:sz w:val="32"/>
          <w:szCs w:val="32"/>
          <w:lang w:val="en-US" w:eastAsia="zh-CN"/>
        </w:rPr>
        <w:sectPr>
          <w:pgSz w:w="16838" w:h="11906" w:orient="landscape"/>
          <w:pgMar w:top="1080" w:right="1134" w:bottom="1080" w:left="1134" w:header="720" w:footer="907" w:gutter="0"/>
          <w:pgBorders>
            <w:top w:val="none" w:sz="0" w:space="0"/>
            <w:left w:val="none" w:sz="0" w:space="0"/>
            <w:bottom w:val="none" w:sz="0" w:space="0"/>
            <w:right w:val="none" w:sz="0" w:space="0"/>
          </w:pgBorders>
          <w:pgNumType w:fmt="decimal"/>
          <w:cols w:space="720" w:num="1"/>
          <w:rtlGutter w:val="0"/>
        </w:sectPr>
      </w:pPr>
      <w:bookmarkStart w:id="1162" w:name="_Toc23692"/>
      <w:bookmarkStart w:id="1163" w:name="_Toc19233"/>
      <w:r>
        <w:rPr>
          <w:rFonts w:hint="eastAsia" w:ascii="仿宋" w:hAnsi="仿宋" w:eastAsia="仿宋" w:cs="仿宋"/>
          <w:b/>
          <w:bCs/>
          <w:color w:val="000000"/>
          <w:sz w:val="32"/>
          <w:szCs w:val="32"/>
          <w:lang w:val="en-US" w:eastAsia="zh-CN"/>
        </w:rPr>
        <w:br w:type="page"/>
      </w:r>
    </w:p>
    <w:p w14:paraId="03E469D6">
      <w:pPr>
        <w:rPr>
          <w:rFonts w:hint="eastAsia" w:ascii="仿宋" w:hAnsi="仿宋" w:eastAsia="仿宋" w:cs="仿宋"/>
          <w:b/>
          <w:bCs/>
          <w:color w:val="000000"/>
          <w:sz w:val="32"/>
          <w:szCs w:val="32"/>
          <w:lang w:val="en-US" w:eastAsia="zh-CN"/>
        </w:rPr>
      </w:pPr>
    </w:p>
    <w:p w14:paraId="63C23A53">
      <w:pPr>
        <w:wordWrap w:val="0"/>
        <w:overflowPunct w:val="0"/>
        <w:topLinePunct/>
        <w:jc w:val="center"/>
        <w:outlineLvl w:val="1"/>
        <w:rPr>
          <w:rFonts w:hint="eastAsia" w:ascii="仿宋" w:hAnsi="仿宋" w:eastAsia="仿宋" w:cs="仿宋"/>
          <w:b/>
          <w:bCs/>
          <w:color w:val="auto"/>
          <w:sz w:val="28"/>
          <w:szCs w:val="28"/>
          <w:highlight w:val="none"/>
        </w:rPr>
      </w:pPr>
      <w:r>
        <w:rPr>
          <w:rFonts w:hint="eastAsia" w:ascii="仿宋" w:hAnsi="仿宋" w:eastAsia="仿宋" w:cs="仿宋"/>
          <w:b/>
          <w:bCs/>
          <w:color w:val="000000"/>
          <w:sz w:val="32"/>
          <w:szCs w:val="32"/>
          <w:lang w:val="en-US" w:eastAsia="zh-CN"/>
        </w:rPr>
        <w:t>三、</w:t>
      </w:r>
      <w:bookmarkEnd w:id="1162"/>
      <w:bookmarkStart w:id="1164" w:name="_Toc9901"/>
      <w:bookmarkStart w:id="1165" w:name="_Toc25916"/>
      <w:bookmarkStart w:id="1166" w:name="_Toc32557"/>
      <w:bookmarkStart w:id="1167" w:name="_Toc30860"/>
      <w:bookmarkStart w:id="1168" w:name="_Toc26367"/>
      <w:bookmarkStart w:id="1169" w:name="_Toc6574"/>
      <w:bookmarkStart w:id="1170" w:name="_Toc15219"/>
      <w:bookmarkStart w:id="1171" w:name="_Toc16354"/>
      <w:bookmarkStart w:id="1172" w:name="_Toc11920"/>
      <w:bookmarkStart w:id="1173" w:name="_Toc6244"/>
      <w:bookmarkStart w:id="1174" w:name="_Toc25002"/>
      <w:bookmarkStart w:id="1175" w:name="_Toc13036"/>
      <w:bookmarkStart w:id="1176" w:name="_Toc2034"/>
      <w:bookmarkStart w:id="1177" w:name="_Toc25464"/>
      <w:bookmarkStart w:id="1178" w:name="_Toc29820"/>
      <w:r>
        <w:rPr>
          <w:rFonts w:hint="eastAsia" w:ascii="仿宋" w:hAnsi="仿宋" w:eastAsia="仿宋" w:cs="仿宋"/>
          <w:b/>
          <w:bCs/>
          <w:color w:val="auto"/>
          <w:sz w:val="32"/>
          <w:szCs w:val="32"/>
          <w:highlight w:val="none"/>
          <w:lang w:eastAsia="zh-CN"/>
        </w:rPr>
        <w:t>落实政府采购政策</w:t>
      </w:r>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p>
    <w:p w14:paraId="62743AE1">
      <w:pPr>
        <w:wordWrap w:val="0"/>
        <w:overflowPunct w:val="0"/>
        <w:topLinePunct/>
        <w:jc w:val="center"/>
        <w:outlineLvl w:val="9"/>
        <w:rPr>
          <w:rFonts w:hint="eastAsia" w:ascii="仿宋" w:hAnsi="仿宋" w:eastAsia="仿宋" w:cs="仿宋"/>
          <w:color w:val="auto"/>
          <w:szCs w:val="30"/>
          <w:highlight w:val="none"/>
        </w:rPr>
      </w:pPr>
    </w:p>
    <w:p w14:paraId="34735308">
      <w:pPr>
        <w:wordWrap w:val="0"/>
        <w:overflowPunct w:val="0"/>
        <w:topLinePunct/>
        <w:spacing w:line="360" w:lineRule="auto"/>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w:t>
      </w:r>
    </w:p>
    <w:p w14:paraId="69578DD7">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5ED8FA3F">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2）对于联合体中由中小企业承担的部分，或者分包给中小企业的部分，必须全部由中小企业制造、承建或者承接。投标人应当在声明函“标的名称”部分标明联合体中中小企业承担的具体内容或者中小企业的具体分包内容。 </w:t>
      </w:r>
    </w:p>
    <w:p w14:paraId="095EEE4D">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3）对于多标的采购项目，投标人应充分、准确地了解所提供货物的制造企业、提供服务的承接企业信息。对相关情况了解不清楚的，不建议填报本声明函。</w:t>
      </w:r>
    </w:p>
    <w:p w14:paraId="05F52EEF">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zh-CN" w:eastAsia="zh-CN"/>
        </w:rPr>
        <w:t>4）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前附表》，如在该程序中未找到本项目文件规定的中小企业划分标准所属行业，则按照《关于印发中小企业划型标准规定的通知（工信部联企业﹝2011﹞300 号）》及本项目文件规定的中小企业划分标准所属行业执行。</w:t>
      </w:r>
      <w:bookmarkStart w:id="1179" w:name="_Toc13683"/>
      <w:bookmarkStart w:id="1180" w:name="_Toc31097"/>
      <w:bookmarkStart w:id="1181" w:name="_Toc29802"/>
      <w:bookmarkStart w:id="1182" w:name="_Toc4785"/>
      <w:bookmarkStart w:id="1183" w:name="_Toc29581"/>
      <w:bookmarkStart w:id="1184" w:name="_Toc31351"/>
      <w:bookmarkStart w:id="1185" w:name="_Toc6532"/>
      <w:bookmarkStart w:id="1186" w:name="_Toc10388"/>
      <w:bookmarkStart w:id="1187" w:name="_Toc4362"/>
      <w:bookmarkStart w:id="1188" w:name="_Toc3101"/>
      <w:bookmarkStart w:id="1189" w:name="_Toc30990"/>
      <w:bookmarkStart w:id="1190" w:name="_Toc11649"/>
      <w:bookmarkStart w:id="1191" w:name="_Toc7953"/>
      <w:bookmarkStart w:id="1192" w:name="_Toc3382"/>
      <w:bookmarkStart w:id="1193" w:name="_Toc16149"/>
      <w:bookmarkStart w:id="1194" w:name="_Toc15831"/>
      <w:bookmarkStart w:id="1195" w:name="_Toc6169"/>
      <w:bookmarkStart w:id="1196" w:name="_Toc9989"/>
      <w:bookmarkStart w:id="1197" w:name="_Toc25444"/>
      <w:bookmarkStart w:id="1198" w:name="_Toc32564"/>
      <w:bookmarkStart w:id="1199" w:name="_Toc29070"/>
      <w:bookmarkStart w:id="1200" w:name="_Toc9189"/>
      <w:bookmarkStart w:id="1201" w:name="_Toc5567"/>
      <w:bookmarkStart w:id="1202" w:name="_Toc13096"/>
      <w:bookmarkStart w:id="1203" w:name="_Toc18460"/>
    </w:p>
    <w:p w14:paraId="0AE98C5B">
      <w:pPr>
        <w:wordWrap w:val="0"/>
        <w:overflowPunct w:val="0"/>
        <w:topLinePunct/>
        <w:spacing w:line="360" w:lineRule="auto"/>
        <w:ind w:firstLine="480" w:firstLineChars="200"/>
        <w:jc w:val="left"/>
        <w:rPr>
          <w:rFonts w:hint="eastAsia" w:ascii="仿宋" w:hAnsi="仿宋" w:eastAsia="仿宋" w:cs="仿宋"/>
          <w:color w:val="auto"/>
          <w:sz w:val="24"/>
          <w:highlight w:val="none"/>
          <w:lang w:val="en-US" w:eastAsia="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val="zh-CN" w:eastAsia="zh-CN"/>
        </w:rPr>
        <w:t>）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w:t>
      </w:r>
      <w:r>
        <w:rPr>
          <w:rFonts w:hint="eastAsia" w:ascii="仿宋" w:hAnsi="仿宋" w:eastAsia="仿宋" w:cs="仿宋"/>
          <w:color w:val="auto"/>
          <w:sz w:val="24"/>
          <w:highlight w:val="none"/>
          <w:lang w:val="en-US" w:eastAsia="zh-CN"/>
        </w:rPr>
        <w:t>包</w:t>
      </w:r>
      <w:r>
        <w:rPr>
          <w:rFonts w:hint="eastAsia" w:ascii="仿宋" w:hAnsi="仿宋" w:eastAsia="仿宋" w:cs="仿宋"/>
          <w:color w:val="auto"/>
          <w:sz w:val="24"/>
          <w:highlight w:val="none"/>
          <w:lang w:val="zh-CN" w:eastAsia="zh-CN"/>
        </w:rPr>
        <w:t>中含有多种产品的，供应商还应当提供《关于本国产品比例的承诺函》。</w:t>
      </w:r>
    </w:p>
    <w:p w14:paraId="6624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i w:val="0"/>
          <w:iCs w:val="0"/>
          <w:color w:val="auto"/>
          <w:sz w:val="22"/>
          <w:szCs w:val="22"/>
          <w:highlight w:val="none"/>
          <w:lang w:val="en-US" w:eastAsia="zh-CN"/>
        </w:rPr>
      </w:pPr>
      <w:bookmarkStart w:id="1204" w:name="_Toc27261"/>
      <w:bookmarkStart w:id="1205" w:name="_Toc7683"/>
      <w:bookmarkStart w:id="1206" w:name="_Toc5034"/>
      <w:bookmarkStart w:id="1207" w:name="_Toc7090"/>
      <w:bookmarkStart w:id="1208" w:name="_Toc6156"/>
      <w:bookmarkStart w:id="1209" w:name="_Toc14451"/>
      <w:bookmarkStart w:id="1210" w:name="_Toc10936"/>
      <w:bookmarkStart w:id="1211" w:name="_Toc19520"/>
      <w:bookmarkStart w:id="1212" w:name="_Toc5426"/>
      <w:bookmarkStart w:id="1213" w:name="_Toc3976"/>
      <w:bookmarkStart w:id="1214" w:name="_Toc26620"/>
      <w:bookmarkStart w:id="1215" w:name="_Toc24522"/>
      <w:bookmarkStart w:id="1216" w:name="_Toc26557"/>
      <w:bookmarkStart w:id="1217" w:name="_Toc5639"/>
      <w:bookmarkStart w:id="1218" w:name="_Toc8646"/>
      <w:r>
        <w:rPr>
          <w:rFonts w:hint="eastAsia" w:ascii="仿宋" w:hAnsi="仿宋" w:eastAsia="仿宋" w:cs="仿宋"/>
          <w:b/>
          <w:bCs/>
          <w:i w:val="0"/>
          <w:iCs w:val="0"/>
          <w:color w:val="auto"/>
          <w:sz w:val="28"/>
          <w:szCs w:val="28"/>
          <w:highlight w:val="none"/>
          <w:lang w:val="en-US" w:eastAsia="zh-CN"/>
        </w:rPr>
        <w:t>中小企业声明函（货物）</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14:paraId="7D5313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61B29D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1CDF90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27AF80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1DAE0C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4B3571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28CC60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1F2E339B">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p>
    <w:p w14:paraId="1E1377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00A449C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D7505D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630CFD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34EE062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756235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（电子公章）</w:t>
      </w:r>
    </w:p>
    <w:p w14:paraId="5A7C71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22861B30">
      <w:pPr>
        <w:pStyle w:val="7"/>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69BA9656">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1560346">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7ED330C4">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EC3777A">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4075AF">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CCEDC61">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F857CCA">
      <w:pPr>
        <w:pStyle w:val="1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bookmarkStart w:id="1219" w:name="_Toc13592"/>
      <w:bookmarkStart w:id="1220" w:name="_Toc5927"/>
      <w:bookmarkStart w:id="1221" w:name="_Toc4282"/>
      <w:bookmarkStart w:id="1222" w:name="_Toc19525"/>
      <w:bookmarkStart w:id="1223" w:name="_Toc31050"/>
      <w:bookmarkStart w:id="1224" w:name="_Toc18540"/>
      <w:bookmarkStart w:id="1225" w:name="_Toc515908228"/>
      <w:bookmarkStart w:id="1226" w:name="_Toc1572"/>
      <w:bookmarkStart w:id="1227" w:name="_Toc991"/>
    </w:p>
    <w:p w14:paraId="151B7B7F">
      <w:pPr>
        <w:pStyle w:val="1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 w:val="0"/>
          <w:color w:val="auto"/>
          <w:sz w:val="30"/>
          <w:szCs w:val="30"/>
          <w:highlight w:val="none"/>
        </w:rPr>
      </w:pPr>
      <w:bookmarkStart w:id="1228" w:name="_Toc8038"/>
      <w:bookmarkStart w:id="1229" w:name="_Toc31247"/>
      <w:bookmarkStart w:id="1230" w:name="_Toc25597"/>
      <w:bookmarkStart w:id="1231" w:name="_Toc12561"/>
      <w:bookmarkStart w:id="1232" w:name="_Toc17945"/>
      <w:bookmarkStart w:id="1233" w:name="_Toc12749"/>
      <w:bookmarkStart w:id="1234" w:name="_Toc30821"/>
      <w:bookmarkStart w:id="1235" w:name="_Toc13642"/>
      <w:bookmarkStart w:id="1236" w:name="_Toc27571"/>
      <w:bookmarkStart w:id="1237" w:name="_Toc24407"/>
      <w:bookmarkStart w:id="1238" w:name="_Toc23749"/>
      <w:bookmarkStart w:id="1239" w:name="_Toc3522"/>
      <w:bookmarkStart w:id="1240" w:name="_Toc20255"/>
      <w:bookmarkStart w:id="1241" w:name="_Toc21610"/>
      <w:bookmarkStart w:id="1242" w:name="_Toc5620"/>
      <w:bookmarkStart w:id="1243" w:name="_Toc28166"/>
      <w:bookmarkStart w:id="1244" w:name="_Toc3342"/>
      <w:bookmarkStart w:id="1245" w:name="_Toc4303"/>
      <w:bookmarkStart w:id="1246" w:name="_Toc30322"/>
      <w:bookmarkStart w:id="1247" w:name="_Toc26327"/>
      <w:bookmarkStart w:id="1248" w:name="_Toc30489"/>
      <w:bookmarkStart w:id="1249" w:name="_Toc8964"/>
      <w:bookmarkStart w:id="1250" w:name="_Toc16676"/>
      <w:bookmarkStart w:id="1251" w:name="_Toc20833"/>
      <w:bookmarkStart w:id="1252" w:name="_Toc23323"/>
      <w:bookmarkStart w:id="1253" w:name="_Toc28979"/>
      <w:bookmarkStart w:id="1254" w:name="_Toc13667"/>
      <w:bookmarkStart w:id="1255" w:name="_Toc23027"/>
      <w:bookmarkStart w:id="1256" w:name="_Toc29933"/>
      <w:bookmarkStart w:id="1257" w:name="_Toc31390"/>
      <w:bookmarkStart w:id="1258" w:name="_Toc26487"/>
      <w:bookmarkStart w:id="1259" w:name="_Toc12525"/>
      <w:bookmarkStart w:id="1260" w:name="_Toc12660"/>
      <w:bookmarkStart w:id="1261" w:name="_Toc27655"/>
      <w:bookmarkStart w:id="1262" w:name="_Toc3944"/>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p>
    <w:p w14:paraId="2ECEDC79">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5B722E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517C9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89B91B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621CFD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512601B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DE412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5457DFC">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D82A56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CBFE45">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663A384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0925789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B7B575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8D0941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3949531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2A5EA2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8F525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565A0C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680E8A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124F31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（电子公章）</w:t>
      </w:r>
    </w:p>
    <w:p w14:paraId="68233CE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60E63E1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E4263A">
      <w:pPr>
        <w:pStyle w:val="12"/>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color w:val="auto"/>
          <w:sz w:val="22"/>
          <w:szCs w:val="22"/>
          <w:highlight w:val="none"/>
        </w:rPr>
      </w:pPr>
      <w:bookmarkStart w:id="1263" w:name="_Toc27186"/>
      <w:bookmarkStart w:id="1264" w:name="_Toc21718"/>
      <w:bookmarkStart w:id="1265" w:name="_Toc24860"/>
      <w:bookmarkStart w:id="1266" w:name="_Toc19777"/>
      <w:bookmarkStart w:id="1267" w:name="_Toc21829"/>
      <w:bookmarkStart w:id="1268" w:name="_Toc29078"/>
      <w:bookmarkStart w:id="1269" w:name="_Toc18265"/>
      <w:bookmarkStart w:id="1270" w:name="_Toc28662"/>
      <w:bookmarkStart w:id="1271" w:name="_Toc29894"/>
      <w:bookmarkStart w:id="1272" w:name="_Toc13397"/>
      <w:bookmarkStart w:id="1273" w:name="_Toc1388"/>
      <w:bookmarkStart w:id="1274" w:name="_Toc21004"/>
      <w:bookmarkStart w:id="1275" w:name="_Toc21220"/>
      <w:bookmarkStart w:id="1276" w:name="_Toc12345"/>
      <w:bookmarkStart w:id="1277" w:name="_Toc28512"/>
      <w:bookmarkStart w:id="1278" w:name="_Toc15186"/>
      <w:bookmarkStart w:id="1279" w:name="_Toc24011"/>
      <w:bookmarkStart w:id="1280" w:name="_Toc27477"/>
      <w:bookmarkStart w:id="1281" w:name="_Toc2219"/>
      <w:bookmarkStart w:id="1282" w:name="_Toc17582"/>
      <w:bookmarkStart w:id="1283" w:name="_Toc3442"/>
      <w:bookmarkStart w:id="1284" w:name="_Toc3658"/>
      <w:bookmarkStart w:id="1285" w:name="_Toc7575"/>
      <w:bookmarkStart w:id="1286" w:name="_Toc8182"/>
      <w:bookmarkStart w:id="1287" w:name="_Toc3712"/>
      <w:bookmarkStart w:id="1288" w:name="_Toc24184"/>
      <w:bookmarkStart w:id="1289" w:name="_Toc25936"/>
      <w:bookmarkStart w:id="1290" w:name="_Toc20260"/>
      <w:bookmarkStart w:id="1291" w:name="_Toc21948"/>
      <w:bookmarkStart w:id="1292" w:name="_Toc7854"/>
      <w:bookmarkStart w:id="1293" w:name="_Toc6778"/>
      <w:bookmarkStart w:id="1294" w:name="_Toc19429"/>
      <w:bookmarkStart w:id="1295" w:name="_Toc451"/>
      <w:bookmarkStart w:id="1296" w:name="_Toc18227"/>
      <w:bookmarkStart w:id="1297" w:name="_Toc23316"/>
      <w:bookmarkStart w:id="1298" w:name="_Toc5961"/>
      <w:bookmarkStart w:id="1299" w:name="_Toc4375"/>
      <w:bookmarkStart w:id="1300" w:name="_Toc31166"/>
      <w:bookmarkStart w:id="1301" w:name="_Toc4256"/>
      <w:bookmarkStart w:id="1302" w:name="_Toc8740"/>
      <w:bookmarkStart w:id="1303" w:name="_Toc14312"/>
      <w:bookmarkStart w:id="1304" w:name="_Toc27539"/>
      <w:r>
        <w:rPr>
          <w:rFonts w:hint="eastAsia" w:ascii="仿宋" w:hAnsi="仿宋" w:eastAsia="仿宋" w:cs="仿宋"/>
          <w:b/>
          <w:bCs/>
          <w:color w:val="auto"/>
          <w:sz w:val="28"/>
          <w:szCs w:val="28"/>
          <w:highlight w:val="none"/>
        </w:rPr>
        <w:t>监狱企业声明函</w:t>
      </w:r>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p>
    <w:p w14:paraId="4A7A438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51BC559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本公司郑重声明，根据《关于政府采购支持监狱企业发展有关问题的通知》（财库</w:t>
      </w:r>
      <w:r>
        <w:rPr>
          <w:rFonts w:hint="eastAsia" w:ascii="仿宋" w:hAnsi="仿宋" w:eastAsia="仿宋" w:cs="仿宋"/>
          <w:color w:val="auto"/>
          <w:sz w:val="24"/>
          <w:szCs w:val="24"/>
          <w:highlight w:val="none"/>
          <w:lang w:eastAsia="zh-CN"/>
        </w:rPr>
        <w:t>〔2014〕</w:t>
      </w:r>
      <w:r>
        <w:rPr>
          <w:rFonts w:hint="eastAsia" w:ascii="仿宋" w:hAnsi="仿宋" w:eastAsia="仿宋" w:cs="仿宋"/>
          <w:color w:val="auto"/>
          <w:sz w:val="24"/>
          <w:szCs w:val="24"/>
          <w:highlight w:val="none"/>
        </w:rPr>
        <w:t>68 号）的规定，本公司为监狱企业。</w:t>
      </w:r>
    </w:p>
    <w:p w14:paraId="01E15BD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根据上述标准，我公司属于监狱企业的理由为：</w:t>
      </w:r>
    </w:p>
    <w:p w14:paraId="721A2B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305" w:name="_Toc13508"/>
      <w:bookmarkStart w:id="1306" w:name="_Toc21392"/>
      <w:bookmarkStart w:id="1307" w:name="_Toc1480"/>
      <w:bookmarkStart w:id="1308" w:name="_Toc738"/>
      <w:bookmarkStart w:id="1309" w:name="_Toc10980"/>
      <w:bookmarkStart w:id="1310" w:name="_Toc26888"/>
      <w:bookmarkStart w:id="1311" w:name="_Toc9548"/>
      <w:bookmarkStart w:id="1312" w:name="_Toc6373"/>
      <w:bookmarkStart w:id="1313" w:name="_Toc4816"/>
      <w:bookmarkStart w:id="1314" w:name="_Toc31896"/>
      <w:bookmarkStart w:id="1315" w:name="_Toc2104"/>
      <w:bookmarkStart w:id="1316" w:name="_Toc23621"/>
      <w:bookmarkStart w:id="1317" w:name="_Toc22432"/>
      <w:bookmarkStart w:id="1318" w:name="_Toc9022"/>
      <w:bookmarkStart w:id="1319" w:name="_Toc15073"/>
      <w:bookmarkStart w:id="1320" w:name="_Toc21660"/>
      <w:bookmarkStart w:id="1321" w:name="_Toc31990"/>
      <w:bookmarkStart w:id="1322" w:name="_Toc2869"/>
      <w:bookmarkStart w:id="1323" w:name="_Toc7890"/>
      <w:bookmarkStart w:id="1324" w:name="_Toc17052"/>
      <w:bookmarkStart w:id="1325" w:name="_Toc1015"/>
      <w:bookmarkStart w:id="1326" w:name="_Toc20412"/>
      <w:bookmarkStart w:id="1327" w:name="_Toc21415"/>
      <w:bookmarkStart w:id="1328" w:name="_Toc26209"/>
      <w:bookmarkStart w:id="1329" w:name="_Toc6301"/>
      <w:bookmarkStart w:id="1330" w:name="_Toc28"/>
      <w:bookmarkStart w:id="1331" w:name="_Toc9956"/>
      <w:bookmarkStart w:id="1332" w:name="_Toc6171"/>
      <w:bookmarkStart w:id="1333" w:name="_Toc18008"/>
      <w:bookmarkStart w:id="1334" w:name="_Toc30129"/>
      <w:bookmarkStart w:id="1335" w:name="_Toc32680"/>
      <w:bookmarkStart w:id="1336" w:name="_Toc22325"/>
      <w:bookmarkStart w:id="1337" w:name="_Toc28879"/>
      <w:bookmarkStart w:id="1338" w:name="_Toc20595"/>
      <w:bookmarkStart w:id="1339" w:name="_Toc11261"/>
      <w:bookmarkStart w:id="1340" w:name="_Toc9210"/>
      <w:bookmarkStart w:id="1341" w:name="_Toc17344"/>
      <w:bookmarkStart w:id="1342" w:name="_Toc28812"/>
      <w:bookmarkStart w:id="1343" w:name="_Toc23466"/>
      <w:bookmarkStart w:id="1344" w:name="_Toc31432"/>
      <w:bookmarkStart w:id="1345" w:name="_Toc3070"/>
      <w:bookmarkStart w:id="1346" w:name="_Toc22729"/>
      <w:bookmarkStart w:id="1347" w:name="_Toc16117"/>
      <w:bookmarkStart w:id="1348" w:name="_Toc24342"/>
      <w:bookmarkStart w:id="1349" w:name="_Toc26304"/>
      <w:bookmarkStart w:id="1350" w:name="_Toc5764"/>
      <w:bookmarkStart w:id="1351" w:name="_Toc8013"/>
      <w:bookmarkStart w:id="1352" w:name="_Toc139"/>
      <w:r>
        <w:rPr>
          <w:rFonts w:hint="eastAsia" w:ascii="仿宋" w:hAnsi="仿宋" w:eastAsia="仿宋" w:cs="仿宋"/>
          <w:color w:val="auto"/>
          <w:sz w:val="24"/>
          <w:szCs w:val="24"/>
          <w:highlight w:val="none"/>
          <w:lang w:val="en-US" w:eastAsia="zh-CN"/>
        </w:rPr>
        <w:t>1、</w:t>
      </w:r>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p>
    <w:p w14:paraId="7E231C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353" w:name="_Toc12358"/>
      <w:bookmarkStart w:id="1354" w:name="_Toc21190"/>
      <w:bookmarkStart w:id="1355" w:name="_Toc9638"/>
      <w:bookmarkStart w:id="1356" w:name="_Toc7385"/>
      <w:bookmarkStart w:id="1357" w:name="_Toc18958"/>
      <w:bookmarkStart w:id="1358" w:name="_Toc7389"/>
      <w:bookmarkStart w:id="1359" w:name="_Toc26415"/>
      <w:bookmarkStart w:id="1360" w:name="_Toc14473"/>
      <w:bookmarkStart w:id="1361" w:name="_Toc29787"/>
      <w:bookmarkStart w:id="1362" w:name="_Toc9157"/>
      <w:bookmarkStart w:id="1363" w:name="_Toc12984"/>
      <w:bookmarkStart w:id="1364" w:name="_Toc10259"/>
      <w:bookmarkStart w:id="1365" w:name="_Toc19995"/>
      <w:bookmarkStart w:id="1366" w:name="_Toc25974"/>
      <w:bookmarkStart w:id="1367" w:name="_Toc22253"/>
      <w:bookmarkStart w:id="1368" w:name="_Toc17825"/>
      <w:bookmarkStart w:id="1369" w:name="_Toc25186"/>
      <w:bookmarkStart w:id="1370" w:name="_Toc17791"/>
      <w:bookmarkStart w:id="1371" w:name="_Toc27447"/>
      <w:bookmarkStart w:id="1372" w:name="_Toc4584"/>
      <w:bookmarkStart w:id="1373" w:name="_Toc19413"/>
      <w:bookmarkStart w:id="1374" w:name="_Toc29815"/>
      <w:bookmarkStart w:id="1375" w:name="_Toc32561"/>
      <w:bookmarkStart w:id="1376" w:name="_Toc27967"/>
      <w:bookmarkStart w:id="1377" w:name="_Toc2698"/>
      <w:bookmarkStart w:id="1378" w:name="_Toc25751"/>
      <w:bookmarkStart w:id="1379" w:name="_Toc29889"/>
      <w:bookmarkStart w:id="1380" w:name="_Toc17261"/>
      <w:bookmarkStart w:id="1381" w:name="_Toc11720"/>
      <w:bookmarkStart w:id="1382" w:name="_Toc9330"/>
      <w:bookmarkStart w:id="1383" w:name="_Toc12669"/>
      <w:bookmarkStart w:id="1384" w:name="_Toc18997"/>
      <w:bookmarkStart w:id="1385" w:name="_Toc565"/>
      <w:bookmarkStart w:id="1386" w:name="_Toc22544"/>
      <w:bookmarkStart w:id="1387" w:name="_Toc18693"/>
      <w:bookmarkStart w:id="1388" w:name="_Toc13724"/>
      <w:bookmarkStart w:id="1389" w:name="_Toc17536"/>
      <w:bookmarkStart w:id="1390" w:name="_Toc27202"/>
      <w:bookmarkStart w:id="1391" w:name="_Toc11746"/>
      <w:bookmarkStart w:id="1392" w:name="_Toc8098"/>
      <w:bookmarkStart w:id="1393" w:name="_Toc4758"/>
      <w:bookmarkStart w:id="1394" w:name="_Toc10850"/>
      <w:bookmarkStart w:id="1395" w:name="_Toc31542"/>
      <w:bookmarkStart w:id="1396" w:name="_Toc30883"/>
      <w:bookmarkStart w:id="1397" w:name="_Toc1257"/>
      <w:bookmarkStart w:id="1398" w:name="_Toc25807"/>
      <w:bookmarkStart w:id="1399" w:name="_Toc2605"/>
      <w:bookmarkStart w:id="1400" w:name="_Toc12149"/>
      <w:r>
        <w:rPr>
          <w:rFonts w:hint="eastAsia" w:ascii="仿宋" w:hAnsi="仿宋" w:eastAsia="仿宋" w:cs="仿宋"/>
          <w:color w:val="auto"/>
          <w:sz w:val="24"/>
          <w:szCs w:val="24"/>
          <w:highlight w:val="none"/>
          <w:lang w:val="en-US" w:eastAsia="zh-CN"/>
        </w:rPr>
        <w:t>2、</w:t>
      </w:r>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p>
    <w:p w14:paraId="08858C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401" w:name="_Toc9240"/>
      <w:bookmarkStart w:id="1402" w:name="_Toc12955"/>
      <w:bookmarkStart w:id="1403" w:name="_Toc7295"/>
      <w:bookmarkStart w:id="1404" w:name="_Toc26542"/>
      <w:bookmarkStart w:id="1405" w:name="_Toc6007"/>
      <w:bookmarkStart w:id="1406" w:name="_Toc31034"/>
      <w:bookmarkStart w:id="1407" w:name="_Toc7053"/>
      <w:bookmarkStart w:id="1408" w:name="_Toc1948"/>
      <w:bookmarkStart w:id="1409" w:name="_Toc17337"/>
      <w:bookmarkStart w:id="1410" w:name="_Toc27931"/>
      <w:bookmarkStart w:id="1411" w:name="_Toc4947"/>
      <w:bookmarkStart w:id="1412" w:name="_Toc23118"/>
      <w:bookmarkStart w:id="1413" w:name="_Toc13396"/>
      <w:bookmarkStart w:id="1414" w:name="_Toc8022"/>
      <w:bookmarkStart w:id="1415" w:name="_Toc9734"/>
      <w:bookmarkStart w:id="1416" w:name="_Toc2677"/>
      <w:bookmarkStart w:id="1417" w:name="_Toc15504"/>
      <w:bookmarkStart w:id="1418" w:name="_Toc19116"/>
      <w:bookmarkStart w:id="1419" w:name="_Toc24635"/>
      <w:bookmarkStart w:id="1420" w:name="_Toc3580"/>
      <w:bookmarkStart w:id="1421" w:name="_Toc10774"/>
      <w:bookmarkStart w:id="1422" w:name="_Toc1247"/>
      <w:bookmarkStart w:id="1423" w:name="_Toc11055"/>
      <w:bookmarkStart w:id="1424" w:name="_Toc25064"/>
      <w:bookmarkStart w:id="1425" w:name="_Toc1464"/>
      <w:bookmarkStart w:id="1426" w:name="_Toc16779"/>
      <w:bookmarkStart w:id="1427" w:name="_Toc5554"/>
      <w:bookmarkStart w:id="1428" w:name="_Toc12399"/>
      <w:bookmarkStart w:id="1429" w:name="_Toc18044"/>
      <w:bookmarkStart w:id="1430" w:name="_Toc686"/>
      <w:bookmarkStart w:id="1431" w:name="_Toc31171"/>
      <w:bookmarkStart w:id="1432" w:name="_Toc24087"/>
      <w:bookmarkStart w:id="1433" w:name="_Toc11643"/>
      <w:bookmarkStart w:id="1434" w:name="_Toc1347"/>
      <w:bookmarkStart w:id="1435" w:name="_Toc31364"/>
      <w:bookmarkStart w:id="1436" w:name="_Toc249"/>
      <w:bookmarkStart w:id="1437" w:name="_Toc11156"/>
      <w:bookmarkStart w:id="1438" w:name="_Toc29881"/>
      <w:bookmarkStart w:id="1439" w:name="_Toc32267"/>
      <w:bookmarkStart w:id="1440" w:name="_Toc22728"/>
      <w:bookmarkStart w:id="1441" w:name="_Toc30903"/>
      <w:bookmarkStart w:id="1442" w:name="_Toc27725"/>
      <w:bookmarkStart w:id="1443" w:name="_Toc20016"/>
      <w:bookmarkStart w:id="1444" w:name="_Toc2778"/>
      <w:bookmarkStart w:id="1445" w:name="_Toc25372"/>
      <w:bookmarkStart w:id="1446" w:name="_Toc27872"/>
      <w:bookmarkStart w:id="1447" w:name="_Toc19333"/>
      <w:bookmarkStart w:id="1448" w:name="_Toc20592"/>
      <w:r>
        <w:rPr>
          <w:rFonts w:hint="eastAsia" w:ascii="仿宋" w:hAnsi="仿宋" w:eastAsia="仿宋" w:cs="仿宋"/>
          <w:color w:val="auto"/>
          <w:sz w:val="24"/>
          <w:szCs w:val="24"/>
          <w:highlight w:val="none"/>
          <w:lang w:val="en-US" w:eastAsia="zh-CN"/>
        </w:rPr>
        <w:t>3、</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14:paraId="65F7E97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w:t>
      </w:r>
    </w:p>
    <w:p w14:paraId="0141654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本公司为参加（</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标项：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 xml:space="preserve"> 公开招标 </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提供本企业提供服务。</w:t>
      </w:r>
    </w:p>
    <w:p w14:paraId="07A798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本公司对上述声明的真实性负责。如有虚假，将依法承担相应责任。</w:t>
      </w:r>
    </w:p>
    <w:p w14:paraId="185E0B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7A4EE84A">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F23846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DAE4A83">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A5FB3">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BCB044B">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DBB8FF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FC2797E">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FAAE6">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6A4CC7E">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2776642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1449" w:name="_Toc13699"/>
      <w:bookmarkStart w:id="1450" w:name="_Toc1622"/>
      <w:bookmarkStart w:id="1451" w:name="_Toc22484"/>
      <w:bookmarkStart w:id="1452" w:name="_Toc13262"/>
      <w:bookmarkStart w:id="1453" w:name="_Toc25161"/>
      <w:bookmarkStart w:id="1454" w:name="_Toc28772"/>
      <w:bookmarkStart w:id="1455" w:name="_Toc23531"/>
      <w:bookmarkStart w:id="1456" w:name="_Toc20546"/>
      <w:bookmarkStart w:id="1457" w:name="_Toc32504"/>
      <w:bookmarkStart w:id="1458" w:name="_Toc28320"/>
      <w:bookmarkStart w:id="1459" w:name="_Toc17540"/>
      <w:bookmarkStart w:id="1460" w:name="_Toc29094"/>
      <w:bookmarkStart w:id="1461" w:name="_Toc32185"/>
      <w:bookmarkStart w:id="1462" w:name="_Toc29567"/>
      <w:bookmarkStart w:id="1463" w:name="_Toc14387"/>
      <w:bookmarkStart w:id="1464" w:name="_Toc7623"/>
      <w:bookmarkStart w:id="1465" w:name="_Toc3444"/>
      <w:bookmarkStart w:id="1466" w:name="_Toc27772"/>
      <w:bookmarkStart w:id="1467" w:name="_Toc15689"/>
      <w:bookmarkStart w:id="1468" w:name="_Toc25524"/>
      <w:bookmarkStart w:id="1469" w:name="_Toc4834"/>
      <w:bookmarkStart w:id="1470" w:name="_Toc3669"/>
      <w:bookmarkStart w:id="1471" w:name="_Toc26600"/>
      <w:bookmarkStart w:id="1472" w:name="_Toc13225"/>
      <w:bookmarkStart w:id="1473" w:name="_Toc16202"/>
      <w:bookmarkStart w:id="1474" w:name="_Toc19474"/>
      <w:bookmarkStart w:id="1475" w:name="_Toc31757"/>
      <w:bookmarkStart w:id="1476" w:name="_Toc30945"/>
      <w:bookmarkStart w:id="1477" w:name="_Toc25033"/>
      <w:bookmarkStart w:id="1478" w:name="_Toc32349"/>
      <w:bookmarkStart w:id="1479" w:name="_Toc3864"/>
      <w:bookmarkStart w:id="1480" w:name="_Toc25944"/>
      <w:bookmarkStart w:id="1481" w:name="_Toc18210"/>
      <w:bookmarkStart w:id="1482" w:name="_Toc24558"/>
    </w:p>
    <w:p w14:paraId="09AB46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1A795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33479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1483" w:name="_Toc15598"/>
      <w:bookmarkStart w:id="1484" w:name="_Toc20962"/>
      <w:bookmarkStart w:id="1485" w:name="_Toc16425"/>
      <w:bookmarkStart w:id="1486" w:name="_Toc3282"/>
      <w:bookmarkStart w:id="1487" w:name="_Toc19373"/>
      <w:bookmarkStart w:id="1488" w:name="_Toc4648"/>
      <w:bookmarkStart w:id="1489" w:name="_Toc1972"/>
      <w:bookmarkStart w:id="1490" w:name="_Toc28504"/>
      <w:bookmarkStart w:id="1491" w:name="_Toc13033"/>
      <w:bookmarkStart w:id="1492" w:name="_Toc6166"/>
      <w:bookmarkStart w:id="1493" w:name="_Toc18118"/>
      <w:bookmarkStart w:id="1494" w:name="_Toc21875"/>
      <w:bookmarkStart w:id="1495" w:name="_Toc11241"/>
      <w:bookmarkStart w:id="1496" w:name="_Toc4419"/>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u w:val="single"/>
          <w:lang w:val="en-US" w:eastAsia="zh-CN"/>
        </w:rPr>
        <w:t xml:space="preserve">                                     </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Fonts w:hint="eastAsia" w:ascii="仿宋" w:hAnsi="仿宋" w:eastAsia="仿宋" w:cs="仿宋"/>
          <w:color w:val="auto"/>
          <w:sz w:val="24"/>
          <w:szCs w:val="24"/>
          <w:highlight w:val="none"/>
          <w:u w:val="none"/>
          <w:lang w:val="en-US" w:eastAsia="zh-CN"/>
        </w:rPr>
        <w:t>（电子公章）</w:t>
      </w:r>
      <w:bookmarkEnd w:id="1494"/>
      <w:bookmarkEnd w:id="1495"/>
      <w:bookmarkEnd w:id="1496"/>
    </w:p>
    <w:p w14:paraId="5440D08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732B07C5">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41345646">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7F6C2BC6">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65A17CC7">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4AD8F165">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2E7A75F6">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40440F5F">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5A504C89">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550A20BA">
      <w:pPr>
        <w:pStyle w:val="38"/>
        <w:spacing w:before="120" w:after="240"/>
        <w:jc w:val="center"/>
        <w:outlineLvl w:val="3"/>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关于符合本国产品标准的声明函</w:t>
      </w:r>
    </w:p>
    <w:p w14:paraId="4AA264EE">
      <w:pPr>
        <w:pStyle w:val="38"/>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251A396">
      <w:pPr>
        <w:pStyle w:val="38"/>
        <w:spacing w:before="240" w:after="240" w:line="360" w:lineRule="auto"/>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 </w:t>
      </w:r>
      <w:r>
        <w:rPr>
          <w:rFonts w:hint="eastAsia" w:ascii="仿宋" w:hAnsi="仿宋" w:eastAsia="仿宋" w:cs="仿宋"/>
          <w:color w:val="000000"/>
          <w:sz w:val="24"/>
          <w:szCs w:val="24"/>
          <w:highlight w:val="none"/>
          <w:u w:val="single"/>
        </w:rPr>
        <w:t>（产品名称1）</w:t>
      </w:r>
      <w:r>
        <w:rPr>
          <w:rFonts w:hint="eastAsia" w:ascii="仿宋" w:hAnsi="仿宋" w:eastAsia="仿宋" w:cs="仿宋"/>
          <w:color w:val="000000"/>
          <w:sz w:val="24"/>
          <w:szCs w:val="24"/>
          <w:highlight w:val="none"/>
        </w:rPr>
        <w:t>，生产厂为</w:t>
      </w:r>
      <w:r>
        <w:rPr>
          <w:rFonts w:hint="eastAsia" w:ascii="仿宋" w:hAnsi="仿宋" w:eastAsia="仿宋" w:cs="仿宋"/>
          <w:color w:val="000000"/>
          <w:sz w:val="24"/>
          <w:szCs w:val="24"/>
          <w:highlight w:val="none"/>
          <w:u w:val="single"/>
        </w:rPr>
        <w:t>（厂名）</w:t>
      </w:r>
      <w:r>
        <w:rPr>
          <w:rFonts w:hint="eastAsia" w:ascii="仿宋" w:hAnsi="仿宋" w:eastAsia="仿宋" w:cs="仿宋"/>
          <w:color w:val="000000"/>
          <w:sz w:val="24"/>
          <w:szCs w:val="24"/>
          <w:highlight w:val="none"/>
        </w:rPr>
        <w:t>，厂址为</w:t>
      </w:r>
      <w:r>
        <w:rPr>
          <w:rFonts w:hint="eastAsia" w:ascii="仿宋" w:hAnsi="仿宋" w:eastAsia="仿宋" w:cs="仿宋"/>
          <w:color w:val="000000"/>
          <w:sz w:val="24"/>
          <w:szCs w:val="24"/>
          <w:highlight w:val="none"/>
          <w:u w:val="single"/>
        </w:rPr>
        <w:t>（生产厂址）</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（产品名称1）</w:t>
      </w:r>
      <w:r>
        <w:rPr>
          <w:rFonts w:hint="eastAsia" w:ascii="仿宋" w:hAnsi="仿宋" w:eastAsia="仿宋" w:cs="仿宋"/>
          <w:color w:val="000000"/>
          <w:sz w:val="24"/>
          <w:szCs w:val="24"/>
          <w:highlight w:val="none"/>
        </w:rPr>
        <w:t>的中国境内生产的组件成本占比≥</w:t>
      </w:r>
      <w:r>
        <w:rPr>
          <w:rFonts w:hint="eastAsia" w:ascii="仿宋" w:hAnsi="仿宋" w:eastAsia="仿宋" w:cs="仿宋"/>
          <w:color w:val="000000"/>
          <w:sz w:val="24"/>
          <w:szCs w:val="24"/>
          <w:highlight w:val="none"/>
          <w:u w:val="single"/>
        </w:rPr>
        <w:t>（规定比例）</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（产品名称1）</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u w:val="single"/>
        </w:rPr>
        <w:t>（关键组件）</w:t>
      </w:r>
      <w:r>
        <w:rPr>
          <w:rFonts w:hint="eastAsia" w:ascii="仿宋" w:hAnsi="仿宋" w:eastAsia="仿宋" w:cs="仿宋"/>
          <w:color w:val="000000"/>
          <w:sz w:val="24"/>
          <w:szCs w:val="24"/>
          <w:highlight w:val="none"/>
        </w:rPr>
        <w:t xml:space="preserve">在中国境内生产。 </w:t>
      </w:r>
      <w:r>
        <w:rPr>
          <w:rFonts w:hint="eastAsia" w:ascii="仿宋" w:hAnsi="仿宋" w:eastAsia="仿宋" w:cs="仿宋"/>
          <w:color w:val="000000"/>
          <w:sz w:val="24"/>
          <w:szCs w:val="24"/>
          <w:highlight w:val="none"/>
          <w:u w:val="single"/>
        </w:rPr>
        <w:t>（产品名称1）</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u w:val="single"/>
        </w:rPr>
        <w:t>（关键工序）</w:t>
      </w:r>
      <w:r>
        <w:rPr>
          <w:rFonts w:hint="eastAsia" w:ascii="仿宋" w:hAnsi="仿宋" w:eastAsia="仿宋" w:cs="仿宋"/>
          <w:color w:val="000000"/>
          <w:sz w:val="24"/>
          <w:szCs w:val="24"/>
          <w:highlight w:val="none"/>
        </w:rPr>
        <w:t>在中国境内完成。</w:t>
      </w:r>
    </w:p>
    <w:p w14:paraId="7985FDAC">
      <w:pPr>
        <w:pStyle w:val="38"/>
        <w:spacing w:before="240" w:after="240" w:line="360" w:lineRule="auto"/>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 </w:t>
      </w:r>
      <w:r>
        <w:rPr>
          <w:rFonts w:hint="eastAsia" w:ascii="仿宋" w:hAnsi="仿宋" w:eastAsia="仿宋" w:cs="仿宋"/>
          <w:color w:val="000000"/>
          <w:sz w:val="24"/>
          <w:szCs w:val="24"/>
          <w:highlight w:val="none"/>
          <w:u w:val="single"/>
        </w:rPr>
        <w:t>（产品名称2）</w:t>
      </w:r>
      <w:r>
        <w:rPr>
          <w:rFonts w:hint="eastAsia" w:ascii="仿宋" w:hAnsi="仿宋" w:eastAsia="仿宋" w:cs="仿宋"/>
          <w:color w:val="000000"/>
          <w:sz w:val="24"/>
          <w:szCs w:val="24"/>
          <w:highlight w:val="none"/>
        </w:rPr>
        <w:t>，生产厂为</w:t>
      </w:r>
      <w:r>
        <w:rPr>
          <w:rFonts w:hint="eastAsia" w:ascii="仿宋" w:hAnsi="仿宋" w:eastAsia="仿宋" w:cs="仿宋"/>
          <w:color w:val="000000"/>
          <w:sz w:val="24"/>
          <w:szCs w:val="24"/>
          <w:highlight w:val="none"/>
          <w:u w:val="single"/>
        </w:rPr>
        <w:t>（厂名）</w:t>
      </w:r>
      <w:r>
        <w:rPr>
          <w:rFonts w:hint="eastAsia" w:ascii="仿宋" w:hAnsi="仿宋" w:eastAsia="仿宋" w:cs="仿宋"/>
          <w:color w:val="000000"/>
          <w:sz w:val="24"/>
          <w:szCs w:val="24"/>
          <w:highlight w:val="none"/>
        </w:rPr>
        <w:t>，厂址为</w:t>
      </w:r>
      <w:r>
        <w:rPr>
          <w:rFonts w:hint="eastAsia" w:ascii="仿宋" w:hAnsi="仿宋" w:eastAsia="仿宋" w:cs="仿宋"/>
          <w:color w:val="000000"/>
          <w:sz w:val="24"/>
          <w:szCs w:val="24"/>
          <w:highlight w:val="none"/>
          <w:u w:val="single"/>
        </w:rPr>
        <w:t>（生产厂址）</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（产品名称2）</w:t>
      </w:r>
      <w:r>
        <w:rPr>
          <w:rFonts w:hint="eastAsia" w:ascii="仿宋" w:hAnsi="仿宋" w:eastAsia="仿宋" w:cs="仿宋"/>
          <w:color w:val="000000"/>
          <w:sz w:val="24"/>
          <w:szCs w:val="24"/>
          <w:highlight w:val="none"/>
        </w:rPr>
        <w:t>的中国境内生产的组件成本占比≥</w:t>
      </w:r>
      <w:r>
        <w:rPr>
          <w:rFonts w:hint="eastAsia" w:ascii="仿宋" w:hAnsi="仿宋" w:eastAsia="仿宋" w:cs="仿宋"/>
          <w:color w:val="000000"/>
          <w:sz w:val="24"/>
          <w:szCs w:val="24"/>
          <w:highlight w:val="none"/>
          <w:u w:val="single"/>
        </w:rPr>
        <w:t>（规定比例）</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（产品名称2）</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u w:val="single"/>
        </w:rPr>
        <w:t>（关键组件）</w:t>
      </w:r>
      <w:r>
        <w:rPr>
          <w:rFonts w:hint="eastAsia" w:ascii="仿宋" w:hAnsi="仿宋" w:eastAsia="仿宋" w:cs="仿宋"/>
          <w:color w:val="000000"/>
          <w:sz w:val="24"/>
          <w:szCs w:val="24"/>
          <w:highlight w:val="none"/>
        </w:rPr>
        <w:t xml:space="preserve">在中国境内生产。 </w:t>
      </w:r>
      <w:r>
        <w:rPr>
          <w:rFonts w:hint="eastAsia" w:ascii="仿宋" w:hAnsi="仿宋" w:eastAsia="仿宋" w:cs="仿宋"/>
          <w:color w:val="000000"/>
          <w:sz w:val="24"/>
          <w:szCs w:val="24"/>
          <w:highlight w:val="none"/>
          <w:u w:val="single"/>
        </w:rPr>
        <w:t>（产品名称2）</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u w:val="single"/>
        </w:rPr>
        <w:t>（关键工序）</w:t>
      </w:r>
      <w:r>
        <w:rPr>
          <w:rFonts w:hint="eastAsia" w:ascii="仿宋" w:hAnsi="仿宋" w:eastAsia="仿宋" w:cs="仿宋"/>
          <w:color w:val="000000"/>
          <w:sz w:val="24"/>
          <w:szCs w:val="24"/>
          <w:highlight w:val="none"/>
        </w:rPr>
        <w:t>在中国境内完成。</w:t>
      </w:r>
    </w:p>
    <w:p w14:paraId="368BC2ED">
      <w:pPr>
        <w:pStyle w:val="38"/>
        <w:spacing w:before="240" w:after="240" w:line="360" w:lineRule="auto"/>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p w14:paraId="344F6D9B">
      <w:pPr>
        <w:pStyle w:val="38"/>
        <w:spacing w:line="360" w:lineRule="auto"/>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本公司（单位）对上述声明内容的真实性负责。如有虚假，愿承担相应法律责任。</w:t>
      </w:r>
    </w:p>
    <w:p w14:paraId="147A8276">
      <w:pPr>
        <w:pStyle w:val="38"/>
        <w:wordWrap w:val="0"/>
        <w:spacing w:before="720" w:line="480" w:lineRule="auto"/>
        <w:jc w:val="right"/>
        <w:rPr>
          <w:rFonts w:hint="default" w:ascii="仿宋" w:hAnsi="仿宋" w:eastAsia="仿宋" w:cs="仿宋"/>
          <w:b w:val="0"/>
          <w:bCs/>
          <w:color w:val="000000"/>
          <w:sz w:val="24"/>
          <w:szCs w:val="24"/>
          <w:highlight w:val="none"/>
          <w:u w:val="single"/>
          <w:lang w:val="en-US" w:eastAsia="zh-CN"/>
        </w:rPr>
      </w:pPr>
      <w:r>
        <w:rPr>
          <w:rFonts w:hint="eastAsia" w:ascii="仿宋" w:hAnsi="仿宋" w:eastAsia="仿宋" w:cs="仿宋"/>
          <w:b w:val="0"/>
          <w:bCs/>
          <w:color w:val="000000"/>
          <w:sz w:val="24"/>
          <w:szCs w:val="24"/>
          <w:highlight w:val="none"/>
        </w:rPr>
        <w:t>公司（单位）名称（盖章）：</w:t>
      </w:r>
      <w:r>
        <w:rPr>
          <w:rFonts w:hint="eastAsia" w:ascii="仿宋" w:hAnsi="仿宋" w:eastAsia="仿宋" w:cs="仿宋"/>
          <w:b w:val="0"/>
          <w:bCs/>
          <w:color w:val="000000"/>
          <w:sz w:val="24"/>
          <w:szCs w:val="24"/>
          <w:highlight w:val="none"/>
          <w:u w:val="single"/>
          <w:lang w:val="en-US" w:eastAsia="zh-CN"/>
        </w:rPr>
        <w:t xml:space="preserve">                      </w:t>
      </w:r>
    </w:p>
    <w:p w14:paraId="25D77390">
      <w:pPr>
        <w:pStyle w:val="38"/>
        <w:spacing w:line="480" w:lineRule="auto"/>
        <w:jc w:val="righ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日期：</w:t>
      </w:r>
      <w:r>
        <w:rPr>
          <w:rFonts w:hint="eastAsia" w:ascii="仿宋" w:hAnsi="仿宋" w:eastAsia="仿宋" w:cs="仿宋"/>
          <w:b w:val="0"/>
          <w:bCs/>
          <w:color w:val="000000"/>
          <w:sz w:val="24"/>
          <w:szCs w:val="24"/>
          <w:highlight w:val="none"/>
          <w:u w:val="single"/>
        </w:rPr>
        <w:t xml:space="preserve"> </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年</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月</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日</w:t>
      </w:r>
    </w:p>
    <w:p w14:paraId="065443E3">
      <w:pPr>
        <w:pStyle w:val="38"/>
        <w:ind w:firstLine="48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注：</w:t>
      </w:r>
    </w:p>
    <w:p w14:paraId="7C35B5C8">
      <w:pPr>
        <w:pStyle w:val="38"/>
        <w:spacing w:before="120" w:after="120"/>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产品如有型号，请在“产品名称”栏一并填写。</w:t>
      </w:r>
    </w:p>
    <w:p w14:paraId="22E3846D">
      <w:pPr>
        <w:pStyle w:val="38"/>
        <w:spacing w:before="120" w:after="120"/>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 生产厂名与厂址应与生产厂营业执照载明的相关信息保持一致。</w:t>
      </w:r>
    </w:p>
    <w:p w14:paraId="2C82BE70">
      <w:pPr>
        <w:pStyle w:val="38"/>
        <w:spacing w:before="120" w:after="120"/>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 该产品的中国境内生产的组件成本占比相关要求实施前，"规定比例"栏可不填，下同。</w:t>
      </w:r>
    </w:p>
    <w:p w14:paraId="6D07A5F4">
      <w:pPr>
        <w:pStyle w:val="38"/>
        <w:spacing w:before="120" w:after="120"/>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 该产品的关键组件要求实施前，"关键组件"栏可不填，下同。</w:t>
      </w:r>
    </w:p>
    <w:p w14:paraId="75A050AF">
      <w:pPr>
        <w:pStyle w:val="38"/>
        <w:spacing w:before="120" w:after="120"/>
        <w:ind w:firstLine="9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 该产品的关键工序要求实施前，"关键工序"栏可不填，下同。</w:t>
      </w:r>
    </w:p>
    <w:p w14:paraId="20080B07">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21477814">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3ACFE9DC">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p>
    <w:p w14:paraId="5A5C1E16">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val="zh-CN" w:eastAsia="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p>
    <w:p w14:paraId="10CF4F87">
      <w:pPr>
        <w:pStyle w:val="38"/>
        <w:spacing w:before="120" w:after="240"/>
        <w:jc w:val="center"/>
        <w:outlineLvl w:val="3"/>
        <w:rPr>
          <w:rFonts w:hint="eastAsia" w:ascii="仿宋" w:hAnsi="仿宋" w:eastAsia="仿宋" w:cs="仿宋"/>
          <w:b/>
          <w:color w:val="000000"/>
          <w:sz w:val="28"/>
          <w:szCs w:val="28"/>
          <w:highlight w:val="none"/>
          <w:lang w:val="en-US" w:eastAsia="zh-CN"/>
        </w:rPr>
      </w:pPr>
      <w:bookmarkStart w:id="1497" w:name="_Toc30737"/>
      <w:bookmarkStart w:id="1498" w:name="_Toc20214"/>
      <w:bookmarkStart w:id="1499" w:name="_Toc13841"/>
      <w:r>
        <w:rPr>
          <w:rFonts w:hint="eastAsia" w:ascii="仿宋" w:hAnsi="仿宋" w:eastAsia="仿宋" w:cs="仿宋"/>
          <w:b/>
          <w:color w:val="000000"/>
          <w:sz w:val="28"/>
          <w:szCs w:val="28"/>
          <w:highlight w:val="none"/>
          <w:lang w:val="en-US" w:eastAsia="zh-CN"/>
        </w:rPr>
        <w:t>关于本国产品比例的承诺</w:t>
      </w:r>
    </w:p>
    <w:p w14:paraId="6AF149C3">
      <w:pPr>
        <w:pStyle w:val="38"/>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本公司（单位）郑重承诺，我公司已阅读并理解《国务院办公厅关于在政府采购中实施本国产品标准及相关政策的通知》（国办发〔2025〕34号）的规定，</w:t>
      </w:r>
      <w:r>
        <w:rPr>
          <w:rFonts w:hint="eastAsia" w:ascii="仿宋" w:hAnsi="仿宋" w:eastAsia="仿宋" w:cs="仿宋"/>
          <w:color w:val="000000"/>
          <w:sz w:val="24"/>
          <w:szCs w:val="24"/>
          <w:highlight w:val="none"/>
          <w:lang w:val="en-US" w:eastAsia="zh-CN"/>
        </w:rPr>
        <w:t>据此承诺如下：</w:t>
      </w:r>
    </w:p>
    <w:p w14:paraId="46B563B6">
      <w:pPr>
        <w:pStyle w:val="38"/>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本公司（单位）为本采购项目或者采购包提供的符合本国产品标准的产品成本之和占提供的全部产品成本之和的比例为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05BC7845">
      <w:pPr>
        <w:pStyle w:val="38"/>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本公司（单位）对上述承诺内容的真实性负责。如有虚假，愿承担相应法律责任。</w:t>
      </w:r>
    </w:p>
    <w:p w14:paraId="10A2AB32">
      <w:pPr>
        <w:pStyle w:val="38"/>
        <w:wordWrap w:val="0"/>
        <w:spacing w:before="720" w:line="480" w:lineRule="auto"/>
        <w:jc w:val="right"/>
        <w:rPr>
          <w:rFonts w:hint="default" w:ascii="仿宋" w:hAnsi="仿宋" w:eastAsia="仿宋" w:cs="仿宋"/>
          <w:b w:val="0"/>
          <w:bCs/>
          <w:color w:val="000000"/>
          <w:sz w:val="24"/>
          <w:szCs w:val="24"/>
          <w:highlight w:val="none"/>
          <w:u w:val="single"/>
          <w:lang w:val="en-US" w:eastAsia="zh-CN"/>
        </w:rPr>
      </w:pPr>
      <w:r>
        <w:rPr>
          <w:rFonts w:hint="eastAsia" w:ascii="仿宋" w:hAnsi="仿宋" w:eastAsia="仿宋" w:cs="仿宋"/>
          <w:b w:val="0"/>
          <w:bCs/>
          <w:color w:val="000000"/>
          <w:sz w:val="24"/>
          <w:szCs w:val="24"/>
          <w:highlight w:val="none"/>
        </w:rPr>
        <w:t>公司（单位）名称（盖章）：</w:t>
      </w:r>
      <w:r>
        <w:rPr>
          <w:rFonts w:hint="eastAsia" w:ascii="仿宋" w:hAnsi="仿宋" w:eastAsia="仿宋" w:cs="仿宋"/>
          <w:b w:val="0"/>
          <w:bCs/>
          <w:color w:val="000000"/>
          <w:sz w:val="24"/>
          <w:szCs w:val="24"/>
          <w:highlight w:val="none"/>
          <w:u w:val="single"/>
          <w:lang w:val="en-US" w:eastAsia="zh-CN"/>
        </w:rPr>
        <w:t xml:space="preserve">                      </w:t>
      </w:r>
    </w:p>
    <w:p w14:paraId="53E9C426">
      <w:pPr>
        <w:pStyle w:val="38"/>
        <w:spacing w:line="360" w:lineRule="auto"/>
        <w:jc w:val="righ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日期：</w:t>
      </w:r>
      <w:r>
        <w:rPr>
          <w:rFonts w:hint="eastAsia" w:ascii="仿宋" w:hAnsi="仿宋" w:eastAsia="仿宋" w:cs="仿宋"/>
          <w:b w:val="0"/>
          <w:bCs/>
          <w:color w:val="000000"/>
          <w:sz w:val="24"/>
          <w:szCs w:val="24"/>
          <w:highlight w:val="none"/>
          <w:u w:val="single"/>
        </w:rPr>
        <w:t xml:space="preserve"> </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年</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月</w:t>
      </w:r>
      <w:r>
        <w:rPr>
          <w:rFonts w:hint="eastAsia" w:ascii="仿宋" w:hAnsi="仿宋" w:eastAsia="仿宋" w:cs="仿宋"/>
          <w:b w:val="0"/>
          <w:bCs/>
          <w:color w:val="000000"/>
          <w:sz w:val="24"/>
          <w:szCs w:val="24"/>
          <w:highlight w:val="none"/>
          <w:u w:val="single"/>
          <w:lang w:val="en-US" w:eastAsia="zh-CN"/>
        </w:rPr>
        <w:t xml:space="preserve">    </w:t>
      </w:r>
      <w:r>
        <w:rPr>
          <w:rFonts w:hint="eastAsia" w:ascii="仿宋" w:hAnsi="仿宋" w:eastAsia="仿宋" w:cs="仿宋"/>
          <w:b w:val="0"/>
          <w:bCs/>
          <w:color w:val="000000"/>
          <w:sz w:val="24"/>
          <w:szCs w:val="24"/>
          <w:highlight w:val="none"/>
        </w:rPr>
        <w:t>日</w:t>
      </w:r>
    </w:p>
    <w:p w14:paraId="7C350755">
      <w:pPr>
        <w:pStyle w:val="38"/>
        <w:spacing w:before="120" w:after="240" w:line="360" w:lineRule="auto"/>
        <w:jc w:val="both"/>
        <w:outlineLvl w:val="9"/>
        <w:rPr>
          <w:rFonts w:hint="eastAsia" w:ascii="仿宋" w:hAnsi="仿宋" w:eastAsia="仿宋" w:cs="仿宋"/>
          <w:b/>
          <w:color w:val="000000"/>
          <w:sz w:val="24"/>
          <w:szCs w:val="24"/>
          <w:highlight w:val="none"/>
          <w:lang w:val="en-US" w:eastAsia="zh-CN"/>
        </w:rPr>
      </w:pPr>
    </w:p>
    <w:p w14:paraId="0BF11048">
      <w:pPr>
        <w:pStyle w:val="12"/>
        <w:keepNext w:val="0"/>
        <w:keepLines w:val="0"/>
        <w:widowControl/>
        <w:suppressLineNumbers w:val="0"/>
        <w:spacing w:line="360" w:lineRule="auto"/>
        <w:ind w:left="0" w:firstLine="0"/>
        <w:rPr>
          <w:rFonts w:hint="eastAsia" w:ascii="仿宋" w:hAnsi="仿宋" w:eastAsia="仿宋" w:cs="仿宋"/>
          <w:i w:val="0"/>
          <w:iCs w:val="0"/>
          <w:caps w:val="0"/>
          <w:color w:val="000000"/>
          <w:spacing w:val="0"/>
          <w:sz w:val="24"/>
          <w:szCs w:val="24"/>
          <w:highlight w:val="none"/>
          <w:lang w:eastAsia="zh-Hans"/>
        </w:rPr>
      </w:pPr>
      <w:r>
        <w:rPr>
          <w:rFonts w:hint="eastAsia" w:ascii="仿宋" w:hAnsi="仿宋" w:eastAsia="仿宋" w:cs="仿宋"/>
          <w:i w:val="0"/>
          <w:iCs w:val="0"/>
          <w:caps w:val="0"/>
          <w:color w:val="000000"/>
          <w:spacing w:val="0"/>
          <w:sz w:val="24"/>
          <w:szCs w:val="24"/>
          <w:highlight w:val="none"/>
          <w:lang w:eastAsia="zh-Hans"/>
        </w:rPr>
        <w:t>注：</w:t>
      </w:r>
    </w:p>
    <w:p w14:paraId="3E817187">
      <w:pPr>
        <w:spacing w:line="36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1.本承诺应按</w:t>
      </w:r>
      <w:r>
        <w:rPr>
          <w:rFonts w:hint="eastAsia" w:ascii="仿宋" w:hAnsi="仿宋" w:eastAsia="仿宋" w:cs="仿宋"/>
          <w:sz w:val="24"/>
          <w:szCs w:val="24"/>
          <w:lang w:val="en-US" w:eastAsia="zh-CN"/>
        </w:rPr>
        <w:t>包</w:t>
      </w:r>
      <w:r>
        <w:rPr>
          <w:rFonts w:hint="eastAsia" w:ascii="仿宋" w:hAnsi="仿宋" w:eastAsia="仿宋" w:cs="仿宋"/>
          <w:sz w:val="24"/>
          <w:szCs w:val="24"/>
          <w:lang w:eastAsia="zh-Hans"/>
        </w:rPr>
        <w:t>分别提供。</w:t>
      </w:r>
    </w:p>
    <w:p w14:paraId="3A4DDAB8">
      <w:pPr>
        <w:spacing w:line="360" w:lineRule="auto"/>
        <w:rPr>
          <w:rFonts w:hint="eastAsia" w:ascii="仿宋" w:hAnsi="仿宋" w:eastAsia="仿宋" w:cs="仿宋"/>
          <w:sz w:val="24"/>
          <w:szCs w:val="24"/>
          <w:lang w:eastAsia="zh-Hans"/>
        </w:rPr>
      </w:pPr>
      <w:r>
        <w:rPr>
          <w:rFonts w:hint="eastAsia" w:ascii="仿宋" w:hAnsi="仿宋" w:eastAsia="仿宋" w:cs="仿宋"/>
          <w:sz w:val="24"/>
          <w:szCs w:val="24"/>
          <w:lang w:eastAsia="zh-Hans"/>
        </w:rPr>
        <w:t>2.单一产品采购无须提供本承诺函；供应商提供产品全部为本国产品，且提供了《关于符合本国产品标准的声明函》时，无须提供本承诺。</w:t>
      </w:r>
    </w:p>
    <w:p w14:paraId="1634B813">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Hans"/>
        </w:rPr>
        <w:t>3.当采购项目或单个采购</w:t>
      </w:r>
      <w:r>
        <w:rPr>
          <w:rFonts w:hint="eastAsia" w:ascii="仿宋" w:hAnsi="仿宋" w:eastAsia="仿宋" w:cs="仿宋"/>
          <w:sz w:val="24"/>
          <w:szCs w:val="24"/>
          <w:lang w:val="en-US" w:eastAsia="zh-CN"/>
        </w:rPr>
        <w:t>包</w:t>
      </w:r>
      <w:r>
        <w:rPr>
          <w:rFonts w:hint="eastAsia" w:ascii="仿宋" w:hAnsi="仿宋" w:eastAsia="仿宋" w:cs="仿宋"/>
          <w:sz w:val="24"/>
          <w:szCs w:val="24"/>
          <w:lang w:eastAsia="zh-Hans"/>
        </w:rPr>
        <w:t>中含有多种产品，且供应商提供的产品同时包含本国产品及非本国产品，则供应商除需提供《关于符合本国产品标准的声明函》外，还需提供本承诺；否则，不享受价格评审优惠</w:t>
      </w:r>
      <w:r>
        <w:rPr>
          <w:rFonts w:hint="eastAsia" w:ascii="仿宋" w:hAnsi="仿宋" w:eastAsia="仿宋" w:cs="仿宋"/>
          <w:sz w:val="24"/>
          <w:szCs w:val="24"/>
          <w:lang w:eastAsia="zh-CN"/>
        </w:rPr>
        <w:t>。</w:t>
      </w:r>
    </w:p>
    <w:p w14:paraId="2176D2DC">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全部产品是指:货物或服务采购项目或采购</w:t>
      </w:r>
      <w:r>
        <w:rPr>
          <w:rFonts w:hint="eastAsia" w:ascii="仿宋" w:hAnsi="仿宋" w:eastAsia="仿宋" w:cs="仿宋"/>
          <w:sz w:val="24"/>
          <w:szCs w:val="24"/>
          <w:lang w:val="en-US" w:eastAsia="zh-CN"/>
        </w:rPr>
        <w:t>标项</w:t>
      </w:r>
      <w:r>
        <w:rPr>
          <w:rFonts w:hint="eastAsia" w:ascii="仿宋" w:hAnsi="仿宋" w:eastAsia="仿宋" w:cs="仿宋"/>
          <w:sz w:val="24"/>
          <w:szCs w:val="24"/>
          <w:lang w:eastAsia="zh-CN"/>
        </w:rPr>
        <w:t>中包含的全部货物、服务项目中涉及的货物。</w:t>
      </w:r>
    </w:p>
    <w:p w14:paraId="4BCC458A">
      <w:pPr>
        <w:pStyle w:val="3"/>
        <w:bidi w:val="0"/>
        <w:rPr>
          <w:rFonts w:hint="eastAsia" w:ascii="仿宋" w:hAnsi="仿宋" w:eastAsia="仿宋" w:cs="仿宋"/>
          <w:color w:val="auto"/>
          <w:highlight w:val="none"/>
          <w:lang w:eastAsia="zh-CN"/>
        </w:rPr>
      </w:pPr>
    </w:p>
    <w:p w14:paraId="3182E89F">
      <w:pPr>
        <w:pStyle w:val="3"/>
        <w:bidi w:val="0"/>
        <w:rPr>
          <w:rFonts w:hint="eastAsia" w:ascii="仿宋" w:hAnsi="仿宋" w:eastAsia="仿宋" w:cs="仿宋"/>
          <w:color w:val="auto"/>
          <w:highlight w:val="none"/>
          <w:lang w:eastAsia="zh-CN"/>
        </w:rPr>
      </w:pPr>
    </w:p>
    <w:p w14:paraId="58BEC5B8">
      <w:pPr>
        <w:pStyle w:val="3"/>
        <w:bidi w:val="0"/>
        <w:rPr>
          <w:rFonts w:hint="eastAsia" w:ascii="仿宋" w:hAnsi="仿宋" w:eastAsia="仿宋" w:cs="仿宋"/>
          <w:color w:val="auto"/>
          <w:highlight w:val="none"/>
          <w:lang w:eastAsia="zh-CN"/>
        </w:rPr>
      </w:pPr>
    </w:p>
    <w:p w14:paraId="01D3F8A8">
      <w:pPr>
        <w:rPr>
          <w:rFonts w:hint="eastAsia" w:ascii="仿宋" w:hAnsi="仿宋" w:eastAsia="仿宋" w:cs="仿宋"/>
          <w:color w:val="auto"/>
          <w:highlight w:val="none"/>
          <w:lang w:eastAsia="zh-CN"/>
        </w:rPr>
      </w:pPr>
    </w:p>
    <w:p w14:paraId="3B1A6741">
      <w:pPr>
        <w:rPr>
          <w:rFonts w:hint="eastAsia" w:ascii="仿宋" w:hAnsi="仿宋" w:eastAsia="仿宋" w:cs="仿宋"/>
          <w:color w:val="auto"/>
          <w:highlight w:val="none"/>
          <w:lang w:eastAsia="zh-CN"/>
        </w:rPr>
      </w:pPr>
    </w:p>
    <w:p w14:paraId="493CBB99">
      <w:pPr>
        <w:rPr>
          <w:rFonts w:hint="eastAsia" w:ascii="仿宋" w:hAnsi="仿宋" w:eastAsia="仿宋" w:cs="仿宋"/>
          <w:color w:val="auto"/>
          <w:highlight w:val="none"/>
          <w:lang w:eastAsia="zh-CN"/>
        </w:rPr>
      </w:pPr>
    </w:p>
    <w:p w14:paraId="4ACB706C">
      <w:pPr>
        <w:rPr>
          <w:rFonts w:hint="eastAsia" w:ascii="仿宋" w:hAnsi="仿宋" w:eastAsia="仿宋" w:cs="仿宋"/>
          <w:color w:val="auto"/>
          <w:highlight w:val="none"/>
          <w:lang w:eastAsia="zh-CN"/>
        </w:rPr>
      </w:pPr>
    </w:p>
    <w:p w14:paraId="78CE7F65">
      <w:pPr>
        <w:rPr>
          <w:rFonts w:hint="eastAsia" w:ascii="仿宋" w:hAnsi="仿宋" w:eastAsia="仿宋" w:cs="仿宋"/>
          <w:color w:val="auto"/>
          <w:highlight w:val="none"/>
          <w:lang w:eastAsia="zh-CN"/>
        </w:rPr>
      </w:pPr>
    </w:p>
    <w:p w14:paraId="6AE3777B">
      <w:pPr>
        <w:pStyle w:val="3"/>
        <w:bidi w:val="0"/>
        <w:rPr>
          <w:rFonts w:hint="eastAsia" w:ascii="仿宋" w:hAnsi="仿宋" w:eastAsia="仿宋" w:cs="仿宋"/>
          <w:b/>
          <w:bCs/>
          <w:color w:val="auto"/>
          <w:szCs w:val="32"/>
          <w:highlight w:val="none"/>
          <w:lang w:eastAsia="zh-CN"/>
        </w:rPr>
      </w:pP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bookmarkEnd w:id="1497"/>
      <w:bookmarkEnd w:id="1498"/>
      <w:bookmarkEnd w:id="1499"/>
    </w:p>
    <w:p w14:paraId="0DED23B8">
      <w:pPr>
        <w:pStyle w:val="4"/>
        <w:jc w:val="center"/>
        <w:outlineLvl w:val="1"/>
        <w:rPr>
          <w:rFonts w:hint="eastAsia" w:ascii="仿宋" w:hAnsi="仿宋" w:eastAsia="仿宋" w:cs="仿宋"/>
          <w:color w:val="auto"/>
          <w:highlight w:val="none"/>
          <w:lang w:eastAsia="zh-CN"/>
        </w:rPr>
      </w:pPr>
      <w:bookmarkStart w:id="1500" w:name="_Toc27401"/>
      <w:bookmarkStart w:id="1501" w:name="_Toc20676"/>
      <w:bookmarkStart w:id="1502" w:name="_Toc7094"/>
      <w:bookmarkStart w:id="1503" w:name="_Toc12558"/>
      <w:bookmarkStart w:id="1504" w:name="_Toc19094"/>
      <w:bookmarkStart w:id="1505" w:name="_Toc11704"/>
      <w:bookmarkStart w:id="1506" w:name="_Toc14416"/>
      <w:bookmarkStart w:id="1507" w:name="_Toc4598"/>
      <w:bookmarkStart w:id="1508" w:name="_Toc29019"/>
      <w:bookmarkStart w:id="1509" w:name="_Toc19434"/>
      <w:bookmarkStart w:id="1510" w:name="_Toc6349"/>
      <w:bookmarkStart w:id="1511" w:name="_Toc26438"/>
      <w:bookmarkStart w:id="1512" w:name="_Toc6739"/>
      <w:bookmarkStart w:id="1513" w:name="_Toc15881"/>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技术需求响应/偏离表</w:t>
      </w:r>
      <w:r>
        <w:rPr>
          <w:rFonts w:hint="eastAsia" w:ascii="仿宋" w:hAnsi="仿宋" w:eastAsia="仿宋" w:cs="仿宋"/>
          <w:color w:val="auto"/>
          <w:highlight w:val="none"/>
          <w:lang w:val="en-US" w:eastAsia="zh-CN"/>
        </w:rPr>
        <w:t>（实质性格式）</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p>
    <w:tbl>
      <w:tblPr>
        <w:tblStyle w:val="16"/>
        <w:tblW w:w="97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028"/>
        <w:gridCol w:w="2314"/>
        <w:gridCol w:w="2774"/>
        <w:gridCol w:w="708"/>
        <w:gridCol w:w="632"/>
        <w:gridCol w:w="1577"/>
      </w:tblGrid>
      <w:tr w14:paraId="6EF0C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9" w:hRule="atLeast"/>
          <w:jc w:val="center"/>
        </w:trPr>
        <w:tc>
          <w:tcPr>
            <w:tcW w:w="691" w:type="dxa"/>
            <w:noWrap w:val="0"/>
            <w:vAlign w:val="center"/>
          </w:tcPr>
          <w:p w14:paraId="7EB0DF8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28" w:type="dxa"/>
            <w:noWrap w:val="0"/>
            <w:vAlign w:val="center"/>
          </w:tcPr>
          <w:p w14:paraId="01893AF3">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技术要求项条款号</w:t>
            </w:r>
          </w:p>
        </w:tc>
        <w:tc>
          <w:tcPr>
            <w:tcW w:w="2314" w:type="dxa"/>
            <w:noWrap w:val="0"/>
            <w:vAlign w:val="center"/>
          </w:tcPr>
          <w:p w14:paraId="053DFB9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招标文件中的技术需</w:t>
            </w:r>
            <w:r>
              <w:rPr>
                <w:rFonts w:hint="eastAsia" w:ascii="仿宋" w:hAnsi="仿宋" w:eastAsia="仿宋" w:cs="仿宋"/>
                <w:color w:val="auto"/>
                <w:szCs w:val="21"/>
                <w:highlight w:val="none"/>
              </w:rPr>
              <w:t>求</w:t>
            </w:r>
          </w:p>
        </w:tc>
        <w:tc>
          <w:tcPr>
            <w:tcW w:w="2774" w:type="dxa"/>
            <w:noWrap w:val="0"/>
            <w:vAlign w:val="center"/>
          </w:tcPr>
          <w:p w14:paraId="506BC16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文件</w:t>
            </w:r>
            <w:r>
              <w:rPr>
                <w:rFonts w:hint="eastAsia" w:ascii="仿宋" w:hAnsi="仿宋" w:eastAsia="仿宋" w:cs="仿宋"/>
                <w:color w:val="auto"/>
                <w:szCs w:val="21"/>
                <w:highlight w:val="none"/>
                <w:lang w:val="en-US" w:eastAsia="zh-CN"/>
              </w:rPr>
              <w:t>中</w:t>
            </w:r>
            <w:r>
              <w:rPr>
                <w:rFonts w:hint="eastAsia" w:ascii="仿宋" w:hAnsi="仿宋" w:eastAsia="仿宋" w:cs="仿宋"/>
                <w:color w:val="auto"/>
                <w:szCs w:val="21"/>
                <w:highlight w:val="none"/>
              </w:rPr>
              <w:t>响应的具体内容</w:t>
            </w:r>
          </w:p>
        </w:tc>
        <w:tc>
          <w:tcPr>
            <w:tcW w:w="708" w:type="dxa"/>
            <w:noWrap w:val="0"/>
            <w:vAlign w:val="center"/>
          </w:tcPr>
          <w:p w14:paraId="438B17E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响应/</w:t>
            </w:r>
            <w:r>
              <w:rPr>
                <w:rFonts w:hint="eastAsia" w:ascii="仿宋" w:hAnsi="仿宋" w:eastAsia="仿宋" w:cs="仿宋"/>
                <w:color w:val="auto"/>
                <w:szCs w:val="21"/>
                <w:highlight w:val="none"/>
              </w:rPr>
              <w:t>偏离</w:t>
            </w:r>
          </w:p>
        </w:tc>
        <w:tc>
          <w:tcPr>
            <w:tcW w:w="632" w:type="dxa"/>
            <w:noWrap w:val="0"/>
            <w:vAlign w:val="center"/>
          </w:tcPr>
          <w:p w14:paraId="36D8308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说明</w:t>
            </w:r>
          </w:p>
        </w:tc>
        <w:tc>
          <w:tcPr>
            <w:tcW w:w="1577" w:type="dxa"/>
            <w:noWrap w:val="0"/>
            <w:vAlign w:val="center"/>
          </w:tcPr>
          <w:p w14:paraId="646C397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证明材料投标文件所在位置</w:t>
            </w:r>
          </w:p>
        </w:tc>
      </w:tr>
      <w:tr w14:paraId="1A2B6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9D6374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1028" w:type="dxa"/>
            <w:noWrap w:val="0"/>
            <w:vAlign w:val="center"/>
          </w:tcPr>
          <w:p w14:paraId="3481E523">
            <w:pPr>
              <w:jc w:val="center"/>
              <w:rPr>
                <w:rFonts w:hint="eastAsia" w:ascii="仿宋" w:hAnsi="仿宋" w:eastAsia="仿宋" w:cs="仿宋"/>
                <w:color w:val="auto"/>
                <w:szCs w:val="21"/>
                <w:highlight w:val="none"/>
                <w:lang w:eastAsia="zh-CN"/>
              </w:rPr>
            </w:pPr>
          </w:p>
        </w:tc>
        <w:tc>
          <w:tcPr>
            <w:tcW w:w="2314" w:type="dxa"/>
            <w:noWrap w:val="0"/>
            <w:vAlign w:val="center"/>
          </w:tcPr>
          <w:p w14:paraId="28D275D6">
            <w:pPr>
              <w:jc w:val="center"/>
              <w:rPr>
                <w:rFonts w:hint="eastAsia" w:ascii="仿宋" w:hAnsi="仿宋" w:eastAsia="仿宋" w:cs="仿宋"/>
                <w:color w:val="auto"/>
                <w:szCs w:val="21"/>
                <w:highlight w:val="none"/>
                <w:lang w:eastAsia="zh-CN"/>
              </w:rPr>
            </w:pPr>
          </w:p>
        </w:tc>
        <w:tc>
          <w:tcPr>
            <w:tcW w:w="2774" w:type="dxa"/>
            <w:noWrap w:val="0"/>
            <w:vAlign w:val="center"/>
          </w:tcPr>
          <w:p w14:paraId="787F1D4A">
            <w:pPr>
              <w:jc w:val="center"/>
              <w:rPr>
                <w:rFonts w:hint="eastAsia" w:ascii="仿宋" w:hAnsi="仿宋" w:eastAsia="仿宋" w:cs="仿宋"/>
                <w:color w:val="auto"/>
                <w:szCs w:val="21"/>
                <w:highlight w:val="none"/>
                <w:lang w:eastAsia="zh-CN"/>
              </w:rPr>
            </w:pPr>
          </w:p>
        </w:tc>
        <w:tc>
          <w:tcPr>
            <w:tcW w:w="708" w:type="dxa"/>
            <w:noWrap w:val="0"/>
            <w:vAlign w:val="center"/>
          </w:tcPr>
          <w:p w14:paraId="66517596">
            <w:pPr>
              <w:jc w:val="center"/>
              <w:rPr>
                <w:rFonts w:hint="eastAsia" w:ascii="仿宋" w:hAnsi="仿宋" w:eastAsia="仿宋" w:cs="仿宋"/>
                <w:color w:val="auto"/>
                <w:szCs w:val="21"/>
                <w:highlight w:val="none"/>
                <w:lang w:eastAsia="zh-CN"/>
              </w:rPr>
            </w:pPr>
          </w:p>
        </w:tc>
        <w:tc>
          <w:tcPr>
            <w:tcW w:w="632" w:type="dxa"/>
            <w:noWrap w:val="0"/>
            <w:vAlign w:val="center"/>
          </w:tcPr>
          <w:p w14:paraId="7E04C067">
            <w:pPr>
              <w:jc w:val="center"/>
              <w:rPr>
                <w:rFonts w:hint="eastAsia" w:ascii="仿宋" w:hAnsi="仿宋" w:eastAsia="仿宋" w:cs="仿宋"/>
                <w:color w:val="auto"/>
                <w:szCs w:val="21"/>
                <w:highlight w:val="none"/>
                <w:lang w:eastAsia="zh-CN"/>
              </w:rPr>
            </w:pPr>
          </w:p>
        </w:tc>
        <w:tc>
          <w:tcPr>
            <w:tcW w:w="1577" w:type="dxa"/>
            <w:noWrap w:val="0"/>
            <w:vAlign w:val="center"/>
          </w:tcPr>
          <w:p w14:paraId="2613FF00">
            <w:pPr>
              <w:jc w:val="center"/>
              <w:rPr>
                <w:rFonts w:hint="eastAsia" w:ascii="仿宋" w:hAnsi="仿宋" w:eastAsia="仿宋" w:cs="仿宋"/>
                <w:color w:val="auto"/>
                <w:szCs w:val="21"/>
                <w:highlight w:val="none"/>
                <w:lang w:eastAsia="zh-CN"/>
              </w:rPr>
            </w:pPr>
          </w:p>
        </w:tc>
      </w:tr>
      <w:tr w14:paraId="495CF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00518CF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1028" w:type="dxa"/>
            <w:noWrap w:val="0"/>
            <w:vAlign w:val="center"/>
          </w:tcPr>
          <w:p w14:paraId="354E6E17">
            <w:pPr>
              <w:jc w:val="center"/>
              <w:rPr>
                <w:rFonts w:hint="eastAsia" w:ascii="仿宋" w:hAnsi="仿宋" w:eastAsia="仿宋" w:cs="仿宋"/>
                <w:color w:val="auto"/>
                <w:szCs w:val="21"/>
                <w:highlight w:val="none"/>
                <w:lang w:eastAsia="zh-CN"/>
              </w:rPr>
            </w:pPr>
          </w:p>
        </w:tc>
        <w:tc>
          <w:tcPr>
            <w:tcW w:w="2314" w:type="dxa"/>
            <w:noWrap w:val="0"/>
            <w:vAlign w:val="center"/>
          </w:tcPr>
          <w:p w14:paraId="16706E8D">
            <w:pPr>
              <w:jc w:val="center"/>
              <w:rPr>
                <w:rFonts w:hint="eastAsia" w:ascii="仿宋" w:hAnsi="仿宋" w:eastAsia="仿宋" w:cs="仿宋"/>
                <w:color w:val="auto"/>
                <w:szCs w:val="21"/>
                <w:highlight w:val="none"/>
                <w:lang w:eastAsia="zh-CN"/>
              </w:rPr>
            </w:pPr>
          </w:p>
        </w:tc>
        <w:tc>
          <w:tcPr>
            <w:tcW w:w="2774" w:type="dxa"/>
            <w:noWrap w:val="0"/>
            <w:vAlign w:val="center"/>
          </w:tcPr>
          <w:p w14:paraId="778264B4">
            <w:pPr>
              <w:jc w:val="center"/>
              <w:rPr>
                <w:rFonts w:hint="eastAsia" w:ascii="仿宋" w:hAnsi="仿宋" w:eastAsia="仿宋" w:cs="仿宋"/>
                <w:color w:val="auto"/>
                <w:szCs w:val="21"/>
                <w:highlight w:val="none"/>
                <w:lang w:eastAsia="zh-CN"/>
              </w:rPr>
            </w:pPr>
          </w:p>
        </w:tc>
        <w:tc>
          <w:tcPr>
            <w:tcW w:w="708" w:type="dxa"/>
            <w:noWrap w:val="0"/>
            <w:vAlign w:val="center"/>
          </w:tcPr>
          <w:p w14:paraId="47B8AD88">
            <w:pPr>
              <w:jc w:val="center"/>
              <w:rPr>
                <w:rFonts w:hint="eastAsia" w:ascii="仿宋" w:hAnsi="仿宋" w:eastAsia="仿宋" w:cs="仿宋"/>
                <w:color w:val="auto"/>
                <w:szCs w:val="21"/>
                <w:highlight w:val="none"/>
                <w:lang w:eastAsia="zh-CN"/>
              </w:rPr>
            </w:pPr>
          </w:p>
        </w:tc>
        <w:tc>
          <w:tcPr>
            <w:tcW w:w="632" w:type="dxa"/>
            <w:noWrap w:val="0"/>
            <w:vAlign w:val="center"/>
          </w:tcPr>
          <w:p w14:paraId="07E2EEB0">
            <w:pPr>
              <w:jc w:val="center"/>
              <w:rPr>
                <w:rFonts w:hint="eastAsia" w:ascii="仿宋" w:hAnsi="仿宋" w:eastAsia="仿宋" w:cs="仿宋"/>
                <w:color w:val="auto"/>
                <w:szCs w:val="21"/>
                <w:highlight w:val="none"/>
                <w:lang w:eastAsia="zh-CN"/>
              </w:rPr>
            </w:pPr>
          </w:p>
        </w:tc>
        <w:tc>
          <w:tcPr>
            <w:tcW w:w="1577" w:type="dxa"/>
            <w:noWrap w:val="0"/>
            <w:vAlign w:val="center"/>
          </w:tcPr>
          <w:p w14:paraId="547D8881">
            <w:pPr>
              <w:jc w:val="center"/>
              <w:rPr>
                <w:rFonts w:hint="eastAsia" w:ascii="仿宋" w:hAnsi="仿宋" w:eastAsia="仿宋" w:cs="仿宋"/>
                <w:color w:val="auto"/>
                <w:szCs w:val="21"/>
                <w:highlight w:val="none"/>
                <w:lang w:eastAsia="zh-CN"/>
              </w:rPr>
            </w:pPr>
          </w:p>
        </w:tc>
      </w:tr>
      <w:tr w14:paraId="529AA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3E710BA5">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028" w:type="dxa"/>
            <w:noWrap w:val="0"/>
            <w:vAlign w:val="center"/>
          </w:tcPr>
          <w:p w14:paraId="4E347AAC">
            <w:pPr>
              <w:jc w:val="center"/>
              <w:rPr>
                <w:rFonts w:hint="eastAsia" w:ascii="仿宋" w:hAnsi="仿宋" w:eastAsia="仿宋" w:cs="仿宋"/>
                <w:color w:val="auto"/>
                <w:szCs w:val="21"/>
                <w:highlight w:val="none"/>
                <w:lang w:eastAsia="zh-CN"/>
              </w:rPr>
            </w:pPr>
          </w:p>
        </w:tc>
        <w:tc>
          <w:tcPr>
            <w:tcW w:w="2314" w:type="dxa"/>
            <w:noWrap w:val="0"/>
            <w:vAlign w:val="center"/>
          </w:tcPr>
          <w:p w14:paraId="2A0E3F0F">
            <w:pPr>
              <w:jc w:val="center"/>
              <w:rPr>
                <w:rFonts w:hint="eastAsia" w:ascii="仿宋" w:hAnsi="仿宋" w:eastAsia="仿宋" w:cs="仿宋"/>
                <w:color w:val="auto"/>
                <w:szCs w:val="21"/>
                <w:highlight w:val="none"/>
                <w:lang w:eastAsia="zh-CN"/>
              </w:rPr>
            </w:pPr>
          </w:p>
        </w:tc>
        <w:tc>
          <w:tcPr>
            <w:tcW w:w="2774" w:type="dxa"/>
            <w:noWrap w:val="0"/>
            <w:vAlign w:val="center"/>
          </w:tcPr>
          <w:p w14:paraId="30B13508">
            <w:pPr>
              <w:jc w:val="center"/>
              <w:rPr>
                <w:rFonts w:hint="eastAsia" w:ascii="仿宋" w:hAnsi="仿宋" w:eastAsia="仿宋" w:cs="仿宋"/>
                <w:color w:val="auto"/>
                <w:szCs w:val="21"/>
                <w:highlight w:val="none"/>
                <w:lang w:eastAsia="zh-CN"/>
              </w:rPr>
            </w:pPr>
          </w:p>
        </w:tc>
        <w:tc>
          <w:tcPr>
            <w:tcW w:w="708" w:type="dxa"/>
            <w:noWrap w:val="0"/>
            <w:vAlign w:val="center"/>
          </w:tcPr>
          <w:p w14:paraId="4560EA5D">
            <w:pPr>
              <w:jc w:val="center"/>
              <w:rPr>
                <w:rFonts w:hint="eastAsia" w:ascii="仿宋" w:hAnsi="仿宋" w:eastAsia="仿宋" w:cs="仿宋"/>
                <w:color w:val="auto"/>
                <w:szCs w:val="21"/>
                <w:highlight w:val="none"/>
                <w:lang w:eastAsia="zh-CN"/>
              </w:rPr>
            </w:pPr>
          </w:p>
        </w:tc>
        <w:tc>
          <w:tcPr>
            <w:tcW w:w="632" w:type="dxa"/>
            <w:noWrap w:val="0"/>
            <w:vAlign w:val="center"/>
          </w:tcPr>
          <w:p w14:paraId="05C05789">
            <w:pPr>
              <w:jc w:val="center"/>
              <w:rPr>
                <w:rFonts w:hint="eastAsia" w:ascii="仿宋" w:hAnsi="仿宋" w:eastAsia="仿宋" w:cs="仿宋"/>
                <w:color w:val="auto"/>
                <w:szCs w:val="21"/>
                <w:highlight w:val="none"/>
                <w:lang w:eastAsia="zh-CN"/>
              </w:rPr>
            </w:pPr>
          </w:p>
        </w:tc>
        <w:tc>
          <w:tcPr>
            <w:tcW w:w="1577" w:type="dxa"/>
            <w:noWrap w:val="0"/>
            <w:vAlign w:val="center"/>
          </w:tcPr>
          <w:p w14:paraId="6EC870D5">
            <w:pPr>
              <w:jc w:val="center"/>
              <w:rPr>
                <w:rFonts w:hint="eastAsia" w:ascii="仿宋" w:hAnsi="仿宋" w:eastAsia="仿宋" w:cs="仿宋"/>
                <w:color w:val="auto"/>
                <w:szCs w:val="21"/>
                <w:highlight w:val="none"/>
                <w:lang w:eastAsia="zh-CN"/>
              </w:rPr>
            </w:pPr>
          </w:p>
        </w:tc>
      </w:tr>
      <w:tr w14:paraId="5351D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E7C922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val="en-US" w:eastAsia="zh-CN"/>
              </w:rPr>
              <w:t>……</w:t>
            </w:r>
          </w:p>
        </w:tc>
        <w:tc>
          <w:tcPr>
            <w:tcW w:w="1028" w:type="dxa"/>
            <w:noWrap w:val="0"/>
            <w:vAlign w:val="center"/>
          </w:tcPr>
          <w:p w14:paraId="25D9677A">
            <w:pPr>
              <w:jc w:val="center"/>
              <w:rPr>
                <w:rFonts w:hint="eastAsia" w:ascii="仿宋" w:hAnsi="仿宋" w:eastAsia="仿宋" w:cs="仿宋"/>
                <w:color w:val="auto"/>
                <w:szCs w:val="21"/>
                <w:highlight w:val="none"/>
                <w:lang w:eastAsia="zh-CN"/>
              </w:rPr>
            </w:pPr>
          </w:p>
        </w:tc>
        <w:tc>
          <w:tcPr>
            <w:tcW w:w="2314" w:type="dxa"/>
            <w:noWrap w:val="0"/>
            <w:vAlign w:val="center"/>
          </w:tcPr>
          <w:p w14:paraId="138FDFE3">
            <w:pPr>
              <w:jc w:val="center"/>
              <w:rPr>
                <w:rFonts w:hint="eastAsia" w:ascii="仿宋" w:hAnsi="仿宋" w:eastAsia="仿宋" w:cs="仿宋"/>
                <w:color w:val="auto"/>
                <w:szCs w:val="21"/>
                <w:highlight w:val="none"/>
                <w:lang w:eastAsia="zh-CN"/>
              </w:rPr>
            </w:pPr>
          </w:p>
        </w:tc>
        <w:tc>
          <w:tcPr>
            <w:tcW w:w="2774" w:type="dxa"/>
            <w:noWrap w:val="0"/>
            <w:vAlign w:val="center"/>
          </w:tcPr>
          <w:p w14:paraId="35541349">
            <w:pPr>
              <w:jc w:val="center"/>
              <w:rPr>
                <w:rFonts w:hint="eastAsia" w:ascii="仿宋" w:hAnsi="仿宋" w:eastAsia="仿宋" w:cs="仿宋"/>
                <w:color w:val="auto"/>
                <w:szCs w:val="21"/>
                <w:highlight w:val="none"/>
                <w:lang w:eastAsia="zh-CN"/>
              </w:rPr>
            </w:pPr>
          </w:p>
        </w:tc>
        <w:tc>
          <w:tcPr>
            <w:tcW w:w="708" w:type="dxa"/>
            <w:noWrap w:val="0"/>
            <w:vAlign w:val="center"/>
          </w:tcPr>
          <w:p w14:paraId="6DC07A63">
            <w:pPr>
              <w:jc w:val="center"/>
              <w:rPr>
                <w:rFonts w:hint="eastAsia" w:ascii="仿宋" w:hAnsi="仿宋" w:eastAsia="仿宋" w:cs="仿宋"/>
                <w:color w:val="auto"/>
                <w:szCs w:val="21"/>
                <w:highlight w:val="none"/>
                <w:lang w:eastAsia="zh-CN"/>
              </w:rPr>
            </w:pPr>
          </w:p>
        </w:tc>
        <w:tc>
          <w:tcPr>
            <w:tcW w:w="632" w:type="dxa"/>
            <w:noWrap w:val="0"/>
            <w:vAlign w:val="center"/>
          </w:tcPr>
          <w:p w14:paraId="42FCDB53">
            <w:pPr>
              <w:jc w:val="center"/>
              <w:rPr>
                <w:rFonts w:hint="eastAsia" w:ascii="仿宋" w:hAnsi="仿宋" w:eastAsia="仿宋" w:cs="仿宋"/>
                <w:color w:val="auto"/>
                <w:szCs w:val="21"/>
                <w:highlight w:val="none"/>
                <w:lang w:eastAsia="zh-CN"/>
              </w:rPr>
            </w:pPr>
          </w:p>
        </w:tc>
        <w:tc>
          <w:tcPr>
            <w:tcW w:w="1577" w:type="dxa"/>
            <w:noWrap w:val="0"/>
            <w:vAlign w:val="center"/>
          </w:tcPr>
          <w:p w14:paraId="3752755D">
            <w:pPr>
              <w:jc w:val="center"/>
              <w:rPr>
                <w:rFonts w:hint="eastAsia" w:ascii="仿宋" w:hAnsi="仿宋" w:eastAsia="仿宋" w:cs="仿宋"/>
                <w:color w:val="auto"/>
                <w:szCs w:val="21"/>
                <w:highlight w:val="none"/>
                <w:lang w:eastAsia="zh-CN"/>
              </w:rPr>
            </w:pPr>
          </w:p>
        </w:tc>
      </w:tr>
    </w:tbl>
    <w:p w14:paraId="4C03AE4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1、投标人应当如实填写上表“投标文件中响应的具体内容”处内容，对招标文件提出的要求和条件作出明确响应，并列明具体响应数值或内容，只注明符合、满足等无具体内容表述的，所产生的一切后果由投标人承担。投标人需要说明的内容若需特殊表达，应先在本表中进行相应说明，再另页应答。</w:t>
      </w:r>
    </w:p>
    <w:p w14:paraId="15CA5B80">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2.响应/偏离内容项下应按下列规定填写：优于的，填写“正偏离”；符合的，填写“无偏离”；低于（不满足要求）的，填写“负偏离”；</w:t>
      </w:r>
    </w:p>
    <w:p w14:paraId="47F9F885">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3.投标人不按上述表格填写，所产生的一切后果由投标人承担。 </w:t>
      </w:r>
    </w:p>
    <w:p w14:paraId="1755D4DF">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4.投标人必须根据采购需求及要求中“技术要求” 在“技术需求响应/偏离表”中作出全面、真实地反映，投标人除如实填写技术规格偏离表外，投标文件中必须提供技术支持资料支持参数和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51A0B41A">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198BCF22">
      <w:pPr>
        <w:wordWrap w:val="0"/>
        <w:overflowPunct w:val="0"/>
        <w:topLinePunct/>
        <w:spacing w:line="360" w:lineRule="auto"/>
        <w:jc w:val="center"/>
        <w:rPr>
          <w:rFonts w:hint="eastAsia" w:ascii="仿宋" w:hAnsi="仿宋" w:eastAsia="仿宋" w:cs="仿宋"/>
          <w:color w:val="auto"/>
          <w:sz w:val="24"/>
          <w:highlight w:val="none"/>
          <w:lang w:eastAsia="zh-CN"/>
        </w:rPr>
      </w:pPr>
    </w:p>
    <w:p w14:paraId="6CA8D952">
      <w:pPr>
        <w:wordWrap w:val="0"/>
        <w:overflowPunct w:val="0"/>
        <w:topLinePunct/>
        <w:spacing w:line="360" w:lineRule="auto"/>
        <w:jc w:val="center"/>
        <w:rPr>
          <w:rFonts w:hint="eastAsia" w:ascii="仿宋" w:hAnsi="仿宋" w:eastAsia="仿宋" w:cs="仿宋"/>
          <w:color w:val="auto"/>
          <w:sz w:val="24"/>
          <w:highlight w:val="none"/>
          <w:lang w:eastAsia="zh-CN"/>
        </w:rPr>
      </w:pPr>
    </w:p>
    <w:p w14:paraId="21BA3ADA">
      <w:pPr>
        <w:wordWrap w:val="0"/>
        <w:overflowPunct w:val="0"/>
        <w:topLinePunct/>
        <w:spacing w:line="360" w:lineRule="auto"/>
        <w:jc w:val="center"/>
        <w:rPr>
          <w:rFonts w:hint="eastAsia" w:ascii="仿宋" w:hAnsi="仿宋" w:eastAsia="仿宋" w:cs="仿宋"/>
          <w:color w:val="auto"/>
          <w:sz w:val="24"/>
          <w:highlight w:val="none"/>
          <w:lang w:eastAsia="zh-CN"/>
        </w:rPr>
      </w:pPr>
    </w:p>
    <w:p w14:paraId="31516E68">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A916A81">
      <w:pPr>
        <w:wordWrap w:val="0"/>
        <w:overflowPunct w:val="0"/>
        <w:topLinePunct/>
        <w:spacing w:line="360" w:lineRule="auto"/>
        <w:jc w:val="center"/>
        <w:outlineLvl w:val="1"/>
        <w:rPr>
          <w:rFonts w:hint="eastAsia" w:ascii="仿宋" w:hAnsi="仿宋" w:eastAsia="仿宋" w:cs="仿宋"/>
          <w:b w:val="0"/>
          <w:bCs/>
          <w:color w:val="auto"/>
          <w:sz w:val="24"/>
          <w:highlight w:val="none"/>
          <w:u w:val="single"/>
        </w:rPr>
      </w:pPr>
      <w:bookmarkStart w:id="1514" w:name="_Toc21677"/>
      <w:bookmarkStart w:id="1515" w:name="_Toc15552"/>
      <w:bookmarkStart w:id="1516" w:name="_Toc19301"/>
      <w:bookmarkStart w:id="1517" w:name="_Toc29110"/>
      <w:bookmarkStart w:id="1518" w:name="_Toc16049"/>
      <w:bookmarkStart w:id="1519" w:name="_Toc32453"/>
      <w:bookmarkStart w:id="1520" w:name="_Toc28398"/>
      <w:bookmarkStart w:id="1521" w:name="_Toc18545"/>
      <w:bookmarkStart w:id="1522" w:name="_Toc8272"/>
      <w:bookmarkStart w:id="1523" w:name="_Toc30824"/>
      <w:bookmarkStart w:id="1524" w:name="_Toc2970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514"/>
      <w:bookmarkEnd w:id="1515"/>
      <w:bookmarkEnd w:id="1516"/>
      <w:bookmarkEnd w:id="1517"/>
      <w:bookmarkEnd w:id="1518"/>
      <w:bookmarkEnd w:id="1519"/>
      <w:bookmarkEnd w:id="1520"/>
      <w:bookmarkEnd w:id="1521"/>
      <w:bookmarkEnd w:id="1522"/>
      <w:bookmarkEnd w:id="1523"/>
      <w:bookmarkEnd w:id="1524"/>
    </w:p>
    <w:p w14:paraId="5FBFA61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1205A0BE">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4863382">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ADE0E11">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0DAD594">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附件（若有）：</w:t>
      </w:r>
    </w:p>
    <w:p w14:paraId="20B1C72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highlight w:val="none"/>
          <w:lang w:val="en-US" w:eastAsia="zh-CN"/>
        </w:rPr>
        <w:sectPr>
          <w:footerReference r:id="rId14" w:type="first"/>
          <w:footerReference r:id="rId13"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w:t>
      </w:r>
    </w:p>
    <w:p w14:paraId="0F7F5B73">
      <w:pPr>
        <w:pStyle w:val="4"/>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Cs w:val="30"/>
          <w:highlight w:val="none"/>
          <w:lang w:eastAsia="zh-CN"/>
        </w:rPr>
      </w:pPr>
      <w:bookmarkStart w:id="1525" w:name="_Toc11374"/>
      <w:bookmarkStart w:id="1526" w:name="_Toc12948"/>
      <w:bookmarkStart w:id="1527" w:name="_Toc12564"/>
      <w:bookmarkStart w:id="1528" w:name="_Toc22708"/>
      <w:bookmarkStart w:id="1529" w:name="_Toc21080"/>
      <w:bookmarkStart w:id="1530" w:name="_Toc27245"/>
      <w:bookmarkStart w:id="1531" w:name="_Toc17769"/>
      <w:bookmarkStart w:id="1532" w:name="_Toc21198"/>
      <w:bookmarkStart w:id="1533" w:name="_Toc13383"/>
      <w:bookmarkStart w:id="1534" w:name="_Toc8188"/>
      <w:bookmarkStart w:id="1535" w:name="_Toc22216"/>
      <w:bookmarkStart w:id="1536" w:name="_Toc4833"/>
      <w:bookmarkStart w:id="1537" w:name="_Toc5060"/>
      <w:bookmarkStart w:id="1538" w:name="_Toc20440"/>
      <w:bookmarkStart w:id="1539" w:name="_Toc14107"/>
      <w:bookmarkStart w:id="1540" w:name="_Toc15808"/>
      <w:bookmarkStart w:id="1541" w:name="_Toc30428"/>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廉洁承诺书</w:t>
      </w:r>
      <w:bookmarkEnd w:id="1525"/>
      <w:bookmarkEnd w:id="1526"/>
      <w:bookmarkEnd w:id="1527"/>
      <w:r>
        <w:rPr>
          <w:rFonts w:hint="eastAsia" w:ascii="仿宋" w:hAnsi="仿宋" w:eastAsia="仿宋" w:cs="仿宋"/>
          <w:color w:val="auto"/>
          <w:highlight w:val="none"/>
          <w:lang w:val="en-US" w:eastAsia="zh-CN"/>
        </w:rPr>
        <w:t>（实质性格式）</w:t>
      </w:r>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p>
    <w:p w14:paraId="555BB92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0"/>
          <w:szCs w:val="30"/>
          <w:highlight w:val="none"/>
          <w:lang w:eastAsia="zh-CN"/>
        </w:rPr>
      </w:pPr>
    </w:p>
    <w:p w14:paraId="2D037F9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pacing w:val="40"/>
          <w:sz w:val="32"/>
          <w:szCs w:val="28"/>
          <w:highlight w:val="none"/>
          <w:lang w:eastAsia="zh-CN"/>
        </w:rPr>
      </w:pPr>
    </w:p>
    <w:p w14:paraId="740AA14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的投标人，现做如下承诺：</w:t>
      </w:r>
    </w:p>
    <w:p w14:paraId="4AA88AC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1542" w:name="_Toc20454"/>
      <w:bookmarkStart w:id="1543" w:name="_Toc3046"/>
      <w:bookmarkStart w:id="1544" w:name="_Toc9955"/>
      <w:bookmarkStart w:id="1545" w:name="_Toc224"/>
      <w:bookmarkStart w:id="1546" w:name="_Toc2236"/>
      <w:bookmarkStart w:id="1547" w:name="_Toc11960"/>
      <w:bookmarkStart w:id="1548" w:name="_Toc21674"/>
      <w:bookmarkStart w:id="1549" w:name="_Toc28321"/>
      <w:bookmarkStart w:id="1550" w:name="_Toc9501"/>
      <w:bookmarkStart w:id="1551" w:name="_Toc26533"/>
      <w:r>
        <w:rPr>
          <w:rFonts w:hint="eastAsia" w:ascii="仿宋" w:hAnsi="仿宋" w:eastAsia="仿宋" w:cs="仿宋"/>
          <w:color w:val="auto"/>
          <w:sz w:val="24"/>
          <w:szCs w:val="24"/>
          <w:highlight w:val="none"/>
          <w:lang w:eastAsia="zh-CN"/>
        </w:rPr>
        <w:t>1.所提供的一切材料都是真实、有效、合法的。</w:t>
      </w:r>
      <w:bookmarkEnd w:id="1542"/>
      <w:bookmarkEnd w:id="1543"/>
      <w:bookmarkEnd w:id="1544"/>
      <w:bookmarkEnd w:id="1545"/>
      <w:bookmarkEnd w:id="1546"/>
      <w:bookmarkEnd w:id="1547"/>
      <w:bookmarkEnd w:id="1548"/>
      <w:bookmarkEnd w:id="1549"/>
      <w:bookmarkEnd w:id="1550"/>
      <w:bookmarkEnd w:id="1551"/>
    </w:p>
    <w:p w14:paraId="2CE193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2.不与其他投标人串通投标，不损害采购人或其他投标人的合法权益。</w:t>
      </w:r>
    </w:p>
    <w:p w14:paraId="6C7729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61079F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29D179E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386224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28BB6C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563741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18C466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如出现上述行为，本投标人自愿承担相关责任，接受招标投标监督管理部门、纪检监察部门或司法机关调查处理。给采购人造成损失的，依法承担赔偿责任。</w:t>
      </w:r>
    </w:p>
    <w:p w14:paraId="58BE217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39F8A24">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0BAF0C34">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D7D7CF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127D96F">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905A5C5">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13F859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070630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A22C785">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7C609CA">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513604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A911A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3978D6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（电子公章）</w:t>
      </w:r>
    </w:p>
    <w:p w14:paraId="63E58822">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val="0"/>
          <w:bCs w:val="0"/>
          <w:color w:val="auto"/>
          <w:sz w:val="32"/>
          <w:szCs w:val="32"/>
          <w:highlight w:val="none"/>
          <w:lang w:val="en-US" w:eastAsia="zh-CN"/>
        </w:rPr>
      </w:pPr>
      <w:bookmarkStart w:id="1552" w:name="_Toc16209"/>
      <w:bookmarkStart w:id="1553" w:name="_Toc13992"/>
      <w:bookmarkStart w:id="1554" w:name="_Toc4007"/>
      <w:bookmarkStart w:id="1555" w:name="_Toc10738"/>
      <w:bookmarkStart w:id="1556" w:name="_Toc18826"/>
      <w:bookmarkStart w:id="1557" w:name="_Toc5951"/>
      <w:bookmarkStart w:id="1558" w:name="_Toc15271"/>
      <w:bookmarkStart w:id="1559" w:name="_Toc1542"/>
      <w:bookmarkStart w:id="1560" w:name="_Toc25401"/>
      <w:bookmarkStart w:id="1561" w:name="_Toc18748"/>
      <w:bookmarkStart w:id="1562" w:name="_Toc1662"/>
      <w:bookmarkStart w:id="1563" w:name="_Toc2371"/>
      <w:bookmarkStart w:id="1564" w:name="_Toc3948"/>
      <w:bookmarkStart w:id="1565" w:name="_Toc9351"/>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p>
    <w:p w14:paraId="3F3FB589">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9"/>
        <w:rPr>
          <w:rFonts w:hint="eastAsia" w:ascii="仿宋" w:hAnsi="仿宋" w:eastAsia="仿宋" w:cs="仿宋"/>
          <w:color w:val="auto"/>
          <w:sz w:val="32"/>
          <w:szCs w:val="32"/>
          <w:highlight w:val="none"/>
          <w:lang w:val="en-US" w:eastAsia="zh-CN"/>
        </w:rPr>
        <w:sectPr>
          <w:footerReference r:id="rId16" w:type="first"/>
          <w:footerReference r:id="rId15"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65DA5112">
      <w:pPr>
        <w:spacing w:line="360" w:lineRule="auto"/>
        <w:jc w:val="center"/>
        <w:rPr>
          <w:rFonts w:hint="eastAsia" w:ascii="仿宋" w:hAnsi="仿宋" w:eastAsia="仿宋" w:cs="仿宋"/>
          <w:b/>
          <w:bCs/>
          <w:color w:val="auto"/>
          <w:sz w:val="30"/>
          <w:szCs w:val="30"/>
          <w:highlight w:val="none"/>
          <w:lang w:eastAsia="zh-CN"/>
        </w:rPr>
      </w:pPr>
      <w:bookmarkStart w:id="1566" w:name="_Toc24547"/>
      <w:bookmarkStart w:id="1567" w:name="_Toc5303"/>
      <w:bookmarkStart w:id="1568" w:name="_Toc15617"/>
      <w:bookmarkStart w:id="1569" w:name="_Toc10483"/>
      <w:bookmarkStart w:id="1570" w:name="_Toc17828"/>
      <w:bookmarkStart w:id="1571" w:name="_Toc22861"/>
      <w:bookmarkStart w:id="1572" w:name="_Toc27051"/>
      <w:bookmarkStart w:id="1573" w:name="_Toc15589"/>
      <w:bookmarkStart w:id="1574" w:name="_Toc7375"/>
      <w:bookmarkStart w:id="1575" w:name="_Toc1676"/>
      <w:bookmarkStart w:id="1576" w:name="_Toc7274"/>
      <w:bookmarkStart w:id="1577" w:name="_Toc22885"/>
      <w:bookmarkStart w:id="1578" w:name="_Toc22538"/>
      <w:bookmarkStart w:id="1579" w:name="_Toc17100"/>
      <w:r>
        <w:rPr>
          <w:rFonts w:hint="eastAsia" w:ascii="仿宋" w:hAnsi="仿宋" w:eastAsia="仿宋" w:cs="仿宋"/>
          <w:color w:val="auto"/>
          <w:sz w:val="32"/>
          <w:szCs w:val="32"/>
          <w:highlight w:val="none"/>
          <w:lang w:val="en-US" w:eastAsia="zh-CN"/>
        </w:rPr>
        <w:t>三、</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Pr>
          <w:rFonts w:hint="eastAsia" w:ascii="仿宋" w:hAnsi="仿宋" w:eastAsia="仿宋" w:cs="仿宋"/>
          <w:b/>
          <w:bCs/>
          <w:color w:val="auto"/>
          <w:sz w:val="30"/>
          <w:szCs w:val="30"/>
          <w:highlight w:val="none"/>
          <w:lang w:val="en-US" w:eastAsia="zh-CN"/>
        </w:rPr>
        <w:t>诚信履约承诺函（实质性格式）</w:t>
      </w:r>
    </w:p>
    <w:p w14:paraId="131E48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楚雄彝族自治州人民医院</w:t>
      </w:r>
    </w:p>
    <w:p w14:paraId="237E1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如我单位被确定为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 xml:space="preserve">中标人，我单位承诺在合同签订及履约过程中将严格执行《中华人民共和国政府采购法》《中华人民共和国政府采购法实施条例》及本项目招标文件中关于合同签订及履约的相关规定，不出现以下情形： </w:t>
      </w:r>
    </w:p>
    <w:p w14:paraId="6518D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（1）中标或者成交后无正当理由拒不与采购人签订政府采购合同； </w:t>
      </w:r>
    </w:p>
    <w:p w14:paraId="3BAA9C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（2）未按照招标文件确定的事项签订政府采购合同； </w:t>
      </w:r>
    </w:p>
    <w:p w14:paraId="4B321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（3）将政府采购合同转包； </w:t>
      </w:r>
    </w:p>
    <w:p w14:paraId="4AA99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（4）提供假冒伪劣产品； </w:t>
      </w:r>
    </w:p>
    <w:p w14:paraId="3AF9C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（5）擅自变更、中止或者终止政府采购合同。 </w:t>
      </w:r>
    </w:p>
    <w:p w14:paraId="4E1C4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auto"/>
          <w:sz w:val="24"/>
          <w:szCs w:val="24"/>
          <w:highlight w:val="none"/>
          <w:lang w:eastAsia="zh-CN"/>
        </w:rPr>
        <w:t>。</w:t>
      </w:r>
    </w:p>
    <w:p w14:paraId="155D5B37">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372BAE2B">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57FD6A1">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2F9FBC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59F00D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93EAD8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1FC803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9D7D08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6CFB4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767EE0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3993CC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sectPr>
          <w:footerReference r:id="rId18" w:type="first"/>
          <w:footerReference r:id="rId17"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1D342E6B">
      <w:pPr>
        <w:tabs>
          <w:tab w:val="left" w:pos="2775"/>
          <w:tab w:val="center" w:pos="4153"/>
        </w:tabs>
        <w:autoSpaceDE w:val="0"/>
        <w:autoSpaceDN w:val="0"/>
        <w:adjustRightInd w:val="0"/>
        <w:spacing w:line="360" w:lineRule="auto"/>
        <w:jc w:val="center"/>
        <w:rPr>
          <w:rFonts w:hint="eastAsia" w:ascii="仿宋" w:hAnsi="仿宋" w:eastAsia="仿宋" w:cs="仿宋"/>
          <w:b/>
          <w:color w:val="000000"/>
          <w:sz w:val="36"/>
          <w:szCs w:val="36"/>
          <w:highlight w:val="none"/>
        </w:rPr>
      </w:pPr>
      <w:bookmarkStart w:id="1580" w:name="_Toc29728"/>
      <w:bookmarkStart w:id="1581" w:name="_Toc20511"/>
      <w:bookmarkStart w:id="1582" w:name="_Toc19973"/>
      <w:bookmarkStart w:id="1583" w:name="_Toc25003"/>
      <w:bookmarkStart w:id="1584" w:name="_Toc20352"/>
      <w:bookmarkStart w:id="1585" w:name="_Toc7000"/>
      <w:bookmarkStart w:id="1586" w:name="_Toc21973"/>
      <w:bookmarkStart w:id="1587" w:name="_Toc5654"/>
      <w:bookmarkStart w:id="1588" w:name="_Toc13442"/>
      <w:bookmarkStart w:id="1589" w:name="_Toc23076"/>
      <w:bookmarkStart w:id="1590" w:name="_Toc356"/>
      <w:bookmarkStart w:id="1591" w:name="_Toc25551"/>
      <w:bookmarkStart w:id="1592" w:name="_Toc27204"/>
      <w:bookmarkStart w:id="1593" w:name="_Toc28635"/>
      <w:r>
        <w:rPr>
          <w:rStyle w:val="26"/>
          <w:rFonts w:hint="eastAsia" w:ascii="仿宋" w:hAnsi="仿宋" w:eastAsia="仿宋" w:cs="仿宋"/>
          <w:color w:val="000000" w:themeColor="text1"/>
          <w:sz w:val="32"/>
          <w:szCs w:val="32"/>
          <w:highlight w:val="none"/>
          <w:lang w:val="en-US" w:eastAsia="zh-CN"/>
          <w14:textFill>
            <w14:solidFill>
              <w14:schemeClr w14:val="tx1"/>
            </w14:solidFill>
          </w14:textFill>
        </w:rPr>
        <w:t>四</w:t>
      </w:r>
      <w:r>
        <w:rPr>
          <w:rStyle w:val="26"/>
          <w:rFonts w:hint="eastAsia" w:ascii="仿宋" w:hAnsi="仿宋" w:eastAsia="仿宋" w:cs="仿宋"/>
          <w:color w:val="000000" w:themeColor="text1"/>
          <w:sz w:val="32"/>
          <w:szCs w:val="32"/>
          <w:highlight w:val="none"/>
          <w:lang w:val="en-US"/>
          <w14:textFill>
            <w14:solidFill>
              <w14:schemeClr w14:val="tx1"/>
            </w14:solidFill>
          </w14:textFill>
        </w:rPr>
        <w:t>、</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hint="eastAsia" w:ascii="仿宋" w:hAnsi="仿宋" w:eastAsia="仿宋" w:cs="仿宋"/>
          <w:b/>
          <w:color w:val="000000"/>
          <w:sz w:val="30"/>
          <w:szCs w:val="30"/>
          <w:highlight w:val="none"/>
        </w:rPr>
        <w:t>合同条款偏离表</w:t>
      </w:r>
    </w:p>
    <w:p w14:paraId="2A106A35">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198CDBA0">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58A16588">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000000"/>
          <w:sz w:val="24"/>
          <w:highlight w:val="none"/>
          <w:u w:val="single"/>
          <w:lang w:val="en-US"/>
        </w:rPr>
      </w:pPr>
      <w:r>
        <w:rPr>
          <w:rFonts w:hint="eastAsia" w:ascii="仿宋" w:hAnsi="仿宋" w:eastAsia="仿宋" w:cs="仿宋"/>
          <w:color w:val="000000" w:themeColor="text1"/>
          <w:sz w:val="24"/>
          <w:highlight w:val="none"/>
          <w:u w:val="none"/>
          <w:lang w:val="en-US" w:eastAsia="zh-CN"/>
          <w14:textFill>
            <w14:solidFill>
              <w14:schemeClr w14:val="tx1"/>
            </w14:solidFill>
          </w14:textFill>
        </w:rPr>
        <w:t>标项：</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tbl>
      <w:tblPr>
        <w:tblStyle w:val="16"/>
        <w:tblW w:w="10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1810"/>
        <w:gridCol w:w="2135"/>
        <w:gridCol w:w="1975"/>
        <w:gridCol w:w="2098"/>
        <w:gridCol w:w="1704"/>
      </w:tblGrid>
      <w:tr w14:paraId="0D68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892" w:type="dxa"/>
            <w:noWrap w:val="0"/>
            <w:vAlign w:val="center"/>
          </w:tcPr>
          <w:p w14:paraId="107F6BF3">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序号</w:t>
            </w:r>
          </w:p>
        </w:tc>
        <w:tc>
          <w:tcPr>
            <w:tcW w:w="1810" w:type="dxa"/>
            <w:noWrap w:val="0"/>
            <w:vAlign w:val="center"/>
          </w:tcPr>
          <w:p w14:paraId="0D54190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招标文件条目号（页码）</w:t>
            </w:r>
          </w:p>
        </w:tc>
        <w:tc>
          <w:tcPr>
            <w:tcW w:w="2135" w:type="dxa"/>
            <w:noWrap w:val="0"/>
            <w:vAlign w:val="center"/>
          </w:tcPr>
          <w:p w14:paraId="4482156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招标文件要求</w:t>
            </w:r>
          </w:p>
        </w:tc>
        <w:tc>
          <w:tcPr>
            <w:tcW w:w="1975" w:type="dxa"/>
            <w:noWrap w:val="0"/>
            <w:vAlign w:val="center"/>
          </w:tcPr>
          <w:p w14:paraId="2283058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投标文件内容</w:t>
            </w:r>
          </w:p>
        </w:tc>
        <w:tc>
          <w:tcPr>
            <w:tcW w:w="2098" w:type="dxa"/>
            <w:noWrap w:val="0"/>
            <w:vAlign w:val="center"/>
          </w:tcPr>
          <w:p w14:paraId="18B7B8E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偏离情况</w:t>
            </w:r>
          </w:p>
        </w:tc>
        <w:tc>
          <w:tcPr>
            <w:tcW w:w="1704" w:type="dxa"/>
            <w:noWrap w:val="0"/>
            <w:vAlign w:val="center"/>
          </w:tcPr>
          <w:p w14:paraId="0CA1841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说明</w:t>
            </w:r>
          </w:p>
        </w:tc>
      </w:tr>
      <w:tr w14:paraId="3E98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jc w:val="center"/>
        </w:trPr>
        <w:tc>
          <w:tcPr>
            <w:tcW w:w="10614" w:type="dxa"/>
            <w:gridSpan w:val="6"/>
            <w:noWrap w:val="0"/>
            <w:vAlign w:val="center"/>
          </w:tcPr>
          <w:p w14:paraId="2D6D6432">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sz w:val="21"/>
                <w:szCs w:val="21"/>
                <w:highlight w:val="none"/>
              </w:rPr>
            </w:pPr>
            <w:r>
              <w:rPr>
                <w:rFonts w:hint="eastAsia" w:ascii="仿宋" w:hAnsi="仿宋" w:eastAsia="仿宋" w:cs="仿宋"/>
                <w:b/>
                <w:bCs/>
                <w:color w:val="000000"/>
                <w:kern w:val="0"/>
                <w:sz w:val="21"/>
                <w:szCs w:val="21"/>
                <w:highlight w:val="none"/>
                <w:lang w:val="en-US" w:eastAsia="zh-CN" w:bidi="ar"/>
              </w:rPr>
              <w:t>对本项目合同条款的偏离情况</w:t>
            </w:r>
            <w:r>
              <w:rPr>
                <w:rFonts w:hint="eastAsia" w:ascii="仿宋" w:hAnsi="仿宋" w:eastAsia="仿宋" w:cs="仿宋"/>
                <w:color w:val="000000"/>
                <w:kern w:val="0"/>
                <w:sz w:val="21"/>
                <w:szCs w:val="21"/>
                <w:highlight w:val="none"/>
                <w:lang w:val="en-US" w:eastAsia="zh-CN" w:bidi="ar"/>
              </w:rPr>
              <w:t>（应进行选择，未选择</w:t>
            </w:r>
            <w:r>
              <w:rPr>
                <w:rFonts w:hint="eastAsia" w:ascii="仿宋" w:hAnsi="仿宋" w:eastAsia="仿宋" w:cs="仿宋"/>
                <w:b/>
                <w:bCs/>
                <w:color w:val="000000"/>
                <w:kern w:val="0"/>
                <w:sz w:val="21"/>
                <w:szCs w:val="21"/>
                <w:highlight w:val="none"/>
                <w:lang w:val="en-US" w:eastAsia="zh-CN" w:bidi="ar"/>
              </w:rPr>
              <w:t>投标无效</w:t>
            </w:r>
            <w:r>
              <w:rPr>
                <w:rFonts w:hint="eastAsia" w:ascii="仿宋" w:hAnsi="仿宋" w:eastAsia="仿宋" w:cs="仿宋"/>
                <w:color w:val="000000"/>
                <w:kern w:val="0"/>
                <w:sz w:val="21"/>
                <w:szCs w:val="21"/>
                <w:highlight w:val="none"/>
                <w:lang w:val="en-US" w:eastAsia="zh-CN" w:bidi="ar"/>
              </w:rPr>
              <w:t>）：</w:t>
            </w:r>
          </w:p>
          <w:p w14:paraId="18B29DB6">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sz w:val="21"/>
                <w:szCs w:val="21"/>
                <w:highlight w:val="none"/>
              </w:rPr>
            </w:pPr>
            <w:r>
              <w:rPr>
                <w:rFonts w:hint="eastAsia" w:ascii="仿宋" w:hAnsi="仿宋" w:eastAsia="仿宋" w:cs="仿宋"/>
                <w:b/>
                <w:color w:val="000000"/>
                <w:sz w:val="21"/>
                <w:szCs w:val="21"/>
                <w:highlight w:val="none"/>
                <w:lang w:eastAsia="zh-CN"/>
              </w:rPr>
              <w:t>□</w:t>
            </w:r>
            <w:r>
              <w:rPr>
                <w:rFonts w:hint="eastAsia" w:ascii="仿宋" w:hAnsi="仿宋" w:eastAsia="仿宋" w:cs="仿宋"/>
                <w:b/>
                <w:bCs/>
                <w:color w:val="000000"/>
                <w:kern w:val="0"/>
                <w:sz w:val="21"/>
                <w:szCs w:val="21"/>
                <w:highlight w:val="none"/>
                <w:lang w:val="en-US" w:eastAsia="zh-CN" w:bidi="ar"/>
              </w:rPr>
              <w:t>无偏离</w:t>
            </w:r>
            <w:r>
              <w:rPr>
                <w:rFonts w:hint="eastAsia" w:ascii="仿宋" w:hAnsi="仿宋" w:eastAsia="仿宋" w:cs="仿宋"/>
                <w:color w:val="000000"/>
                <w:kern w:val="0"/>
                <w:sz w:val="21"/>
                <w:szCs w:val="21"/>
                <w:highlight w:val="none"/>
                <w:lang w:val="en-US" w:eastAsia="zh-CN" w:bidi="ar"/>
              </w:rPr>
              <w:t>（如无偏离，仅选择无偏离即可；无偏离即为对合同条款中的所有要求，均视作供应商已对之理解和响应。）</w:t>
            </w:r>
          </w:p>
          <w:p w14:paraId="7CE12C25">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000000"/>
                <w:sz w:val="21"/>
                <w:szCs w:val="21"/>
                <w:highlight w:val="none"/>
              </w:rPr>
            </w:pPr>
            <w:r>
              <w:rPr>
                <w:rFonts w:hint="eastAsia" w:ascii="仿宋" w:hAnsi="仿宋" w:eastAsia="仿宋" w:cs="仿宋"/>
                <w:b/>
                <w:color w:val="000000"/>
                <w:sz w:val="21"/>
                <w:szCs w:val="21"/>
                <w:highlight w:val="none"/>
                <w:lang w:eastAsia="zh-CN"/>
              </w:rPr>
              <w:t>□</w:t>
            </w:r>
            <w:r>
              <w:rPr>
                <w:rFonts w:hint="eastAsia" w:ascii="仿宋" w:hAnsi="仿宋" w:eastAsia="仿宋" w:cs="仿宋"/>
                <w:b/>
                <w:bCs/>
                <w:color w:val="000000"/>
                <w:kern w:val="0"/>
                <w:sz w:val="21"/>
                <w:szCs w:val="21"/>
                <w:highlight w:val="none"/>
                <w:lang w:val="en-US" w:eastAsia="zh-CN" w:bidi="ar"/>
              </w:rPr>
              <w:t>有偏离</w:t>
            </w:r>
            <w:r>
              <w:rPr>
                <w:rFonts w:hint="eastAsia" w:ascii="仿宋" w:hAnsi="仿宋" w:eastAsia="仿宋" w:cs="仿宋"/>
                <w:color w:val="000000"/>
                <w:kern w:val="0"/>
                <w:sz w:val="21"/>
                <w:szCs w:val="21"/>
                <w:highlight w:val="none"/>
                <w:lang w:val="en-US" w:eastAsia="zh-CN" w:bidi="ar"/>
              </w:rPr>
              <w:t>（如有偏离，则应在本表中对偏离项逐一列明，否则</w:t>
            </w:r>
            <w:r>
              <w:rPr>
                <w:rFonts w:hint="eastAsia" w:ascii="仿宋" w:hAnsi="仿宋" w:eastAsia="仿宋" w:cs="仿宋"/>
                <w:b/>
                <w:bCs/>
                <w:color w:val="000000"/>
                <w:kern w:val="0"/>
                <w:sz w:val="21"/>
                <w:szCs w:val="21"/>
                <w:highlight w:val="none"/>
                <w:lang w:val="en-US" w:eastAsia="zh-CN" w:bidi="ar"/>
              </w:rPr>
              <w:t>投标无效</w:t>
            </w:r>
            <w:r>
              <w:rPr>
                <w:rFonts w:hint="eastAsia" w:ascii="仿宋" w:hAnsi="仿宋" w:eastAsia="仿宋" w:cs="仿宋"/>
                <w:color w:val="000000"/>
                <w:kern w:val="0"/>
                <w:sz w:val="21"/>
                <w:szCs w:val="21"/>
                <w:highlight w:val="none"/>
                <w:lang w:val="en-US" w:eastAsia="zh-CN" w:bidi="ar"/>
              </w:rPr>
              <w:t>；对合同条款中的所有要求，除本表列明的偏离外，均视作供应商已对之理解和响应。）</w:t>
            </w:r>
          </w:p>
        </w:tc>
      </w:tr>
      <w:tr w14:paraId="166A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278BEEB2">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810" w:type="dxa"/>
            <w:noWrap w:val="0"/>
            <w:vAlign w:val="center"/>
          </w:tcPr>
          <w:p w14:paraId="5212DDC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135" w:type="dxa"/>
            <w:noWrap w:val="0"/>
            <w:vAlign w:val="center"/>
          </w:tcPr>
          <w:p w14:paraId="5D65649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975" w:type="dxa"/>
            <w:noWrap w:val="0"/>
            <w:vAlign w:val="center"/>
          </w:tcPr>
          <w:p w14:paraId="4927151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098" w:type="dxa"/>
            <w:noWrap w:val="0"/>
            <w:vAlign w:val="center"/>
          </w:tcPr>
          <w:p w14:paraId="4332F20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704" w:type="dxa"/>
            <w:noWrap w:val="0"/>
            <w:vAlign w:val="center"/>
          </w:tcPr>
          <w:p w14:paraId="07F5A44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r>
      <w:tr w14:paraId="65C6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6B049B8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810" w:type="dxa"/>
            <w:noWrap w:val="0"/>
            <w:vAlign w:val="center"/>
          </w:tcPr>
          <w:p w14:paraId="55B921F5">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135" w:type="dxa"/>
            <w:noWrap w:val="0"/>
            <w:vAlign w:val="center"/>
          </w:tcPr>
          <w:p w14:paraId="7F09A583">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975" w:type="dxa"/>
            <w:noWrap w:val="0"/>
            <w:vAlign w:val="center"/>
          </w:tcPr>
          <w:p w14:paraId="21830BE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098" w:type="dxa"/>
            <w:noWrap w:val="0"/>
            <w:vAlign w:val="center"/>
          </w:tcPr>
          <w:p w14:paraId="1725EED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704" w:type="dxa"/>
            <w:noWrap w:val="0"/>
            <w:vAlign w:val="center"/>
          </w:tcPr>
          <w:p w14:paraId="6D44D52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r>
      <w:tr w14:paraId="0B91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7C6F55E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810" w:type="dxa"/>
            <w:noWrap w:val="0"/>
            <w:vAlign w:val="center"/>
          </w:tcPr>
          <w:p w14:paraId="613BE57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135" w:type="dxa"/>
            <w:noWrap w:val="0"/>
            <w:vAlign w:val="center"/>
          </w:tcPr>
          <w:p w14:paraId="5EE53F99">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975" w:type="dxa"/>
            <w:noWrap w:val="0"/>
            <w:vAlign w:val="center"/>
          </w:tcPr>
          <w:p w14:paraId="4F9558A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098" w:type="dxa"/>
            <w:noWrap w:val="0"/>
            <w:vAlign w:val="center"/>
          </w:tcPr>
          <w:p w14:paraId="0113EDC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704" w:type="dxa"/>
            <w:noWrap w:val="0"/>
            <w:vAlign w:val="center"/>
          </w:tcPr>
          <w:p w14:paraId="16DBA16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r>
      <w:tr w14:paraId="22DD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892" w:type="dxa"/>
            <w:noWrap w:val="0"/>
            <w:vAlign w:val="center"/>
          </w:tcPr>
          <w:p w14:paraId="58A0F0B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810" w:type="dxa"/>
            <w:noWrap w:val="0"/>
            <w:vAlign w:val="center"/>
          </w:tcPr>
          <w:p w14:paraId="3E24281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135" w:type="dxa"/>
            <w:noWrap w:val="0"/>
            <w:vAlign w:val="center"/>
          </w:tcPr>
          <w:p w14:paraId="6D5701D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975" w:type="dxa"/>
            <w:noWrap w:val="0"/>
            <w:vAlign w:val="center"/>
          </w:tcPr>
          <w:p w14:paraId="4EB306E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2098" w:type="dxa"/>
            <w:noWrap w:val="0"/>
            <w:vAlign w:val="center"/>
          </w:tcPr>
          <w:p w14:paraId="4F88E75C">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c>
          <w:tcPr>
            <w:tcW w:w="1704" w:type="dxa"/>
            <w:noWrap w:val="0"/>
            <w:vAlign w:val="center"/>
          </w:tcPr>
          <w:p w14:paraId="639A5E5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000000"/>
                <w:sz w:val="21"/>
                <w:szCs w:val="21"/>
                <w:highlight w:val="none"/>
              </w:rPr>
            </w:pPr>
          </w:p>
        </w:tc>
      </w:tr>
    </w:tbl>
    <w:p w14:paraId="7ED67BC1">
      <w:pPr>
        <w:wordWrap w:val="0"/>
        <w:overflowPunct w:val="0"/>
        <w:topLinePunct/>
        <w:spacing w:line="360" w:lineRule="auto"/>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注：</w:t>
      </w:r>
      <w:r>
        <w:rPr>
          <w:rFonts w:hint="eastAsia" w:ascii="仿宋" w:hAnsi="仿宋" w:eastAsia="仿宋" w:cs="仿宋"/>
          <w:sz w:val="21"/>
          <w:szCs w:val="21"/>
          <w:highlight w:val="none"/>
        </w:rPr>
        <w:t>“偏离情况”列应</w:t>
      </w:r>
      <w:r>
        <w:rPr>
          <w:rFonts w:hint="eastAsia" w:ascii="仿宋" w:hAnsi="仿宋" w:eastAsia="仿宋" w:cs="仿宋"/>
          <w:color w:val="000000"/>
          <w:sz w:val="21"/>
          <w:szCs w:val="21"/>
          <w:highlight w:val="none"/>
        </w:rPr>
        <w:t>据实</w:t>
      </w:r>
      <w:r>
        <w:rPr>
          <w:rFonts w:hint="eastAsia" w:ascii="仿宋" w:hAnsi="仿宋" w:eastAsia="仿宋" w:cs="仿宋"/>
          <w:sz w:val="21"/>
          <w:szCs w:val="21"/>
          <w:highlight w:val="none"/>
        </w:rPr>
        <w:t>填写“正偏离”或“负偏离”。</w:t>
      </w:r>
    </w:p>
    <w:p w14:paraId="3BE91097">
      <w:pPr>
        <w:wordWrap w:val="0"/>
        <w:overflowPunct w:val="0"/>
        <w:topLinePunct/>
        <w:spacing w:line="360" w:lineRule="auto"/>
        <w:jc w:val="both"/>
        <w:rPr>
          <w:rFonts w:hint="eastAsia" w:ascii="仿宋" w:hAnsi="仿宋" w:eastAsia="仿宋" w:cs="仿宋"/>
          <w:sz w:val="21"/>
          <w:szCs w:val="21"/>
          <w:highlight w:val="none"/>
        </w:rPr>
      </w:pPr>
    </w:p>
    <w:p w14:paraId="055793EA">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8660D5E">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Start w:id="1594" w:name="_Toc13595"/>
      <w:bookmarkStart w:id="1595" w:name="_Toc7555"/>
    </w:p>
    <w:p w14:paraId="1D014C99">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2"/>
        <w:rPr>
          <w:rFonts w:hint="eastAsia" w:ascii="仿宋" w:hAnsi="仿宋" w:eastAsia="仿宋" w:cs="仿宋"/>
          <w:sz w:val="21"/>
          <w:szCs w:val="21"/>
        </w:rPr>
        <w:sectPr>
          <w:pgSz w:w="12240" w:h="15840"/>
          <w:pgMar w:top="1440" w:right="1080" w:bottom="1440" w:left="1080" w:header="720" w:footer="720" w:gutter="0"/>
          <w:cols w:space="720" w:num="1"/>
          <w:docGrid w:linePitch="360" w:charSpace="0"/>
        </w:sect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594"/>
      <w:bookmarkEnd w:id="1595"/>
    </w:p>
    <w:p w14:paraId="745DB060">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30"/>
          <w:szCs w:val="30"/>
        </w:rPr>
      </w:pPr>
      <w:r>
        <w:rPr>
          <w:rFonts w:hint="eastAsia" w:ascii="仿宋" w:hAnsi="仿宋" w:eastAsia="仿宋" w:cs="仿宋"/>
          <w:b/>
          <w:sz w:val="30"/>
          <w:szCs w:val="30"/>
          <w:lang w:val="en-US" w:eastAsia="zh-CN"/>
        </w:rPr>
        <w:t>五、商务要求响应</w:t>
      </w:r>
      <w:r>
        <w:rPr>
          <w:rFonts w:hint="eastAsia" w:ascii="仿宋" w:hAnsi="仿宋" w:eastAsia="仿宋" w:cs="仿宋"/>
          <w:b/>
          <w:sz w:val="30"/>
          <w:szCs w:val="30"/>
        </w:rPr>
        <w:t>承诺书</w:t>
      </w:r>
    </w:p>
    <w:p w14:paraId="67A02753">
      <w:pPr>
        <w:keepNext w:val="0"/>
        <w:keepLines w:val="0"/>
        <w:pageBreakBefore w:val="0"/>
        <w:widowControl w:val="0"/>
        <w:kinsoku/>
        <w:wordWrap w:val="0"/>
        <w:overflowPunct/>
        <w:topLinePunct/>
        <w:autoSpaceDE/>
        <w:autoSpaceDN/>
        <w:bidi w:val="0"/>
        <w:adjustRightInd/>
        <w:snapToGrid/>
        <w:spacing w:after="0" w:line="360" w:lineRule="auto"/>
        <w:textAlignment w:val="auto"/>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b w:val="0"/>
          <w:bCs/>
          <w:color w:val="auto"/>
          <w:sz w:val="24"/>
          <w:szCs w:val="24"/>
          <w:highlight w:val="none"/>
          <w:u w:val="single"/>
          <w:lang w:eastAsia="zh-CN"/>
        </w:rPr>
        <w:t>楚雄彝族自治州人民医院</w:t>
      </w:r>
    </w:p>
    <w:p w14:paraId="7D9A035F">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lang w:val="en-US" w:eastAsia="zh-CN"/>
        </w:rPr>
        <w:t>本项目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标项：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sz w:val="24"/>
          <w:szCs w:val="24"/>
          <w:lang w:val="en-US" w:eastAsia="zh-CN"/>
        </w:rPr>
        <w:t>招标文件中“★商务要求”作</w:t>
      </w:r>
      <w:r>
        <w:rPr>
          <w:rFonts w:hint="eastAsia" w:ascii="仿宋" w:hAnsi="仿宋" w:eastAsia="仿宋" w:cs="仿宋"/>
          <w:sz w:val="24"/>
          <w:szCs w:val="24"/>
          <w:lang w:eastAsia="zh-CN"/>
        </w:rPr>
        <w:t>为</w:t>
      </w:r>
      <w:r>
        <w:rPr>
          <w:rFonts w:hint="eastAsia" w:ascii="仿宋" w:hAnsi="仿宋" w:eastAsia="仿宋" w:cs="仿宋"/>
          <w:sz w:val="24"/>
          <w:szCs w:val="24"/>
          <w:lang w:val="en-US" w:eastAsia="zh-CN"/>
        </w:rPr>
        <w:t>采购人</w:t>
      </w:r>
      <w:r>
        <w:rPr>
          <w:rFonts w:hint="eastAsia" w:ascii="仿宋" w:hAnsi="仿宋" w:eastAsia="仿宋" w:cs="仿宋"/>
          <w:sz w:val="24"/>
          <w:szCs w:val="24"/>
          <w:lang w:eastAsia="zh-CN"/>
        </w:rPr>
        <w:t>对</w:t>
      </w:r>
      <w:r>
        <w:rPr>
          <w:rFonts w:hint="eastAsia" w:ascii="仿宋" w:hAnsi="仿宋" w:eastAsia="仿宋" w:cs="仿宋"/>
          <w:sz w:val="24"/>
          <w:szCs w:val="24"/>
          <w:lang w:val="en-US" w:eastAsia="zh-CN"/>
        </w:rPr>
        <w:t>投标人</w:t>
      </w:r>
      <w:r>
        <w:rPr>
          <w:rFonts w:hint="eastAsia" w:ascii="仿宋" w:hAnsi="仿宋" w:eastAsia="仿宋" w:cs="仿宋"/>
          <w:sz w:val="24"/>
          <w:szCs w:val="24"/>
          <w:lang w:eastAsia="zh-CN"/>
        </w:rPr>
        <w:t>提出的最低要求，</w:t>
      </w:r>
      <w:r>
        <w:rPr>
          <w:rFonts w:hint="eastAsia" w:ascii="仿宋" w:hAnsi="仿宋" w:eastAsia="仿宋" w:cs="仿宋"/>
          <w:sz w:val="24"/>
          <w:szCs w:val="24"/>
          <w:lang w:val="en-US" w:eastAsia="zh-CN"/>
        </w:rPr>
        <w:t>并</w:t>
      </w:r>
      <w:r>
        <w:rPr>
          <w:rFonts w:hint="eastAsia" w:ascii="仿宋" w:hAnsi="仿宋" w:eastAsia="仿宋" w:cs="仿宋"/>
          <w:sz w:val="24"/>
          <w:szCs w:val="24"/>
          <w:lang w:eastAsia="zh-CN"/>
        </w:rPr>
        <w:t>将作为采购人与</w:t>
      </w:r>
      <w:r>
        <w:rPr>
          <w:rFonts w:hint="eastAsia" w:ascii="仿宋" w:hAnsi="仿宋" w:eastAsia="仿宋" w:cs="仿宋"/>
          <w:sz w:val="24"/>
          <w:szCs w:val="24"/>
          <w:lang w:val="en-US" w:eastAsia="zh-CN"/>
        </w:rPr>
        <w:t>中标人</w:t>
      </w:r>
      <w:r>
        <w:rPr>
          <w:rFonts w:hint="eastAsia" w:ascii="仿宋" w:hAnsi="仿宋" w:eastAsia="仿宋" w:cs="仿宋"/>
          <w:sz w:val="24"/>
          <w:szCs w:val="24"/>
          <w:lang w:eastAsia="zh-CN"/>
        </w:rPr>
        <w:t>签定合同的实质性要求</w:t>
      </w:r>
      <w:r>
        <w:rPr>
          <w:rFonts w:hint="eastAsia" w:ascii="仿宋" w:hAnsi="仿宋" w:eastAsia="仿宋" w:cs="仿宋"/>
          <w:sz w:val="24"/>
          <w:szCs w:val="24"/>
        </w:rPr>
        <w:t>。</w:t>
      </w:r>
      <w:r>
        <w:rPr>
          <w:rFonts w:hint="eastAsia" w:ascii="仿宋" w:hAnsi="仿宋" w:eastAsia="仿宋" w:cs="仿宋"/>
          <w:sz w:val="24"/>
          <w:szCs w:val="24"/>
          <w:lang w:eastAsia="zh-CN"/>
        </w:rPr>
        <w:t>我单位</w:t>
      </w:r>
      <w:r>
        <w:rPr>
          <w:rFonts w:hint="eastAsia" w:ascii="仿宋" w:hAnsi="仿宋" w:eastAsia="仿宋" w:cs="仿宋"/>
          <w:sz w:val="24"/>
          <w:szCs w:val="24"/>
        </w:rPr>
        <w:t>确认已详细阅读并理解招标文件中的所有商务条款</w:t>
      </w:r>
      <w:r>
        <w:rPr>
          <w:rFonts w:hint="eastAsia" w:ascii="仿宋" w:hAnsi="仿宋" w:eastAsia="仿宋" w:cs="仿宋"/>
          <w:sz w:val="24"/>
          <w:szCs w:val="24"/>
          <w:lang w:eastAsia="zh-CN"/>
        </w:rPr>
        <w:t>，我</w:t>
      </w:r>
      <w:r>
        <w:rPr>
          <w:rFonts w:hint="eastAsia" w:ascii="仿宋" w:hAnsi="仿宋" w:eastAsia="仿宋" w:cs="仿宋"/>
          <w:sz w:val="24"/>
          <w:szCs w:val="24"/>
          <w:lang w:val="en-US" w:eastAsia="zh-CN"/>
        </w:rPr>
        <w:t>单位理解并完全响应本项目中的</w:t>
      </w:r>
      <w:r>
        <w:rPr>
          <w:rFonts w:hint="eastAsia" w:ascii="仿宋" w:hAnsi="仿宋" w:eastAsia="仿宋" w:cs="仿宋"/>
          <w:color w:val="auto"/>
          <w:sz w:val="24"/>
          <w:szCs w:val="24"/>
          <w:highlight w:val="none"/>
          <w:lang w:val="en-US" w:eastAsia="zh-CN"/>
        </w:rPr>
        <w:t>商务要求。</w:t>
      </w:r>
    </w:p>
    <w:p w14:paraId="37BD43FE">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sz w:val="24"/>
          <w:szCs w:val="24"/>
          <w:lang w:val="en-US" w:eastAsia="zh-CN"/>
        </w:rPr>
      </w:pP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将严格遵照执行</w:t>
      </w:r>
      <w:r>
        <w:rPr>
          <w:rFonts w:hint="eastAsia" w:ascii="仿宋" w:hAnsi="仿宋" w:eastAsia="仿宋" w:cs="仿宋"/>
          <w:color w:val="auto"/>
          <w:sz w:val="24"/>
          <w:szCs w:val="24"/>
          <w:highlight w:val="none"/>
          <w:lang w:val="en-US" w:eastAsia="zh-CN"/>
        </w:rPr>
        <w:t>商务要求约定的各项义务，确保合同的顺利履行。</w:t>
      </w:r>
    </w:p>
    <w:p w14:paraId="0C031F6E">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rPr>
      </w:pPr>
    </w:p>
    <w:p w14:paraId="71E2F9F4">
      <w:pPr>
        <w:wordWrap w:val="0"/>
        <w:overflowPunct w:val="0"/>
        <w:topLinePunct/>
        <w:spacing w:line="360" w:lineRule="auto"/>
        <w:jc w:val="both"/>
        <w:rPr>
          <w:rFonts w:hint="eastAsia" w:ascii="仿宋" w:hAnsi="仿宋" w:eastAsia="仿宋" w:cs="仿宋"/>
          <w:color w:val="auto"/>
          <w:sz w:val="24"/>
          <w:highlight w:val="none"/>
          <w:lang w:eastAsia="zh-CN"/>
        </w:rPr>
      </w:pPr>
    </w:p>
    <w:p w14:paraId="79251CB0">
      <w:pPr>
        <w:wordWrap w:val="0"/>
        <w:overflowPunct w:val="0"/>
        <w:topLinePunct/>
        <w:spacing w:line="360" w:lineRule="auto"/>
        <w:jc w:val="both"/>
        <w:rPr>
          <w:rFonts w:hint="eastAsia" w:ascii="仿宋" w:hAnsi="仿宋" w:eastAsia="仿宋" w:cs="仿宋"/>
          <w:color w:val="auto"/>
          <w:sz w:val="24"/>
          <w:highlight w:val="none"/>
          <w:lang w:eastAsia="zh-CN"/>
        </w:rPr>
      </w:pPr>
    </w:p>
    <w:p w14:paraId="613A7B93">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DF38EB5">
      <w:pPr>
        <w:wordWrap w:val="0"/>
        <w:overflowPunct w:val="0"/>
        <w:topLinePunct/>
        <w:spacing w:line="360" w:lineRule="auto"/>
        <w:jc w:val="center"/>
        <w:rPr>
          <w:rFonts w:hint="eastAsia" w:ascii="仿宋" w:hAnsi="仿宋" w:eastAsia="仿宋" w:cs="仿宋"/>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F186765">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strike w:val="0"/>
          <w:dstrike w:val="0"/>
          <w:color w:val="auto"/>
          <w:sz w:val="21"/>
          <w:szCs w:val="21"/>
          <w:highlight w:val="none"/>
        </w:rPr>
      </w:pPr>
    </w:p>
    <w:p w14:paraId="1100DD6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418F191">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5C6F3236">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42A7111">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CFB5752">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both"/>
        <w:textAlignment w:val="auto"/>
        <w:rPr>
          <w:rFonts w:hint="eastAsia" w:ascii="仿宋" w:hAnsi="仿宋" w:eastAsia="仿宋" w:cs="仿宋"/>
          <w:color w:val="auto"/>
          <w:spacing w:val="-1"/>
          <w:sz w:val="24"/>
          <w:szCs w:val="24"/>
          <w:highlight w:val="none"/>
        </w:rPr>
      </w:pPr>
    </w:p>
    <w:p w14:paraId="091CE7D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253BCC4">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bookmarkStart w:id="1596" w:name="_Toc15363"/>
      <w:bookmarkStart w:id="1597" w:name="_Toc20056"/>
      <w:bookmarkStart w:id="1598" w:name="_Toc23768"/>
      <w:bookmarkStart w:id="1599" w:name="_Toc5941"/>
      <w:bookmarkStart w:id="1600" w:name="_Toc813"/>
      <w:bookmarkStart w:id="1601" w:name="_Toc1382"/>
      <w:bookmarkStart w:id="1602" w:name="_Toc11157"/>
      <w:bookmarkStart w:id="1603" w:name="_Toc12254"/>
      <w:bookmarkStart w:id="1604" w:name="_Toc22576"/>
      <w:bookmarkStart w:id="1605" w:name="_Toc17418"/>
      <w:bookmarkStart w:id="1606" w:name="_Toc13211"/>
      <w:bookmarkStart w:id="1607" w:name="_Toc17455"/>
      <w:bookmarkStart w:id="1608" w:name="_Toc5103"/>
      <w:bookmarkStart w:id="1609" w:name="_Toc12296"/>
    </w:p>
    <w:p w14:paraId="3462CA2F">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77BD779A">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50A0360A">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4413788B">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5036624E">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33DD358E">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7E688F04">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0FBF242B">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b/>
          <w:bCs/>
          <w:color w:val="auto"/>
          <w:sz w:val="32"/>
          <w:szCs w:val="32"/>
          <w:highlight w:val="none"/>
          <w:lang w:val="en-US" w:eastAsia="zh-CN"/>
        </w:rPr>
      </w:pPr>
    </w:p>
    <w:p w14:paraId="39D6635E">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供货渠道与合作机构情况</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0"/>
          <w:szCs w:val="30"/>
          <w:highlight w:val="none"/>
          <w:lang w:val="en-US" w:eastAsia="zh-CN"/>
        </w:rPr>
        <w:t>若有</w:t>
      </w:r>
      <w:r>
        <w:rPr>
          <w:rFonts w:hint="eastAsia" w:ascii="仿宋" w:hAnsi="仿宋" w:eastAsia="仿宋" w:cs="仿宋"/>
          <w:b/>
          <w:bCs/>
          <w:color w:val="auto"/>
          <w:sz w:val="32"/>
          <w:szCs w:val="32"/>
          <w:highlight w:val="none"/>
          <w:lang w:eastAsia="zh-CN"/>
        </w:rPr>
        <w:t>）</w:t>
      </w:r>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p>
    <w:tbl>
      <w:tblPr>
        <w:tblStyle w:val="33"/>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372BD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44AF387">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5646" w:type="dxa"/>
            <w:tcBorders>
              <w:left w:val="single" w:color="auto" w:sz="4" w:space="0"/>
            </w:tcBorders>
            <w:noWrap w:val="0"/>
            <w:vAlign w:val="center"/>
          </w:tcPr>
          <w:p w14:paraId="37F15EDC">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 本 情 况</w:t>
            </w:r>
          </w:p>
        </w:tc>
        <w:tc>
          <w:tcPr>
            <w:tcW w:w="2495" w:type="dxa"/>
            <w:noWrap w:val="0"/>
            <w:vAlign w:val="center"/>
          </w:tcPr>
          <w:p w14:paraId="0F65DAA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联系人/联系电话/传真</w:t>
            </w:r>
          </w:p>
        </w:tc>
      </w:tr>
      <w:tr w14:paraId="703CC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7E4A216">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生产厂家</w:t>
            </w:r>
          </w:p>
        </w:tc>
        <w:tc>
          <w:tcPr>
            <w:tcW w:w="5646" w:type="dxa"/>
            <w:tcBorders>
              <w:left w:val="single" w:color="auto" w:sz="4" w:space="0"/>
            </w:tcBorders>
            <w:noWrap w:val="0"/>
            <w:vAlign w:val="center"/>
          </w:tcPr>
          <w:p w14:paraId="67FFDE99">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1F0A690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7F766A1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销售负责人：</w:t>
            </w:r>
            <w:r>
              <w:rPr>
                <w:rFonts w:hint="eastAsia" w:ascii="仿宋" w:hAnsi="仿宋" w:eastAsia="仿宋" w:cs="仿宋"/>
                <w:color w:val="auto"/>
                <w:sz w:val="24"/>
                <w:szCs w:val="24"/>
                <w:highlight w:val="none"/>
                <w:u w:val="single"/>
                <w:lang w:val="en-US" w:eastAsia="zh-CN"/>
              </w:rPr>
              <w:t xml:space="preserve">                   </w:t>
            </w:r>
          </w:p>
        </w:tc>
        <w:tc>
          <w:tcPr>
            <w:tcW w:w="2495" w:type="dxa"/>
            <w:tcBorders>
              <w:bottom w:val="single" w:color="auto" w:sz="4" w:space="0"/>
            </w:tcBorders>
            <w:noWrap w:val="0"/>
            <w:vAlign w:val="center"/>
          </w:tcPr>
          <w:p w14:paraId="67E87A3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394CBAF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47C2523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3E9E3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5101D02E">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关键设备合法来源渠道</w:t>
            </w:r>
          </w:p>
        </w:tc>
        <w:tc>
          <w:tcPr>
            <w:tcW w:w="5646" w:type="dxa"/>
            <w:tcBorders>
              <w:left w:val="single" w:color="auto" w:sz="4" w:space="0"/>
              <w:right w:val="single" w:color="auto" w:sz="4" w:space="0"/>
            </w:tcBorders>
            <w:noWrap w:val="0"/>
            <w:vAlign w:val="center"/>
          </w:tcPr>
          <w:p w14:paraId="721997C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产品名称：</w:t>
            </w:r>
            <w:r>
              <w:rPr>
                <w:rFonts w:hint="eastAsia" w:ascii="仿宋" w:hAnsi="仿宋" w:eastAsia="仿宋" w:cs="仿宋"/>
                <w:color w:val="auto"/>
                <w:sz w:val="24"/>
                <w:szCs w:val="24"/>
                <w:highlight w:val="none"/>
                <w:u w:val="single"/>
                <w:lang w:val="en-US" w:eastAsia="zh-CN"/>
              </w:rPr>
              <w:t xml:space="preserve">                     </w:t>
            </w:r>
          </w:p>
          <w:p w14:paraId="0A86156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制造/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生产地：</w:t>
            </w:r>
            <w:r>
              <w:rPr>
                <w:rFonts w:hint="eastAsia" w:ascii="仿宋" w:hAnsi="仿宋" w:eastAsia="仿宋" w:cs="仿宋"/>
                <w:color w:val="auto"/>
                <w:sz w:val="24"/>
                <w:szCs w:val="24"/>
                <w:highlight w:val="none"/>
                <w:u w:val="single"/>
                <w:lang w:val="en-US" w:eastAsia="zh-CN"/>
              </w:rPr>
              <w:t xml:space="preserve">            </w:t>
            </w:r>
          </w:p>
          <w:p w14:paraId="66A0D8A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经销总代理：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销售负责人：</w:t>
            </w:r>
            <w:r>
              <w:rPr>
                <w:rFonts w:hint="eastAsia" w:ascii="仿宋" w:hAnsi="仿宋" w:eastAsia="仿宋" w:cs="仿宋"/>
                <w:color w:val="auto"/>
                <w:sz w:val="24"/>
                <w:szCs w:val="24"/>
                <w:highlight w:val="none"/>
                <w:u w:val="single"/>
                <w:lang w:val="en-US" w:eastAsia="zh-CN"/>
              </w:rPr>
              <w:t xml:space="preserve">      </w:t>
            </w:r>
          </w:p>
          <w:p w14:paraId="7AA8454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产品介绍和报价的权威网站：</w:t>
            </w:r>
            <w:r>
              <w:rPr>
                <w:rFonts w:hint="eastAsia" w:ascii="仿宋" w:hAnsi="仿宋" w:eastAsia="仿宋" w:cs="仿宋"/>
                <w:color w:val="auto"/>
                <w:sz w:val="24"/>
                <w:szCs w:val="24"/>
                <w:highlight w:val="none"/>
                <w:u w:val="single"/>
                <w:lang w:val="en-US" w:eastAsia="zh-CN"/>
              </w:rPr>
              <w:t xml:space="preserve">                    </w:t>
            </w:r>
          </w:p>
          <w:p w14:paraId="7886206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产品合法来源验证查询专线：</w:t>
            </w:r>
            <w:r>
              <w:rPr>
                <w:rFonts w:hint="eastAsia" w:ascii="仿宋" w:hAnsi="仿宋" w:eastAsia="仿宋" w:cs="仿宋"/>
                <w:color w:val="auto"/>
                <w:sz w:val="24"/>
                <w:szCs w:val="24"/>
                <w:highlight w:val="none"/>
                <w:u w:val="single"/>
                <w:lang w:val="en-US" w:eastAsia="zh-CN"/>
              </w:rPr>
              <w:t xml:space="preserve">                    </w:t>
            </w:r>
          </w:p>
          <w:p w14:paraId="5924752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售后服务管理验证查询专线：</w:t>
            </w:r>
            <w:r>
              <w:rPr>
                <w:rFonts w:hint="eastAsia" w:ascii="仿宋" w:hAnsi="仿宋" w:eastAsia="仿宋" w:cs="仿宋"/>
                <w:color w:val="auto"/>
                <w:sz w:val="24"/>
                <w:szCs w:val="24"/>
                <w:highlight w:val="none"/>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6D5FB86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0997737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26FB9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68F0FBAF">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设在</w:t>
            </w:r>
            <w:r>
              <w:rPr>
                <w:rFonts w:hint="eastAsia" w:ascii="仿宋" w:hAnsi="仿宋" w:eastAsia="仿宋" w:cs="仿宋"/>
                <w:color w:val="auto"/>
                <w:sz w:val="24"/>
                <w:szCs w:val="24"/>
                <w:highlight w:val="none"/>
                <w:lang w:eastAsia="zh-CN"/>
              </w:rPr>
              <w:t>云南</w:t>
            </w:r>
            <w:r>
              <w:rPr>
                <w:rFonts w:hint="eastAsia" w:ascii="仿宋" w:hAnsi="仿宋" w:eastAsia="仿宋" w:cs="仿宋"/>
                <w:color w:val="auto"/>
                <w:sz w:val="24"/>
                <w:szCs w:val="24"/>
                <w:highlight w:val="none"/>
              </w:rPr>
              <w:t>省内的售后服务机构情况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5646" w:type="dxa"/>
            <w:tcBorders>
              <w:left w:val="single" w:color="auto" w:sz="4" w:space="0"/>
              <w:right w:val="single" w:color="auto" w:sz="4" w:space="0"/>
            </w:tcBorders>
            <w:noWrap w:val="0"/>
            <w:vAlign w:val="center"/>
          </w:tcPr>
          <w:p w14:paraId="4E6DA52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机构名称：</w:t>
            </w:r>
            <w:r>
              <w:rPr>
                <w:rFonts w:hint="eastAsia" w:ascii="仿宋" w:hAnsi="仿宋" w:eastAsia="仿宋" w:cs="仿宋"/>
                <w:color w:val="auto"/>
                <w:sz w:val="24"/>
                <w:szCs w:val="24"/>
                <w:highlight w:val="none"/>
                <w:u w:val="single"/>
                <w:lang w:val="en-US" w:eastAsia="zh-CN"/>
              </w:rPr>
              <w:t xml:space="preserve">                    </w:t>
            </w:r>
          </w:p>
          <w:p w14:paraId="21A6DB3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4743BFE9">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负 责 人：</w:t>
            </w:r>
            <w:r>
              <w:rPr>
                <w:rFonts w:hint="eastAsia" w:ascii="仿宋" w:hAnsi="仿宋" w:eastAsia="仿宋" w:cs="仿宋"/>
                <w:color w:val="auto"/>
                <w:sz w:val="24"/>
                <w:szCs w:val="24"/>
                <w:highlight w:val="none"/>
                <w:u w:val="single"/>
                <w:lang w:val="en-US" w:eastAsia="zh-CN"/>
              </w:rPr>
              <w:t xml:space="preserve">                    </w:t>
            </w:r>
          </w:p>
          <w:p w14:paraId="1D96BC9B">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服务机构性质：企业自有/委托代理</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71A5197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4976526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63B2D5C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bl>
    <w:p w14:paraId="78EBB5F8">
      <w:pPr>
        <w:pStyle w:val="7"/>
        <w:rPr>
          <w:rFonts w:hint="eastAsia" w:ascii="仿宋" w:hAnsi="仿宋" w:eastAsia="仿宋" w:cs="仿宋"/>
          <w:color w:val="auto"/>
          <w:sz w:val="24"/>
          <w:szCs w:val="24"/>
          <w:highlight w:val="none"/>
          <w:lang w:eastAsia="zh-CN"/>
        </w:rPr>
        <w:sectPr>
          <w:footerReference r:id="rId19" w:type="default"/>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注：须提供相关证明材料</w:t>
      </w:r>
    </w:p>
    <w:p w14:paraId="4F426E49">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32"/>
          <w:szCs w:val="32"/>
          <w:highlight w:val="none"/>
          <w:u w:val="none"/>
          <w:lang w:eastAsia="zh-CN"/>
        </w:rPr>
      </w:pPr>
      <w:bookmarkStart w:id="1610" w:name="_Toc6718"/>
      <w:bookmarkStart w:id="1611" w:name="_Toc1575"/>
      <w:bookmarkStart w:id="1612" w:name="_Toc7696"/>
      <w:bookmarkStart w:id="1613" w:name="_Toc21967"/>
      <w:bookmarkStart w:id="1614" w:name="_Toc30310"/>
      <w:bookmarkStart w:id="1615" w:name="_Toc10223"/>
      <w:bookmarkStart w:id="1616" w:name="_Toc17595"/>
      <w:bookmarkStart w:id="1617" w:name="_Toc24414"/>
      <w:bookmarkStart w:id="1618" w:name="_Toc15717"/>
      <w:bookmarkStart w:id="1619" w:name="_Toc31177"/>
      <w:bookmarkStart w:id="1620" w:name="_Toc10237"/>
      <w:bookmarkStart w:id="1621" w:name="_Toc9021"/>
      <w:bookmarkStart w:id="1622" w:name="_Toc30085"/>
      <w:bookmarkStart w:id="1623" w:name="_Toc16821"/>
      <w:bookmarkStart w:id="1624" w:name="_Toc27012"/>
      <w:bookmarkStart w:id="1625" w:name="_Toc10910"/>
      <w:bookmarkStart w:id="1626" w:name="_Toc20393"/>
      <w:bookmarkStart w:id="1627" w:name="_Toc2865"/>
      <w:bookmarkStart w:id="1628" w:name="_Toc2855"/>
      <w:bookmarkStart w:id="1629" w:name="_Toc24060"/>
      <w:bookmarkStart w:id="1630" w:name="_Toc23457"/>
      <w:bookmarkStart w:id="1631" w:name="_Toc28887"/>
      <w:bookmarkStart w:id="1632" w:name="_Toc23615"/>
      <w:bookmarkStart w:id="1633" w:name="_Toc14131"/>
      <w:bookmarkStart w:id="1634" w:name="_Toc1878"/>
      <w:bookmarkStart w:id="1635" w:name="_Toc9097"/>
      <w:bookmarkStart w:id="1636" w:name="_Toc27228"/>
      <w:bookmarkStart w:id="1637" w:name="_Toc5531"/>
      <w:bookmarkStart w:id="1638" w:name="_Toc8198"/>
      <w:bookmarkStart w:id="1639" w:name="_Toc12306"/>
      <w:r>
        <w:rPr>
          <w:rFonts w:hint="eastAsia" w:ascii="仿宋" w:hAnsi="仿宋" w:eastAsia="仿宋" w:cs="仿宋"/>
          <w:color w:val="auto"/>
          <w:sz w:val="32"/>
          <w:szCs w:val="32"/>
          <w:highlight w:val="none"/>
          <w:lang w:val="en-US" w:eastAsia="zh-CN"/>
        </w:rPr>
        <w:t>七</w:t>
      </w:r>
      <w:r>
        <w:rPr>
          <w:rFonts w:hint="eastAsia" w:ascii="仿宋" w:hAnsi="仿宋" w:eastAsia="仿宋" w:cs="仿宋"/>
          <w:color w:val="auto"/>
          <w:sz w:val="32"/>
          <w:szCs w:val="32"/>
          <w:highlight w:val="none"/>
          <w:lang w:eastAsia="zh-CN"/>
        </w:rPr>
        <w:t>、投标保证金</w:t>
      </w:r>
      <w:r>
        <w:rPr>
          <w:rFonts w:hint="eastAsia" w:ascii="仿宋" w:hAnsi="仿宋" w:eastAsia="仿宋" w:cs="仿宋"/>
          <w:b/>
          <w:bCs/>
          <w:color w:val="auto"/>
          <w:spacing w:val="-1"/>
          <w:sz w:val="32"/>
          <w:szCs w:val="32"/>
          <w:highlight w:val="none"/>
        </w:rPr>
        <w:t>缴</w:t>
      </w:r>
      <w:r>
        <w:rPr>
          <w:rFonts w:hint="eastAsia" w:ascii="仿宋" w:hAnsi="仿宋" w:eastAsia="仿宋" w:cs="仿宋"/>
          <w:b/>
          <w:bCs/>
          <w:color w:val="auto"/>
          <w:sz w:val="32"/>
          <w:szCs w:val="32"/>
          <w:highlight w:val="none"/>
        </w:rPr>
        <w:t>纳证明</w:t>
      </w:r>
      <w:r>
        <w:rPr>
          <w:rFonts w:hint="eastAsia" w:ascii="仿宋" w:hAnsi="仿宋" w:eastAsia="仿宋" w:cs="仿宋"/>
          <w:b/>
          <w:bCs/>
          <w:color w:val="auto"/>
          <w:sz w:val="32"/>
          <w:szCs w:val="32"/>
          <w:highlight w:val="none"/>
          <w:lang w:val="en-US" w:eastAsia="zh-CN"/>
        </w:rPr>
        <w:t>（实质性格式）</w:t>
      </w:r>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14:paraId="4172CB3A">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云南拓航工程管理咨询有限公司</w:t>
      </w:r>
      <w:r>
        <w:rPr>
          <w:rFonts w:hint="eastAsia" w:ascii="仿宋" w:hAnsi="仿宋" w:eastAsia="仿宋" w:cs="仿宋"/>
          <w:color w:val="auto"/>
          <w:sz w:val="24"/>
          <w:szCs w:val="24"/>
          <w:highlight w:val="none"/>
          <w:u w:val="none"/>
        </w:rPr>
        <w:t>：</w:t>
      </w:r>
    </w:p>
    <w:p w14:paraId="704892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公开招标</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4B44D8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027EA2D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0ACE57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3DD05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0C3C23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1F271E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1A01CF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依据</w:t>
      </w:r>
      <w:r>
        <w:rPr>
          <w:rFonts w:hint="eastAsia" w:ascii="仿宋" w:hAnsi="仿宋" w:eastAsia="仿宋" w:cs="仿宋"/>
          <w:color w:val="auto"/>
          <w:sz w:val="24"/>
          <w:szCs w:val="24"/>
          <w:highlight w:val="none"/>
        </w:rPr>
        <w:t>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2AC6C466">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640" w:name="_Toc5356"/>
      <w:bookmarkStart w:id="1641" w:name="_Toc24446"/>
      <w:bookmarkStart w:id="1642" w:name="_Toc9888"/>
      <w:bookmarkStart w:id="1643" w:name="_Toc19467"/>
      <w:bookmarkStart w:id="1644" w:name="_Toc7519"/>
      <w:bookmarkStart w:id="1645" w:name="_Toc4664"/>
      <w:bookmarkStart w:id="1646" w:name="_Toc26406"/>
      <w:bookmarkStart w:id="1647" w:name="_Toc23728"/>
      <w:bookmarkStart w:id="1648" w:name="_Toc31994"/>
      <w:bookmarkStart w:id="1649" w:name="_Toc23440"/>
      <w:bookmarkStart w:id="1650" w:name="_Toc11719"/>
      <w:bookmarkStart w:id="1651" w:name="_Toc18949"/>
      <w:bookmarkStart w:id="1652" w:name="_Toc25243"/>
      <w:bookmarkStart w:id="1653" w:name="_Toc4462"/>
      <w:bookmarkStart w:id="1654" w:name="_Toc27200"/>
      <w:bookmarkStart w:id="1655" w:name="_Toc7794"/>
      <w:bookmarkStart w:id="1656" w:name="_Toc10789"/>
      <w:bookmarkStart w:id="1657" w:name="_Toc30390"/>
      <w:bookmarkStart w:id="1658" w:name="_Toc1753"/>
      <w:bookmarkStart w:id="1659" w:name="_Toc2179"/>
      <w:bookmarkStart w:id="1660" w:name="_Toc8068"/>
      <w:bookmarkStart w:id="1661" w:name="_Toc29555"/>
      <w:bookmarkStart w:id="1662" w:name="_Toc27976"/>
      <w:bookmarkStart w:id="1663" w:name="_Toc20192"/>
      <w:bookmarkStart w:id="1664" w:name="_Toc14051"/>
      <w:bookmarkStart w:id="1665" w:name="_Toc12219"/>
      <w:bookmarkStart w:id="1666" w:name="_Toc26681"/>
      <w:bookmarkStart w:id="1667" w:name="_Toc4111"/>
      <w:bookmarkStart w:id="1668" w:name="_Toc29103"/>
      <w:bookmarkStart w:id="1669" w:name="_Toc5844"/>
      <w:bookmarkStart w:id="1670" w:name="_Toc21748"/>
      <w:bookmarkStart w:id="1671" w:name="_Toc24540"/>
      <w:bookmarkStart w:id="1672" w:name="_Toc26762"/>
      <w:bookmarkStart w:id="1673" w:name="_Toc8799"/>
      <w:bookmarkStart w:id="1674" w:name="_Toc5076"/>
      <w:bookmarkStart w:id="1675" w:name="_Toc31207"/>
      <w:bookmarkStart w:id="1676" w:name="_Toc8676"/>
      <w:bookmarkStart w:id="1677" w:name="_Toc32764"/>
      <w:bookmarkStart w:id="1678" w:name="_Toc25495"/>
      <w:bookmarkStart w:id="1679" w:name="_Toc265"/>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r>
        <w:rPr>
          <w:rFonts w:hint="eastAsia" w:ascii="仿宋" w:hAnsi="仿宋" w:eastAsia="仿宋" w:cs="仿宋"/>
          <w:b/>
          <w:bCs/>
          <w:color w:val="auto"/>
          <w:sz w:val="24"/>
          <w:szCs w:val="24"/>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72EE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3221969C">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1DB2483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CBD8C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DD36E4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29532CC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5F46386">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EC8F1C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22CD09A4">
      <w:pPr>
        <w:pStyle w:val="15"/>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CAD7A4">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highlight w:val="none"/>
          <w:lang w:val="zh-CN"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b/>
          <w:bCs/>
          <w:color w:val="auto"/>
          <w:sz w:val="32"/>
          <w:szCs w:val="32"/>
          <w:highlight w:val="none"/>
          <w:lang w:val="en-US" w:eastAsia="zh-CN"/>
        </w:rPr>
        <w:t>八、项目</w:t>
      </w:r>
      <w:r>
        <w:rPr>
          <w:rFonts w:hint="eastAsia" w:ascii="仿宋" w:hAnsi="仿宋" w:eastAsia="仿宋" w:cs="仿宋"/>
          <w:b/>
          <w:bCs/>
          <w:color w:val="auto"/>
          <w:sz w:val="32"/>
          <w:szCs w:val="32"/>
          <w:highlight w:val="none"/>
          <w:lang w:val="zh-CN" w:eastAsia="zh-CN"/>
        </w:rPr>
        <w:t>实施方案</w:t>
      </w:r>
      <w:bookmarkEnd w:id="1624"/>
      <w:bookmarkEnd w:id="1625"/>
      <w:bookmarkEnd w:id="1626"/>
      <w:bookmarkEnd w:id="1627"/>
      <w:bookmarkEnd w:id="1628"/>
      <w:bookmarkEnd w:id="1629"/>
      <w:bookmarkEnd w:id="1630"/>
    </w:p>
    <w:p w14:paraId="4C15E2FC">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0A9448">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5E7C5CCB">
      <w:pPr>
        <w:wordWrap w:val="0"/>
        <w:overflowPunct w:val="0"/>
        <w:topLinePunct/>
        <w:spacing w:line="360" w:lineRule="auto"/>
        <w:jc w:val="center"/>
        <w:rPr>
          <w:rFonts w:hint="eastAsia" w:ascii="仿宋" w:hAnsi="仿宋" w:eastAsia="仿宋" w:cs="仿宋"/>
          <w:color w:val="auto"/>
          <w:sz w:val="24"/>
          <w:highlight w:val="none"/>
          <w:lang w:eastAsia="zh-CN"/>
        </w:rPr>
      </w:pPr>
    </w:p>
    <w:p w14:paraId="1FE1BAB9">
      <w:pPr>
        <w:wordWrap w:val="0"/>
        <w:overflowPunct w:val="0"/>
        <w:topLinePunct/>
        <w:spacing w:line="360" w:lineRule="auto"/>
        <w:jc w:val="center"/>
        <w:rPr>
          <w:rFonts w:hint="eastAsia" w:ascii="仿宋" w:hAnsi="仿宋" w:eastAsia="仿宋" w:cs="仿宋"/>
          <w:color w:val="auto"/>
          <w:sz w:val="24"/>
          <w:highlight w:val="none"/>
          <w:lang w:eastAsia="zh-CN"/>
        </w:rPr>
      </w:pPr>
    </w:p>
    <w:p w14:paraId="0CB0DC1C">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1291E05">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A0845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285B93CB">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680" w:name="_Toc28659"/>
      <w:bookmarkStart w:id="1681" w:name="_Toc7667"/>
      <w:bookmarkStart w:id="1682" w:name="_Toc13111"/>
      <w:bookmarkStart w:id="1683" w:name="_Toc18403"/>
      <w:bookmarkStart w:id="1684" w:name="_Toc18105"/>
      <w:bookmarkStart w:id="1685" w:name="_Toc20853"/>
    </w:p>
    <w:p w14:paraId="5A0A4C74">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686" w:name="_Toc3397"/>
      <w:r>
        <w:rPr>
          <w:rFonts w:hint="eastAsia" w:ascii="仿宋" w:hAnsi="仿宋" w:eastAsia="仿宋" w:cs="仿宋"/>
          <w:color w:val="auto"/>
          <w:sz w:val="32"/>
          <w:szCs w:val="32"/>
          <w:highlight w:val="none"/>
          <w:lang w:val="en-US" w:eastAsia="zh-CN"/>
        </w:rPr>
        <w:t>九、</w:t>
      </w:r>
      <w:r>
        <w:rPr>
          <w:rFonts w:hint="eastAsia" w:ascii="仿宋" w:hAnsi="仿宋" w:eastAsia="仿宋" w:cs="仿宋"/>
          <w:color w:val="auto"/>
          <w:sz w:val="32"/>
          <w:szCs w:val="32"/>
          <w:highlight w:val="none"/>
          <w:lang w:eastAsia="zh-CN"/>
        </w:rPr>
        <w:t>培训方案</w:t>
      </w:r>
      <w:bookmarkEnd w:id="1680"/>
      <w:bookmarkEnd w:id="1681"/>
      <w:bookmarkEnd w:id="1682"/>
      <w:bookmarkEnd w:id="1683"/>
      <w:bookmarkEnd w:id="1684"/>
      <w:bookmarkEnd w:id="1685"/>
      <w:bookmarkEnd w:id="1686"/>
    </w:p>
    <w:p w14:paraId="76BB07BD">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FC62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1E2051F3">
      <w:pPr>
        <w:wordWrap w:val="0"/>
        <w:overflowPunct w:val="0"/>
        <w:topLinePunct/>
        <w:spacing w:line="360" w:lineRule="auto"/>
        <w:jc w:val="both"/>
        <w:rPr>
          <w:rFonts w:hint="eastAsia" w:ascii="仿宋" w:hAnsi="仿宋" w:eastAsia="仿宋" w:cs="仿宋"/>
          <w:b w:val="0"/>
          <w:bCs/>
          <w:color w:val="auto"/>
          <w:sz w:val="24"/>
          <w:highlight w:val="none"/>
        </w:rPr>
      </w:pPr>
    </w:p>
    <w:p w14:paraId="59B9592A">
      <w:pPr>
        <w:wordWrap w:val="0"/>
        <w:overflowPunct w:val="0"/>
        <w:topLinePunct/>
        <w:spacing w:line="360" w:lineRule="auto"/>
        <w:jc w:val="both"/>
        <w:rPr>
          <w:rFonts w:hint="eastAsia" w:ascii="仿宋" w:hAnsi="仿宋" w:eastAsia="仿宋" w:cs="仿宋"/>
          <w:b w:val="0"/>
          <w:bCs/>
          <w:color w:val="auto"/>
          <w:sz w:val="24"/>
          <w:highlight w:val="none"/>
        </w:rPr>
      </w:pPr>
    </w:p>
    <w:p w14:paraId="715566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4C95219">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008B3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0A7CC3C8">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687" w:name="_Toc10002"/>
      <w:bookmarkStart w:id="1688" w:name="_Toc2731"/>
      <w:bookmarkStart w:id="1689" w:name="_Toc516"/>
      <w:bookmarkStart w:id="1690" w:name="_Toc21199"/>
      <w:bookmarkStart w:id="1691" w:name="_Toc3028"/>
      <w:bookmarkStart w:id="1692" w:name="_Toc13656"/>
    </w:p>
    <w:p w14:paraId="39EFD90D">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693" w:name="_Toc16889"/>
      <w:r>
        <w:rPr>
          <w:rFonts w:hint="eastAsia" w:ascii="仿宋" w:hAnsi="仿宋" w:eastAsia="仿宋" w:cs="仿宋"/>
          <w:color w:val="auto"/>
          <w:sz w:val="32"/>
          <w:szCs w:val="32"/>
          <w:highlight w:val="none"/>
          <w:lang w:val="en-US" w:eastAsia="zh-CN"/>
        </w:rPr>
        <w:t>十、售后服务方案</w:t>
      </w:r>
      <w:bookmarkEnd w:id="1687"/>
      <w:bookmarkEnd w:id="1688"/>
      <w:bookmarkEnd w:id="1689"/>
      <w:bookmarkEnd w:id="1690"/>
      <w:bookmarkEnd w:id="1691"/>
      <w:bookmarkEnd w:id="1692"/>
      <w:bookmarkEnd w:id="1693"/>
    </w:p>
    <w:p w14:paraId="011EB95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2C0F6BD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7CDF9AC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5006A11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EA16EB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0C8D294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954F01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0F39C12">
      <w:pPr>
        <w:wordWrap w:val="0"/>
        <w:overflowPunct w:val="0"/>
        <w:topLinePunct/>
        <w:spacing w:line="360" w:lineRule="auto"/>
        <w:jc w:val="center"/>
        <w:rPr>
          <w:rFonts w:hint="eastAsia" w:ascii="仿宋" w:hAnsi="仿宋" w:eastAsia="仿宋" w:cs="仿宋"/>
          <w:b w:val="0"/>
          <w:bCs/>
          <w:color w:val="auto"/>
          <w:sz w:val="24"/>
          <w:highlight w:val="none"/>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BA731A8">
      <w:pPr>
        <w:jc w:val="both"/>
        <w:rPr>
          <w:rFonts w:hint="eastAsia" w:ascii="仿宋" w:hAnsi="仿宋" w:eastAsia="仿宋" w:cs="仿宋"/>
          <w:b/>
          <w:color w:val="auto"/>
          <w:sz w:val="28"/>
          <w:szCs w:val="28"/>
          <w:highlight w:val="none"/>
          <w:lang w:eastAsia="zh-CN"/>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2BC519FB">
      <w:pPr>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附件1</w:t>
      </w:r>
    </w:p>
    <w:p w14:paraId="1F35F1A7">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技术服务</w:t>
      </w:r>
      <w:r>
        <w:rPr>
          <w:rFonts w:hint="eastAsia" w:ascii="仿宋" w:hAnsi="仿宋" w:eastAsia="仿宋" w:cs="仿宋"/>
          <w:b/>
          <w:color w:val="auto"/>
          <w:sz w:val="28"/>
          <w:szCs w:val="28"/>
          <w:highlight w:val="none"/>
          <w:lang w:eastAsia="zh-CN"/>
        </w:rPr>
        <w:t>人员情况表</w:t>
      </w:r>
    </w:p>
    <w:tbl>
      <w:tblPr>
        <w:tblStyle w:val="16"/>
        <w:tblpPr w:leftFromText="180" w:rightFromText="180" w:vertAnchor="text" w:horzAnchor="page" w:tblpX="708" w:tblpY="365"/>
        <w:tblOverlap w:val="never"/>
        <w:tblW w:w="10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39AC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2D9536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noWrap w:val="0"/>
            <w:vAlign w:val="center"/>
          </w:tcPr>
          <w:p w14:paraId="455E730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noWrap w:val="0"/>
            <w:vAlign w:val="center"/>
          </w:tcPr>
          <w:p w14:paraId="7157173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noWrap w:val="0"/>
            <w:vAlign w:val="center"/>
          </w:tcPr>
          <w:p w14:paraId="1AB427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noWrap w:val="0"/>
            <w:vAlign w:val="center"/>
          </w:tcPr>
          <w:p w14:paraId="047350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noWrap w:val="0"/>
            <w:vAlign w:val="center"/>
          </w:tcPr>
          <w:p w14:paraId="571C40C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noWrap w:val="0"/>
            <w:vAlign w:val="center"/>
          </w:tcPr>
          <w:p w14:paraId="777216A6">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noWrap w:val="0"/>
            <w:vAlign w:val="center"/>
          </w:tcPr>
          <w:p w14:paraId="4BB4592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noWrap w:val="0"/>
            <w:vAlign w:val="center"/>
          </w:tcPr>
          <w:p w14:paraId="5777C85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4F9E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55B45C19">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083" w:type="dxa"/>
            <w:noWrap w:val="0"/>
            <w:vAlign w:val="center"/>
          </w:tcPr>
          <w:p w14:paraId="7FD3ABAF">
            <w:pPr>
              <w:spacing w:line="360" w:lineRule="auto"/>
              <w:jc w:val="center"/>
              <w:rPr>
                <w:rFonts w:hint="eastAsia" w:ascii="仿宋" w:hAnsi="仿宋" w:eastAsia="仿宋" w:cs="仿宋"/>
                <w:color w:val="auto"/>
                <w:sz w:val="24"/>
                <w:highlight w:val="none"/>
              </w:rPr>
            </w:pPr>
          </w:p>
        </w:tc>
        <w:tc>
          <w:tcPr>
            <w:tcW w:w="993" w:type="dxa"/>
            <w:noWrap w:val="0"/>
            <w:vAlign w:val="center"/>
          </w:tcPr>
          <w:p w14:paraId="38A0471B">
            <w:pPr>
              <w:spacing w:line="360" w:lineRule="auto"/>
              <w:jc w:val="center"/>
              <w:rPr>
                <w:rFonts w:hint="eastAsia" w:ascii="仿宋" w:hAnsi="仿宋" w:eastAsia="仿宋" w:cs="仿宋"/>
                <w:color w:val="auto"/>
                <w:sz w:val="24"/>
                <w:highlight w:val="none"/>
              </w:rPr>
            </w:pPr>
          </w:p>
        </w:tc>
        <w:tc>
          <w:tcPr>
            <w:tcW w:w="850" w:type="dxa"/>
            <w:noWrap w:val="0"/>
            <w:vAlign w:val="center"/>
          </w:tcPr>
          <w:p w14:paraId="766C33A0">
            <w:pPr>
              <w:spacing w:line="360" w:lineRule="auto"/>
              <w:jc w:val="center"/>
              <w:rPr>
                <w:rFonts w:hint="eastAsia" w:ascii="仿宋" w:hAnsi="仿宋" w:eastAsia="仿宋" w:cs="仿宋"/>
                <w:color w:val="auto"/>
                <w:sz w:val="24"/>
                <w:highlight w:val="none"/>
              </w:rPr>
            </w:pPr>
          </w:p>
        </w:tc>
        <w:tc>
          <w:tcPr>
            <w:tcW w:w="992" w:type="dxa"/>
            <w:noWrap w:val="0"/>
            <w:vAlign w:val="center"/>
          </w:tcPr>
          <w:p w14:paraId="0164A052">
            <w:pPr>
              <w:spacing w:line="360" w:lineRule="auto"/>
              <w:jc w:val="center"/>
              <w:rPr>
                <w:rFonts w:hint="eastAsia" w:ascii="仿宋" w:hAnsi="仿宋" w:eastAsia="仿宋" w:cs="仿宋"/>
                <w:color w:val="auto"/>
                <w:sz w:val="24"/>
                <w:highlight w:val="none"/>
              </w:rPr>
            </w:pPr>
          </w:p>
        </w:tc>
        <w:tc>
          <w:tcPr>
            <w:tcW w:w="1134" w:type="dxa"/>
            <w:noWrap w:val="0"/>
            <w:vAlign w:val="center"/>
          </w:tcPr>
          <w:p w14:paraId="5BBD8FFD">
            <w:pPr>
              <w:spacing w:line="360" w:lineRule="auto"/>
              <w:jc w:val="center"/>
              <w:rPr>
                <w:rFonts w:hint="eastAsia" w:ascii="仿宋" w:hAnsi="仿宋" w:eastAsia="仿宋" w:cs="仿宋"/>
                <w:color w:val="auto"/>
                <w:sz w:val="24"/>
                <w:highlight w:val="none"/>
              </w:rPr>
            </w:pPr>
          </w:p>
        </w:tc>
        <w:tc>
          <w:tcPr>
            <w:tcW w:w="1449" w:type="dxa"/>
            <w:noWrap w:val="0"/>
            <w:vAlign w:val="center"/>
          </w:tcPr>
          <w:p w14:paraId="09BC8296">
            <w:pPr>
              <w:spacing w:line="360" w:lineRule="auto"/>
              <w:jc w:val="center"/>
              <w:rPr>
                <w:rFonts w:hint="eastAsia" w:ascii="仿宋" w:hAnsi="仿宋" w:eastAsia="仿宋" w:cs="仿宋"/>
                <w:color w:val="auto"/>
                <w:sz w:val="24"/>
                <w:highlight w:val="none"/>
              </w:rPr>
            </w:pPr>
          </w:p>
        </w:tc>
        <w:tc>
          <w:tcPr>
            <w:tcW w:w="1449" w:type="dxa"/>
            <w:noWrap w:val="0"/>
            <w:vAlign w:val="center"/>
          </w:tcPr>
          <w:p w14:paraId="691A2006">
            <w:pPr>
              <w:spacing w:line="360" w:lineRule="auto"/>
              <w:jc w:val="center"/>
              <w:rPr>
                <w:rFonts w:hint="eastAsia" w:ascii="仿宋" w:hAnsi="仿宋" w:eastAsia="仿宋" w:cs="仿宋"/>
                <w:color w:val="auto"/>
                <w:sz w:val="24"/>
                <w:highlight w:val="none"/>
              </w:rPr>
            </w:pPr>
          </w:p>
        </w:tc>
        <w:tc>
          <w:tcPr>
            <w:tcW w:w="1955" w:type="dxa"/>
            <w:noWrap w:val="0"/>
            <w:vAlign w:val="center"/>
          </w:tcPr>
          <w:p w14:paraId="7528DCA8">
            <w:pPr>
              <w:spacing w:line="360" w:lineRule="auto"/>
              <w:jc w:val="center"/>
              <w:rPr>
                <w:rFonts w:hint="eastAsia" w:ascii="仿宋" w:hAnsi="仿宋" w:eastAsia="仿宋" w:cs="仿宋"/>
                <w:color w:val="auto"/>
                <w:sz w:val="24"/>
                <w:highlight w:val="none"/>
              </w:rPr>
            </w:pPr>
          </w:p>
        </w:tc>
      </w:tr>
      <w:tr w14:paraId="12FA1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69B4E6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083" w:type="dxa"/>
            <w:noWrap w:val="0"/>
            <w:vAlign w:val="center"/>
          </w:tcPr>
          <w:p w14:paraId="0A1AF26F">
            <w:pPr>
              <w:spacing w:line="360" w:lineRule="auto"/>
              <w:jc w:val="center"/>
              <w:rPr>
                <w:rFonts w:hint="eastAsia" w:ascii="仿宋" w:hAnsi="仿宋" w:eastAsia="仿宋" w:cs="仿宋"/>
                <w:color w:val="auto"/>
                <w:sz w:val="24"/>
                <w:highlight w:val="none"/>
              </w:rPr>
            </w:pPr>
          </w:p>
        </w:tc>
        <w:tc>
          <w:tcPr>
            <w:tcW w:w="993" w:type="dxa"/>
            <w:noWrap w:val="0"/>
            <w:vAlign w:val="center"/>
          </w:tcPr>
          <w:p w14:paraId="63DD6261">
            <w:pPr>
              <w:spacing w:line="360" w:lineRule="auto"/>
              <w:jc w:val="center"/>
              <w:rPr>
                <w:rFonts w:hint="eastAsia" w:ascii="仿宋" w:hAnsi="仿宋" w:eastAsia="仿宋" w:cs="仿宋"/>
                <w:color w:val="auto"/>
                <w:sz w:val="24"/>
                <w:highlight w:val="none"/>
              </w:rPr>
            </w:pPr>
          </w:p>
        </w:tc>
        <w:tc>
          <w:tcPr>
            <w:tcW w:w="850" w:type="dxa"/>
            <w:noWrap w:val="0"/>
            <w:vAlign w:val="center"/>
          </w:tcPr>
          <w:p w14:paraId="1DDC707D">
            <w:pPr>
              <w:spacing w:line="360" w:lineRule="auto"/>
              <w:jc w:val="center"/>
              <w:rPr>
                <w:rFonts w:hint="eastAsia" w:ascii="仿宋" w:hAnsi="仿宋" w:eastAsia="仿宋" w:cs="仿宋"/>
                <w:color w:val="auto"/>
                <w:sz w:val="24"/>
                <w:highlight w:val="none"/>
              </w:rPr>
            </w:pPr>
          </w:p>
        </w:tc>
        <w:tc>
          <w:tcPr>
            <w:tcW w:w="992" w:type="dxa"/>
            <w:noWrap w:val="0"/>
            <w:vAlign w:val="center"/>
          </w:tcPr>
          <w:p w14:paraId="1DFEEF60">
            <w:pPr>
              <w:spacing w:line="360" w:lineRule="auto"/>
              <w:jc w:val="center"/>
              <w:rPr>
                <w:rFonts w:hint="eastAsia" w:ascii="仿宋" w:hAnsi="仿宋" w:eastAsia="仿宋" w:cs="仿宋"/>
                <w:color w:val="auto"/>
                <w:sz w:val="24"/>
                <w:highlight w:val="none"/>
              </w:rPr>
            </w:pPr>
          </w:p>
        </w:tc>
        <w:tc>
          <w:tcPr>
            <w:tcW w:w="1134" w:type="dxa"/>
            <w:noWrap w:val="0"/>
            <w:vAlign w:val="center"/>
          </w:tcPr>
          <w:p w14:paraId="35A2B7A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EB0CC8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2F5F6F">
            <w:pPr>
              <w:spacing w:line="360" w:lineRule="auto"/>
              <w:jc w:val="center"/>
              <w:rPr>
                <w:rFonts w:hint="eastAsia" w:ascii="仿宋" w:hAnsi="仿宋" w:eastAsia="仿宋" w:cs="仿宋"/>
                <w:color w:val="auto"/>
                <w:sz w:val="24"/>
                <w:highlight w:val="none"/>
              </w:rPr>
            </w:pPr>
          </w:p>
        </w:tc>
        <w:tc>
          <w:tcPr>
            <w:tcW w:w="1955" w:type="dxa"/>
            <w:noWrap w:val="0"/>
            <w:vAlign w:val="center"/>
          </w:tcPr>
          <w:p w14:paraId="4A033772">
            <w:pPr>
              <w:spacing w:line="360" w:lineRule="auto"/>
              <w:jc w:val="center"/>
              <w:rPr>
                <w:rFonts w:hint="eastAsia" w:ascii="仿宋" w:hAnsi="仿宋" w:eastAsia="仿宋" w:cs="仿宋"/>
                <w:color w:val="auto"/>
                <w:sz w:val="24"/>
                <w:highlight w:val="none"/>
              </w:rPr>
            </w:pPr>
          </w:p>
        </w:tc>
      </w:tr>
      <w:tr w14:paraId="4788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31B5593D">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083" w:type="dxa"/>
            <w:noWrap w:val="0"/>
            <w:vAlign w:val="center"/>
          </w:tcPr>
          <w:p w14:paraId="65F39147">
            <w:pPr>
              <w:spacing w:line="360" w:lineRule="auto"/>
              <w:jc w:val="center"/>
              <w:rPr>
                <w:rFonts w:hint="eastAsia" w:ascii="仿宋" w:hAnsi="仿宋" w:eastAsia="仿宋" w:cs="仿宋"/>
                <w:color w:val="auto"/>
                <w:sz w:val="24"/>
                <w:highlight w:val="none"/>
              </w:rPr>
            </w:pPr>
          </w:p>
        </w:tc>
        <w:tc>
          <w:tcPr>
            <w:tcW w:w="993" w:type="dxa"/>
            <w:noWrap w:val="0"/>
            <w:vAlign w:val="center"/>
          </w:tcPr>
          <w:p w14:paraId="726F942D">
            <w:pPr>
              <w:spacing w:line="360" w:lineRule="auto"/>
              <w:jc w:val="center"/>
              <w:rPr>
                <w:rFonts w:hint="eastAsia" w:ascii="仿宋" w:hAnsi="仿宋" w:eastAsia="仿宋" w:cs="仿宋"/>
                <w:color w:val="auto"/>
                <w:sz w:val="24"/>
                <w:highlight w:val="none"/>
              </w:rPr>
            </w:pPr>
          </w:p>
        </w:tc>
        <w:tc>
          <w:tcPr>
            <w:tcW w:w="850" w:type="dxa"/>
            <w:noWrap w:val="0"/>
            <w:vAlign w:val="center"/>
          </w:tcPr>
          <w:p w14:paraId="40249E50">
            <w:pPr>
              <w:spacing w:line="360" w:lineRule="auto"/>
              <w:jc w:val="center"/>
              <w:rPr>
                <w:rFonts w:hint="eastAsia" w:ascii="仿宋" w:hAnsi="仿宋" w:eastAsia="仿宋" w:cs="仿宋"/>
                <w:color w:val="auto"/>
                <w:sz w:val="24"/>
                <w:highlight w:val="none"/>
              </w:rPr>
            </w:pPr>
          </w:p>
        </w:tc>
        <w:tc>
          <w:tcPr>
            <w:tcW w:w="992" w:type="dxa"/>
            <w:noWrap w:val="0"/>
            <w:vAlign w:val="center"/>
          </w:tcPr>
          <w:p w14:paraId="0892E727">
            <w:pPr>
              <w:spacing w:line="360" w:lineRule="auto"/>
              <w:jc w:val="center"/>
              <w:rPr>
                <w:rFonts w:hint="eastAsia" w:ascii="仿宋" w:hAnsi="仿宋" w:eastAsia="仿宋" w:cs="仿宋"/>
                <w:color w:val="auto"/>
                <w:sz w:val="24"/>
                <w:highlight w:val="none"/>
              </w:rPr>
            </w:pPr>
          </w:p>
        </w:tc>
        <w:tc>
          <w:tcPr>
            <w:tcW w:w="1134" w:type="dxa"/>
            <w:noWrap w:val="0"/>
            <w:vAlign w:val="center"/>
          </w:tcPr>
          <w:p w14:paraId="198399F6">
            <w:pPr>
              <w:spacing w:line="360" w:lineRule="auto"/>
              <w:jc w:val="center"/>
              <w:rPr>
                <w:rFonts w:hint="eastAsia" w:ascii="仿宋" w:hAnsi="仿宋" w:eastAsia="仿宋" w:cs="仿宋"/>
                <w:color w:val="auto"/>
                <w:sz w:val="24"/>
                <w:highlight w:val="none"/>
              </w:rPr>
            </w:pPr>
          </w:p>
        </w:tc>
        <w:tc>
          <w:tcPr>
            <w:tcW w:w="1449" w:type="dxa"/>
            <w:noWrap w:val="0"/>
            <w:vAlign w:val="center"/>
          </w:tcPr>
          <w:p w14:paraId="2C95566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83A16D">
            <w:pPr>
              <w:spacing w:line="360" w:lineRule="auto"/>
              <w:jc w:val="center"/>
              <w:rPr>
                <w:rFonts w:hint="eastAsia" w:ascii="仿宋" w:hAnsi="仿宋" w:eastAsia="仿宋" w:cs="仿宋"/>
                <w:color w:val="auto"/>
                <w:sz w:val="24"/>
                <w:highlight w:val="none"/>
              </w:rPr>
            </w:pPr>
          </w:p>
        </w:tc>
        <w:tc>
          <w:tcPr>
            <w:tcW w:w="1955" w:type="dxa"/>
            <w:noWrap w:val="0"/>
            <w:vAlign w:val="center"/>
          </w:tcPr>
          <w:p w14:paraId="6D288CFB">
            <w:pPr>
              <w:spacing w:line="360" w:lineRule="auto"/>
              <w:jc w:val="center"/>
              <w:rPr>
                <w:rFonts w:hint="eastAsia" w:ascii="仿宋" w:hAnsi="仿宋" w:eastAsia="仿宋" w:cs="仿宋"/>
                <w:color w:val="auto"/>
                <w:sz w:val="24"/>
                <w:highlight w:val="none"/>
              </w:rPr>
            </w:pPr>
          </w:p>
        </w:tc>
      </w:tr>
      <w:tr w14:paraId="135D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1A7258B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p>
        </w:tc>
        <w:tc>
          <w:tcPr>
            <w:tcW w:w="1083" w:type="dxa"/>
            <w:noWrap w:val="0"/>
            <w:vAlign w:val="center"/>
          </w:tcPr>
          <w:p w14:paraId="445D0D1C">
            <w:pPr>
              <w:spacing w:line="360" w:lineRule="auto"/>
              <w:jc w:val="center"/>
              <w:rPr>
                <w:rFonts w:hint="eastAsia" w:ascii="仿宋" w:hAnsi="仿宋" w:eastAsia="仿宋" w:cs="仿宋"/>
                <w:color w:val="auto"/>
                <w:sz w:val="24"/>
                <w:highlight w:val="none"/>
              </w:rPr>
            </w:pPr>
          </w:p>
        </w:tc>
        <w:tc>
          <w:tcPr>
            <w:tcW w:w="993" w:type="dxa"/>
            <w:noWrap w:val="0"/>
            <w:vAlign w:val="center"/>
          </w:tcPr>
          <w:p w14:paraId="2269218E">
            <w:pPr>
              <w:spacing w:line="360" w:lineRule="auto"/>
              <w:jc w:val="center"/>
              <w:rPr>
                <w:rFonts w:hint="eastAsia" w:ascii="仿宋" w:hAnsi="仿宋" w:eastAsia="仿宋" w:cs="仿宋"/>
                <w:color w:val="auto"/>
                <w:sz w:val="24"/>
                <w:highlight w:val="none"/>
              </w:rPr>
            </w:pPr>
          </w:p>
        </w:tc>
        <w:tc>
          <w:tcPr>
            <w:tcW w:w="850" w:type="dxa"/>
            <w:noWrap w:val="0"/>
            <w:vAlign w:val="center"/>
          </w:tcPr>
          <w:p w14:paraId="1B94A4F2">
            <w:pPr>
              <w:spacing w:line="360" w:lineRule="auto"/>
              <w:jc w:val="center"/>
              <w:rPr>
                <w:rFonts w:hint="eastAsia" w:ascii="仿宋" w:hAnsi="仿宋" w:eastAsia="仿宋" w:cs="仿宋"/>
                <w:color w:val="auto"/>
                <w:sz w:val="24"/>
                <w:highlight w:val="none"/>
              </w:rPr>
            </w:pPr>
          </w:p>
        </w:tc>
        <w:tc>
          <w:tcPr>
            <w:tcW w:w="992" w:type="dxa"/>
            <w:noWrap w:val="0"/>
            <w:vAlign w:val="center"/>
          </w:tcPr>
          <w:p w14:paraId="71BE92F2">
            <w:pPr>
              <w:spacing w:line="360" w:lineRule="auto"/>
              <w:jc w:val="center"/>
              <w:rPr>
                <w:rFonts w:hint="eastAsia" w:ascii="仿宋" w:hAnsi="仿宋" w:eastAsia="仿宋" w:cs="仿宋"/>
                <w:color w:val="auto"/>
                <w:sz w:val="24"/>
                <w:highlight w:val="none"/>
              </w:rPr>
            </w:pPr>
          </w:p>
        </w:tc>
        <w:tc>
          <w:tcPr>
            <w:tcW w:w="1134" w:type="dxa"/>
            <w:noWrap w:val="0"/>
            <w:vAlign w:val="center"/>
          </w:tcPr>
          <w:p w14:paraId="129EF47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F5384DF">
            <w:pPr>
              <w:spacing w:line="360" w:lineRule="auto"/>
              <w:jc w:val="center"/>
              <w:rPr>
                <w:rFonts w:hint="eastAsia" w:ascii="仿宋" w:hAnsi="仿宋" w:eastAsia="仿宋" w:cs="仿宋"/>
                <w:color w:val="auto"/>
                <w:sz w:val="24"/>
                <w:highlight w:val="none"/>
              </w:rPr>
            </w:pPr>
          </w:p>
        </w:tc>
        <w:tc>
          <w:tcPr>
            <w:tcW w:w="1449" w:type="dxa"/>
            <w:noWrap w:val="0"/>
            <w:vAlign w:val="center"/>
          </w:tcPr>
          <w:p w14:paraId="328411A5">
            <w:pPr>
              <w:spacing w:line="360" w:lineRule="auto"/>
              <w:jc w:val="center"/>
              <w:rPr>
                <w:rFonts w:hint="eastAsia" w:ascii="仿宋" w:hAnsi="仿宋" w:eastAsia="仿宋" w:cs="仿宋"/>
                <w:color w:val="auto"/>
                <w:sz w:val="24"/>
                <w:highlight w:val="none"/>
              </w:rPr>
            </w:pPr>
          </w:p>
        </w:tc>
        <w:tc>
          <w:tcPr>
            <w:tcW w:w="1955" w:type="dxa"/>
            <w:noWrap w:val="0"/>
            <w:vAlign w:val="center"/>
          </w:tcPr>
          <w:p w14:paraId="084B37C9">
            <w:pPr>
              <w:spacing w:line="360" w:lineRule="auto"/>
              <w:jc w:val="center"/>
              <w:rPr>
                <w:rFonts w:hint="eastAsia" w:ascii="仿宋" w:hAnsi="仿宋" w:eastAsia="仿宋" w:cs="仿宋"/>
                <w:color w:val="auto"/>
                <w:sz w:val="24"/>
                <w:highlight w:val="none"/>
              </w:rPr>
            </w:pPr>
          </w:p>
        </w:tc>
      </w:tr>
    </w:tbl>
    <w:p w14:paraId="26355361">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25AE10B5">
      <w:pPr>
        <w:pStyle w:val="7"/>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6700C47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910A46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CB62DE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bookmarkStart w:id="1694" w:name="_Toc8869"/>
      <w:bookmarkStart w:id="1695" w:name="_Toc2686"/>
      <w:bookmarkStart w:id="1696" w:name="_Toc11972"/>
      <w:bookmarkStart w:id="1697" w:name="_Toc17925"/>
      <w:bookmarkStart w:id="1698" w:name="_Toc14130"/>
      <w:bookmarkStart w:id="1699" w:name="_Toc14847"/>
    </w:p>
    <w:p w14:paraId="7B5AE3F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6EEEADF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35C6DB1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4"/>
          <w:szCs w:val="24"/>
          <w:highlight w:val="none"/>
          <w:lang w:val="en-US" w:eastAsia="zh-CN"/>
        </w:rPr>
        <w:t>附件2</w:t>
      </w:r>
      <w:bookmarkEnd w:id="1694"/>
      <w:bookmarkEnd w:id="1695"/>
      <w:bookmarkEnd w:id="1696"/>
      <w:bookmarkEnd w:id="1697"/>
      <w:bookmarkEnd w:id="1698"/>
      <w:bookmarkEnd w:id="1699"/>
    </w:p>
    <w:p w14:paraId="35BCAA5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00" w:name="_Toc21815"/>
      <w:bookmarkStart w:id="1701" w:name="_Toc23513"/>
      <w:bookmarkStart w:id="1702" w:name="_Toc6394"/>
      <w:bookmarkStart w:id="1703" w:name="_Toc11782"/>
      <w:bookmarkStart w:id="1704" w:name="_Toc22776"/>
      <w:bookmarkStart w:id="1705" w:name="_Toc9275"/>
      <w:r>
        <w:rPr>
          <w:rFonts w:hint="eastAsia" w:ascii="仿宋" w:hAnsi="仿宋" w:eastAsia="仿宋" w:cs="仿宋"/>
          <w:b/>
          <w:bCs/>
          <w:color w:val="auto"/>
          <w:sz w:val="30"/>
          <w:szCs w:val="30"/>
          <w:highlight w:val="none"/>
          <w:lang w:val="en-US" w:eastAsia="zh-CN"/>
        </w:rPr>
        <w:t>售后服务网点（若有）</w:t>
      </w:r>
      <w:bookmarkEnd w:id="1700"/>
      <w:bookmarkEnd w:id="1701"/>
      <w:bookmarkEnd w:id="1702"/>
      <w:bookmarkEnd w:id="1703"/>
      <w:bookmarkEnd w:id="1704"/>
      <w:bookmarkEnd w:id="1705"/>
    </w:p>
    <w:tbl>
      <w:tblPr>
        <w:tblStyle w:val="17"/>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E59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3C777BA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06" w:name="_Toc15925"/>
            <w:bookmarkStart w:id="1707" w:name="_Toc27532"/>
            <w:bookmarkStart w:id="1708" w:name="_Toc15136"/>
            <w:bookmarkStart w:id="1709" w:name="_Toc11634"/>
            <w:bookmarkStart w:id="1710" w:name="_Toc2519"/>
            <w:bookmarkStart w:id="1711" w:name="_Toc2552"/>
            <w:r>
              <w:rPr>
                <w:rFonts w:hint="eastAsia" w:ascii="仿宋" w:hAnsi="仿宋" w:eastAsia="仿宋" w:cs="仿宋"/>
                <w:b w:val="0"/>
                <w:bCs w:val="0"/>
                <w:color w:val="auto"/>
                <w:sz w:val="24"/>
                <w:szCs w:val="24"/>
                <w:highlight w:val="none"/>
                <w:vertAlign w:val="baseline"/>
                <w:lang w:val="en-US" w:eastAsia="zh-CN"/>
              </w:rPr>
              <w:t>序号</w:t>
            </w:r>
            <w:bookmarkEnd w:id="1706"/>
            <w:bookmarkEnd w:id="1707"/>
            <w:bookmarkEnd w:id="1708"/>
            <w:bookmarkEnd w:id="1709"/>
            <w:bookmarkEnd w:id="1710"/>
            <w:bookmarkEnd w:id="1711"/>
          </w:p>
        </w:tc>
        <w:tc>
          <w:tcPr>
            <w:tcW w:w="1361" w:type="dxa"/>
            <w:noWrap w:val="0"/>
            <w:vAlign w:val="center"/>
          </w:tcPr>
          <w:p w14:paraId="6904D21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12" w:name="_Toc6741"/>
            <w:bookmarkStart w:id="1713" w:name="_Toc15198"/>
            <w:bookmarkStart w:id="1714" w:name="_Toc20258"/>
            <w:bookmarkStart w:id="1715" w:name="_Toc4424"/>
            <w:bookmarkStart w:id="1716" w:name="_Toc23477"/>
            <w:bookmarkStart w:id="1717" w:name="_Toc7583"/>
            <w:r>
              <w:rPr>
                <w:rFonts w:hint="eastAsia" w:ascii="仿宋" w:hAnsi="仿宋" w:eastAsia="仿宋" w:cs="仿宋"/>
                <w:b w:val="0"/>
                <w:bCs w:val="0"/>
                <w:color w:val="auto"/>
                <w:sz w:val="24"/>
                <w:szCs w:val="24"/>
                <w:highlight w:val="none"/>
                <w:vertAlign w:val="baseline"/>
                <w:lang w:val="en-US" w:eastAsia="zh-CN"/>
              </w:rPr>
              <w:t>机构名称</w:t>
            </w:r>
            <w:bookmarkEnd w:id="1712"/>
            <w:bookmarkEnd w:id="1713"/>
            <w:bookmarkEnd w:id="1714"/>
            <w:bookmarkEnd w:id="1715"/>
            <w:bookmarkEnd w:id="1716"/>
            <w:bookmarkEnd w:id="1717"/>
          </w:p>
        </w:tc>
        <w:tc>
          <w:tcPr>
            <w:tcW w:w="1376" w:type="dxa"/>
            <w:noWrap w:val="0"/>
            <w:vAlign w:val="center"/>
          </w:tcPr>
          <w:p w14:paraId="423A969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18" w:name="_Toc8313"/>
            <w:bookmarkStart w:id="1719" w:name="_Toc11988"/>
            <w:bookmarkStart w:id="1720" w:name="_Toc5744"/>
            <w:bookmarkStart w:id="1721" w:name="_Toc31804"/>
            <w:bookmarkStart w:id="1722" w:name="_Toc17243"/>
            <w:bookmarkStart w:id="1723" w:name="_Toc14381"/>
            <w:r>
              <w:rPr>
                <w:rFonts w:hint="eastAsia" w:ascii="仿宋" w:hAnsi="仿宋" w:eastAsia="仿宋" w:cs="仿宋"/>
                <w:b w:val="0"/>
                <w:bCs w:val="0"/>
                <w:color w:val="auto"/>
                <w:sz w:val="24"/>
                <w:szCs w:val="24"/>
                <w:highlight w:val="none"/>
                <w:vertAlign w:val="baseline"/>
                <w:lang w:val="en-US" w:eastAsia="zh-CN"/>
              </w:rPr>
              <w:t>机构地址</w:t>
            </w:r>
            <w:bookmarkEnd w:id="1718"/>
            <w:bookmarkEnd w:id="1719"/>
            <w:bookmarkEnd w:id="1720"/>
            <w:bookmarkEnd w:id="1721"/>
            <w:bookmarkEnd w:id="1722"/>
            <w:bookmarkEnd w:id="1723"/>
          </w:p>
        </w:tc>
        <w:tc>
          <w:tcPr>
            <w:tcW w:w="1251" w:type="dxa"/>
            <w:noWrap w:val="0"/>
            <w:vAlign w:val="center"/>
          </w:tcPr>
          <w:p w14:paraId="01F44E7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24" w:name="_Toc3582"/>
            <w:bookmarkStart w:id="1725" w:name="_Toc23886"/>
            <w:bookmarkStart w:id="1726" w:name="_Toc6940"/>
            <w:bookmarkStart w:id="1727" w:name="_Toc18007"/>
            <w:bookmarkStart w:id="1728" w:name="_Toc31052"/>
            <w:bookmarkStart w:id="1729" w:name="_Toc4019"/>
            <w:r>
              <w:rPr>
                <w:rFonts w:hint="eastAsia" w:ascii="仿宋" w:hAnsi="仿宋" w:eastAsia="仿宋" w:cs="仿宋"/>
                <w:b w:val="0"/>
                <w:bCs w:val="0"/>
                <w:color w:val="auto"/>
                <w:sz w:val="24"/>
                <w:szCs w:val="24"/>
                <w:highlight w:val="none"/>
                <w:vertAlign w:val="baseline"/>
                <w:lang w:val="en-US" w:eastAsia="zh-CN"/>
              </w:rPr>
              <w:t>固话号码</w:t>
            </w:r>
            <w:bookmarkEnd w:id="1724"/>
            <w:bookmarkEnd w:id="1725"/>
            <w:bookmarkEnd w:id="1726"/>
            <w:bookmarkEnd w:id="1727"/>
            <w:bookmarkEnd w:id="1728"/>
            <w:bookmarkEnd w:id="1729"/>
          </w:p>
        </w:tc>
        <w:tc>
          <w:tcPr>
            <w:tcW w:w="1251" w:type="dxa"/>
            <w:noWrap w:val="0"/>
            <w:vAlign w:val="center"/>
          </w:tcPr>
          <w:p w14:paraId="5B974CE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30" w:name="_Toc13490"/>
            <w:bookmarkStart w:id="1731" w:name="_Toc10593"/>
            <w:bookmarkStart w:id="1732" w:name="_Toc23822"/>
            <w:bookmarkStart w:id="1733" w:name="_Toc25645"/>
            <w:bookmarkStart w:id="1734" w:name="_Toc21615"/>
            <w:bookmarkStart w:id="1735" w:name="_Toc14383"/>
            <w:r>
              <w:rPr>
                <w:rFonts w:hint="eastAsia" w:ascii="仿宋" w:hAnsi="仿宋" w:eastAsia="仿宋" w:cs="仿宋"/>
                <w:b w:val="0"/>
                <w:bCs w:val="0"/>
                <w:color w:val="auto"/>
                <w:sz w:val="24"/>
                <w:szCs w:val="24"/>
                <w:highlight w:val="none"/>
                <w:vertAlign w:val="baseline"/>
                <w:lang w:val="en-US" w:eastAsia="zh-CN"/>
              </w:rPr>
              <w:t>联系人</w:t>
            </w:r>
            <w:bookmarkEnd w:id="1730"/>
            <w:bookmarkEnd w:id="1731"/>
            <w:bookmarkEnd w:id="1732"/>
            <w:bookmarkEnd w:id="1733"/>
            <w:bookmarkEnd w:id="1734"/>
            <w:bookmarkEnd w:id="1735"/>
          </w:p>
        </w:tc>
        <w:tc>
          <w:tcPr>
            <w:tcW w:w="1224" w:type="dxa"/>
            <w:noWrap w:val="0"/>
            <w:vAlign w:val="center"/>
          </w:tcPr>
          <w:p w14:paraId="6E00389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36" w:name="_Toc11991"/>
            <w:bookmarkStart w:id="1737" w:name="_Toc9951"/>
            <w:bookmarkStart w:id="1738" w:name="_Toc26025"/>
            <w:bookmarkStart w:id="1739" w:name="_Toc25995"/>
            <w:bookmarkStart w:id="1740" w:name="_Toc10766"/>
            <w:bookmarkStart w:id="1741" w:name="_Toc22139"/>
            <w:r>
              <w:rPr>
                <w:rFonts w:hint="eastAsia" w:ascii="仿宋" w:hAnsi="仿宋" w:eastAsia="仿宋" w:cs="仿宋"/>
                <w:b w:val="0"/>
                <w:bCs w:val="0"/>
                <w:color w:val="auto"/>
                <w:sz w:val="24"/>
                <w:szCs w:val="24"/>
                <w:highlight w:val="none"/>
                <w:vertAlign w:val="baseline"/>
                <w:lang w:val="en-US" w:eastAsia="zh-CN"/>
              </w:rPr>
              <w:t>联系电话</w:t>
            </w:r>
            <w:bookmarkEnd w:id="1736"/>
            <w:bookmarkEnd w:id="1737"/>
            <w:bookmarkEnd w:id="1738"/>
            <w:bookmarkEnd w:id="1739"/>
            <w:bookmarkEnd w:id="1740"/>
            <w:bookmarkEnd w:id="1741"/>
          </w:p>
        </w:tc>
        <w:tc>
          <w:tcPr>
            <w:tcW w:w="1669" w:type="dxa"/>
            <w:noWrap w:val="0"/>
            <w:vAlign w:val="center"/>
          </w:tcPr>
          <w:p w14:paraId="541CE64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42" w:name="_Toc12202"/>
            <w:bookmarkStart w:id="1743" w:name="_Toc22712"/>
            <w:bookmarkStart w:id="1744" w:name="_Toc19407"/>
            <w:bookmarkStart w:id="1745" w:name="_Toc6712"/>
            <w:bookmarkStart w:id="1746" w:name="_Toc29592"/>
            <w:bookmarkStart w:id="1747" w:name="_Toc2315"/>
            <w:r>
              <w:rPr>
                <w:rFonts w:hint="eastAsia" w:ascii="仿宋" w:hAnsi="仿宋" w:eastAsia="仿宋" w:cs="仿宋"/>
                <w:b w:val="0"/>
                <w:bCs w:val="0"/>
                <w:color w:val="auto"/>
                <w:sz w:val="24"/>
                <w:szCs w:val="24"/>
                <w:highlight w:val="none"/>
                <w:vertAlign w:val="baseline"/>
                <w:lang w:val="en-US" w:eastAsia="zh-CN"/>
              </w:rPr>
              <w:t>E-mail/QQ</w:t>
            </w:r>
            <w:bookmarkEnd w:id="1742"/>
            <w:bookmarkEnd w:id="1743"/>
            <w:bookmarkEnd w:id="1744"/>
            <w:bookmarkEnd w:id="1745"/>
            <w:bookmarkEnd w:id="1746"/>
            <w:bookmarkEnd w:id="1747"/>
          </w:p>
        </w:tc>
        <w:tc>
          <w:tcPr>
            <w:tcW w:w="1669" w:type="dxa"/>
            <w:noWrap w:val="0"/>
            <w:vAlign w:val="center"/>
          </w:tcPr>
          <w:p w14:paraId="00EC3C9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48" w:name="_Toc3970"/>
            <w:bookmarkStart w:id="1749" w:name="_Toc20012"/>
            <w:bookmarkStart w:id="1750" w:name="_Toc1644"/>
            <w:bookmarkStart w:id="1751" w:name="_Toc14218"/>
            <w:bookmarkStart w:id="1752" w:name="_Toc14702"/>
            <w:bookmarkStart w:id="1753" w:name="_Toc9282"/>
            <w:r>
              <w:rPr>
                <w:rFonts w:hint="eastAsia" w:ascii="仿宋" w:hAnsi="仿宋" w:eastAsia="仿宋" w:cs="仿宋"/>
                <w:b w:val="0"/>
                <w:bCs w:val="0"/>
                <w:color w:val="auto"/>
                <w:sz w:val="24"/>
                <w:szCs w:val="24"/>
                <w:highlight w:val="none"/>
                <w:vertAlign w:val="baseline"/>
                <w:lang w:val="en-US" w:eastAsia="zh-CN"/>
              </w:rPr>
              <w:t>400/800全国免费电话</w:t>
            </w:r>
            <w:bookmarkEnd w:id="1748"/>
            <w:bookmarkEnd w:id="1749"/>
            <w:bookmarkEnd w:id="1750"/>
            <w:bookmarkEnd w:id="1751"/>
            <w:bookmarkEnd w:id="1752"/>
            <w:bookmarkEnd w:id="1753"/>
          </w:p>
        </w:tc>
      </w:tr>
      <w:tr w14:paraId="5519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E0AAEF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1361" w:type="dxa"/>
            <w:noWrap w:val="0"/>
            <w:vAlign w:val="center"/>
          </w:tcPr>
          <w:p w14:paraId="6B543E0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5F6B82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322D459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4545566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62AF453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7895F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7BFB1E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57C3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A0422F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1361" w:type="dxa"/>
            <w:noWrap w:val="0"/>
            <w:vAlign w:val="center"/>
          </w:tcPr>
          <w:p w14:paraId="7935A17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3C2B83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2A0677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60F27F1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2E29AF6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51E2C2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FAF609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4C1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675688C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1361" w:type="dxa"/>
            <w:noWrap w:val="0"/>
            <w:vAlign w:val="center"/>
          </w:tcPr>
          <w:p w14:paraId="2FFAE78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178796D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0789AFB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DEFF98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7D527C0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31F44DC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B3AC32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62A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B93174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54" w:name="_Toc4998"/>
            <w:bookmarkStart w:id="1755" w:name="_Toc4145"/>
            <w:bookmarkStart w:id="1756" w:name="_Toc27403"/>
            <w:bookmarkStart w:id="1757" w:name="_Toc9006"/>
            <w:bookmarkStart w:id="1758" w:name="_Toc15857"/>
            <w:bookmarkStart w:id="1759" w:name="_Toc24696"/>
            <w:r>
              <w:rPr>
                <w:rFonts w:hint="eastAsia" w:ascii="仿宋" w:hAnsi="仿宋" w:eastAsia="仿宋" w:cs="仿宋"/>
                <w:color w:val="auto"/>
                <w:sz w:val="24"/>
                <w:highlight w:val="none"/>
                <w:lang w:val="en-US" w:eastAsia="zh-CN"/>
              </w:rPr>
              <w:t>……</w:t>
            </w:r>
          </w:p>
        </w:tc>
        <w:tc>
          <w:tcPr>
            <w:tcW w:w="1361" w:type="dxa"/>
            <w:noWrap w:val="0"/>
            <w:vAlign w:val="center"/>
          </w:tcPr>
          <w:p w14:paraId="7232893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AE65F0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36DE1E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A00F14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12D315D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628587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3626E1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478137F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1754"/>
      <w:bookmarkEnd w:id="1755"/>
      <w:bookmarkEnd w:id="1756"/>
      <w:bookmarkEnd w:id="1757"/>
      <w:bookmarkEnd w:id="1758"/>
      <w:bookmarkEnd w:id="1759"/>
    </w:p>
    <w:p w14:paraId="027FD8E7">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A89517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165C839">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8EDD2D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409C79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CD8B498">
      <w:pPr>
        <w:jc w:val="center"/>
        <w:rPr>
          <w:rFonts w:hint="eastAsia" w:ascii="仿宋" w:hAnsi="仿宋" w:eastAsia="仿宋" w:cs="仿宋"/>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09ECD9BA">
      <w:pPr>
        <w:pStyle w:val="7"/>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1"/>
        <w:rPr>
          <w:rFonts w:hint="eastAsia" w:ascii="仿宋" w:hAnsi="仿宋" w:eastAsia="仿宋" w:cs="仿宋"/>
          <w:b/>
          <w:color w:val="auto"/>
          <w:szCs w:val="21"/>
          <w:highlight w:val="none"/>
        </w:rPr>
      </w:pPr>
      <w:bookmarkStart w:id="1760" w:name="_Toc7777"/>
      <w:bookmarkStart w:id="1761" w:name="_Toc1184"/>
      <w:bookmarkStart w:id="1762" w:name="_Toc21716"/>
      <w:bookmarkStart w:id="1763" w:name="_Toc14665"/>
      <w:bookmarkStart w:id="1764" w:name="_Toc16593"/>
      <w:bookmarkStart w:id="1765" w:name="_Toc17330"/>
      <w:bookmarkStart w:id="1766" w:name="_Toc21181"/>
      <w:r>
        <w:rPr>
          <w:rFonts w:hint="eastAsia" w:cs="仿宋"/>
          <w:b/>
          <w:bCs/>
          <w:color w:val="auto"/>
          <w:sz w:val="32"/>
          <w:szCs w:val="32"/>
          <w:highlight w:val="none"/>
          <w:lang w:val="en-US" w:eastAsia="zh-CN"/>
        </w:rPr>
        <w:t>十一</w:t>
      </w:r>
      <w:r>
        <w:rPr>
          <w:rFonts w:hint="eastAsia" w:ascii="仿宋" w:hAnsi="仿宋" w:eastAsia="仿宋" w:cs="仿宋"/>
          <w:b/>
          <w:bCs/>
          <w:color w:val="auto"/>
          <w:sz w:val="32"/>
          <w:szCs w:val="32"/>
          <w:highlight w:val="none"/>
          <w:lang w:val="zh-CN" w:eastAsia="zh-CN"/>
        </w:rPr>
        <w:t>、</w:t>
      </w:r>
      <w:r>
        <w:rPr>
          <w:rFonts w:hint="eastAsia" w:cs="仿宋"/>
          <w:b/>
          <w:bCs/>
          <w:color w:val="auto"/>
          <w:sz w:val="32"/>
          <w:szCs w:val="32"/>
          <w:highlight w:val="none"/>
          <w:lang w:eastAsia="zh-CN"/>
        </w:rPr>
        <w:t>投标人</w:t>
      </w:r>
      <w:r>
        <w:rPr>
          <w:rFonts w:hint="eastAsia" w:ascii="仿宋" w:hAnsi="仿宋" w:eastAsia="仿宋" w:cs="仿宋"/>
          <w:b/>
          <w:bCs/>
          <w:color w:val="auto"/>
          <w:sz w:val="32"/>
          <w:szCs w:val="32"/>
          <w:highlight w:val="none"/>
        </w:rPr>
        <w:t>主要业绩</w:t>
      </w:r>
      <w:r>
        <w:rPr>
          <w:rFonts w:hint="eastAsia" w:ascii="仿宋" w:hAnsi="仿宋" w:eastAsia="仿宋" w:cs="仿宋"/>
          <w:b/>
          <w:bCs/>
          <w:color w:val="auto"/>
          <w:sz w:val="32"/>
          <w:szCs w:val="32"/>
          <w:highlight w:val="none"/>
          <w:lang w:eastAsia="zh-CN"/>
        </w:rPr>
        <w:t>（若有）</w:t>
      </w:r>
      <w:bookmarkEnd w:id="1760"/>
      <w:bookmarkEnd w:id="1761"/>
      <w:bookmarkEnd w:id="1762"/>
      <w:bookmarkEnd w:id="1763"/>
      <w:bookmarkEnd w:id="1764"/>
      <w:bookmarkEnd w:id="1765"/>
      <w:bookmarkEnd w:id="1766"/>
    </w:p>
    <w:tbl>
      <w:tblPr>
        <w:tblStyle w:val="16"/>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1CA2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8A8639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105" w:type="dxa"/>
            <w:noWrap w:val="0"/>
            <w:vAlign w:val="center"/>
          </w:tcPr>
          <w:p w14:paraId="1996E6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1840" w:type="dxa"/>
            <w:noWrap w:val="0"/>
            <w:vAlign w:val="center"/>
          </w:tcPr>
          <w:p w14:paraId="3E6605A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联系人及联系电话</w:t>
            </w:r>
          </w:p>
        </w:tc>
        <w:tc>
          <w:tcPr>
            <w:tcW w:w="1366" w:type="dxa"/>
            <w:noWrap w:val="0"/>
            <w:vAlign w:val="center"/>
          </w:tcPr>
          <w:p w14:paraId="6A17AEC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供货安装期限</w:t>
            </w:r>
          </w:p>
        </w:tc>
        <w:tc>
          <w:tcPr>
            <w:tcW w:w="1294" w:type="dxa"/>
            <w:noWrap w:val="0"/>
            <w:vAlign w:val="center"/>
          </w:tcPr>
          <w:p w14:paraId="4120136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项目地点</w:t>
            </w:r>
          </w:p>
        </w:tc>
        <w:tc>
          <w:tcPr>
            <w:tcW w:w="1255" w:type="dxa"/>
            <w:noWrap w:val="0"/>
            <w:vAlign w:val="center"/>
          </w:tcPr>
          <w:p w14:paraId="6208FC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036" w:type="dxa"/>
            <w:noWrap w:val="0"/>
            <w:vAlign w:val="center"/>
          </w:tcPr>
          <w:p w14:paraId="0F947C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签约合同金额</w:t>
            </w:r>
          </w:p>
        </w:tc>
        <w:tc>
          <w:tcPr>
            <w:tcW w:w="1104" w:type="dxa"/>
            <w:noWrap w:val="0"/>
            <w:vAlign w:val="center"/>
          </w:tcPr>
          <w:p w14:paraId="75A417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合同内容</w:t>
            </w:r>
          </w:p>
        </w:tc>
      </w:tr>
      <w:tr w14:paraId="2E44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CC221C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3D5F69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F2178E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2E9034C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544439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2684AF3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E4198B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9F003E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4DFA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7D57F0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287B7CA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6D73052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572EC5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9BC08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37CC8C8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B6D601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CA959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0B7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3EFF6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69D63B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EC68A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EAD7F3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3C8F565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0775B70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C2E65E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1A19A4E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5A3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7AA4F6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5A2B2C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74FFEA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290F9A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6A1C6B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5CA659F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0E7EB0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66505D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119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72722A5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108DC8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64F21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3E0ACA5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9E1566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75C4B3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49F280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4B8DD6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40D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7AB86A9D">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办法要求提供的）证明材料。</w:t>
            </w:r>
          </w:p>
        </w:tc>
      </w:tr>
    </w:tbl>
    <w:p w14:paraId="5089BF74">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B516881">
      <w:pPr>
        <w:pStyle w:val="15"/>
        <w:spacing w:line="360" w:lineRule="auto"/>
        <w:ind w:left="0" w:leftChars="0" w:firstLine="0" w:firstLineChars="0"/>
        <w:jc w:val="center"/>
        <w:outlineLvl w:val="1"/>
        <w:rPr>
          <w:rFonts w:hint="eastAsia" w:ascii="仿宋" w:hAnsi="仿宋" w:eastAsia="仿宋" w:cs="仿宋"/>
          <w:b/>
          <w:bCs/>
          <w:sz w:val="32"/>
          <w:szCs w:val="32"/>
        </w:rPr>
      </w:pPr>
      <w:bookmarkStart w:id="1767" w:name="_Toc13932"/>
      <w:bookmarkStart w:id="1768" w:name="_Toc29900"/>
      <w:r>
        <w:rPr>
          <w:rFonts w:hint="eastAsia" w:ascii="仿宋" w:hAnsi="仿宋" w:eastAsia="仿宋" w:cs="仿宋"/>
          <w:b/>
          <w:bCs/>
          <w:color w:val="auto"/>
          <w:sz w:val="30"/>
          <w:szCs w:val="30"/>
          <w:highlight w:val="none"/>
          <w:lang w:val="en-US" w:eastAsia="zh-CN"/>
        </w:rPr>
        <w:t>十二、</w:t>
      </w:r>
      <w:bookmarkEnd w:id="1631"/>
      <w:bookmarkEnd w:id="1632"/>
      <w:bookmarkEnd w:id="1633"/>
      <w:bookmarkEnd w:id="1634"/>
      <w:bookmarkStart w:id="1769" w:name="_Toc18646"/>
      <w:bookmarkStart w:id="1770" w:name="_Toc6985"/>
      <w:bookmarkStart w:id="1771" w:name="_Toc19049"/>
      <w:r>
        <w:rPr>
          <w:rFonts w:hint="eastAsia" w:ascii="仿宋" w:hAnsi="仿宋" w:eastAsia="仿宋" w:cs="仿宋"/>
          <w:b/>
          <w:bCs/>
          <w:sz w:val="30"/>
          <w:szCs w:val="30"/>
          <w:lang w:val="en-US" w:eastAsia="zh-CN"/>
        </w:rPr>
        <w:t>远程参与开标会议诚信承诺书</w:t>
      </w:r>
      <w:bookmarkEnd w:id="1635"/>
      <w:bookmarkEnd w:id="1636"/>
      <w:bookmarkEnd w:id="1637"/>
      <w:bookmarkEnd w:id="1638"/>
      <w:bookmarkEnd w:id="1639"/>
      <w:bookmarkEnd w:id="1767"/>
      <w:bookmarkEnd w:id="1768"/>
      <w:bookmarkEnd w:id="1769"/>
      <w:bookmarkEnd w:id="1770"/>
      <w:bookmarkEnd w:id="1771"/>
    </w:p>
    <w:p w14:paraId="264685DA">
      <w:pPr>
        <w:keepNext w:val="0"/>
        <w:keepLines w:val="0"/>
        <w:pageBreakBefore w:val="0"/>
        <w:widowControl w:val="0"/>
        <w:suppressLineNumbers w:val="0"/>
        <w:kinsoku/>
        <w:wordWrap w:val="0"/>
        <w:overflowPunct/>
        <w:topLinePunct/>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致：</w:t>
      </w:r>
      <w:r>
        <w:rPr>
          <w:rFonts w:hint="eastAsia" w:ascii="仿宋" w:hAnsi="仿宋" w:eastAsia="仿宋" w:cs="仿宋"/>
          <w:b w:val="0"/>
          <w:bCs w:val="0"/>
          <w:color w:val="000000"/>
          <w:kern w:val="0"/>
          <w:sz w:val="24"/>
          <w:szCs w:val="24"/>
          <w:u w:val="single"/>
          <w:lang w:val="en-US" w:eastAsia="zh-CN" w:bidi="ar"/>
        </w:rPr>
        <w:t>楚雄彝族自治州人民医院</w:t>
      </w:r>
      <w:r>
        <w:rPr>
          <w:rFonts w:hint="eastAsia" w:ascii="仿宋" w:hAnsi="仿宋" w:eastAsia="仿宋" w:cs="仿宋"/>
          <w:b w:val="0"/>
          <w:bCs w:val="0"/>
          <w:color w:val="000000"/>
          <w:kern w:val="0"/>
          <w:sz w:val="24"/>
          <w:szCs w:val="24"/>
          <w:u w:val="none"/>
          <w:lang w:val="en-US" w:eastAsia="zh-CN" w:bidi="ar"/>
        </w:rPr>
        <w:t>（</w:t>
      </w:r>
      <w:r>
        <w:rPr>
          <w:rFonts w:hint="eastAsia" w:ascii="仿宋" w:hAnsi="仿宋" w:eastAsia="仿宋" w:cs="仿宋"/>
          <w:color w:val="000000"/>
          <w:kern w:val="0"/>
          <w:sz w:val="24"/>
          <w:szCs w:val="24"/>
          <w:lang w:val="en-US" w:eastAsia="zh-CN" w:bidi="ar"/>
        </w:rPr>
        <w:t>采购人）</w:t>
      </w:r>
    </w:p>
    <w:p w14:paraId="73E6E5A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我方郑重承诺：遵循公开、公平、公正和诚实守信的原则，参加本次远程开标会议，是我方真实意思的表达。</w:t>
      </w:r>
    </w:p>
    <w:p w14:paraId="5FACEF6E">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一、不出借、买卖、伪造、涂改企业和从业人员的资质证书、营业执照、资格业绩、印章以及其他相关资信证明文件，严禁其他企业或个人以我公司的名义投标。</w:t>
      </w:r>
    </w:p>
    <w:p w14:paraId="13CA01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二、严格遵守法律法规和招标文件规定的投标程序。不隐瞒真实情况，不弄虚作假，不骗取投标和中标资格。</w:t>
      </w:r>
    </w:p>
    <w:p w14:paraId="6918ABC0">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三、坚决抵制和杜绝串标、围标、哄抬报价、贿赂、回扣等违法投标和不正当竞争行为。</w:t>
      </w:r>
    </w:p>
    <w:p w14:paraId="0D2765D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四、依法经营，公平竞争，不采取违法、违规或不正当手段损害、侵犯同行企业的正当权益。</w:t>
      </w:r>
    </w:p>
    <w:p w14:paraId="342BEC5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五、遵守指令、不擅离职守。开标评标过程中，我方将坚持全程参加开评标会议，积极响应采购人的指令和操作要求，不擅离职守，始终保持通讯顺畅，因我方原因在规定时间内无法与管理端建立起联系的，即视为放弃交互的权利，我方认可采购人任意处置决定，接受包括终止投标资格在内的任何处理结果。</w:t>
      </w:r>
    </w:p>
    <w:p w14:paraId="3B14A9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六、确保设施、设备工况良好。我方将负责提前检查电力供应、网络环境和远程开标会议有关设施、设备的稳定性和安全性，因我方原因导致无法完成投标或者不能进行现场实时交互的，均由我方自行承担一切后果。</w:t>
      </w:r>
    </w:p>
    <w:p w14:paraId="22A98E3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outlineLvl w:val="1"/>
        <w:rPr>
          <w:rFonts w:hint="eastAsia" w:ascii="仿宋" w:hAnsi="仿宋" w:eastAsia="仿宋" w:cs="仿宋"/>
          <w:sz w:val="24"/>
          <w:szCs w:val="24"/>
        </w:rPr>
      </w:pPr>
      <w:bookmarkStart w:id="1772" w:name="_Toc1786"/>
      <w:bookmarkStart w:id="1773" w:name="_Toc12859"/>
      <w:bookmarkStart w:id="1774" w:name="_Toc3721"/>
      <w:bookmarkStart w:id="1775" w:name="_Toc19265"/>
      <w:bookmarkStart w:id="1776" w:name="_Toc24543"/>
      <w:bookmarkStart w:id="1777" w:name="_Toc28686"/>
      <w:bookmarkStart w:id="1778" w:name="_Toc30562"/>
      <w:bookmarkStart w:id="1779" w:name="_Toc5974"/>
      <w:bookmarkStart w:id="1780" w:name="_Toc28503"/>
      <w:bookmarkStart w:id="1781" w:name="_Toc7005"/>
      <w:bookmarkStart w:id="1782" w:name="_Toc7006"/>
      <w:r>
        <w:rPr>
          <w:rFonts w:hint="eastAsia" w:ascii="仿宋" w:hAnsi="仿宋" w:eastAsia="仿宋" w:cs="仿宋"/>
          <w:color w:val="000000"/>
          <w:kern w:val="0"/>
          <w:sz w:val="24"/>
          <w:szCs w:val="24"/>
          <w:lang w:val="en-US" w:eastAsia="zh-CN" w:bidi="ar"/>
        </w:rPr>
        <w:t>七、不向采购人或评标委员会成员或相关人员行贿，以谋取中标。</w:t>
      </w:r>
      <w:bookmarkEnd w:id="1772"/>
      <w:bookmarkEnd w:id="1773"/>
      <w:bookmarkEnd w:id="1774"/>
      <w:bookmarkEnd w:id="1775"/>
      <w:bookmarkEnd w:id="1776"/>
      <w:bookmarkEnd w:id="1777"/>
      <w:bookmarkEnd w:id="1778"/>
      <w:bookmarkEnd w:id="1779"/>
      <w:bookmarkEnd w:id="1780"/>
      <w:bookmarkEnd w:id="1781"/>
      <w:bookmarkEnd w:id="1782"/>
    </w:p>
    <w:p w14:paraId="3DA6827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我方若有违反承诺内容的行为，自愿接受取消招投标资格、将不良行为记录记入档案、没收投标保证金等有关处理，并承担相应的法律责任。给采购人造成损失的，依法承担赔偿责任。</w:t>
      </w:r>
    </w:p>
    <w:p w14:paraId="279EE799">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0539F9E5">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73D39C35">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6E1CDB6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3806CB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0"/>
        <w:rPr>
          <w:rFonts w:hint="eastAsia" w:ascii="仿宋" w:hAnsi="仿宋" w:eastAsia="仿宋" w:cs="仿宋"/>
          <w:color w:val="auto"/>
          <w:sz w:val="24"/>
          <w:szCs w:val="24"/>
          <w:highlight w:val="none"/>
          <w:u w:val="none"/>
          <w:lang w:val="en-US"/>
        </w:rPr>
      </w:pPr>
      <w:bookmarkStart w:id="1783" w:name="_Toc21134"/>
      <w:bookmarkStart w:id="1784" w:name="_Toc3394"/>
      <w:bookmarkStart w:id="1785" w:name="_Toc25756"/>
      <w:bookmarkStart w:id="1786" w:name="_Toc31868"/>
      <w:bookmarkStart w:id="1787" w:name="_Toc24769"/>
      <w:bookmarkStart w:id="1788" w:name="_Toc6085"/>
      <w:bookmarkStart w:id="1789" w:name="_Toc12654"/>
      <w:bookmarkStart w:id="1790" w:name="_Toc3921"/>
      <w:bookmarkStart w:id="1791" w:name="_Toc9390"/>
      <w:bookmarkStart w:id="1792" w:name="_Toc30962"/>
      <w:bookmarkStart w:id="1793" w:name="_Toc28319"/>
      <w:r>
        <w:rPr>
          <w:rFonts w:hint="eastAsia" w:ascii="仿宋" w:hAnsi="仿宋" w:eastAsia="仿宋" w:cs="仿宋"/>
          <w:color w:val="auto"/>
          <w:sz w:val="24"/>
          <w:highlight w:val="none"/>
        </w:rPr>
        <w:t>法定代表人（负责人）：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783"/>
      <w:bookmarkEnd w:id="1784"/>
      <w:bookmarkEnd w:id="1785"/>
      <w:bookmarkEnd w:id="1786"/>
      <w:bookmarkEnd w:id="1787"/>
      <w:bookmarkEnd w:id="1788"/>
      <w:bookmarkEnd w:id="1789"/>
      <w:bookmarkEnd w:id="1790"/>
      <w:bookmarkEnd w:id="1791"/>
      <w:bookmarkEnd w:id="1792"/>
      <w:bookmarkEnd w:id="1793"/>
    </w:p>
    <w:p w14:paraId="56DF8FAC">
      <w:pPr>
        <w:pStyle w:val="15"/>
        <w:spacing w:line="360" w:lineRule="auto"/>
        <w:ind w:left="0" w:leftChars="0" w:firstLine="0" w:firstLineChars="0"/>
        <w:jc w:val="center"/>
        <w:outlineLvl w:val="0"/>
        <w:rPr>
          <w:rFonts w:hint="eastAsia" w:ascii="仿宋" w:hAnsi="仿宋" w:eastAsia="仿宋" w:cs="仿宋"/>
          <w:color w:val="auto"/>
          <w:sz w:val="24"/>
          <w:szCs w:val="24"/>
          <w:highlight w:val="none"/>
        </w:rPr>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794" w:name="_Toc27155"/>
      <w:bookmarkStart w:id="1795" w:name="_Toc27625"/>
      <w:bookmarkStart w:id="1796" w:name="_Toc30995"/>
      <w:bookmarkStart w:id="1797" w:name="_Toc28684"/>
      <w:bookmarkStart w:id="1798" w:name="_Toc13958"/>
      <w:bookmarkStart w:id="1799" w:name="_Toc17789"/>
      <w:bookmarkStart w:id="1800" w:name="_Toc27399"/>
      <w:bookmarkStart w:id="1801" w:name="_Toc15052"/>
      <w:bookmarkStart w:id="1802" w:name="_Toc27089"/>
      <w:bookmarkStart w:id="1803" w:name="_Toc29569"/>
      <w:bookmarkStart w:id="1804" w:name="_Toc16056"/>
      <w:bookmarkStart w:id="1805" w:name="_Toc26447"/>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794"/>
      <w:bookmarkEnd w:id="1795"/>
      <w:bookmarkEnd w:id="1796"/>
      <w:bookmarkEnd w:id="1797"/>
      <w:bookmarkEnd w:id="1798"/>
      <w:bookmarkEnd w:id="1799"/>
      <w:bookmarkEnd w:id="1800"/>
      <w:bookmarkEnd w:id="1801"/>
      <w:bookmarkEnd w:id="1802"/>
      <w:bookmarkEnd w:id="1803"/>
      <w:bookmarkEnd w:id="1804"/>
      <w:bookmarkEnd w:id="1805"/>
    </w:p>
    <w:p w14:paraId="797ED271">
      <w:pPr>
        <w:pStyle w:val="15"/>
        <w:spacing w:line="360" w:lineRule="auto"/>
        <w:ind w:left="0" w:leftChars="0" w:firstLine="0" w:firstLineChars="0"/>
        <w:jc w:val="center"/>
        <w:outlineLvl w:val="1"/>
        <w:rPr>
          <w:rFonts w:hint="eastAsia" w:ascii="仿宋" w:hAnsi="仿宋" w:eastAsia="仿宋" w:cs="仿宋"/>
          <w:b/>
          <w:bCs/>
          <w:sz w:val="30"/>
          <w:szCs w:val="30"/>
          <w:lang w:val="en-US" w:eastAsia="zh-CN"/>
        </w:rPr>
      </w:pPr>
      <w:bookmarkStart w:id="1806" w:name="_Toc24704"/>
      <w:bookmarkStart w:id="1807" w:name="_Toc30116"/>
      <w:bookmarkStart w:id="1808" w:name="_Toc30111"/>
      <w:bookmarkStart w:id="1809" w:name="_Toc29699"/>
      <w:bookmarkStart w:id="1810" w:name="_Toc4210"/>
      <w:bookmarkStart w:id="1811" w:name="_Toc5447"/>
      <w:bookmarkStart w:id="1812" w:name="_Toc20372"/>
      <w:bookmarkStart w:id="1813" w:name="_Toc24721"/>
      <w:bookmarkStart w:id="1814" w:name="_Toc7514"/>
      <w:bookmarkStart w:id="1815" w:name="_Toc3105"/>
      <w:r>
        <w:rPr>
          <w:rFonts w:hint="eastAsia" w:ascii="仿宋" w:hAnsi="仿宋" w:eastAsia="仿宋" w:cs="仿宋"/>
          <w:b/>
          <w:bCs/>
          <w:color w:val="auto"/>
          <w:sz w:val="30"/>
          <w:szCs w:val="30"/>
          <w:lang w:val="en-US" w:eastAsia="zh-CN"/>
        </w:rPr>
        <w:t>十三、投标质量保证书</w:t>
      </w:r>
    </w:p>
    <w:p w14:paraId="67A450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楚雄彝族自治州</w:t>
      </w:r>
      <w:r>
        <w:rPr>
          <w:rFonts w:hint="eastAsia" w:ascii="仿宋" w:hAnsi="仿宋" w:eastAsia="仿宋" w:cs="仿宋"/>
          <w:b w:val="0"/>
          <w:bCs/>
          <w:color w:val="auto"/>
          <w:sz w:val="24"/>
          <w:szCs w:val="24"/>
          <w:highlight w:val="none"/>
          <w:u w:val="single"/>
          <w:lang w:val="en-US" w:eastAsia="zh-CN"/>
        </w:rPr>
        <w:t>人民</w:t>
      </w:r>
      <w:r>
        <w:rPr>
          <w:rFonts w:hint="eastAsia" w:ascii="仿宋" w:hAnsi="仿宋" w:eastAsia="仿宋" w:cs="仿宋"/>
          <w:b w:val="0"/>
          <w:bCs/>
          <w:color w:val="auto"/>
          <w:sz w:val="24"/>
          <w:szCs w:val="24"/>
          <w:highlight w:val="none"/>
          <w:u w:val="single"/>
          <w:lang w:eastAsia="zh-CN"/>
        </w:rPr>
        <w:t>医院</w:t>
      </w:r>
      <w:r>
        <w:rPr>
          <w:rFonts w:hint="eastAsia" w:ascii="仿宋" w:hAnsi="仿宋" w:eastAsia="仿宋" w:cs="仿宋"/>
          <w:b w:val="0"/>
          <w:bCs w:val="0"/>
          <w:color w:val="000000"/>
          <w:kern w:val="0"/>
          <w:sz w:val="24"/>
          <w:szCs w:val="24"/>
          <w:u w:val="none"/>
          <w:lang w:val="en-US" w:eastAsia="zh-CN" w:bidi="ar"/>
        </w:rPr>
        <w:t>（</w:t>
      </w:r>
      <w:r>
        <w:rPr>
          <w:rFonts w:hint="eastAsia" w:ascii="仿宋" w:hAnsi="仿宋" w:eastAsia="仿宋" w:cs="仿宋"/>
          <w:color w:val="000000"/>
          <w:kern w:val="0"/>
          <w:sz w:val="24"/>
          <w:szCs w:val="24"/>
          <w:lang w:val="en-US" w:eastAsia="zh-CN" w:bidi="ar"/>
        </w:rPr>
        <w:t>采购人）</w:t>
      </w:r>
    </w:p>
    <w:p w14:paraId="307B7B26">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本投标书作为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lang w:val="en-US" w:eastAsia="zh-CN"/>
        </w:rPr>
        <w:t>投标人</w:t>
      </w:r>
      <w:r>
        <w:rPr>
          <w:rFonts w:hint="eastAsia" w:ascii="仿宋" w:hAnsi="仿宋" w:eastAsia="仿宋" w:cs="仿宋"/>
          <w:sz w:val="24"/>
          <w:szCs w:val="24"/>
        </w:rPr>
        <w:t>）对（项目名称：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lang w:val="en-US" w:eastAsia="zh-CN"/>
        </w:rPr>
        <w:t>标项名称</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公开招标</w:t>
      </w:r>
      <w:r>
        <w:rPr>
          <w:rFonts w:hint="eastAsia" w:ascii="仿宋" w:hAnsi="仿宋" w:eastAsia="仿宋" w:cs="仿宋"/>
          <w:sz w:val="24"/>
          <w:szCs w:val="24"/>
        </w:rPr>
        <w:t>采购活动提供质量保证的证明。</w:t>
      </w:r>
    </w:p>
    <w:p w14:paraId="1BADEB1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我方承诺提供以下质量保证并承担相应的法律责任：</w:t>
      </w:r>
    </w:p>
    <w:p w14:paraId="525896D2">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1、提供的货物是全新的、符合国家质量标准、中国有关部门手续完备、具有生产企业质量保证书（或合格证明）的货物；</w:t>
      </w:r>
      <w:r>
        <w:rPr>
          <w:rFonts w:hint="eastAsia" w:ascii="仿宋" w:hAnsi="仿宋" w:eastAsia="仿宋" w:cs="仿宋"/>
          <w:b/>
          <w:bCs/>
          <w:sz w:val="24"/>
          <w:szCs w:val="24"/>
        </w:rPr>
        <w:t>保证产品为注效期内的合格产品。</w:t>
      </w:r>
    </w:p>
    <w:p w14:paraId="61183360">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2、保证甲方在合同产品使用期间不受第三方提出侵犯其专利权、商标，提供的货物符合投标文件承诺和所签合同规定的技术要求；</w:t>
      </w:r>
    </w:p>
    <w:p w14:paraId="72DC418F">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3、保证“投标文件售后服务承诺”全部内容的满足。</w:t>
      </w:r>
    </w:p>
    <w:p w14:paraId="61D894C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color w:val="auto"/>
          <w:sz w:val="24"/>
          <w:highlight w:val="none"/>
        </w:rPr>
      </w:pPr>
      <w:r>
        <w:rPr>
          <w:rFonts w:hint="eastAsia" w:ascii="仿宋" w:hAnsi="仿宋" w:eastAsia="仿宋" w:cs="仿宋"/>
          <w:sz w:val="24"/>
          <w:szCs w:val="24"/>
        </w:rPr>
        <w:t>本保证书自开标日起90日内有效，如我方最终成交则至货物保质期满为止有效。</w:t>
      </w:r>
    </w:p>
    <w:p w14:paraId="0BCA5991">
      <w:pPr>
        <w:pStyle w:val="7"/>
        <w:tabs>
          <w:tab w:val="left" w:pos="567"/>
        </w:tabs>
        <w:rPr>
          <w:rFonts w:hint="eastAsia" w:ascii="宋体" w:hAnsi="宋体" w:eastAsia="宋体" w:cs="宋体"/>
          <w:color w:val="auto"/>
          <w:highlight w:val="none"/>
        </w:rPr>
      </w:pPr>
    </w:p>
    <w:p w14:paraId="646D2C67">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4FEE0F09">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0B533B71">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AA4F19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2A63245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00DA102">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投标人</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（电子公章）</w:t>
      </w:r>
    </w:p>
    <w:p w14:paraId="1187D8EE">
      <w:pPr>
        <w:pStyle w:val="7"/>
        <w:keepNext w:val="0"/>
        <w:keepLines w:val="0"/>
        <w:pageBreakBefore w:val="0"/>
        <w:widowControl w:val="0"/>
        <w:tabs>
          <w:tab w:val="left" w:pos="2937"/>
        </w:tabs>
        <w:kinsoku/>
        <w:wordWrap w:val="0"/>
        <w:overflowPunct w:val="0"/>
        <w:topLinePunct/>
        <w:autoSpaceDE/>
        <w:autoSpaceDN/>
        <w:bidi w:val="0"/>
        <w:adjustRightInd/>
        <w:snapToGrid/>
        <w:spacing w:after="0" w:line="480" w:lineRule="auto"/>
        <w:ind w:right="0"/>
        <w:jc w:val="center"/>
        <w:textAlignment w:val="auto"/>
        <w:outlineLvl w:val="0"/>
        <w:rPr>
          <w:rFonts w:hint="eastAsia" w:ascii="仿宋" w:hAnsi="仿宋" w:eastAsia="仿宋" w:cs="仿宋"/>
          <w:b w:val="0"/>
          <w:bCs w:val="0"/>
          <w:color w:val="auto"/>
          <w:sz w:val="24"/>
          <w:szCs w:val="24"/>
          <w:highlight w:val="none"/>
          <w:u w:val="none"/>
          <w:lang w:val="en-US"/>
        </w:rPr>
      </w:pPr>
      <w:r>
        <w:rPr>
          <w:rFonts w:hint="eastAsia" w:ascii="仿宋" w:hAnsi="仿宋" w:eastAsia="仿宋" w:cs="仿宋"/>
          <w:b w:val="0"/>
          <w:bCs w:val="0"/>
          <w:color w:val="auto"/>
          <w:sz w:val="24"/>
          <w:highlight w:val="none"/>
        </w:rPr>
        <w:t>法定代表人（负责人）：</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签字或电子签章</w:t>
      </w:r>
      <w:r>
        <w:rPr>
          <w:rFonts w:hint="eastAsia" w:ascii="仿宋" w:hAnsi="仿宋" w:eastAsia="仿宋" w:cs="仿宋"/>
          <w:b w:val="0"/>
          <w:bCs w:val="0"/>
          <w:color w:val="auto"/>
          <w:sz w:val="24"/>
          <w:highlight w:val="none"/>
        </w:rPr>
        <w:t>）</w:t>
      </w:r>
    </w:p>
    <w:p w14:paraId="352BA1E2">
      <w:pPr>
        <w:pStyle w:val="4"/>
        <w:bidi w:val="0"/>
        <w:spacing w:line="480" w:lineRule="auto"/>
        <w:jc w:val="center"/>
        <w:outlineLvl w:val="1"/>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4"/>
          <w:szCs w:val="24"/>
          <w:highlight w:val="none"/>
        </w:rPr>
        <w:t>日</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p>
    <w:p w14:paraId="3A775B8F">
      <w:pPr>
        <w:pStyle w:val="4"/>
        <w:bidi w:val="0"/>
        <w:jc w:val="center"/>
        <w:outlineLvl w:val="1"/>
        <w:rPr>
          <w:rFonts w:hint="eastAsia" w:ascii="仿宋" w:hAnsi="仿宋" w:eastAsia="仿宋" w:cs="仿宋"/>
          <w:color w:val="auto"/>
          <w:highlight w:val="none"/>
          <w:lang w:val="en-US" w:eastAsia="zh-CN"/>
        </w:rPr>
      </w:pPr>
    </w:p>
    <w:p w14:paraId="79D0BA02">
      <w:pPr>
        <w:pStyle w:val="4"/>
        <w:bidi w:val="0"/>
        <w:jc w:val="center"/>
        <w:outlineLvl w:val="1"/>
        <w:rPr>
          <w:rFonts w:hint="eastAsia" w:ascii="仿宋" w:hAnsi="仿宋" w:eastAsia="仿宋" w:cs="仿宋"/>
          <w:color w:val="auto"/>
          <w:highlight w:val="none"/>
          <w:lang w:val="en-US" w:eastAsia="zh-CN"/>
        </w:rPr>
      </w:pPr>
    </w:p>
    <w:p w14:paraId="378B858D">
      <w:pPr>
        <w:pStyle w:val="4"/>
        <w:bidi w:val="0"/>
        <w:jc w:val="center"/>
        <w:outlineLvl w:val="1"/>
        <w:rPr>
          <w:rFonts w:hint="eastAsia" w:ascii="仿宋" w:hAnsi="仿宋" w:eastAsia="仿宋" w:cs="仿宋"/>
          <w:color w:val="auto"/>
          <w:highlight w:val="none"/>
          <w:lang w:val="en-US" w:eastAsia="zh-CN"/>
        </w:rPr>
      </w:pPr>
    </w:p>
    <w:p w14:paraId="7DEE6F6B">
      <w:pPr>
        <w:rPr>
          <w:rFonts w:hint="eastAsia" w:ascii="仿宋" w:hAnsi="仿宋" w:eastAsia="仿宋" w:cs="仿宋"/>
          <w:color w:val="auto"/>
          <w:highlight w:val="none"/>
          <w:lang w:val="en-US" w:eastAsia="zh-CN"/>
        </w:rPr>
      </w:pPr>
    </w:p>
    <w:p w14:paraId="74055339">
      <w:pPr>
        <w:rPr>
          <w:rFonts w:hint="eastAsia" w:ascii="仿宋" w:hAnsi="仿宋" w:eastAsia="仿宋" w:cs="仿宋"/>
          <w:color w:val="auto"/>
          <w:highlight w:val="none"/>
          <w:lang w:val="en-US" w:eastAsia="zh-CN"/>
        </w:rPr>
      </w:pPr>
    </w:p>
    <w:p w14:paraId="633CC709">
      <w:pPr>
        <w:rPr>
          <w:rFonts w:hint="eastAsia" w:ascii="仿宋" w:hAnsi="仿宋" w:eastAsia="仿宋" w:cs="仿宋"/>
          <w:color w:val="auto"/>
          <w:highlight w:val="none"/>
          <w:lang w:val="en-US" w:eastAsia="zh-CN"/>
        </w:rPr>
      </w:pPr>
    </w:p>
    <w:p w14:paraId="5D43644B">
      <w:pPr>
        <w:rPr>
          <w:rFonts w:hint="eastAsia" w:ascii="仿宋" w:hAnsi="仿宋" w:eastAsia="仿宋" w:cs="仿宋"/>
          <w:color w:val="auto"/>
          <w:highlight w:val="none"/>
          <w:lang w:val="en-US" w:eastAsia="zh-CN"/>
        </w:rPr>
      </w:pPr>
    </w:p>
    <w:p w14:paraId="72046877">
      <w:pPr>
        <w:pStyle w:val="4"/>
        <w:bidi w:val="0"/>
        <w:jc w:val="center"/>
        <w:outlineLvl w:val="1"/>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十四、</w:t>
      </w:r>
      <w:r>
        <w:rPr>
          <w:rFonts w:hint="eastAsia" w:ascii="仿宋" w:hAnsi="仿宋" w:eastAsia="仿宋" w:cs="仿宋"/>
          <w:color w:val="auto"/>
          <w:highlight w:val="none"/>
          <w:lang w:eastAsia="zh-CN"/>
        </w:rPr>
        <w:t>投标人认为有必要提供的其他资料</w:t>
      </w:r>
      <w:r>
        <w:rPr>
          <w:rFonts w:hint="eastAsia" w:ascii="仿宋" w:hAnsi="仿宋" w:eastAsia="仿宋" w:cs="仿宋"/>
          <w:color w:val="auto"/>
          <w:highlight w:val="none"/>
          <w:lang w:val="en-US" w:eastAsia="zh-CN"/>
        </w:rPr>
        <w:t>（若有）</w:t>
      </w:r>
      <w:bookmarkEnd w:id="1806"/>
      <w:bookmarkEnd w:id="1807"/>
      <w:bookmarkEnd w:id="1808"/>
      <w:bookmarkEnd w:id="1809"/>
      <w:bookmarkEnd w:id="1810"/>
      <w:bookmarkEnd w:id="1811"/>
      <w:bookmarkEnd w:id="1812"/>
      <w:bookmarkEnd w:id="1813"/>
      <w:bookmarkEnd w:id="1814"/>
      <w:bookmarkEnd w:id="1815"/>
    </w:p>
    <w:p w14:paraId="3B921BA2">
      <w:pPr>
        <w:pStyle w:val="7"/>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1816" w:name="_Toc7240"/>
      <w:bookmarkStart w:id="1817" w:name="_Toc22433"/>
      <w:bookmarkStart w:id="1818" w:name="_Toc29207"/>
      <w:bookmarkStart w:id="1819" w:name="_Toc27901"/>
      <w:bookmarkStart w:id="1820" w:name="_Toc659"/>
      <w:bookmarkStart w:id="1821" w:name="_Toc5885"/>
      <w:bookmarkStart w:id="1822" w:name="_Toc24880"/>
      <w:bookmarkStart w:id="1823" w:name="_Toc23419"/>
      <w:bookmarkStart w:id="1824" w:name="_Toc6646"/>
      <w:bookmarkStart w:id="1825" w:name="_Toc16272"/>
      <w:bookmarkStart w:id="1826" w:name="_Toc28935"/>
      <w:bookmarkStart w:id="1827" w:name="_Toc30463"/>
      <w:bookmarkStart w:id="1828" w:name="_Toc6558"/>
      <w:bookmarkStart w:id="1829" w:name="_Toc14472"/>
      <w:bookmarkStart w:id="1830" w:name="_Toc20310"/>
      <w:r>
        <w:rPr>
          <w:rFonts w:hint="eastAsia" w:ascii="仿宋" w:hAnsi="仿宋" w:eastAsia="仿宋" w:cs="仿宋"/>
          <w:color w:val="auto"/>
          <w:sz w:val="24"/>
          <w:szCs w:val="24"/>
          <w:highlight w:val="none"/>
          <w:lang w:eastAsia="zh-CN"/>
        </w:rPr>
        <w:t>招标文件要求</w:t>
      </w:r>
      <w:r>
        <w:rPr>
          <w:rFonts w:hint="eastAsia" w:cs="仿宋"/>
          <w:color w:val="auto"/>
          <w:sz w:val="24"/>
          <w:szCs w:val="24"/>
          <w:highlight w:val="none"/>
          <w:lang w:eastAsia="zh-CN"/>
        </w:rPr>
        <w:t>投标人</w:t>
      </w:r>
      <w:r>
        <w:rPr>
          <w:rFonts w:hint="eastAsia" w:ascii="仿宋" w:hAnsi="仿宋" w:eastAsia="仿宋" w:cs="仿宋"/>
          <w:color w:val="auto"/>
          <w:sz w:val="24"/>
          <w:szCs w:val="24"/>
          <w:highlight w:val="none"/>
          <w:lang w:eastAsia="zh-CN"/>
        </w:rPr>
        <w:t>提交的其他资料或</w:t>
      </w:r>
      <w:r>
        <w:rPr>
          <w:rFonts w:hint="eastAsia" w:cs="仿宋"/>
          <w:color w:val="auto"/>
          <w:sz w:val="24"/>
          <w:szCs w:val="24"/>
          <w:highlight w:val="none"/>
          <w:lang w:eastAsia="zh-CN"/>
        </w:rPr>
        <w:t>投标人</w:t>
      </w:r>
      <w:r>
        <w:rPr>
          <w:rFonts w:hint="eastAsia" w:ascii="仿宋" w:hAnsi="仿宋" w:eastAsia="仿宋" w:cs="仿宋"/>
          <w:color w:val="auto"/>
          <w:sz w:val="24"/>
          <w:szCs w:val="24"/>
          <w:highlight w:val="none"/>
          <w:lang w:eastAsia="zh-CN"/>
        </w:rPr>
        <w:t>认为应提交的其他资料</w:t>
      </w:r>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p>
    <w:p w14:paraId="7109B342">
      <w:pPr>
        <w:pStyle w:val="15"/>
        <w:spacing w:line="360" w:lineRule="auto"/>
        <w:ind w:left="0" w:leftChars="0" w:firstLine="0" w:firstLineChars="0"/>
        <w:jc w:val="center"/>
        <w:outlineLvl w:val="0"/>
        <w:rPr>
          <w:rFonts w:hint="eastAsia" w:ascii="仿宋" w:hAnsi="仿宋" w:eastAsia="仿宋" w:cs="仿宋"/>
          <w:color w:val="auto"/>
          <w:highlight w:val="none"/>
          <w:lang w:val="en-US" w:eastAsia="zh-CN"/>
        </w:rPr>
      </w:pPr>
      <w:bookmarkStart w:id="1831" w:name="_Toc878"/>
      <w:bookmarkStart w:id="1832" w:name="_Toc20273"/>
      <w:bookmarkStart w:id="1833" w:name="_Toc3156"/>
      <w:bookmarkStart w:id="1834" w:name="_Toc7745"/>
      <w:bookmarkStart w:id="1835" w:name="_Toc14857"/>
      <w:bookmarkStart w:id="1836" w:name="_Toc28702"/>
      <w:bookmarkStart w:id="1837" w:name="_Toc23386"/>
      <w:bookmarkStart w:id="1838" w:name="_Toc23205"/>
      <w:bookmarkStart w:id="1839" w:name="_Toc7374"/>
      <w:bookmarkStart w:id="1840" w:name="_Toc18310"/>
      <w:bookmarkStart w:id="1841" w:name="_Toc9910"/>
      <w:bookmarkStart w:id="1842" w:name="_Toc22774"/>
      <w:bookmarkStart w:id="1843" w:name="_Toc3793"/>
      <w:bookmarkStart w:id="1844" w:name="_Toc18589"/>
      <w:bookmarkStart w:id="1845" w:name="_Toc20080"/>
      <w:r>
        <w:rPr>
          <w:rFonts w:hint="eastAsia" w:ascii="仿宋" w:hAnsi="仿宋" w:eastAsia="仿宋" w:cs="仿宋"/>
          <w:color w:val="auto"/>
          <w:sz w:val="24"/>
          <w:szCs w:val="24"/>
          <w:highlight w:val="none"/>
          <w:lang w:eastAsia="zh-CN"/>
        </w:rPr>
        <w:t>（格式自拟）</w:t>
      </w:r>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5A0E83ED">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240" w:lineRule="auto"/>
        <w:ind w:left="0" w:leftChars="0" w:right="0" w:firstLine="420" w:firstLineChars="200"/>
        <w:jc w:val="left"/>
        <w:textAlignment w:val="auto"/>
        <w:rPr>
          <w:rFonts w:hint="eastAsia" w:ascii="仿宋" w:hAnsi="仿宋" w:eastAsia="仿宋" w:cs="仿宋"/>
          <w:color w:val="000000"/>
          <w:kern w:val="0"/>
          <w:sz w:val="21"/>
          <w:szCs w:val="21"/>
          <w:lang w:val="en-US" w:eastAsia="zh-CN" w:bidi="ar"/>
        </w:rPr>
      </w:pPr>
    </w:p>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57B4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70754">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1D46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B1D46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EC57">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4EEA8">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A54EEA8">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DCBBC">
    <w:pPr>
      <w:pStyle w:val="1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51768">
                          <w:pPr>
                            <w:pStyle w:val="1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5A51768">
                    <w:pPr>
                      <w:pStyle w:val="1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5A5D">
    <w:pPr>
      <w:pStyle w:val="1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1CAF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BC1CAF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28E7">
    <w:pPr>
      <w:pStyle w:val="1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364FB">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32364FB">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38EE2">
    <w:pPr>
      <w:pStyle w:val="10"/>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B204A">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73B204A">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3219">
    <w:pPr>
      <w:pStyle w:val="1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1387B">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2F1387B">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C139">
    <w:pPr>
      <w:pStyle w:val="1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5DF40">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E25DF40">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4A73">
    <w:pPr>
      <w:pStyle w:val="1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49BCD">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6349BCD">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568E">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2D5C4">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632D5C4">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00B0">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4F36F">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FD4F36F">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D5E06">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E202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FE202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8167B">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7B692">
                          <w:pPr>
                            <w:pStyle w:val="1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4B7B692">
                    <w:pPr>
                      <w:pStyle w:val="1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8044">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E52F5">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5E52F5">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177E6">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425E2">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84425E2">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C852">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8D9AA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A8D9AA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9EB725"/>
    <w:multiLevelType w:val="singleLevel"/>
    <w:tmpl w:val="4A9EB725"/>
    <w:lvl w:ilvl="0" w:tentative="0">
      <w:start w:val="1"/>
      <w:numFmt w:val="chineseCounting"/>
      <w:suff w:val="space"/>
      <w:lvlText w:val="第%1章"/>
      <w:lvlJc w:val="left"/>
      <w:rPr>
        <w:rFonts w:hint="eastAsia"/>
      </w:rPr>
    </w:lvl>
  </w:abstractNum>
  <w:abstractNum w:abstractNumId="1">
    <w:nsid w:val="608BC416"/>
    <w:multiLevelType w:val="singleLevel"/>
    <w:tmpl w:val="608BC416"/>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YmZlZWYzNDE5ODljN2YzMDRkZWFlM2U0ODIxZmYifQ=="/>
  </w:docVars>
  <w:rsids>
    <w:rsidRoot w:val="130510DE"/>
    <w:rsid w:val="001F72DB"/>
    <w:rsid w:val="00270BE1"/>
    <w:rsid w:val="00396FF2"/>
    <w:rsid w:val="003D0404"/>
    <w:rsid w:val="004B5929"/>
    <w:rsid w:val="00A16BE5"/>
    <w:rsid w:val="00B2494E"/>
    <w:rsid w:val="014E3892"/>
    <w:rsid w:val="015754F6"/>
    <w:rsid w:val="018C33F1"/>
    <w:rsid w:val="01C901A1"/>
    <w:rsid w:val="021D2188"/>
    <w:rsid w:val="024C2B81"/>
    <w:rsid w:val="02597332"/>
    <w:rsid w:val="028B36A9"/>
    <w:rsid w:val="029562D6"/>
    <w:rsid w:val="02A14EBF"/>
    <w:rsid w:val="031B2C7F"/>
    <w:rsid w:val="0332621A"/>
    <w:rsid w:val="03393105"/>
    <w:rsid w:val="035A307B"/>
    <w:rsid w:val="03944A81"/>
    <w:rsid w:val="040E6CE1"/>
    <w:rsid w:val="04AD7FDB"/>
    <w:rsid w:val="05685DCD"/>
    <w:rsid w:val="05777BCD"/>
    <w:rsid w:val="05DA5239"/>
    <w:rsid w:val="05F9301F"/>
    <w:rsid w:val="060422D9"/>
    <w:rsid w:val="079A3C0F"/>
    <w:rsid w:val="07FA1DC8"/>
    <w:rsid w:val="08251EAA"/>
    <w:rsid w:val="084C38DA"/>
    <w:rsid w:val="08B1198F"/>
    <w:rsid w:val="08CF3D25"/>
    <w:rsid w:val="090C4E18"/>
    <w:rsid w:val="0998186E"/>
    <w:rsid w:val="09A43FCA"/>
    <w:rsid w:val="0A2D4C16"/>
    <w:rsid w:val="0AB74E1A"/>
    <w:rsid w:val="0ACC54E4"/>
    <w:rsid w:val="0B6C7DF0"/>
    <w:rsid w:val="0BBF43C3"/>
    <w:rsid w:val="0C234952"/>
    <w:rsid w:val="0C833643"/>
    <w:rsid w:val="0C9A2ECD"/>
    <w:rsid w:val="0CDD71F7"/>
    <w:rsid w:val="0D026C5D"/>
    <w:rsid w:val="0D0E5602"/>
    <w:rsid w:val="0DCB3CE8"/>
    <w:rsid w:val="0DF5231E"/>
    <w:rsid w:val="0E7250C9"/>
    <w:rsid w:val="0EE04D7C"/>
    <w:rsid w:val="0EEB6A5A"/>
    <w:rsid w:val="0F264E85"/>
    <w:rsid w:val="0F6E2388"/>
    <w:rsid w:val="0F824086"/>
    <w:rsid w:val="0F930041"/>
    <w:rsid w:val="0F985657"/>
    <w:rsid w:val="10190546"/>
    <w:rsid w:val="108F0808"/>
    <w:rsid w:val="10ED64DF"/>
    <w:rsid w:val="11522B55"/>
    <w:rsid w:val="117417AC"/>
    <w:rsid w:val="11D21F59"/>
    <w:rsid w:val="130510DE"/>
    <w:rsid w:val="130D010A"/>
    <w:rsid w:val="1331204B"/>
    <w:rsid w:val="13316C36"/>
    <w:rsid w:val="136D6E94"/>
    <w:rsid w:val="13767A5D"/>
    <w:rsid w:val="139F43E0"/>
    <w:rsid w:val="13F85C09"/>
    <w:rsid w:val="14BE346A"/>
    <w:rsid w:val="15B34F99"/>
    <w:rsid w:val="162C0142"/>
    <w:rsid w:val="177B7D38"/>
    <w:rsid w:val="18E60FD0"/>
    <w:rsid w:val="1901161F"/>
    <w:rsid w:val="19AC41D9"/>
    <w:rsid w:val="19EF056A"/>
    <w:rsid w:val="1AB377E9"/>
    <w:rsid w:val="1B8D46EF"/>
    <w:rsid w:val="1BD047A3"/>
    <w:rsid w:val="1C4A5F2B"/>
    <w:rsid w:val="1C623275"/>
    <w:rsid w:val="1C986C96"/>
    <w:rsid w:val="1CD04682"/>
    <w:rsid w:val="1CDF6F49"/>
    <w:rsid w:val="1D4406D2"/>
    <w:rsid w:val="1D943B13"/>
    <w:rsid w:val="1E2702D2"/>
    <w:rsid w:val="1EA41923"/>
    <w:rsid w:val="1EBC3110"/>
    <w:rsid w:val="1EF34658"/>
    <w:rsid w:val="1F3A4035"/>
    <w:rsid w:val="1F3D3B25"/>
    <w:rsid w:val="1FCD6C57"/>
    <w:rsid w:val="1FF13814"/>
    <w:rsid w:val="1FFB7C68"/>
    <w:rsid w:val="203942EC"/>
    <w:rsid w:val="20662EBA"/>
    <w:rsid w:val="20DF4E94"/>
    <w:rsid w:val="212B1733"/>
    <w:rsid w:val="21464F13"/>
    <w:rsid w:val="21C36564"/>
    <w:rsid w:val="224F2C51"/>
    <w:rsid w:val="225063D5"/>
    <w:rsid w:val="22C97BAA"/>
    <w:rsid w:val="22CE3412"/>
    <w:rsid w:val="22DB5B2F"/>
    <w:rsid w:val="230706D2"/>
    <w:rsid w:val="2392443F"/>
    <w:rsid w:val="24003A9F"/>
    <w:rsid w:val="2423153B"/>
    <w:rsid w:val="24596D0B"/>
    <w:rsid w:val="247B44F8"/>
    <w:rsid w:val="247C0D6C"/>
    <w:rsid w:val="247E5C56"/>
    <w:rsid w:val="24863878"/>
    <w:rsid w:val="24DD793C"/>
    <w:rsid w:val="25902C01"/>
    <w:rsid w:val="26306192"/>
    <w:rsid w:val="263E33AA"/>
    <w:rsid w:val="268B33C8"/>
    <w:rsid w:val="26A050C5"/>
    <w:rsid w:val="277976C4"/>
    <w:rsid w:val="27FE0B67"/>
    <w:rsid w:val="289A5B44"/>
    <w:rsid w:val="28C3509B"/>
    <w:rsid w:val="28D4759D"/>
    <w:rsid w:val="29916F47"/>
    <w:rsid w:val="29B80978"/>
    <w:rsid w:val="2A7E571E"/>
    <w:rsid w:val="2A992557"/>
    <w:rsid w:val="2B345DDC"/>
    <w:rsid w:val="2B8E7BE2"/>
    <w:rsid w:val="2C2C2F57"/>
    <w:rsid w:val="2C363DD6"/>
    <w:rsid w:val="2C471B3F"/>
    <w:rsid w:val="2C6C77F8"/>
    <w:rsid w:val="2C7D1A05"/>
    <w:rsid w:val="2C7E7C57"/>
    <w:rsid w:val="2CE35D0C"/>
    <w:rsid w:val="2D355E3C"/>
    <w:rsid w:val="2DA73696"/>
    <w:rsid w:val="2DB17BB8"/>
    <w:rsid w:val="2DD859DF"/>
    <w:rsid w:val="2E68188E"/>
    <w:rsid w:val="2E6A7D67"/>
    <w:rsid w:val="2EB67F7C"/>
    <w:rsid w:val="2F065CE2"/>
    <w:rsid w:val="2F3E547B"/>
    <w:rsid w:val="2F6C023B"/>
    <w:rsid w:val="300A1801"/>
    <w:rsid w:val="302C1778"/>
    <w:rsid w:val="30466CDD"/>
    <w:rsid w:val="30D342DA"/>
    <w:rsid w:val="311D7312"/>
    <w:rsid w:val="316311C9"/>
    <w:rsid w:val="31723B02"/>
    <w:rsid w:val="3183736C"/>
    <w:rsid w:val="32250B75"/>
    <w:rsid w:val="326B365F"/>
    <w:rsid w:val="32A84668"/>
    <w:rsid w:val="32D83E39"/>
    <w:rsid w:val="33370B5F"/>
    <w:rsid w:val="33866AC3"/>
    <w:rsid w:val="342D5ABF"/>
    <w:rsid w:val="346D338B"/>
    <w:rsid w:val="348E2A01"/>
    <w:rsid w:val="3498562E"/>
    <w:rsid w:val="34AE342D"/>
    <w:rsid w:val="34DB19BE"/>
    <w:rsid w:val="354237EC"/>
    <w:rsid w:val="35812566"/>
    <w:rsid w:val="35FC1BEC"/>
    <w:rsid w:val="362461DB"/>
    <w:rsid w:val="363B0967"/>
    <w:rsid w:val="36486BE0"/>
    <w:rsid w:val="366559E4"/>
    <w:rsid w:val="36CE3589"/>
    <w:rsid w:val="376A704F"/>
    <w:rsid w:val="37A83DDA"/>
    <w:rsid w:val="37F214F9"/>
    <w:rsid w:val="381C20D2"/>
    <w:rsid w:val="38A071A7"/>
    <w:rsid w:val="390F1C37"/>
    <w:rsid w:val="392A6A70"/>
    <w:rsid w:val="39677CC5"/>
    <w:rsid w:val="3A7E52C6"/>
    <w:rsid w:val="3AEC66D3"/>
    <w:rsid w:val="3B2C2F74"/>
    <w:rsid w:val="3B4958D4"/>
    <w:rsid w:val="3BDE6A6E"/>
    <w:rsid w:val="3C1230CD"/>
    <w:rsid w:val="3C6504EB"/>
    <w:rsid w:val="3C797AF3"/>
    <w:rsid w:val="3D3C117F"/>
    <w:rsid w:val="3D3D3216"/>
    <w:rsid w:val="3D7B5AED"/>
    <w:rsid w:val="3D7E738B"/>
    <w:rsid w:val="3D89020A"/>
    <w:rsid w:val="3DFC73B2"/>
    <w:rsid w:val="3DFD7DE8"/>
    <w:rsid w:val="3E02437C"/>
    <w:rsid w:val="3EAB2402"/>
    <w:rsid w:val="3EB76885"/>
    <w:rsid w:val="3F316DAB"/>
    <w:rsid w:val="3F8769CB"/>
    <w:rsid w:val="401A3F4F"/>
    <w:rsid w:val="403C692C"/>
    <w:rsid w:val="415C79E3"/>
    <w:rsid w:val="419929E5"/>
    <w:rsid w:val="41C45729"/>
    <w:rsid w:val="41FD11C6"/>
    <w:rsid w:val="42707157"/>
    <w:rsid w:val="430640AA"/>
    <w:rsid w:val="436357B5"/>
    <w:rsid w:val="436C6603"/>
    <w:rsid w:val="43707776"/>
    <w:rsid w:val="43D146B8"/>
    <w:rsid w:val="44933678"/>
    <w:rsid w:val="449B6B1A"/>
    <w:rsid w:val="45101CA8"/>
    <w:rsid w:val="455E6CC1"/>
    <w:rsid w:val="455F2C04"/>
    <w:rsid w:val="462C3E28"/>
    <w:rsid w:val="46375022"/>
    <w:rsid w:val="463F61A4"/>
    <w:rsid w:val="46D01A4F"/>
    <w:rsid w:val="47230FE1"/>
    <w:rsid w:val="472F1E22"/>
    <w:rsid w:val="47801FFD"/>
    <w:rsid w:val="47C00CCC"/>
    <w:rsid w:val="47CA7D9C"/>
    <w:rsid w:val="47D209FF"/>
    <w:rsid w:val="484E277B"/>
    <w:rsid w:val="489B396B"/>
    <w:rsid w:val="48D10CB7"/>
    <w:rsid w:val="48F21359"/>
    <w:rsid w:val="49631192"/>
    <w:rsid w:val="49883A6B"/>
    <w:rsid w:val="49B760FE"/>
    <w:rsid w:val="4A421E6C"/>
    <w:rsid w:val="4A7D490B"/>
    <w:rsid w:val="4A993A56"/>
    <w:rsid w:val="4AAC152E"/>
    <w:rsid w:val="4AE72A13"/>
    <w:rsid w:val="4B2217C7"/>
    <w:rsid w:val="4B600FBA"/>
    <w:rsid w:val="4B7477FD"/>
    <w:rsid w:val="4B994494"/>
    <w:rsid w:val="4BEB2C5B"/>
    <w:rsid w:val="4C365A00"/>
    <w:rsid w:val="4CA0731E"/>
    <w:rsid w:val="4CC0176E"/>
    <w:rsid w:val="4CD15729"/>
    <w:rsid w:val="4D695962"/>
    <w:rsid w:val="4D8E53C8"/>
    <w:rsid w:val="4D9A5B1B"/>
    <w:rsid w:val="4DE03A95"/>
    <w:rsid w:val="4E191136"/>
    <w:rsid w:val="4E1C6E78"/>
    <w:rsid w:val="4F50502B"/>
    <w:rsid w:val="4F730D1A"/>
    <w:rsid w:val="50B068F4"/>
    <w:rsid w:val="50D17AA6"/>
    <w:rsid w:val="50E35A2B"/>
    <w:rsid w:val="50E772C9"/>
    <w:rsid w:val="511856D5"/>
    <w:rsid w:val="51870AAC"/>
    <w:rsid w:val="51AC22C1"/>
    <w:rsid w:val="51CC382A"/>
    <w:rsid w:val="520B348B"/>
    <w:rsid w:val="526037D7"/>
    <w:rsid w:val="52A03BD4"/>
    <w:rsid w:val="52F21995"/>
    <w:rsid w:val="53083527"/>
    <w:rsid w:val="531E0F9C"/>
    <w:rsid w:val="532A5B93"/>
    <w:rsid w:val="53785878"/>
    <w:rsid w:val="53BB67EB"/>
    <w:rsid w:val="54FC7620"/>
    <w:rsid w:val="55B54B3C"/>
    <w:rsid w:val="56105639"/>
    <w:rsid w:val="56680EAC"/>
    <w:rsid w:val="566969D2"/>
    <w:rsid w:val="567B5594"/>
    <w:rsid w:val="567E247E"/>
    <w:rsid w:val="56A33C92"/>
    <w:rsid w:val="56AB6FEB"/>
    <w:rsid w:val="571406EC"/>
    <w:rsid w:val="573E5F86"/>
    <w:rsid w:val="57811E04"/>
    <w:rsid w:val="57B819BF"/>
    <w:rsid w:val="580469B3"/>
    <w:rsid w:val="586F244C"/>
    <w:rsid w:val="589F34AA"/>
    <w:rsid w:val="5B1E7D8B"/>
    <w:rsid w:val="5B665F9C"/>
    <w:rsid w:val="5B8C4BF2"/>
    <w:rsid w:val="5BD40D92"/>
    <w:rsid w:val="5D145C5C"/>
    <w:rsid w:val="5D3330D1"/>
    <w:rsid w:val="5D55380D"/>
    <w:rsid w:val="5D9F1764"/>
    <w:rsid w:val="5DD961EC"/>
    <w:rsid w:val="5E2F0501"/>
    <w:rsid w:val="5E473A9D"/>
    <w:rsid w:val="5E826883"/>
    <w:rsid w:val="5EB97DCB"/>
    <w:rsid w:val="5F1F0F77"/>
    <w:rsid w:val="5F381638"/>
    <w:rsid w:val="5F463D55"/>
    <w:rsid w:val="5FAB1E0A"/>
    <w:rsid w:val="600F4147"/>
    <w:rsid w:val="60911000"/>
    <w:rsid w:val="60936B26"/>
    <w:rsid w:val="61300818"/>
    <w:rsid w:val="61532759"/>
    <w:rsid w:val="615F4C5A"/>
    <w:rsid w:val="6184392B"/>
    <w:rsid w:val="619C1A0A"/>
    <w:rsid w:val="61B62F10"/>
    <w:rsid w:val="61BF29C1"/>
    <w:rsid w:val="61F11B8A"/>
    <w:rsid w:val="622F0AD0"/>
    <w:rsid w:val="63BF40D6"/>
    <w:rsid w:val="642F125B"/>
    <w:rsid w:val="64D0100A"/>
    <w:rsid w:val="65722D9A"/>
    <w:rsid w:val="65B5753E"/>
    <w:rsid w:val="65C37EAD"/>
    <w:rsid w:val="65DD1CCA"/>
    <w:rsid w:val="65EE2A50"/>
    <w:rsid w:val="663636B6"/>
    <w:rsid w:val="663A3EE7"/>
    <w:rsid w:val="66430FCE"/>
    <w:rsid w:val="688A0798"/>
    <w:rsid w:val="68EA0173"/>
    <w:rsid w:val="69A973BA"/>
    <w:rsid w:val="69FA5E67"/>
    <w:rsid w:val="6A4447E2"/>
    <w:rsid w:val="6AD11B2B"/>
    <w:rsid w:val="6B5B2936"/>
    <w:rsid w:val="6C027255"/>
    <w:rsid w:val="6C384A25"/>
    <w:rsid w:val="6C496C32"/>
    <w:rsid w:val="6C682892"/>
    <w:rsid w:val="6C8425A5"/>
    <w:rsid w:val="6CAA52D6"/>
    <w:rsid w:val="6CAD71C1"/>
    <w:rsid w:val="6D965EA7"/>
    <w:rsid w:val="6D9D5488"/>
    <w:rsid w:val="6DB620A5"/>
    <w:rsid w:val="6DD864C0"/>
    <w:rsid w:val="6DF1132F"/>
    <w:rsid w:val="6E2039C3"/>
    <w:rsid w:val="6E7361E8"/>
    <w:rsid w:val="6FEA24DA"/>
    <w:rsid w:val="70433998"/>
    <w:rsid w:val="70512559"/>
    <w:rsid w:val="70584443"/>
    <w:rsid w:val="705A140E"/>
    <w:rsid w:val="706B361B"/>
    <w:rsid w:val="71031AA6"/>
    <w:rsid w:val="714E0847"/>
    <w:rsid w:val="715247BD"/>
    <w:rsid w:val="71886828"/>
    <w:rsid w:val="71B30E9D"/>
    <w:rsid w:val="71E847F7"/>
    <w:rsid w:val="72225F5B"/>
    <w:rsid w:val="72807126"/>
    <w:rsid w:val="72D336FA"/>
    <w:rsid w:val="732301DD"/>
    <w:rsid w:val="73351CBE"/>
    <w:rsid w:val="736F3422"/>
    <w:rsid w:val="73B928EF"/>
    <w:rsid w:val="73EF4804"/>
    <w:rsid w:val="73F30AFC"/>
    <w:rsid w:val="73FC0A2E"/>
    <w:rsid w:val="73FF67F4"/>
    <w:rsid w:val="74253AE1"/>
    <w:rsid w:val="742F2BB2"/>
    <w:rsid w:val="745D67ED"/>
    <w:rsid w:val="748051BB"/>
    <w:rsid w:val="74BC6ED8"/>
    <w:rsid w:val="752D18A3"/>
    <w:rsid w:val="76342701"/>
    <w:rsid w:val="76361FD5"/>
    <w:rsid w:val="763E70DC"/>
    <w:rsid w:val="7798281C"/>
    <w:rsid w:val="77AA756A"/>
    <w:rsid w:val="77B84884"/>
    <w:rsid w:val="77C47AB5"/>
    <w:rsid w:val="77ED700C"/>
    <w:rsid w:val="77FC724F"/>
    <w:rsid w:val="783562BD"/>
    <w:rsid w:val="787E5EB6"/>
    <w:rsid w:val="78B83176"/>
    <w:rsid w:val="78B957A7"/>
    <w:rsid w:val="78BD078C"/>
    <w:rsid w:val="78C37D6C"/>
    <w:rsid w:val="78E13352"/>
    <w:rsid w:val="7A010B4C"/>
    <w:rsid w:val="7A0B3779"/>
    <w:rsid w:val="7A0F14BB"/>
    <w:rsid w:val="7A434B3E"/>
    <w:rsid w:val="7A6C39F7"/>
    <w:rsid w:val="7ABB519F"/>
    <w:rsid w:val="7AC202DC"/>
    <w:rsid w:val="7B0501C8"/>
    <w:rsid w:val="7B130B37"/>
    <w:rsid w:val="7B6475E5"/>
    <w:rsid w:val="7B6F6FFC"/>
    <w:rsid w:val="7B854561"/>
    <w:rsid w:val="7BA60B7A"/>
    <w:rsid w:val="7C8922DA"/>
    <w:rsid w:val="7CAA7279"/>
    <w:rsid w:val="7CB33132"/>
    <w:rsid w:val="7CB43C54"/>
    <w:rsid w:val="7D1E5AD5"/>
    <w:rsid w:val="7DB61C4E"/>
    <w:rsid w:val="7DBB7264"/>
    <w:rsid w:val="7E0806FB"/>
    <w:rsid w:val="7E3468D5"/>
    <w:rsid w:val="7EC30AC6"/>
    <w:rsid w:val="7F054DF0"/>
    <w:rsid w:val="7F6776A3"/>
    <w:rsid w:val="7F8850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21"/>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27"/>
    <w:autoRedefine/>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31"/>
    <w:autoRedefine/>
    <w:qFormat/>
    <w:uiPriority w:val="9"/>
    <w:pPr>
      <w:ind w:left="100"/>
      <w:outlineLvl w:val="2"/>
    </w:pPr>
    <w:rPr>
      <w:rFonts w:ascii="Microsoft JhengHei" w:hAnsi="Microsoft JhengHei"/>
      <w:b/>
      <w:bCs/>
      <w:sz w:val="30"/>
      <w:szCs w:val="32"/>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jc w:val="both"/>
    </w:pPr>
    <w:rPr>
      <w:kern w:val="2"/>
      <w:sz w:val="21"/>
      <w:szCs w:val="24"/>
    </w:rPr>
  </w:style>
  <w:style w:type="paragraph" w:styleId="6">
    <w:name w:val="annotation text"/>
    <w:basedOn w:val="1"/>
    <w:autoRedefine/>
    <w:qFormat/>
    <w:uiPriority w:val="0"/>
    <w:pPr>
      <w:jc w:val="left"/>
    </w:pPr>
  </w:style>
  <w:style w:type="paragraph" w:styleId="7">
    <w:name w:val="Body Text"/>
    <w:basedOn w:val="1"/>
    <w:next w:val="1"/>
    <w:autoRedefine/>
    <w:qFormat/>
    <w:uiPriority w:val="0"/>
    <w:rPr>
      <w:rFonts w:ascii="仿宋" w:hAnsi="仿宋" w:eastAsia="仿宋" w:cs="仿宋"/>
      <w:sz w:val="30"/>
      <w:szCs w:val="30"/>
    </w:rPr>
  </w:style>
  <w:style w:type="paragraph" w:styleId="8">
    <w:name w:val="Body Text Indent"/>
    <w:basedOn w:val="1"/>
    <w:next w:val="1"/>
    <w:autoRedefine/>
    <w:unhideWhenUsed/>
    <w:qFormat/>
    <w:uiPriority w:val="99"/>
    <w:pPr>
      <w:spacing w:after="120"/>
      <w:ind w:left="420" w:leftChars="200"/>
    </w:pPr>
    <w:rPr>
      <w:rFonts w:eastAsia="微软雅黑"/>
      <w:kern w:val="0"/>
      <w:sz w:val="24"/>
      <w:szCs w:val="20"/>
    </w:rPr>
  </w:style>
  <w:style w:type="paragraph" w:styleId="9">
    <w:name w:val="Plain Text"/>
    <w:basedOn w:val="1"/>
    <w:autoRedefine/>
    <w:qFormat/>
    <w:uiPriority w:val="0"/>
    <w:rPr>
      <w:rFonts w:ascii="宋体" w:hAnsi="Courier New"/>
      <w:kern w:val="0"/>
      <w:sz w:val="20"/>
      <w:szCs w:val="21"/>
    </w:rPr>
  </w:style>
  <w:style w:type="paragraph" w:styleId="10">
    <w:name w:val="footer"/>
    <w:basedOn w:val="1"/>
    <w:autoRedefine/>
    <w:qFormat/>
    <w:uiPriority w:val="0"/>
    <w:pPr>
      <w:tabs>
        <w:tab w:val="center" w:pos="4153"/>
        <w:tab w:val="right" w:pos="8306"/>
      </w:tabs>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autoRedefine/>
    <w:qFormat/>
    <w:uiPriority w:val="0"/>
    <w:pPr>
      <w:widowControl/>
      <w:spacing w:before="100" w:beforeAutospacing="1" w:after="100" w:afterAutospacing="1"/>
    </w:pPr>
    <w:rPr>
      <w:rFonts w:ascii="宋体" w:hAnsi="宋体" w:cs="宋体"/>
      <w:sz w:val="24"/>
      <w:szCs w:val="24"/>
      <w:lang w:eastAsia="zh-CN"/>
    </w:rPr>
  </w:style>
  <w:style w:type="paragraph" w:styleId="13">
    <w:name w:val="Title"/>
    <w:basedOn w:val="1"/>
    <w:next w:val="1"/>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14">
    <w:name w:val="Body Text First Indent"/>
    <w:basedOn w:val="7"/>
    <w:autoRedefine/>
    <w:qFormat/>
    <w:uiPriority w:val="0"/>
    <w:pPr>
      <w:ind w:firstLine="420" w:firstLineChars="100"/>
    </w:pPr>
  </w:style>
  <w:style w:type="paragraph" w:styleId="15">
    <w:name w:val="Body Text First Indent 2"/>
    <w:basedOn w:val="8"/>
    <w:autoRedefine/>
    <w:qFormat/>
    <w:uiPriority w:val="0"/>
    <w:pPr>
      <w:widowControl w:val="0"/>
      <w:tabs>
        <w:tab w:val="left" w:pos="993"/>
      </w:tabs>
      <w:spacing w:after="120" w:line="240" w:lineRule="auto"/>
      <w:ind w:left="420" w:leftChars="200" w:firstLine="420" w:firstLineChars="200"/>
    </w:pPr>
    <w:rPr>
      <w:rFonts w:ascii="Times New Roman" w:hAnsi="Times New Roman" w:eastAsia="宋体"/>
      <w:kern w:val="2"/>
      <w:sz w:val="21"/>
      <w:szCs w:val="24"/>
    </w:rPr>
  </w:style>
  <w:style w:type="table" w:styleId="17">
    <w:name w:val="Table Grid"/>
    <w:basedOn w:val="16"/>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rFonts w:ascii="Calibri" w:hAnsi="Calibri" w:eastAsia="宋体" w:cs="Times New Roman"/>
      <w:b/>
      <w:bCs/>
    </w:rPr>
  </w:style>
  <w:style w:type="character" w:styleId="20">
    <w:name w:val="Emphasis"/>
    <w:basedOn w:val="18"/>
    <w:autoRedefine/>
    <w:qFormat/>
    <w:uiPriority w:val="0"/>
    <w:rPr>
      <w:i/>
    </w:rPr>
  </w:style>
  <w:style w:type="character" w:customStyle="1" w:styleId="21">
    <w:name w:val="标题 1 字符"/>
    <w:link w:val="2"/>
    <w:autoRedefine/>
    <w:qFormat/>
    <w:uiPriority w:val="0"/>
    <w:rPr>
      <w:rFonts w:ascii="Microsoft JhengHei" w:hAnsi="Microsoft JhengHei" w:eastAsia="Microsoft JhengHei"/>
      <w:b/>
      <w:bCs/>
      <w:sz w:val="44"/>
      <w:szCs w:val="44"/>
    </w:rPr>
  </w:style>
  <w:style w:type="paragraph" w:customStyle="1" w:styleId="22">
    <w:name w:val="p0"/>
    <w:basedOn w:val="1"/>
    <w:autoRedefine/>
    <w:qFormat/>
    <w:uiPriority w:val="0"/>
    <w:pPr>
      <w:widowControl/>
      <w:jc w:val="both"/>
    </w:pPr>
    <w:rPr>
      <w:rFonts w:ascii="Times New Roman" w:hAnsi="Times New Roman"/>
      <w:sz w:val="21"/>
      <w:szCs w:val="21"/>
      <w:lang w:eastAsia="zh-CN"/>
    </w:rPr>
  </w:style>
  <w:style w:type="paragraph" w:customStyle="1" w:styleId="23">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24">
    <w:name w:val="Table Paragraph"/>
    <w:basedOn w:val="1"/>
    <w:autoRedefine/>
    <w:qFormat/>
    <w:uiPriority w:val="0"/>
  </w:style>
  <w:style w:type="table" w:customStyle="1" w:styleId="25">
    <w:name w:val="Table Normal"/>
    <w:autoRedefine/>
    <w:semiHidden/>
    <w:unhideWhenUsed/>
    <w:qFormat/>
    <w:uiPriority w:val="0"/>
    <w:tblPr>
      <w:tblCellMar>
        <w:top w:w="0" w:type="dxa"/>
        <w:left w:w="0" w:type="dxa"/>
        <w:bottom w:w="0" w:type="dxa"/>
        <w:right w:w="0" w:type="dxa"/>
      </w:tblCellMar>
    </w:tblPr>
  </w:style>
  <w:style w:type="character" w:customStyle="1" w:styleId="26">
    <w:name w:val="标题 2 Char1"/>
    <w:link w:val="3"/>
    <w:autoRedefine/>
    <w:qFormat/>
    <w:uiPriority w:val="0"/>
    <w:rPr>
      <w:rFonts w:ascii="宋体" w:hAnsi="宋体"/>
      <w:b/>
      <w:sz w:val="44"/>
      <w:szCs w:val="44"/>
    </w:rPr>
  </w:style>
  <w:style w:type="character" w:customStyle="1" w:styleId="27">
    <w:name w:val="标题 2 Char"/>
    <w:link w:val="3"/>
    <w:autoRedefine/>
    <w:qFormat/>
    <w:uiPriority w:val="0"/>
    <w:rPr>
      <w:rFonts w:ascii="Arial" w:hAnsi="Arial" w:eastAsia="黑体" w:cs="Times New Roman"/>
      <w:b/>
      <w:bCs/>
      <w:kern w:val="2"/>
      <w:sz w:val="32"/>
      <w:szCs w:val="32"/>
    </w:rPr>
  </w:style>
  <w:style w:type="paragraph" w:customStyle="1" w:styleId="28">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9">
    <w:name w:val="标准中文版式_正文"/>
    <w:basedOn w:val="1"/>
    <w:autoRedefine/>
    <w:qFormat/>
    <w:uiPriority w:val="0"/>
    <w:pPr>
      <w:spacing w:before="30" w:beforeLines="0" w:line="360" w:lineRule="auto"/>
      <w:ind w:firstLineChars="200"/>
    </w:pPr>
    <w:rPr>
      <w:rFonts w:ascii="Arial" w:hAnsi="Arial"/>
      <w:sz w:val="24"/>
    </w:rPr>
  </w:style>
  <w:style w:type="paragraph" w:customStyle="1" w:styleId="30">
    <w:name w:val="列出段落1"/>
    <w:basedOn w:val="1"/>
    <w:autoRedefine/>
    <w:qFormat/>
    <w:uiPriority w:val="34"/>
    <w:pPr>
      <w:ind w:firstLine="420" w:firstLineChars="200"/>
      <w:jc w:val="both"/>
    </w:pPr>
    <w:rPr>
      <w:kern w:val="2"/>
      <w:sz w:val="21"/>
      <w:szCs w:val="24"/>
      <w:lang w:eastAsia="zh-CN"/>
    </w:rPr>
  </w:style>
  <w:style w:type="character" w:customStyle="1" w:styleId="31">
    <w:name w:val="标题 3 字符"/>
    <w:link w:val="4"/>
    <w:autoRedefine/>
    <w:qFormat/>
    <w:uiPriority w:val="9"/>
    <w:rPr>
      <w:rFonts w:ascii="Microsoft JhengHei" w:hAnsi="Microsoft JhengHei"/>
      <w:b/>
      <w:bCs/>
      <w:sz w:val="30"/>
      <w:szCs w:val="32"/>
    </w:rPr>
  </w:style>
  <w:style w:type="paragraph" w:customStyle="1" w:styleId="32">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33">
    <w:name w:val="Table Normal_1"/>
    <w:autoRedefine/>
    <w:unhideWhenUsed/>
    <w:qFormat/>
    <w:uiPriority w:val="0"/>
    <w:tblPr>
      <w:tblCellMar>
        <w:top w:w="0" w:type="dxa"/>
        <w:left w:w="0" w:type="dxa"/>
        <w:bottom w:w="0" w:type="dxa"/>
        <w:right w:w="0" w:type="dxa"/>
      </w:tblCellMar>
    </w:tblPr>
  </w:style>
  <w:style w:type="paragraph" w:customStyle="1" w:styleId="34">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35">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36">
    <w:name w:val="grame"/>
    <w:basedOn w:val="18"/>
    <w:qFormat/>
    <w:uiPriority w:val="6"/>
  </w:style>
  <w:style w:type="paragraph" w:customStyle="1" w:styleId="37">
    <w:name w:val="Table Text"/>
    <w:basedOn w:val="1"/>
    <w:semiHidden/>
    <w:qFormat/>
    <w:uiPriority w:val="0"/>
    <w:rPr>
      <w:rFonts w:ascii="仿宋" w:hAnsi="仿宋" w:eastAsia="仿宋" w:cs="仿宋"/>
      <w:sz w:val="28"/>
      <w:szCs w:val="28"/>
      <w:lang w:val="en-US" w:eastAsia="en-US" w:bidi="ar-SA"/>
    </w:rPr>
  </w:style>
  <w:style w:type="paragraph" w:customStyle="1" w:styleId="38">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3.png"/><Relationship Id="rId23" Type="http://schemas.openxmlformats.org/officeDocument/2006/relationships/image" Target="media/image2.wmf"/><Relationship Id="rId22" Type="http://schemas.openxmlformats.org/officeDocument/2006/relationships/oleObject" Target="embeddings/oleObject1.bin"/><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1297</Words>
  <Characters>1451</Characters>
  <Lines>0</Lines>
  <Paragraphs>0</Paragraphs>
  <TotalTime>3</TotalTime>
  <ScaleCrop>false</ScaleCrop>
  <LinksUpToDate>false</LinksUpToDate>
  <CharactersWithSpaces>1569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2025-10-17T00:55:00Z</dcterms:created>
  <dc:creator>原生SaMa</dc:creator>
  <cp:lastModifiedBy>Zenith</cp:lastModifiedBy>
  <cp:lastPrinted>2026-06-15T01:23:37Z</cp:lastPrinted>
  <dcterms:modified xsi:type="dcterms:W3CDTF">2026-06-15T01:40:24Z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2AE175A2FF1E469EACAC29D2BA5A8787_13</vt:lpwstr>
  </property>
  <property fmtid="{D5CDD505-2E9C-101B-9397-08002B2CF9AE}" pid="4" name="KSOTemplateDocerSaveRecord">
    <vt:lpwstr>eyJoZGlkIjoiYzIwN2EyMjA1YmU3ZTgyOWE4MDJmNDg3MmRiOTc5ODAiLCJ1c2VySWQiOiIyMzYzMDEyNDAifQ==</vt:lpwstr>
  </property>
</Properties>
</file>