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版本号：N510181202600008520260521001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向峨生活垃圾填埋场渗漏液处置市场化管护项目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N5101812026000085</w:t>
      </w:r>
    </w:p>
    <w:p>
      <w:pPr>
        <w:pStyle w:val="null3"/>
        <w:jc w:val="left"/>
        <w:outlineLvl w:val="2"/>
      </w:pPr>
      <w:r>
        <w:rPr>
          <w:rFonts w:ascii="仿宋_GB2312" w:hAnsi="仿宋_GB2312" w:cs="仿宋_GB2312" w:eastAsia="仿宋_GB2312"/>
          <w:sz w:val="28"/>
          <w:b/>
        </w:rPr>
        <w:t>都江堰市综合行政执法局</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都江堰市综合行政执法局</w:t>
      </w:r>
      <w:r>
        <w:rPr>
          <w:rFonts w:ascii="仿宋_GB2312" w:hAnsi="仿宋_GB2312" w:cs="仿宋_GB2312" w:eastAsia="仿宋_GB2312"/>
        </w:rPr>
        <w:t xml:space="preserve"> 委托，拟对 </w:t>
      </w:r>
      <w:r>
        <w:rPr>
          <w:rFonts w:ascii="仿宋_GB2312" w:hAnsi="仿宋_GB2312" w:cs="仿宋_GB2312" w:eastAsia="仿宋_GB2312"/>
        </w:rPr>
        <w:t>向峨生活垃圾填埋场渗漏液处置市场化管护项目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成都市都江堰市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N5101812026000085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向峨生活垃圾填埋场渗漏液处置市场化管护项目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都江堰市向峨生活垃圾卫生填埋场渗滤液处理工程的设计规模为：设计日处理量380吨/天，出水300吨/天，结算时按渗滤液处理出水达标排放量结算；本项目共有两套处理工艺，分别为：中温厌氧+MBR（微滤）+反渗透（设计日处理量180吨/天，出水120吨/天）和混凝+生化+MBR+RO与DTRO串并联（设计日处理量200吨/天，出水180吨/天）；处理系统出水水质满足《生活垃圾填埋场污染控制标准》（GB16889-2024）中的表2排放标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都江堰市综合行政执法局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四川省成都市都江堰市银杏街道学府路二段220号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611830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028-87132732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中标人在领取中标通知书后签订合同前缴于采购人处。</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代理服务费收费标准：根据差额定律累进法按照预算金额计算，（100万以下*1.5%+100万至500万*0.8%+500至1000万*0.45%）*服务年限后下浮20%执行。 收款单位：四川新宇盛项目管理集团有限公司 开 户 行：中国民生银行成都锦江支行 银行账号：151474056</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都江堰市综合行政执法局</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都江堰市综合行政执法局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水质达标排放，供应商提出验收要求后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 水质达标排放，供应商提出验收要求后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 水质达标排放，供应商提出验收要求后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 xml:space="preserve"> 水质达标排放，供应商提出验收要求后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政府采购相关法律法规以及《财政部关于进一步加强政府采购需求和履约验收管理的指导意见》(财库〔2016〕205号)、《成都市市级采购项目履约验收实施细则（试行）》（2026版）、《政府采购需求管理办法》（财库（2021）22号）以及本项目招标文件要求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政府采购相关法律法规以及《财政部关于进一步加强政府采购需求和履约验收管理的指导意见》(财库〔2016〕205号)、《成都市市级采购项目履约验收实施细则（试行）》（2026版）、《政府采购需求管理办法》（财库（2021）22号）以及本项目招标文件要求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政府采购相关法律法规以及《财政部关于进一步加强政府采购需求和履约验收管理的指导意见》(财库〔2016〕205号)、《成都市市级采购项目履约验收实施细则（试行）》（2026版）、《政府采购需求管理办法》（财库（2021）22号）以及本项目招标文件要求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都江堰市综合行政执法局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联系人：殷先生</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地址：四川省成都市武侯区中国(四川)自由贸易试验区成都高新区天仁路387号3栋1单元4楼404号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联系电话：028-87132732</w:t>
      </w:r>
    </w:p>
    <w:p>
      <w:pPr>
        <w:pStyle w:val="null3"/>
        <w:jc w:val="left"/>
      </w:pPr>
      <w:r>
        <w:rPr>
          <w:rFonts w:ascii="仿宋_GB2312" w:hAnsi="仿宋_GB2312" w:cs="仿宋_GB2312" w:eastAsia="仿宋_GB2312"/>
        </w:rPr>
        <w:t>地址：四川省成都市都江堰市银杏街道学府路二段220号</w:t>
      </w:r>
    </w:p>
    <w:p>
      <w:pPr>
        <w:pStyle w:val="null3"/>
        <w:jc w:val="left"/>
      </w:pPr>
      <w:r>
        <w:rPr>
          <w:rFonts w:ascii="仿宋_GB2312" w:hAnsi="仿宋_GB2312" w:cs="仿宋_GB2312" w:eastAsia="仿宋_GB2312"/>
        </w:rPr>
        <w:t>邮编：611800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7,000,000.00</w:t>
      </w:r>
    </w:p>
    <w:p>
      <w:pPr>
        <w:pStyle w:val="null3"/>
        <w:jc w:val="left"/>
      </w:pPr>
      <w:r>
        <w:rPr>
          <w:rFonts w:ascii="仿宋_GB2312" w:hAnsi="仿宋_GB2312" w:cs="仿宋_GB2312" w:eastAsia="仿宋_GB2312"/>
        </w:rPr>
        <w:t>采购包最高限价（元）: 7,000,000.00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C13059900 其他城镇公共卫生服务</w:t>
            </w:r>
          </w:p>
        </w:tc>
        <w:tc>
          <w:tcPr>
            <w:tcW w:type="dxa" w:w="821"/>
          </w:tcPr>
          <w:p>
            <w:pPr>
              <w:pStyle w:val="null3"/>
              <w:jc w:val="left"/>
            </w:pPr>
            <w:r>
              <w:rPr>
                <w:rFonts w:ascii="仿宋_GB2312" w:hAnsi="仿宋_GB2312" w:cs="仿宋_GB2312" w:eastAsia="仿宋_GB2312"/>
              </w:rPr>
              <w:t>都江堰市生活垃圾填埋场渗滤液处置市场化管护采购项目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原有膜工艺（渗滤液处置站）处置渗滤液达标排放</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81.47</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投标报价包括运营维保期间所有费用，投标时提交尽可能详细的综合单价分析清单，包括但不限于如下项目： 1、渗滤液处理管理人员和运行人员的人工成本费，包括保险费、培训教育费、用餐费等。 2、渗滤液处理站内日常运营管理费（含绿化、卫生、治安等），水电费用，处理药剂费，检测费，计量器具年检费，环保检测（包括第三方检测等费用），设备清理、小修、换油、更换膜及其它零部件等费用。 3、系统产生的浓缩液回灌填埋库区</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移动一体化设备处置渗滤液达标排放</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84.62</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投标报价包括运营维保期间所有费用，投标时提交尽可能详细的综合单价分析清单，包括但不限于如下项目： 1、渗滤液处理管理人员和运行人员的人工成本费，包括保险费、培训教育费、用餐费等。 2、渗滤液处理站内日常运营管理费（含绿化、卫生、治安等），水电费用，处理药剂费，检测费，计量器具年检费，环保检测（包括第三方检测等费用），设备清理、小修、换油、更换膜及其它零部件等费用。 3、系统产生的浓缩液回灌填埋库区</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标的名称：都江堰市生活垃圾填埋场渗滤液处置市场化管护采购项目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b/>
                <w:color w:val="000000"/>
              </w:rPr>
              <w:t>一、项目概述</w:t>
            </w:r>
          </w:p>
          <w:p>
            <w:pPr>
              <w:pStyle w:val="null3"/>
              <w:ind w:right="30" w:firstLine="480"/>
              <w:jc w:val="both"/>
            </w:pPr>
            <w:r>
              <w:rPr>
                <w:rFonts w:ascii="仿宋_GB2312" w:hAnsi="仿宋_GB2312" w:cs="仿宋_GB2312" w:eastAsia="仿宋_GB2312"/>
                <w:sz w:val="24"/>
                <w:color w:val="000000"/>
              </w:rPr>
              <w:t>都江堰市向峨生活垃圾卫生填埋场渗滤液处理工程的设计规模为：设计日处理量</w:t>
            </w:r>
            <w:r>
              <w:rPr>
                <w:rFonts w:ascii="仿宋_GB2312" w:hAnsi="仿宋_GB2312" w:cs="仿宋_GB2312" w:eastAsia="仿宋_GB2312"/>
                <w:sz w:val="24"/>
                <w:color w:val="000000"/>
              </w:rPr>
              <w:t>380吨/天，出水300吨/天，结算时按渗滤液处理出水达标排放量结算；本项目共有两套处理工艺，分别为：中温厌氧+MBR（微滤）+反渗透（设计日处理量180吨/天，出水120吨/天）和混凝+生化+MBR+RO与DTRO串并联（设计日处理量200吨/天，出水180吨/天）；处理系统出水水质满足《生活垃圾填埋场污染控制标准》（GB16889-2024）中的表2排放标准。</w:t>
            </w:r>
          </w:p>
          <w:tbl>
            <w:tblPr>
              <w:tblBorders>
                <w:top w:val="none" w:color="000000" w:sz="4"/>
                <w:left w:val="none" w:color="000000" w:sz="4"/>
                <w:bottom w:val="none" w:color="000000" w:sz="4"/>
                <w:right w:val="none" w:color="000000" w:sz="4"/>
                <w:insideH w:val="none"/>
                <w:insideV w:val="none"/>
              </w:tblBorders>
            </w:tblPr>
            <w:tblGrid>
              <w:gridCol w:w="564"/>
              <w:gridCol w:w="2102"/>
              <w:gridCol w:w="1051"/>
              <w:gridCol w:w="1869"/>
            </w:tblGrid>
            <w:tr>
              <w:tc>
                <w:tcPr>
                  <w:tcW w:type="dxa" w:w="56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10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污染物项目</w:t>
                  </w:r>
                </w:p>
              </w:tc>
              <w:tc>
                <w:tcPr>
                  <w:tcW w:type="dxa" w:w="105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排放限值</w:t>
                  </w:r>
                </w:p>
              </w:tc>
              <w:tc>
                <w:tcPr>
                  <w:tcW w:type="dxa" w:w="186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污染物排放监控位置</w:t>
                  </w: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色度</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869"/>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渗滤液处理设施排放口</w:t>
                  </w: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化学需氧量（</w:t>
                  </w:r>
                  <w:r>
                    <w:rPr>
                      <w:rFonts w:ascii="仿宋_GB2312" w:hAnsi="仿宋_GB2312" w:cs="仿宋_GB2312" w:eastAsia="仿宋_GB2312"/>
                      <w:sz w:val="24"/>
                      <w:color w:val="000000"/>
                    </w:rPr>
                    <w:t>CODCr</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生化需氧量（</w:t>
                  </w:r>
                  <w:r>
                    <w:rPr>
                      <w:rFonts w:ascii="仿宋_GB2312" w:hAnsi="仿宋_GB2312" w:cs="仿宋_GB2312" w:eastAsia="仿宋_GB2312"/>
                      <w:sz w:val="24"/>
                      <w:color w:val="000000"/>
                    </w:rPr>
                    <w:t>BOD5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悬浮物</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总氮</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氨氮</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869"/>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渗滤液处理设施排放口</w:t>
                  </w: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总磷</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粪大肠菌群数</w:t>
                  </w:r>
                  <w:r>
                    <w:rPr>
                      <w:rFonts w:ascii="仿宋_GB2312" w:hAnsi="仿宋_GB2312" w:cs="仿宋_GB2312" w:eastAsia="仿宋_GB2312"/>
                      <w:sz w:val="24"/>
                      <w:color w:val="000000"/>
                    </w:rPr>
                    <w:t>/</w:t>
                  </w:r>
                  <w:r>
                    <w:rPr>
                      <w:rFonts w:ascii="仿宋_GB2312" w:hAnsi="仿宋_GB2312" w:cs="仿宋_GB2312" w:eastAsia="仿宋_GB2312"/>
                      <w:sz w:val="24"/>
                      <w:color w:val="000000"/>
                    </w:rPr>
                    <w:t>（个</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总铜</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总锌</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总汞</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0.001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总镉</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0.01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总铬</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六价铬</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0.05</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总砷</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总铅</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总铍</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0.002</w:t>
                  </w:r>
                </w:p>
              </w:tc>
              <w:tc>
                <w:tcPr>
                  <w:tcW w:type="dxa" w:w="1869"/>
                  <w:vMerge/>
                  <w:tcBorders>
                    <w:top w:val="single" w:color="000000" w:sz="4"/>
                    <w:left w:val="single" w:color="000000" w:sz="4"/>
                    <w:bottom w:val="single" w:color="000000" w:sz="4"/>
                    <w:right w:val="single" w:color="000000" w:sz="8"/>
                  </w:tcBorders>
                </w:tcPr>
                <w:p/>
              </w:tc>
            </w:tr>
            <w:tr>
              <w:tc>
                <w:tcPr>
                  <w:tcW w:type="dxa" w:w="56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rFonts w:ascii="仿宋_GB2312" w:hAnsi="仿宋_GB2312" w:cs="仿宋_GB2312" w:eastAsia="仿宋_GB2312"/>
                      <w:sz w:val="24"/>
                      <w:color w:val="000000"/>
                    </w:rPr>
                    <w:t>总镍</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mg/L</w:t>
                  </w:r>
                  <w:r>
                    <w:rPr>
                      <w:rFonts w:ascii="仿宋_GB2312" w:hAnsi="仿宋_GB2312" w:cs="仿宋_GB2312" w:eastAsia="仿宋_GB2312"/>
                      <w:sz w:val="24"/>
                      <w:color w:val="000000"/>
                    </w:rPr>
                    <w:t>）</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0.05</w:t>
                  </w:r>
                </w:p>
              </w:tc>
              <w:tc>
                <w:tcPr>
                  <w:tcW w:type="dxa" w:w="1869"/>
                  <w:vMerge/>
                  <w:tcBorders>
                    <w:top w:val="single" w:color="000000" w:sz="4"/>
                    <w:left w:val="single" w:color="000000" w:sz="4"/>
                    <w:bottom w:val="single" w:color="000000" w:sz="4"/>
                    <w:right w:val="single" w:color="000000" w:sz="8"/>
                  </w:tcBorders>
                </w:tcPr>
                <w:p/>
              </w:tc>
            </w:tr>
            <w:tr>
              <w:tc>
                <w:tcPr>
                  <w:tcW w:type="dxa" w:w="5586"/>
                  <w:gridSpan w:val="4"/>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填埋生活垃圾焚烧飞灰时需要增加控制的污染物。</w:t>
                  </w:r>
                </w:p>
                <w:p>
                  <w:pPr>
                    <w:pStyle w:val="null3"/>
                    <w:jc w:val="center"/>
                  </w:pPr>
                  <w:r>
                    <w:rPr>
                      <w:rFonts w:ascii="仿宋_GB2312" w:hAnsi="仿宋_GB2312" w:cs="仿宋_GB2312" w:eastAsia="仿宋_GB2312"/>
                      <w:sz w:val="21"/>
                      <w:color w:val="000000"/>
                    </w:rPr>
                    <w:t>注：本项目不涉及“*”项内容。</w:t>
                  </w:r>
                </w:p>
              </w:tc>
            </w:tr>
          </w:tbl>
          <w:p>
            <w:pPr>
              <w:pStyle w:val="null3"/>
              <w:jc w:val="left"/>
            </w:pPr>
            <w:r>
              <w:rPr>
                <w:rFonts w:ascii="仿宋_GB2312" w:hAnsi="仿宋_GB2312" w:cs="仿宋_GB2312" w:eastAsia="仿宋_GB2312"/>
              </w:rPr>
              <w:t xml:space="preserve"> </w:t>
            </w:r>
          </w:p>
          <w:p>
            <w:pPr>
              <w:pStyle w:val="null3"/>
              <w:ind w:firstLine="360"/>
              <w:jc w:val="both"/>
            </w:pPr>
            <w:r>
              <w:rPr>
                <w:rFonts w:ascii="仿宋_GB2312" w:hAnsi="仿宋_GB2312" w:cs="仿宋_GB2312" w:eastAsia="仿宋_GB2312"/>
                <w:sz w:val="24"/>
                <w:color w:val="000000"/>
              </w:rPr>
              <w:t>出水标准：渗滤液进水水质符合《生活垃圾填埋场污染控制标准》（</w:t>
            </w:r>
            <w:r>
              <w:rPr>
                <w:rFonts w:ascii="仿宋_GB2312" w:hAnsi="仿宋_GB2312" w:cs="仿宋_GB2312" w:eastAsia="仿宋_GB2312"/>
                <w:sz w:val="24"/>
                <w:color w:val="000000"/>
              </w:rPr>
              <w:t>GB16889</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）中填埋废物的入场要求的情况下，出水水质达到生活垃圾填埋场污染控制标准（</w:t>
            </w:r>
            <w:r>
              <w:rPr>
                <w:rFonts w:ascii="仿宋_GB2312" w:hAnsi="仿宋_GB2312" w:cs="仿宋_GB2312" w:eastAsia="仿宋_GB2312"/>
                <w:sz w:val="24"/>
                <w:color w:val="000000"/>
              </w:rPr>
              <w:t>GB16889—20</w:t>
            </w:r>
            <w:r>
              <w:rPr>
                <w:rFonts w:ascii="仿宋_GB2312" w:hAnsi="仿宋_GB2312" w:cs="仿宋_GB2312" w:eastAsia="仿宋_GB2312"/>
                <w:sz w:val="24"/>
                <w:color w:val="000000"/>
              </w:rPr>
              <w:t>24</w:t>
            </w:r>
            <w:r>
              <w:rPr>
                <w:rFonts w:ascii="仿宋_GB2312" w:hAnsi="仿宋_GB2312" w:cs="仿宋_GB2312" w:eastAsia="仿宋_GB2312"/>
                <w:sz w:val="24"/>
                <w:color w:val="000000"/>
              </w:rPr>
              <w:t>）表</w:t>
            </w:r>
            <w:r>
              <w:rPr>
                <w:rFonts w:ascii="仿宋_GB2312" w:hAnsi="仿宋_GB2312" w:cs="仿宋_GB2312" w:eastAsia="仿宋_GB2312"/>
                <w:sz w:val="24"/>
                <w:color w:val="000000"/>
              </w:rPr>
              <w:t>2</w:t>
            </w:r>
            <w:r>
              <w:rPr>
                <w:rFonts w:ascii="仿宋_GB2312" w:hAnsi="仿宋_GB2312" w:cs="仿宋_GB2312" w:eastAsia="仿宋_GB2312"/>
                <w:sz w:val="24"/>
                <w:color w:val="000000"/>
              </w:rPr>
              <w:t>排放标准。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二、服务内容</w:t>
            </w:r>
          </w:p>
          <w:p>
            <w:pPr>
              <w:pStyle w:val="null3"/>
              <w:ind w:firstLine="360"/>
              <w:jc w:val="both"/>
            </w:pPr>
            <w:r>
              <w:rPr>
                <w:rFonts w:ascii="仿宋_GB2312" w:hAnsi="仿宋_GB2312" w:cs="仿宋_GB2312" w:eastAsia="仿宋_GB2312"/>
                <w:sz w:val="24"/>
                <w:color w:val="000000"/>
              </w:rPr>
              <w:t>渗滤液处置站及移动一体化设备运维工作；</w:t>
            </w:r>
            <w:r>
              <w:rPr>
                <w:rFonts w:ascii="仿宋_GB2312" w:hAnsi="仿宋_GB2312" w:cs="仿宋_GB2312" w:eastAsia="仿宋_GB2312"/>
                <w:sz w:val="24"/>
                <w:color w:val="000000"/>
              </w:rPr>
              <w:t>渗滤液</w:t>
            </w:r>
            <w:r>
              <w:rPr>
                <w:rFonts w:ascii="仿宋_GB2312" w:hAnsi="仿宋_GB2312" w:cs="仿宋_GB2312" w:eastAsia="仿宋_GB2312"/>
                <w:sz w:val="24"/>
                <w:color w:val="000000"/>
              </w:rPr>
              <w:t>处置、填埋场垃圾堆体及大坝的安全进行观测、填埋场环境监测（排污许可证要求的检测指标和频次）、环保相关工作（排污许可证证后管理账号维护、环境信息披露、信用体系评价）等、在线监测室设备运维，自备一辆</w:t>
            </w:r>
            <w:r>
              <w:rPr>
                <w:rFonts w:ascii="仿宋_GB2312" w:hAnsi="仿宋_GB2312" w:cs="仿宋_GB2312" w:eastAsia="仿宋_GB2312"/>
                <w:sz w:val="24"/>
                <w:color w:val="000000"/>
              </w:rPr>
              <w:t>核定总质量不低于</w:t>
            </w:r>
            <w:r>
              <w:rPr>
                <w:rFonts w:ascii="仿宋_GB2312" w:hAnsi="仿宋_GB2312" w:cs="仿宋_GB2312" w:eastAsia="仿宋_GB2312"/>
                <w:sz w:val="24"/>
                <w:color w:val="000000"/>
              </w:rPr>
              <w:t>8</w:t>
            </w:r>
            <w:r>
              <w:rPr>
                <w:rFonts w:ascii="仿宋_GB2312" w:hAnsi="仿宋_GB2312" w:cs="仿宋_GB2312" w:eastAsia="仿宋_GB2312"/>
                <w:sz w:val="24"/>
                <w:color w:val="000000"/>
              </w:rPr>
              <w:t>吨的水车用于场区截洪沟冲洗等作业。</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渗滤液处理站的安全、卫生、防火要符合</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的管理要求，并接受</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的监督管理，在保证系统运行安全、质量等要求的前提下，避免或减少故障的发生，确保设备和人员的安全，安全隐患整改及时。</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渗滤液</w:t>
            </w:r>
            <w:r>
              <w:rPr>
                <w:rFonts w:ascii="仿宋_GB2312" w:hAnsi="仿宋_GB2312" w:cs="仿宋_GB2312" w:eastAsia="仿宋_GB2312"/>
                <w:sz w:val="24"/>
                <w:color w:val="000000"/>
              </w:rPr>
              <w:t>处置设备</w:t>
            </w:r>
            <w:r>
              <w:rPr>
                <w:rFonts w:ascii="仿宋_GB2312" w:hAnsi="仿宋_GB2312" w:cs="仿宋_GB2312" w:eastAsia="仿宋_GB2312"/>
                <w:sz w:val="24"/>
                <w:color w:val="000000"/>
              </w:rPr>
              <w:t>需做到每天</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小时运转模式</w:t>
            </w:r>
            <w:r>
              <w:rPr>
                <w:rFonts w:ascii="仿宋_GB2312" w:hAnsi="仿宋_GB2312" w:cs="仿宋_GB2312" w:eastAsia="仿宋_GB2312"/>
                <w:sz w:val="24"/>
                <w:color w:val="000000"/>
              </w:rPr>
              <w:t>（正常检修例外），须配备相应技术人员，</w:t>
            </w:r>
            <w:r>
              <w:rPr>
                <w:rFonts w:ascii="仿宋_GB2312" w:hAnsi="仿宋_GB2312" w:cs="仿宋_GB2312" w:eastAsia="仿宋_GB2312"/>
                <w:sz w:val="24"/>
                <w:color w:val="000000"/>
              </w:rPr>
              <w:t>要求必须符合劳动法；</w:t>
            </w:r>
            <w:r>
              <w:rPr>
                <w:rFonts w:ascii="仿宋_GB2312" w:hAnsi="仿宋_GB2312" w:cs="仿宋_GB2312" w:eastAsia="仿宋_GB2312"/>
                <w:sz w:val="24"/>
                <w:color w:val="000000"/>
              </w:rPr>
              <w:t>管理人员和运行人员必须经过专业培训后上岗；负责提供管理、运行人员必备的卫生防护设施和管理人员的安全、技术培训。</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中标人负责渗滤液处理系统的达标排放，保证各出水指标达标运行，其出水水质执行</w:t>
            </w:r>
            <w:r>
              <w:rPr>
                <w:rFonts w:ascii="仿宋_GB2312" w:hAnsi="仿宋_GB2312" w:cs="仿宋_GB2312" w:eastAsia="仿宋_GB2312"/>
                <w:sz w:val="24"/>
                <w:color w:val="000000"/>
              </w:rPr>
              <w:t>《生活垃圾填埋场污染控制标准》</w:t>
            </w:r>
            <w:r>
              <w:rPr>
                <w:rFonts w:ascii="仿宋_GB2312" w:hAnsi="仿宋_GB2312" w:cs="仿宋_GB2312" w:eastAsia="仿宋_GB2312"/>
                <w:sz w:val="24"/>
                <w:color w:val="000000"/>
              </w:rPr>
              <w:t>表</w:t>
            </w:r>
            <w:r>
              <w:rPr>
                <w:rFonts w:ascii="仿宋_GB2312" w:hAnsi="仿宋_GB2312" w:cs="仿宋_GB2312" w:eastAsia="仿宋_GB2312"/>
                <w:sz w:val="24"/>
                <w:color w:val="000000"/>
              </w:rPr>
              <w:t>2</w:t>
            </w:r>
            <w:r>
              <w:rPr>
                <w:rFonts w:ascii="仿宋_GB2312" w:hAnsi="仿宋_GB2312" w:cs="仿宋_GB2312" w:eastAsia="仿宋_GB2312"/>
                <w:sz w:val="24"/>
                <w:color w:val="000000"/>
              </w:rPr>
              <w:t>标准。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本项目进水水质：投标人自行确认本项目渗滤液进水水质并确保系统处理水量及出水达标。</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需确保服务能适应水质水量的变化，既适应目前考察的水质指标又适应将来的各种变化情况确保渗滤液处理量和出水水质达到招标要求。</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人负责渗滤液处理系统的所有设备的维护、保养（设备小修、润滑，更换耗材等项目），站内各排水管道的定期清理，以及各水池（如果有）的定期清理，过滤设备的换料，计量器具的定期检定等工作。渗滤液系统工艺流程长，设备种类和数量较多，且渗滤液腐蚀性较强，所以应该加强设备维护工作以延长设备使用寿命和保障出水达标。</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渗滤液处理系统内设置排水口采样点，运行人员应该按照招标人相应的管理制度定时定期对水质进行检测，确保水质稳定，使用安全。</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投标人在投标时需承诺其人员、设备等无条件服从招标人防汛防火等突发事件的安排、使用及管理等工作。</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向峨乡生活垃圾填埋场调节池内的设施设备及产生的所有渗滤液由</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负责管护与处置，并达标排放。</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中标人需承诺保证服务期到期后相关设备的正常运行。</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、中标人需承诺履约过程中，若发生安全事故，</w:t>
            </w:r>
            <w:r>
              <w:rPr>
                <w:rFonts w:ascii="仿宋_GB2312" w:hAnsi="仿宋_GB2312" w:cs="仿宋_GB2312" w:eastAsia="仿宋_GB2312"/>
                <w:sz w:val="24"/>
                <w:color w:val="000000"/>
              </w:rPr>
              <w:t>由此产生的一切连带责任及经济损失由中标人负责。</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b/>
                <w:color w:val="000000"/>
              </w:rPr>
              <w:t>四、考核标准</w:t>
            </w:r>
          </w:p>
          <w:p>
            <w:pPr>
              <w:pStyle w:val="null3"/>
              <w:jc w:val="both"/>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1：</w:t>
            </w:r>
          </w:p>
          <w:p>
            <w:pPr>
              <w:pStyle w:val="null3"/>
              <w:ind w:firstLine="480"/>
              <w:jc w:val="both"/>
            </w:pPr>
            <w:r>
              <w:rPr>
                <w:rFonts w:ascii="仿宋_GB2312" w:hAnsi="仿宋_GB2312" w:cs="仿宋_GB2312" w:eastAsia="仿宋_GB2312"/>
                <w:sz w:val="24"/>
                <w:b/>
                <w:color w:val="000000"/>
              </w:rPr>
              <w:t>都江堰市生活垃圾填埋场渗滤液处理</w:t>
            </w:r>
          </w:p>
          <w:p>
            <w:pPr>
              <w:pStyle w:val="null3"/>
              <w:jc w:val="center"/>
            </w:pPr>
            <w:r>
              <w:rPr>
                <w:rFonts w:ascii="仿宋_GB2312" w:hAnsi="仿宋_GB2312" w:cs="仿宋_GB2312" w:eastAsia="仿宋_GB2312"/>
                <w:sz w:val="24"/>
                <w:b/>
                <w:color w:val="000000"/>
              </w:rPr>
              <w:t>考核办法</w:t>
            </w:r>
          </w:p>
          <w:p>
            <w:pPr>
              <w:pStyle w:val="null3"/>
              <w:ind w:firstLine="480"/>
              <w:jc w:val="both"/>
            </w:pPr>
            <w:r>
              <w:rPr>
                <w:rFonts w:ascii="仿宋_GB2312" w:hAnsi="仿宋_GB2312" w:cs="仿宋_GB2312" w:eastAsia="仿宋_GB2312"/>
                <w:sz w:val="24"/>
                <w:b/>
                <w:color w:val="000000"/>
              </w:rPr>
              <w:t>一、考核实施</w:t>
            </w:r>
          </w:p>
          <w:p>
            <w:pPr>
              <w:pStyle w:val="null3"/>
              <w:ind w:firstLine="480"/>
              <w:jc w:val="both"/>
            </w:pP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由市综合执法局负责组织考核</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二、考核对象</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中标社会化运行管护公司（以下简称管护公司）。</w:t>
            </w:r>
          </w:p>
          <w:p>
            <w:pPr>
              <w:pStyle w:val="null3"/>
              <w:ind w:firstLine="480"/>
              <w:jc w:val="both"/>
            </w:pPr>
            <w:r>
              <w:rPr>
                <w:rFonts w:ascii="仿宋_GB2312" w:hAnsi="仿宋_GB2312" w:cs="仿宋_GB2312" w:eastAsia="仿宋_GB2312"/>
                <w:sz w:val="24"/>
                <w:color w:val="000000"/>
              </w:rPr>
              <w:t>三、考核内容及标准</w:t>
            </w:r>
          </w:p>
          <w:p>
            <w:pPr>
              <w:pStyle w:val="null3"/>
              <w:ind w:firstLine="480"/>
              <w:jc w:val="both"/>
            </w:pPr>
            <w:r>
              <w:rPr>
                <w:rFonts w:ascii="仿宋_GB2312" w:hAnsi="仿宋_GB2312" w:cs="仿宋_GB2312" w:eastAsia="仿宋_GB2312"/>
                <w:sz w:val="24"/>
                <w:color w:val="000000"/>
              </w:rPr>
              <w:t>考核内容依照《都江堰市生活垃圾填埋场渗滤液处理服务内容与标准》、《都江堰市生活垃圾填埋场渗滤液处理评分标准》和《都江堰市生活垃圾填埋场渗滤液处理加减分标准》执行。</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四、考核周期</w:t>
            </w:r>
          </w:p>
          <w:p>
            <w:pPr>
              <w:pStyle w:val="null3"/>
              <w:ind w:firstLine="480"/>
              <w:jc w:val="both"/>
            </w:pPr>
            <w:r>
              <w:rPr>
                <w:rFonts w:ascii="仿宋_GB2312" w:hAnsi="仿宋_GB2312" w:cs="仿宋_GB2312" w:eastAsia="仿宋_GB2312"/>
                <w:sz w:val="24"/>
                <w:color w:val="000000"/>
              </w:rPr>
              <w:t>月</w:t>
            </w:r>
            <w:r>
              <w:rPr>
                <w:rFonts w:ascii="仿宋_GB2312" w:hAnsi="仿宋_GB2312" w:cs="仿宋_GB2312" w:eastAsia="仿宋_GB2312"/>
                <w:sz w:val="24"/>
                <w:color w:val="000000"/>
              </w:rPr>
              <w:t>考核采取</w:t>
            </w:r>
            <w:r>
              <w:rPr>
                <w:rFonts w:ascii="仿宋_GB2312" w:hAnsi="仿宋_GB2312" w:cs="仿宋_GB2312" w:eastAsia="仿宋_GB2312"/>
                <w:sz w:val="24"/>
                <w:color w:val="000000"/>
              </w:rPr>
              <w:t>流量计数方式考核，即达标排放量</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五、考核计分</w:t>
            </w:r>
          </w:p>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每月达标排放</w:t>
            </w:r>
            <w:r>
              <w:rPr>
                <w:rFonts w:ascii="仿宋_GB2312" w:hAnsi="仿宋_GB2312" w:cs="仿宋_GB2312" w:eastAsia="仿宋_GB2312"/>
                <w:sz w:val="24"/>
                <w:color w:val="000000"/>
              </w:rPr>
              <w:t>量</w:t>
            </w:r>
            <w:r>
              <w:rPr>
                <w:rFonts w:ascii="仿宋_GB2312" w:hAnsi="仿宋_GB2312" w:cs="仿宋_GB2312" w:eastAsia="仿宋_GB2312"/>
                <w:sz w:val="24"/>
                <w:color w:val="000000"/>
              </w:rPr>
              <w:t>，由市</w:t>
            </w:r>
            <w:r>
              <w:rPr>
                <w:rFonts w:ascii="仿宋_GB2312" w:hAnsi="仿宋_GB2312" w:cs="仿宋_GB2312" w:eastAsia="仿宋_GB2312"/>
                <w:sz w:val="24"/>
                <w:color w:val="000000"/>
              </w:rPr>
              <w:t>综合执法</w:t>
            </w:r>
            <w:r>
              <w:rPr>
                <w:rFonts w:ascii="仿宋_GB2312" w:hAnsi="仿宋_GB2312" w:cs="仿宋_GB2312" w:eastAsia="仿宋_GB2312"/>
                <w:sz w:val="24"/>
                <w:color w:val="000000"/>
              </w:rPr>
              <w:t>局对管护公司进行考评，加减分另行计算。</w:t>
            </w:r>
          </w:p>
          <w:p>
            <w:pPr>
              <w:pStyle w:val="null3"/>
              <w:jc w:val="both"/>
            </w:pPr>
            <w:r>
              <w:rPr>
                <w:rFonts w:ascii="仿宋_GB2312" w:hAnsi="仿宋_GB2312" w:cs="仿宋_GB2312" w:eastAsia="仿宋_GB2312"/>
                <w:sz w:val="24"/>
                <w:color w:val="000000"/>
              </w:rPr>
              <w:t>(二）管护公司月考核得分=市</w:t>
            </w:r>
            <w:r>
              <w:rPr>
                <w:rFonts w:ascii="仿宋_GB2312" w:hAnsi="仿宋_GB2312" w:cs="仿宋_GB2312" w:eastAsia="仿宋_GB2312"/>
                <w:sz w:val="24"/>
                <w:color w:val="000000"/>
              </w:rPr>
              <w:t>综合执法</w:t>
            </w:r>
            <w:r>
              <w:rPr>
                <w:rFonts w:ascii="仿宋_GB2312" w:hAnsi="仿宋_GB2312" w:cs="仿宋_GB2312" w:eastAsia="仿宋_GB2312"/>
                <w:sz w:val="24"/>
                <w:color w:val="000000"/>
              </w:rPr>
              <w:t>局考核得分</w:t>
            </w:r>
            <w:r>
              <w:rPr>
                <w:rFonts w:ascii="仿宋_GB2312" w:hAnsi="仿宋_GB2312" w:cs="仿宋_GB2312" w:eastAsia="仿宋_GB2312"/>
                <w:sz w:val="24"/>
                <w:color w:val="000000"/>
              </w:rPr>
              <w:t>+加减分。</w:t>
            </w:r>
          </w:p>
          <w:p>
            <w:pPr>
              <w:pStyle w:val="null3"/>
              <w:ind w:firstLine="96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六、考核办法</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）考核：市</w:t>
            </w:r>
            <w:r>
              <w:rPr>
                <w:rFonts w:ascii="仿宋_GB2312" w:hAnsi="仿宋_GB2312" w:cs="仿宋_GB2312" w:eastAsia="仿宋_GB2312"/>
                <w:sz w:val="24"/>
                <w:color w:val="000000"/>
              </w:rPr>
              <w:t>综合执法</w:t>
            </w:r>
            <w:r>
              <w:rPr>
                <w:rFonts w:ascii="仿宋_GB2312" w:hAnsi="仿宋_GB2312" w:cs="仿宋_GB2312" w:eastAsia="仿宋_GB2312"/>
                <w:sz w:val="24"/>
                <w:color w:val="000000"/>
              </w:rPr>
              <w:t>局依据</w:t>
            </w:r>
            <w:r>
              <w:rPr>
                <w:rFonts w:ascii="仿宋_GB2312" w:hAnsi="仿宋_GB2312" w:cs="仿宋_GB2312" w:eastAsia="仿宋_GB2312"/>
                <w:sz w:val="24"/>
                <w:color w:val="000000"/>
              </w:rPr>
              <w:t>达标</w:t>
            </w:r>
            <w:r>
              <w:rPr>
                <w:rFonts w:ascii="仿宋_GB2312" w:hAnsi="仿宋_GB2312" w:cs="仿宋_GB2312" w:eastAsia="仿宋_GB2312"/>
                <w:sz w:val="24"/>
                <w:color w:val="000000"/>
              </w:rPr>
              <w:t>排放量</w:t>
            </w:r>
            <w:r>
              <w:rPr>
                <w:rFonts w:ascii="仿宋_GB2312" w:hAnsi="仿宋_GB2312" w:cs="仿宋_GB2312" w:eastAsia="仿宋_GB2312"/>
                <w:sz w:val="24"/>
                <w:color w:val="000000"/>
              </w:rPr>
              <w:t>、上级主管部门通报、社会监督、媒体曝光、问题整改以及完成指令性工作等情况进行综合考核。</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）通报：将考核情况及时告知管护公司，管护公司派人签字确认。</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七、结果运用</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（一）当月综合考核评分结果对应的作业服务费扣减标准：</w:t>
            </w:r>
          </w:p>
          <w:p>
            <w:pPr>
              <w:pStyle w:val="null3"/>
              <w:ind w:firstLine="480"/>
              <w:jc w:val="both"/>
            </w:pPr>
            <w:r>
              <w:rPr>
                <w:rFonts w:ascii="仿宋_GB2312" w:hAnsi="仿宋_GB2312" w:cs="仿宋_GB2312" w:eastAsia="仿宋_GB2312"/>
                <w:sz w:val="24"/>
                <w:color w:val="000000"/>
              </w:rPr>
              <w:t>1．当月100分至97分（含97分），全额拨付服务费；</w:t>
            </w:r>
          </w:p>
          <w:p>
            <w:pPr>
              <w:pStyle w:val="null3"/>
              <w:ind w:firstLine="480"/>
              <w:jc w:val="both"/>
            </w:pPr>
            <w:r>
              <w:rPr>
                <w:rFonts w:ascii="仿宋_GB2312" w:hAnsi="仿宋_GB2312" w:cs="仿宋_GB2312" w:eastAsia="仿宋_GB2312"/>
                <w:sz w:val="24"/>
                <w:color w:val="000000"/>
              </w:rPr>
              <w:t>2．当月97分至90分（含90分），每减少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分扣除</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元；</w:t>
            </w:r>
          </w:p>
          <w:p>
            <w:pPr>
              <w:pStyle w:val="null3"/>
              <w:ind w:firstLine="480"/>
              <w:jc w:val="both"/>
            </w:pPr>
            <w:r>
              <w:rPr>
                <w:rFonts w:ascii="仿宋_GB2312" w:hAnsi="仿宋_GB2312" w:cs="仿宋_GB2312" w:eastAsia="仿宋_GB2312"/>
                <w:sz w:val="24"/>
                <w:color w:val="000000"/>
              </w:rPr>
              <w:t>3．当月90分至85分（含85分），每减少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分扣除</w:t>
            </w:r>
            <w:r>
              <w:rPr>
                <w:rFonts w:ascii="仿宋_GB2312" w:hAnsi="仿宋_GB2312" w:cs="仿宋_GB2312" w:eastAsia="仿宋_GB2312"/>
                <w:sz w:val="24"/>
                <w:color w:val="000000"/>
              </w:rPr>
              <w:t>8000</w:t>
            </w:r>
            <w:r>
              <w:rPr>
                <w:rFonts w:ascii="仿宋_GB2312" w:hAnsi="仿宋_GB2312" w:cs="仿宋_GB2312" w:eastAsia="仿宋_GB2312"/>
                <w:sz w:val="24"/>
                <w:color w:val="000000"/>
              </w:rPr>
              <w:t>元；</w:t>
            </w:r>
          </w:p>
          <w:p>
            <w:pPr>
              <w:pStyle w:val="null3"/>
              <w:ind w:firstLine="480"/>
              <w:jc w:val="both"/>
            </w:pPr>
            <w:r>
              <w:rPr>
                <w:rFonts w:ascii="仿宋_GB2312" w:hAnsi="仿宋_GB2312" w:cs="仿宋_GB2312" w:eastAsia="仿宋_GB2312"/>
                <w:sz w:val="24"/>
                <w:color w:val="000000"/>
              </w:rPr>
              <w:t>4．当月85分至80分（含80分），每减少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分扣</w:t>
            </w:r>
            <w:r>
              <w:rPr>
                <w:rFonts w:ascii="仿宋_GB2312" w:hAnsi="仿宋_GB2312" w:cs="仿宋_GB2312" w:eastAsia="仿宋_GB2312"/>
                <w:sz w:val="24"/>
                <w:color w:val="000000"/>
              </w:rPr>
              <w:t>12000</w:t>
            </w:r>
            <w:r>
              <w:rPr>
                <w:rFonts w:ascii="仿宋_GB2312" w:hAnsi="仿宋_GB2312" w:cs="仿宋_GB2312" w:eastAsia="仿宋_GB2312"/>
                <w:sz w:val="24"/>
                <w:color w:val="000000"/>
              </w:rPr>
              <w:t>元</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5．当月80分至70分，每减少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分扣除</w:t>
            </w:r>
            <w:r>
              <w:rPr>
                <w:rFonts w:ascii="仿宋_GB2312" w:hAnsi="仿宋_GB2312" w:cs="仿宋_GB2312" w:eastAsia="仿宋_GB2312"/>
                <w:sz w:val="24"/>
                <w:color w:val="000000"/>
              </w:rPr>
              <w:t>18000</w:t>
            </w:r>
            <w:r>
              <w:rPr>
                <w:rFonts w:ascii="仿宋_GB2312" w:hAnsi="仿宋_GB2312" w:cs="仿宋_GB2312" w:eastAsia="仿宋_GB2312"/>
                <w:sz w:val="24"/>
                <w:color w:val="000000"/>
              </w:rPr>
              <w:t>元。</w:t>
            </w:r>
          </w:p>
          <w:p>
            <w:pPr>
              <w:pStyle w:val="null3"/>
              <w:ind w:firstLine="480"/>
              <w:jc w:val="both"/>
            </w:pPr>
            <w:r>
              <w:rPr>
                <w:rFonts w:ascii="仿宋_GB2312" w:hAnsi="仿宋_GB2312" w:cs="仿宋_GB2312" w:eastAsia="仿宋_GB2312"/>
                <w:sz w:val="24"/>
                <w:color w:val="000000"/>
              </w:rPr>
              <w:t>（二）因管护公司管理服务质量原因导致</w:t>
            </w:r>
            <w:r>
              <w:rPr>
                <w:rFonts w:ascii="仿宋_GB2312" w:hAnsi="仿宋_GB2312" w:cs="仿宋_GB2312" w:eastAsia="仿宋_GB2312"/>
                <w:sz w:val="24"/>
                <w:color w:val="000000"/>
              </w:rPr>
              <w:t>市综合执法局</w:t>
            </w:r>
            <w:r>
              <w:rPr>
                <w:rFonts w:ascii="仿宋_GB2312" w:hAnsi="仿宋_GB2312" w:cs="仿宋_GB2312" w:eastAsia="仿宋_GB2312"/>
                <w:sz w:val="24"/>
                <w:color w:val="000000"/>
              </w:rPr>
              <w:t>在一个自然年度内每发生一次被都江堰市委市政府或成都市城市管理行政主管部门诫勉谈话的，</w:t>
            </w:r>
            <w:r>
              <w:rPr>
                <w:rFonts w:ascii="仿宋_GB2312" w:hAnsi="仿宋_GB2312" w:cs="仿宋_GB2312" w:eastAsia="仿宋_GB2312"/>
                <w:sz w:val="24"/>
                <w:color w:val="000000"/>
              </w:rPr>
              <w:t>市综合执法局</w:t>
            </w:r>
            <w:r>
              <w:rPr>
                <w:rFonts w:ascii="仿宋_GB2312" w:hAnsi="仿宋_GB2312" w:cs="仿宋_GB2312" w:eastAsia="仿宋_GB2312"/>
                <w:sz w:val="24"/>
                <w:color w:val="000000"/>
              </w:rPr>
              <w:t>一次性扣减管护公司</w:t>
            </w:r>
            <w:r>
              <w:rPr>
                <w:rFonts w:ascii="仿宋_GB2312" w:hAnsi="仿宋_GB2312" w:cs="仿宋_GB2312" w:eastAsia="仿宋_GB2312"/>
                <w:sz w:val="24"/>
                <w:color w:val="000000"/>
              </w:rPr>
              <w:t>10万元作业服务费。</w:t>
            </w:r>
          </w:p>
          <w:p>
            <w:pPr>
              <w:pStyle w:val="null3"/>
              <w:ind w:firstLine="480"/>
              <w:jc w:val="both"/>
            </w:pPr>
            <w:r>
              <w:rPr>
                <w:rFonts w:ascii="仿宋_GB2312" w:hAnsi="仿宋_GB2312" w:cs="仿宋_GB2312" w:eastAsia="仿宋_GB2312"/>
                <w:sz w:val="24"/>
                <w:color w:val="000000"/>
              </w:rPr>
              <w:t>（三）实行淘汰退出机制和黑名单制度</w:t>
            </w:r>
          </w:p>
          <w:p>
            <w:pPr>
              <w:pStyle w:val="null3"/>
              <w:ind w:firstLine="480"/>
              <w:jc w:val="both"/>
            </w:pPr>
            <w:r>
              <w:rPr>
                <w:rFonts w:ascii="仿宋_GB2312" w:hAnsi="仿宋_GB2312" w:cs="仿宋_GB2312" w:eastAsia="仿宋_GB2312"/>
                <w:sz w:val="24"/>
                <w:color w:val="000000"/>
              </w:rPr>
              <w:t>有下列情形发生时，业主将终止服务合同，并将相关信息上传成都市环卫作业市场化服务信用考评体系，将其列入</w:t>
            </w:r>
            <w:r>
              <w:rPr>
                <w:rFonts w:ascii="仿宋_GB2312" w:hAnsi="仿宋_GB2312" w:cs="仿宋_GB2312" w:eastAsia="仿宋_GB2312"/>
                <w:sz w:val="24"/>
                <w:color w:val="000000"/>
              </w:rPr>
              <w:t>“黑名单”。</w:t>
            </w:r>
          </w:p>
          <w:p>
            <w:pPr>
              <w:pStyle w:val="null3"/>
              <w:ind w:firstLine="480"/>
              <w:jc w:val="both"/>
            </w:pPr>
            <w:r>
              <w:rPr>
                <w:rFonts w:ascii="仿宋_GB2312" w:hAnsi="仿宋_GB2312" w:cs="仿宋_GB2312" w:eastAsia="仿宋_GB2312"/>
                <w:sz w:val="24"/>
                <w:color w:val="000000"/>
              </w:rPr>
              <w:t>服务公司当月综合考核得分在</w:t>
            </w:r>
            <w:r>
              <w:rPr>
                <w:rFonts w:ascii="仿宋_GB2312" w:hAnsi="仿宋_GB2312" w:cs="仿宋_GB2312" w:eastAsia="仿宋_GB2312"/>
                <w:sz w:val="24"/>
                <w:color w:val="000000"/>
              </w:rPr>
              <w:t>70分以下（含70分）的；</w:t>
            </w:r>
          </w:p>
          <w:p>
            <w:pPr>
              <w:pStyle w:val="null3"/>
              <w:ind w:firstLine="480"/>
              <w:jc w:val="both"/>
            </w:pPr>
            <w:r>
              <w:rPr>
                <w:rFonts w:ascii="仿宋_GB2312" w:hAnsi="仿宋_GB2312" w:cs="仿宋_GB2312" w:eastAsia="仿宋_GB2312"/>
                <w:sz w:val="24"/>
                <w:color w:val="000000"/>
              </w:rPr>
              <w:t>2．服务公司连续两个月或年度累计三次月综合考核得分在80分以下（含80分）的；</w:t>
            </w:r>
          </w:p>
          <w:p>
            <w:pPr>
              <w:pStyle w:val="null3"/>
              <w:ind w:firstLine="480"/>
              <w:jc w:val="both"/>
            </w:pPr>
            <w:r>
              <w:rPr>
                <w:rFonts w:ascii="仿宋_GB2312" w:hAnsi="仿宋_GB2312" w:cs="仿宋_GB2312" w:eastAsia="仿宋_GB2312"/>
                <w:sz w:val="24"/>
                <w:color w:val="000000"/>
              </w:rPr>
              <w:t>3．因管护公司作业质量原因导致重大灾害性事故的；</w:t>
            </w:r>
          </w:p>
          <w:p>
            <w:pPr>
              <w:pStyle w:val="null3"/>
              <w:ind w:firstLine="480"/>
              <w:jc w:val="both"/>
            </w:pPr>
            <w:r>
              <w:rPr>
                <w:rFonts w:ascii="仿宋_GB2312" w:hAnsi="仿宋_GB2312" w:cs="仿宋_GB2312" w:eastAsia="仿宋_GB2312"/>
                <w:sz w:val="24"/>
                <w:color w:val="000000"/>
              </w:rPr>
              <w:t>4．服务公司在承包期间，出现公司作业人员消极怠工、罢工，导致部分或全部作业范围无人管理服务的。</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八、管理维护费结算</w:t>
            </w:r>
          </w:p>
          <w:p>
            <w:pPr>
              <w:pStyle w:val="null3"/>
              <w:ind w:firstLine="480"/>
              <w:jc w:val="both"/>
            </w:pPr>
            <w:r>
              <w:rPr>
                <w:rFonts w:ascii="仿宋_GB2312" w:hAnsi="仿宋_GB2312" w:cs="仿宋_GB2312" w:eastAsia="仿宋_GB2312"/>
                <w:sz w:val="24"/>
                <w:color w:val="000000"/>
              </w:rPr>
              <w:t>依据《都江堰市生活垃圾填埋场渗滤液处理服务内容与标准》、《都江堰市生活垃圾填埋场渗滤液处理评分标准》和《都江堰市生活垃圾填埋场渗滤液处理加减分标准》最终得分，作为管护公司每月管理服务经费结算依据。</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九、申请复核</w:t>
            </w:r>
          </w:p>
          <w:p>
            <w:pPr>
              <w:pStyle w:val="null3"/>
              <w:ind w:firstLine="480"/>
              <w:jc w:val="both"/>
            </w:pPr>
            <w:r>
              <w:rPr>
                <w:rFonts w:ascii="仿宋_GB2312" w:hAnsi="仿宋_GB2312" w:cs="仿宋_GB2312" w:eastAsia="仿宋_GB2312"/>
                <w:sz w:val="24"/>
                <w:color w:val="000000"/>
              </w:rPr>
              <w:t>管护公司对考核结果有异议的，可向</w:t>
            </w:r>
            <w:r>
              <w:rPr>
                <w:rFonts w:ascii="仿宋_GB2312" w:hAnsi="仿宋_GB2312" w:cs="仿宋_GB2312" w:eastAsia="仿宋_GB2312"/>
                <w:sz w:val="24"/>
                <w:color w:val="000000"/>
              </w:rPr>
              <w:t>市综合执法局</w:t>
            </w:r>
            <w:r>
              <w:rPr>
                <w:rFonts w:ascii="仿宋_GB2312" w:hAnsi="仿宋_GB2312" w:cs="仿宋_GB2312" w:eastAsia="仿宋_GB2312"/>
                <w:sz w:val="24"/>
                <w:color w:val="000000"/>
              </w:rPr>
              <w:t>申请复核，经复核重新认定，复核情况为最终结果。</w:t>
            </w:r>
          </w:p>
          <w:p>
            <w:pPr>
              <w:pStyle w:val="null3"/>
              <w:ind w:firstLine="480"/>
              <w:jc w:val="both"/>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2：</w:t>
            </w:r>
          </w:p>
          <w:p>
            <w:pPr>
              <w:pStyle w:val="null3"/>
              <w:jc w:val="left"/>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color w:val="000000"/>
              </w:rPr>
              <w:t>都江堰市生活垃圾填埋场渗滤液处理</w:t>
            </w:r>
          </w:p>
          <w:p>
            <w:pPr>
              <w:pStyle w:val="null3"/>
              <w:jc w:val="center"/>
            </w:pPr>
            <w:r>
              <w:rPr>
                <w:rFonts w:ascii="仿宋_GB2312" w:hAnsi="仿宋_GB2312" w:cs="仿宋_GB2312" w:eastAsia="仿宋_GB2312"/>
                <w:sz w:val="24"/>
                <w:b/>
                <w:color w:val="000000"/>
              </w:rPr>
              <w:t>服务内容与标准</w:t>
            </w:r>
          </w:p>
          <w:p>
            <w:pPr>
              <w:pStyle w:val="null3"/>
              <w:jc w:val="both"/>
            </w:pPr>
            <w:r>
              <w:rPr>
                <w:rFonts w:ascii="仿宋_GB2312" w:hAnsi="仿宋_GB2312" w:cs="仿宋_GB2312" w:eastAsia="仿宋_GB2312"/>
                <w:sz w:val="24"/>
                <w:color w:val="000000"/>
              </w:rPr>
              <w:t>一、管理范围</w:t>
            </w:r>
          </w:p>
          <w:p>
            <w:pPr>
              <w:pStyle w:val="null3"/>
              <w:ind w:firstLine="480"/>
              <w:jc w:val="both"/>
            </w:pPr>
            <w:r>
              <w:rPr>
                <w:rFonts w:ascii="仿宋_GB2312" w:hAnsi="仿宋_GB2312" w:cs="仿宋_GB2312" w:eastAsia="仿宋_GB2312"/>
                <w:sz w:val="24"/>
                <w:color w:val="000000"/>
              </w:rPr>
              <w:t>都江堰市向峨乡生活垃圾卫生填埋场渗漏液处理站及渗滤液</w:t>
            </w:r>
            <w:r>
              <w:rPr>
                <w:rFonts w:ascii="仿宋_GB2312" w:hAnsi="仿宋_GB2312" w:cs="仿宋_GB2312" w:eastAsia="仿宋_GB2312"/>
                <w:sz w:val="24"/>
                <w:color w:val="000000"/>
              </w:rPr>
              <w:t>移动一体化处理</w:t>
            </w:r>
            <w:r>
              <w:rPr>
                <w:rFonts w:ascii="仿宋_GB2312" w:hAnsi="仿宋_GB2312" w:cs="仿宋_GB2312" w:eastAsia="仿宋_GB2312"/>
                <w:sz w:val="24"/>
                <w:color w:val="000000"/>
              </w:rPr>
              <w:t>设备。</w:t>
            </w:r>
          </w:p>
          <w:p>
            <w:pPr>
              <w:pStyle w:val="null3"/>
              <w:ind w:firstLine="480"/>
              <w:jc w:val="both"/>
            </w:pPr>
            <w:r>
              <w:rPr>
                <w:rFonts w:ascii="仿宋_GB2312" w:hAnsi="仿宋_GB2312" w:cs="仿宋_GB2312" w:eastAsia="仿宋_GB2312"/>
                <w:sz w:val="24"/>
                <w:color w:val="000000"/>
              </w:rPr>
              <w:t>二、运行管护时间</w:t>
            </w:r>
          </w:p>
          <w:p>
            <w:pPr>
              <w:pStyle w:val="null3"/>
              <w:ind w:firstLine="480"/>
              <w:jc w:val="both"/>
            </w:pPr>
            <w:r>
              <w:rPr>
                <w:rFonts w:ascii="仿宋_GB2312" w:hAnsi="仿宋_GB2312" w:cs="仿宋_GB2312" w:eastAsia="仿宋_GB2312"/>
                <w:sz w:val="24"/>
                <w:color w:val="000000"/>
              </w:rPr>
              <w:t>24小时（即每天0点—24点）。</w:t>
            </w:r>
          </w:p>
          <w:p>
            <w:pPr>
              <w:pStyle w:val="null3"/>
              <w:ind w:firstLine="480"/>
              <w:jc w:val="both"/>
            </w:pPr>
            <w:r>
              <w:rPr>
                <w:rFonts w:ascii="仿宋_GB2312" w:hAnsi="仿宋_GB2312" w:cs="仿宋_GB2312" w:eastAsia="仿宋_GB2312"/>
                <w:sz w:val="24"/>
                <w:color w:val="000000"/>
              </w:rPr>
              <w:t>三、作业人员</w:t>
            </w:r>
          </w:p>
          <w:p>
            <w:pPr>
              <w:pStyle w:val="null3"/>
              <w:ind w:firstLine="480"/>
              <w:jc w:val="both"/>
            </w:pPr>
            <w:r>
              <w:rPr>
                <w:rFonts w:ascii="仿宋_GB2312" w:hAnsi="仿宋_GB2312" w:cs="仿宋_GB2312" w:eastAsia="仿宋_GB2312"/>
                <w:sz w:val="24"/>
                <w:color w:val="000000"/>
              </w:rPr>
              <w:t>严格遵守国家的各项法律和法规。</w:t>
            </w:r>
          </w:p>
          <w:p>
            <w:pPr>
              <w:pStyle w:val="null3"/>
              <w:ind w:firstLine="480"/>
              <w:jc w:val="both"/>
            </w:pPr>
            <w:r>
              <w:rPr>
                <w:rFonts w:ascii="仿宋_GB2312" w:hAnsi="仿宋_GB2312" w:cs="仿宋_GB2312" w:eastAsia="仿宋_GB2312"/>
                <w:sz w:val="24"/>
                <w:color w:val="000000"/>
              </w:rPr>
              <w:t>上班期间应正确着装，保持良好工作形象并符合安全工作的要求。</w:t>
            </w:r>
          </w:p>
          <w:p>
            <w:pPr>
              <w:pStyle w:val="null3"/>
              <w:ind w:firstLine="480"/>
              <w:jc w:val="both"/>
            </w:pPr>
            <w:r>
              <w:rPr>
                <w:rFonts w:ascii="仿宋_GB2312" w:hAnsi="仿宋_GB2312" w:cs="仿宋_GB2312" w:eastAsia="仿宋_GB2312"/>
                <w:sz w:val="24"/>
                <w:color w:val="000000"/>
              </w:rPr>
              <w:t>正确使用设备设施，严格执行各项设备设施的操作规程，禁止违规操作。</w:t>
            </w:r>
          </w:p>
          <w:p>
            <w:pPr>
              <w:pStyle w:val="null3"/>
              <w:ind w:firstLine="480"/>
              <w:jc w:val="both"/>
            </w:pPr>
            <w:r>
              <w:rPr>
                <w:rFonts w:ascii="仿宋_GB2312" w:hAnsi="仿宋_GB2312" w:cs="仿宋_GB2312" w:eastAsia="仿宋_GB2312"/>
                <w:sz w:val="24"/>
                <w:color w:val="000000"/>
              </w:rPr>
              <w:t>认真做好人员交接班记录。</w:t>
            </w:r>
          </w:p>
          <w:p>
            <w:pPr>
              <w:pStyle w:val="null3"/>
              <w:ind w:firstLine="480"/>
              <w:jc w:val="both"/>
            </w:pPr>
            <w:r>
              <w:rPr>
                <w:rFonts w:ascii="仿宋_GB2312" w:hAnsi="仿宋_GB2312" w:cs="仿宋_GB2312" w:eastAsia="仿宋_GB2312"/>
                <w:sz w:val="24"/>
                <w:color w:val="000000"/>
              </w:rPr>
              <w:t>认真做好检查供排水、电力等设施设备运行状况巡视，正确填写设施设备检查记录，发现问题当天上报并及时处理，严禁设备带病运行。</w:t>
            </w:r>
          </w:p>
          <w:p>
            <w:pPr>
              <w:pStyle w:val="null3"/>
              <w:ind w:firstLine="480"/>
              <w:jc w:val="both"/>
            </w:pPr>
            <w:r>
              <w:rPr>
                <w:rFonts w:ascii="仿宋_GB2312" w:hAnsi="仿宋_GB2312" w:cs="仿宋_GB2312" w:eastAsia="仿宋_GB2312"/>
                <w:sz w:val="24"/>
                <w:color w:val="000000"/>
              </w:rPr>
              <w:t>认真做好监控处理系统运行数据，正确填写运行记录，数据异常要当天上报并及时处理。</w:t>
            </w:r>
          </w:p>
          <w:p>
            <w:pPr>
              <w:pStyle w:val="null3"/>
              <w:ind w:firstLine="480"/>
              <w:jc w:val="both"/>
            </w:pPr>
            <w:r>
              <w:rPr>
                <w:rFonts w:ascii="仿宋_GB2312" w:hAnsi="仿宋_GB2312" w:cs="仿宋_GB2312" w:eastAsia="仿宋_GB2312"/>
                <w:sz w:val="24"/>
                <w:color w:val="000000"/>
              </w:rPr>
              <w:t>四、管理标准</w:t>
            </w:r>
          </w:p>
          <w:p>
            <w:pPr>
              <w:pStyle w:val="null3"/>
              <w:ind w:firstLine="480"/>
              <w:jc w:val="both"/>
            </w:pPr>
            <w:r>
              <w:rPr>
                <w:rFonts w:ascii="仿宋_GB2312" w:hAnsi="仿宋_GB2312" w:cs="仿宋_GB2312" w:eastAsia="仿宋_GB2312"/>
                <w:sz w:val="24"/>
                <w:color w:val="000000"/>
              </w:rPr>
              <w:t>随时保持管护区域的清洁卫生，管护区域垃圾每天清理，垃圾不过夜。</w:t>
            </w:r>
          </w:p>
          <w:p>
            <w:pPr>
              <w:pStyle w:val="null3"/>
              <w:ind w:firstLine="480"/>
              <w:jc w:val="both"/>
            </w:pPr>
            <w:r>
              <w:rPr>
                <w:rFonts w:ascii="仿宋_GB2312" w:hAnsi="仿宋_GB2312" w:cs="仿宋_GB2312" w:eastAsia="仿宋_GB2312"/>
                <w:sz w:val="24"/>
                <w:color w:val="000000"/>
              </w:rPr>
              <w:t>对管护区内的绿化要定期开展除草和养护工作，保持良好的绿化效果。</w:t>
            </w:r>
          </w:p>
          <w:p>
            <w:pPr>
              <w:pStyle w:val="null3"/>
              <w:ind w:firstLine="480"/>
              <w:jc w:val="both"/>
            </w:pPr>
            <w:r>
              <w:rPr>
                <w:rFonts w:ascii="仿宋_GB2312" w:hAnsi="仿宋_GB2312" w:cs="仿宋_GB2312" w:eastAsia="仿宋_GB2312"/>
                <w:sz w:val="24"/>
                <w:color w:val="000000"/>
              </w:rPr>
              <w:t>不得在指定地点以外的任何地方堆放物品，每天对责任区设备（设施）进行清扫擦拭，不得有油渍、积尘和蜘蛛网等情况，不允许在设备上搭杆及拉挂铁丝及绳索晾挂物品，晾晒清洗物件需在指定地点。</w:t>
            </w:r>
          </w:p>
          <w:p>
            <w:pPr>
              <w:pStyle w:val="null3"/>
              <w:ind w:firstLine="480"/>
              <w:jc w:val="both"/>
            </w:pPr>
            <w:r>
              <w:rPr>
                <w:rFonts w:ascii="仿宋_GB2312" w:hAnsi="仿宋_GB2312" w:cs="仿宋_GB2312" w:eastAsia="仿宋_GB2312"/>
                <w:sz w:val="24"/>
                <w:color w:val="000000"/>
              </w:rPr>
              <w:t>每天对管护区内沟道进行清理，保持沟道的畅通。</w:t>
            </w:r>
          </w:p>
          <w:p>
            <w:pPr>
              <w:pStyle w:val="null3"/>
              <w:ind w:firstLine="480"/>
              <w:jc w:val="both"/>
            </w:pPr>
            <w:r>
              <w:rPr>
                <w:rFonts w:ascii="仿宋_GB2312" w:hAnsi="仿宋_GB2312" w:cs="仿宋_GB2312" w:eastAsia="仿宋_GB2312"/>
                <w:sz w:val="24"/>
                <w:color w:val="000000"/>
              </w:rPr>
              <w:t>做好管护区安全保障工作，禁止一切无关人员及车辆进管护区，夜间应不定期进行巡视，确保管护内财产安全，确保防火、防盗、防汛、人员安全。</w:t>
            </w:r>
          </w:p>
          <w:p>
            <w:pPr>
              <w:pStyle w:val="null3"/>
              <w:ind w:firstLine="480"/>
              <w:jc w:val="both"/>
            </w:pPr>
            <w:r>
              <w:rPr>
                <w:rFonts w:ascii="仿宋_GB2312" w:hAnsi="仿宋_GB2312" w:cs="仿宋_GB2312" w:eastAsia="仿宋_GB2312"/>
                <w:sz w:val="24"/>
                <w:color w:val="000000"/>
              </w:rPr>
              <w:t>出现突发事件，要做好应急处理和现场保护，并于当天向当地相关部门报告。</w:t>
            </w:r>
          </w:p>
          <w:p>
            <w:pPr>
              <w:pStyle w:val="null3"/>
              <w:ind w:firstLine="480"/>
              <w:jc w:val="both"/>
            </w:pPr>
            <w:r>
              <w:rPr>
                <w:rFonts w:ascii="仿宋_GB2312" w:hAnsi="仿宋_GB2312" w:cs="仿宋_GB2312" w:eastAsia="仿宋_GB2312"/>
                <w:sz w:val="24"/>
                <w:color w:val="000000"/>
              </w:rPr>
              <w:t>五、作业管理标准</w:t>
            </w:r>
          </w:p>
          <w:p>
            <w:pPr>
              <w:pStyle w:val="null3"/>
              <w:ind w:firstLine="480"/>
              <w:jc w:val="both"/>
            </w:pPr>
            <w:r>
              <w:rPr>
                <w:rFonts w:ascii="仿宋_GB2312" w:hAnsi="仿宋_GB2312" w:cs="仿宋_GB2312" w:eastAsia="仿宋_GB2312"/>
                <w:sz w:val="24"/>
                <w:color w:val="000000"/>
              </w:rPr>
              <w:t>渗滤液进水水质符合设计进水水质要求，以及符合《生活垃圾填埋场污染控制标准》（</w:t>
            </w:r>
            <w:r>
              <w:rPr>
                <w:rFonts w:ascii="仿宋_GB2312" w:hAnsi="仿宋_GB2312" w:cs="仿宋_GB2312" w:eastAsia="仿宋_GB2312"/>
                <w:sz w:val="24"/>
                <w:color w:val="000000"/>
              </w:rPr>
              <w:t>GB16889—20</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）中填埋废物的入场要求的情况下，出水水质达到生活垃圾填埋场污染控制标准（</w:t>
            </w:r>
            <w:r>
              <w:rPr>
                <w:rFonts w:ascii="仿宋_GB2312" w:hAnsi="仿宋_GB2312" w:cs="仿宋_GB2312" w:eastAsia="仿宋_GB2312"/>
                <w:sz w:val="24"/>
                <w:color w:val="000000"/>
              </w:rPr>
              <w:t>GB1688</w:t>
            </w:r>
            <w:r>
              <w:rPr>
                <w:rFonts w:ascii="仿宋_GB2312" w:hAnsi="仿宋_GB2312" w:cs="仿宋_GB2312" w:eastAsia="仿宋_GB2312"/>
                <w:sz w:val="24"/>
                <w:color w:val="000000"/>
              </w:rPr>
              <w:t>9</w:t>
            </w:r>
            <w:r>
              <w:rPr>
                <w:rFonts w:ascii="仿宋_GB2312" w:hAnsi="仿宋_GB2312" w:cs="仿宋_GB2312" w:eastAsia="仿宋_GB2312"/>
                <w:sz w:val="24"/>
                <w:color w:val="000000"/>
              </w:rPr>
              <w:t>—20</w:t>
            </w:r>
            <w:r>
              <w:rPr>
                <w:rFonts w:ascii="仿宋_GB2312" w:hAnsi="仿宋_GB2312" w:cs="仿宋_GB2312" w:eastAsia="仿宋_GB2312"/>
                <w:sz w:val="24"/>
                <w:color w:val="000000"/>
              </w:rPr>
              <w:t>24</w:t>
            </w:r>
            <w:r>
              <w:rPr>
                <w:rFonts w:ascii="仿宋_GB2312" w:hAnsi="仿宋_GB2312" w:cs="仿宋_GB2312" w:eastAsia="仿宋_GB2312"/>
                <w:sz w:val="24"/>
                <w:color w:val="000000"/>
              </w:rPr>
              <w:t>）表</w:t>
            </w:r>
            <w:r>
              <w:rPr>
                <w:rFonts w:ascii="仿宋_GB2312" w:hAnsi="仿宋_GB2312" w:cs="仿宋_GB2312" w:eastAsia="仿宋_GB2312"/>
                <w:sz w:val="24"/>
                <w:color w:val="000000"/>
              </w:rPr>
              <w:t>2排放标准。</w:t>
            </w:r>
          </w:p>
          <w:p>
            <w:pPr>
              <w:pStyle w:val="null3"/>
              <w:ind w:firstLine="480"/>
              <w:jc w:val="both"/>
            </w:pPr>
            <w:r>
              <w:rPr>
                <w:rFonts w:ascii="仿宋_GB2312" w:hAnsi="仿宋_GB2312" w:cs="仿宋_GB2312" w:eastAsia="仿宋_GB2312"/>
                <w:sz w:val="24"/>
                <w:color w:val="000000"/>
              </w:rPr>
              <w:t>在运行管护期内，保证平均每月正常运行时间不低于</w:t>
            </w:r>
            <w:r>
              <w:rPr>
                <w:rFonts w:ascii="仿宋_GB2312" w:hAnsi="仿宋_GB2312" w:cs="仿宋_GB2312" w:eastAsia="仿宋_GB2312"/>
                <w:sz w:val="24"/>
                <w:color w:val="000000"/>
              </w:rPr>
              <w:t>27日（每日：0时—24时）。</w:t>
            </w:r>
          </w:p>
          <w:p>
            <w:pPr>
              <w:pStyle w:val="null3"/>
              <w:ind w:firstLine="480"/>
              <w:jc w:val="both"/>
            </w:pPr>
            <w:r>
              <w:rPr>
                <w:rFonts w:ascii="仿宋_GB2312" w:hAnsi="仿宋_GB2312" w:cs="仿宋_GB2312" w:eastAsia="仿宋_GB2312"/>
                <w:sz w:val="24"/>
                <w:color w:val="000000"/>
              </w:rPr>
              <w:t>渗漏液进水水质符合设计要求时，每日渗滤液处理达标排放水量应保证不低于进水量。</w:t>
            </w:r>
          </w:p>
          <w:p>
            <w:pPr>
              <w:pStyle w:val="null3"/>
              <w:ind w:firstLine="480"/>
              <w:jc w:val="both"/>
            </w:pPr>
            <w:r>
              <w:rPr>
                <w:rFonts w:ascii="仿宋_GB2312" w:hAnsi="仿宋_GB2312" w:cs="仿宋_GB2312" w:eastAsia="仿宋_GB2312"/>
                <w:sz w:val="24"/>
                <w:color w:val="000000"/>
              </w:rPr>
              <w:t>制定</w:t>
            </w:r>
            <w:r>
              <w:rPr>
                <w:rFonts w:ascii="仿宋_GB2312" w:hAnsi="仿宋_GB2312" w:cs="仿宋_GB2312" w:eastAsia="仿宋_GB2312"/>
                <w:sz w:val="24"/>
                <w:color w:val="000000"/>
              </w:rPr>
              <w:t>突发性环保事故</w:t>
            </w:r>
            <w:r>
              <w:rPr>
                <w:rFonts w:ascii="仿宋_GB2312" w:hAnsi="仿宋_GB2312" w:cs="仿宋_GB2312" w:eastAsia="仿宋_GB2312"/>
                <w:sz w:val="24"/>
                <w:color w:val="000000"/>
              </w:rPr>
              <w:t>应急预案，针对极端气候或地质灾害有应急处置措施，确保渗滤液无外漏等污染情况发生。</w:t>
            </w:r>
          </w:p>
          <w:p>
            <w:pPr>
              <w:pStyle w:val="null3"/>
              <w:jc w:val="left"/>
            </w:pPr>
            <w:r>
              <w:rPr>
                <w:rFonts w:ascii="仿宋_GB2312" w:hAnsi="仿宋_GB2312" w:cs="仿宋_GB2312" w:eastAsia="仿宋_GB2312"/>
                <w:sz w:val="24"/>
                <w:color w:val="000000"/>
              </w:rPr>
              <w:t>制定有限空间应急预案、危化品应急预案、应急逃生预案。除以上编制预案外，包括但不限于上级临时性发文新增应急预案及编制等。</w:t>
            </w:r>
          </w:p>
          <w:p>
            <w:pPr>
              <w:pStyle w:val="null3"/>
              <w:jc w:val="left"/>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3</w:t>
            </w:r>
          </w:p>
          <w:p>
            <w:pPr>
              <w:pStyle w:val="null3"/>
              <w:jc w:val="center"/>
            </w:pPr>
            <w:r>
              <w:rPr>
                <w:rFonts w:ascii="仿宋_GB2312" w:hAnsi="仿宋_GB2312" w:cs="仿宋_GB2312" w:eastAsia="仿宋_GB2312"/>
                <w:sz w:val="24"/>
                <w:color w:val="000000"/>
              </w:rPr>
              <w:t>都江堰市生活垃圾填埋场渗滤液处理评分标准</w:t>
            </w:r>
          </w:p>
          <w:p>
            <w:pPr>
              <w:pStyle w:val="null3"/>
              <w:jc w:val="both"/>
            </w:pPr>
            <w:r>
              <w:rPr>
                <w:rFonts w:ascii="仿宋_GB2312" w:hAnsi="仿宋_GB2312" w:cs="仿宋_GB2312" w:eastAsia="仿宋_GB2312"/>
                <w:sz w:val="24"/>
                <w:color w:val="000000"/>
              </w:rPr>
              <w:t>日期：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考核人员：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处置站人员：</w:t>
            </w:r>
          </w:p>
          <w:tbl>
            <w:tblPr>
              <w:tblBorders>
                <w:top w:val="none" w:color="000000" w:sz="4"/>
                <w:left w:val="none" w:color="000000" w:sz="4"/>
                <w:bottom w:val="none" w:color="000000" w:sz="4"/>
                <w:right w:val="none" w:color="000000" w:sz="4"/>
                <w:insideH w:val="none"/>
                <w:insideV w:val="none"/>
              </w:tblBorders>
            </w:tblPr>
            <w:tblGrid>
              <w:gridCol w:w="313"/>
              <w:gridCol w:w="313"/>
              <w:gridCol w:w="313"/>
              <w:gridCol w:w="2983"/>
              <w:gridCol w:w="1037"/>
              <w:gridCol w:w="638"/>
            </w:tblGrid>
            <w:tr>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序号</w:t>
                  </w:r>
                </w:p>
              </w:tc>
              <w:tc>
                <w:tcPr>
                  <w:tcW w:type="dxa" w:w="3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考核项目</w:t>
                  </w:r>
                </w:p>
              </w:tc>
              <w:tc>
                <w:tcPr>
                  <w:tcW w:type="dxa" w:w="3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计分权重</w:t>
                  </w:r>
                </w:p>
                <w:p>
                  <w:pPr>
                    <w:pStyle w:val="null3"/>
                    <w:jc w:val="center"/>
                  </w:pPr>
                  <w:r>
                    <w:rPr>
                      <w:rFonts w:ascii="仿宋_GB2312" w:hAnsi="仿宋_GB2312" w:cs="仿宋_GB2312" w:eastAsia="仿宋_GB2312"/>
                      <w:sz w:val="24"/>
                      <w:color w:val="000000"/>
                    </w:rPr>
                    <w:t>（总分</w:t>
                  </w:r>
                  <w:r>
                    <w:rPr>
                      <w:rFonts w:ascii="仿宋_GB2312" w:hAnsi="仿宋_GB2312" w:cs="仿宋_GB2312" w:eastAsia="仿宋_GB2312"/>
                      <w:sz w:val="24"/>
                      <w:color w:val="000000"/>
                    </w:rPr>
                    <w:t>100分）</w:t>
                  </w:r>
                </w:p>
              </w:tc>
              <w:tc>
                <w:tcPr>
                  <w:tcW w:type="dxa" w:w="29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考核内容及标准</w:t>
                  </w:r>
                </w:p>
              </w:tc>
              <w:tc>
                <w:tcPr>
                  <w:tcW w:type="dxa" w:w="10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扣分标准</w:t>
                  </w:r>
                </w:p>
              </w:tc>
              <w:tc>
                <w:tcPr>
                  <w:tcW w:type="dxa" w:w="6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得分</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1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人员管理方面</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上班期间应正确着装，保持良好工作形象并符合安全工作的要求。</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1分/人。</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正确使用设备设施，严格执行各项设备设施的操作规程，禁止违规操作。</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认真做好人员交接班记录。</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人员不得脱岗、离岗。</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认真做好检查设备运行状况巡视，正确填写设施设备检查记录，发现问题当天上报及时处理，严禁设备带病运行。</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认真做好监控处理系统运行数据，正确填写运行记录，数据异常要当天上报及时处理。</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31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站内管理方面</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随时保持管护区域的清洁卫生，管护区域垃圾每天清理，垃圾不过夜。</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2分/次。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对责任区内的绿化要定期开展除草和养护工作，保持良好的绿化效果。</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2分/次。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不得在指定地点以外的任何地方堆放物品，每天管护区设备（设施）进行清扫擦拭，不得有油渍、积尘和蜘蛛网等情况，不允许在设备上搭杆及拉挂铁丝及绳索晾挂物品，晾晒清洗物件需在指定地点。</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2分/处。</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每天对管护区内沟道进行清理，保持沟道的畅通。</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2分/次。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做好管护区内安全保障工作，禁止一切无关人员及车辆进站，夜间应不定期进行巡视，确保管护内财产安全，确保防火、防盗、防汛、人员安全。</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出现突发事件，要做好应急处理和现场保护，并于当天向当地相关部门报告。</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2分/次。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31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作业管理方面</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渗滤液进水水质符合设计进水水质要求，以及符合《生活垃圾填埋场污染控制标准》（</w:t>
                  </w:r>
                  <w:r>
                    <w:rPr>
                      <w:rFonts w:ascii="仿宋_GB2312" w:hAnsi="仿宋_GB2312" w:cs="仿宋_GB2312" w:eastAsia="仿宋_GB2312"/>
                      <w:sz w:val="24"/>
                      <w:color w:val="000000"/>
                    </w:rPr>
                    <w:t>GB16889—2024）中填埋废物的入场要求的情况下，出水水质达到生活垃圾填埋场污染控制标准（GB16880—2024）表2排放标准。</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未达要求，扣</w:t>
                  </w:r>
                  <w:r>
                    <w:rPr>
                      <w:rFonts w:ascii="仿宋_GB2312" w:hAnsi="仿宋_GB2312" w:cs="仿宋_GB2312" w:eastAsia="仿宋_GB2312"/>
                      <w:sz w:val="24"/>
                      <w:color w:val="000000"/>
                    </w:rPr>
                    <w:t>10分/次。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在运行管护期内，保证平均每月正常运行时间不低于</w:t>
                  </w:r>
                  <w:r>
                    <w:rPr>
                      <w:rFonts w:ascii="仿宋_GB2312" w:hAnsi="仿宋_GB2312" w:cs="仿宋_GB2312" w:eastAsia="仿宋_GB2312"/>
                      <w:sz w:val="24"/>
                      <w:color w:val="000000"/>
                    </w:rPr>
                    <w:t>27日（每日：0时—24时）。</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未达要求，少一天扣</w:t>
                  </w:r>
                  <w:r>
                    <w:rPr>
                      <w:rFonts w:ascii="仿宋_GB2312" w:hAnsi="仿宋_GB2312" w:cs="仿宋_GB2312" w:eastAsia="仿宋_GB2312"/>
                      <w:sz w:val="24"/>
                      <w:color w:val="000000"/>
                    </w:rPr>
                    <w:t>5分/次。</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渗漏液进水水质符合设计要求时，每日渗滤液处理须达标排放。</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每月须附第三方检测公司检测报告，如报告指标出现超标情况，扣</w:t>
                  </w:r>
                  <w:r>
                    <w:rPr>
                      <w:rFonts w:ascii="仿宋_GB2312" w:hAnsi="仿宋_GB2312" w:cs="仿宋_GB2312" w:eastAsia="仿宋_GB2312"/>
                      <w:sz w:val="24"/>
                      <w:color w:val="000000"/>
                    </w:rPr>
                    <w:t>5分。</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313"/>
                  <w:vMerge/>
                  <w:tcBorders>
                    <w:top w:val="non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有应急预案，遇极端天气或地质灾害时，应急处置措施及时、合理。</w:t>
                  </w:r>
                </w:p>
              </w:tc>
              <w:tc>
                <w:tcPr>
                  <w:tcW w:type="dxa" w:w="10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无应急预案，扣</w:t>
                  </w:r>
                  <w:r>
                    <w:rPr>
                      <w:rFonts w:ascii="仿宋_GB2312" w:hAnsi="仿宋_GB2312" w:cs="仿宋_GB2312" w:eastAsia="仿宋_GB2312"/>
                      <w:sz w:val="24"/>
                      <w:color w:val="000000"/>
                    </w:rPr>
                    <w:t>5分；</w:t>
                  </w:r>
                </w:p>
                <w:p>
                  <w:pPr>
                    <w:pStyle w:val="null3"/>
                    <w:jc w:val="center"/>
                  </w:pPr>
                  <w:r>
                    <w:rPr>
                      <w:rFonts w:ascii="仿宋_GB2312" w:hAnsi="仿宋_GB2312" w:cs="仿宋_GB2312" w:eastAsia="仿宋_GB2312"/>
                      <w:sz w:val="24"/>
                      <w:color w:val="000000"/>
                    </w:rPr>
                    <w:t>应急处置措施不到位，扣</w:t>
                  </w:r>
                  <w:r>
                    <w:rPr>
                      <w:rFonts w:ascii="仿宋_GB2312" w:hAnsi="仿宋_GB2312" w:cs="仿宋_GB2312" w:eastAsia="仿宋_GB2312"/>
                      <w:sz w:val="24"/>
                      <w:color w:val="000000"/>
                    </w:rPr>
                    <w:t>10分。</w:t>
                  </w:r>
                </w:p>
              </w:tc>
              <w:tc>
                <w:tcPr>
                  <w:tcW w:type="dxa" w:w="6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都江堰市生活垃圾填埋场渗滤液处理加减分标准</w:t>
            </w:r>
          </w:p>
          <w:p>
            <w:pPr>
              <w:pStyle w:val="null3"/>
              <w:jc w:val="both"/>
            </w:pPr>
            <w:r>
              <w:rPr>
                <w:rFonts w:ascii="仿宋_GB2312" w:hAnsi="仿宋_GB2312" w:cs="仿宋_GB2312" w:eastAsia="仿宋_GB2312"/>
                <w:sz w:val="24"/>
                <w:color w:val="000000"/>
              </w:rPr>
              <w:t>一、加分奖励</w:t>
            </w:r>
          </w:p>
          <w:p>
            <w:pPr>
              <w:pStyle w:val="null3"/>
              <w:ind w:firstLine="480"/>
              <w:jc w:val="both"/>
            </w:pPr>
            <w:r>
              <w:rPr>
                <w:rFonts w:ascii="仿宋_GB2312" w:hAnsi="仿宋_GB2312" w:cs="仿宋_GB2312" w:eastAsia="仿宋_GB2312"/>
                <w:sz w:val="24"/>
                <w:color w:val="000000"/>
              </w:rPr>
              <w:t>（一）受到成都市级以上媒体正面报道的，每次加</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分；受到本级媒体正面报道的，每次加</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（二）受到都江堰市委、市政府，成都市委、市政府，省委、省政府表扬的分别加</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w:t>
            </w:r>
            <w:r>
              <w:rPr>
                <w:rFonts w:ascii="仿宋_GB2312" w:hAnsi="仿宋_GB2312" w:cs="仿宋_GB2312" w:eastAsia="仿宋_GB2312"/>
                <w:sz w:val="24"/>
                <w:color w:val="000000"/>
              </w:rPr>
              <w:t>5</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（三）被</w:t>
            </w:r>
            <w:r>
              <w:rPr>
                <w:rFonts w:ascii="仿宋_GB2312" w:hAnsi="仿宋_GB2312" w:cs="仿宋_GB2312" w:eastAsia="仿宋_GB2312"/>
                <w:sz w:val="24"/>
                <w:color w:val="000000"/>
              </w:rPr>
              <w:t>市综合执法局</w:t>
            </w:r>
            <w:r>
              <w:rPr>
                <w:rFonts w:ascii="仿宋_GB2312" w:hAnsi="仿宋_GB2312" w:cs="仿宋_GB2312" w:eastAsia="仿宋_GB2312"/>
                <w:sz w:val="24"/>
                <w:color w:val="000000"/>
              </w:rPr>
              <w:t>主要负责人表扬的，每次加</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分，被都江堰市级以上领导表扬的，每次加</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（四）各类突发事件、重大事件，处理（保障）及时，加</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二、扣分处罚</w:t>
            </w:r>
          </w:p>
          <w:p>
            <w:pPr>
              <w:pStyle w:val="null3"/>
              <w:ind w:firstLine="480"/>
              <w:jc w:val="both"/>
            </w:pPr>
            <w:r>
              <w:rPr>
                <w:rFonts w:ascii="仿宋_GB2312" w:hAnsi="仿宋_GB2312" w:cs="仿宋_GB2312" w:eastAsia="仿宋_GB2312"/>
                <w:sz w:val="24"/>
                <w:color w:val="000000"/>
              </w:rPr>
              <w:t>（一）受到成都市级以上媒体负面报道的，每次扣</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分；受到本级媒体负面报道的，每次扣</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（二）受到都江堰市委、市政府，成都市委、市政府，省委、省政府批评的分别扣</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w:t>
            </w:r>
            <w:r>
              <w:rPr>
                <w:rFonts w:ascii="仿宋_GB2312" w:hAnsi="仿宋_GB2312" w:cs="仿宋_GB2312" w:eastAsia="仿宋_GB2312"/>
                <w:sz w:val="24"/>
                <w:color w:val="000000"/>
              </w:rPr>
              <w:t>6</w:t>
            </w:r>
            <w:r>
              <w:rPr>
                <w:rFonts w:ascii="仿宋_GB2312" w:hAnsi="仿宋_GB2312" w:cs="仿宋_GB2312" w:eastAsia="仿宋_GB2312"/>
                <w:sz w:val="24"/>
                <w:color w:val="000000"/>
              </w:rPr>
              <w:t>分、</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（三）被</w:t>
            </w:r>
            <w:r>
              <w:rPr>
                <w:rFonts w:ascii="仿宋_GB2312" w:hAnsi="仿宋_GB2312" w:cs="仿宋_GB2312" w:eastAsia="仿宋_GB2312"/>
                <w:sz w:val="24"/>
                <w:color w:val="000000"/>
              </w:rPr>
              <w:t>市综合执法局</w:t>
            </w:r>
            <w:r>
              <w:rPr>
                <w:rFonts w:ascii="仿宋_GB2312" w:hAnsi="仿宋_GB2312" w:cs="仿宋_GB2312" w:eastAsia="仿宋_GB2312"/>
                <w:sz w:val="24"/>
                <w:color w:val="000000"/>
              </w:rPr>
              <w:t>负责人点名批评的，每次扣</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分；被都江堰市级以上领导点名批评的，每次扣</w:t>
            </w:r>
            <w:r>
              <w:rPr>
                <w:rFonts w:ascii="仿宋_GB2312" w:hAnsi="仿宋_GB2312" w:cs="仿宋_GB2312" w:eastAsia="仿宋_GB2312"/>
                <w:sz w:val="24"/>
                <w:color w:val="000000"/>
              </w:rPr>
              <w:t>4</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管理维护方面受到群众投诉和举报，经查属实的，每次扣</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p>
          <w:p>
            <w:pPr>
              <w:pStyle w:val="null3"/>
              <w:ind w:firstLine="480"/>
              <w:jc w:val="both"/>
            </w:pPr>
            <w:r>
              <w:rPr>
                <w:rFonts w:ascii="仿宋_GB2312" w:hAnsi="仿宋_GB2312" w:cs="仿宋_GB2312" w:eastAsia="仿宋_GB2312"/>
                <w:sz w:val="24"/>
                <w:color w:val="000000"/>
              </w:rPr>
              <w:t>（五）各类突发事件、重大事件，处理（保障）不及时，扣</w:t>
            </w:r>
            <w:r>
              <w:rPr>
                <w:rFonts w:ascii="仿宋_GB2312" w:hAnsi="仿宋_GB2312" w:cs="仿宋_GB2312" w:eastAsia="仿宋_GB2312"/>
                <w:sz w:val="24"/>
                <w:color w:val="000000"/>
              </w:rPr>
              <w:t>2</w:t>
            </w:r>
            <w:r>
              <w:rPr>
                <w:rFonts w:ascii="仿宋_GB2312" w:hAnsi="仿宋_GB2312" w:cs="仿宋_GB2312" w:eastAsia="仿宋_GB2312"/>
                <w:sz w:val="24"/>
                <w:color w:val="000000"/>
              </w:rPr>
              <w:t>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实施要求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投标人提供</w:t>
            </w:r>
            <w:r>
              <w:rPr>
                <w:rFonts w:ascii="仿宋_GB2312" w:hAnsi="仿宋_GB2312" w:cs="仿宋_GB2312" w:eastAsia="仿宋_GB2312"/>
                <w:sz w:val="24"/>
              </w:rPr>
              <w:t>项目理解程度方案，包含</w:t>
            </w:r>
            <w:r>
              <w:rPr>
                <w:rFonts w:ascii="仿宋_GB2312" w:hAnsi="仿宋_GB2312" w:cs="仿宋_GB2312" w:eastAsia="仿宋_GB2312"/>
                <w:sz w:val="24"/>
              </w:rPr>
              <w:t>①</w:t>
            </w:r>
            <w:r>
              <w:rPr>
                <w:rFonts w:ascii="仿宋_GB2312" w:hAnsi="仿宋_GB2312" w:cs="仿宋_GB2312" w:eastAsia="仿宋_GB2312"/>
                <w:sz w:val="24"/>
              </w:rPr>
              <w:t>项目背景、作业区域的了解</w:t>
            </w:r>
            <w:r>
              <w:rPr>
                <w:rFonts w:ascii="仿宋_GB2312" w:hAnsi="仿宋_GB2312" w:cs="仿宋_GB2312" w:eastAsia="仿宋_GB2312"/>
                <w:sz w:val="24"/>
              </w:rPr>
              <w:t>、</w:t>
            </w:r>
            <w:r>
              <w:rPr>
                <w:rFonts w:ascii="仿宋_GB2312" w:hAnsi="仿宋_GB2312" w:cs="仿宋_GB2312" w:eastAsia="仿宋_GB2312"/>
                <w:sz w:val="24"/>
              </w:rPr>
              <w:t>描述</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项目目标</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难点分析</w:t>
            </w:r>
            <w:r>
              <w:rPr>
                <w:rFonts w:ascii="仿宋_GB2312" w:hAnsi="仿宋_GB2312" w:cs="仿宋_GB2312" w:eastAsia="仿宋_GB2312"/>
                <w:sz w:val="24"/>
              </w:rPr>
              <w:t>。</w:t>
            </w:r>
          </w:p>
          <w:p>
            <w:pPr>
              <w:pStyle w:val="null3"/>
              <w:jc w:val="left"/>
            </w:pPr>
            <w:r>
              <w:rPr>
                <w:rFonts w:ascii="仿宋_GB2312" w:hAnsi="仿宋_GB2312" w:cs="仿宋_GB2312" w:eastAsia="仿宋_GB2312"/>
              </w:rPr>
              <w:t>2、</w:t>
            </w:r>
            <w:r>
              <w:rPr>
                <w:rFonts w:ascii="仿宋_GB2312" w:hAnsi="仿宋_GB2312" w:cs="仿宋_GB2312" w:eastAsia="仿宋_GB2312"/>
                <w:sz w:val="24"/>
              </w:rPr>
              <w:t>投标人提供工艺运行情况，包含</w:t>
            </w:r>
            <w:r>
              <w:rPr>
                <w:rFonts w:ascii="仿宋_GB2312" w:hAnsi="仿宋_GB2312" w:cs="仿宋_GB2312" w:eastAsia="仿宋_GB2312"/>
                <w:sz w:val="24"/>
              </w:rPr>
              <w:t>①</w:t>
            </w:r>
            <w:r>
              <w:rPr>
                <w:rFonts w:ascii="仿宋_GB2312" w:hAnsi="仿宋_GB2312" w:cs="仿宋_GB2312" w:eastAsia="仿宋_GB2312"/>
                <w:sz w:val="24"/>
              </w:rPr>
              <w:t>工艺技术分析</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设备运行技术分析</w:t>
            </w:r>
            <w:r>
              <w:rPr>
                <w:rFonts w:ascii="仿宋_GB2312" w:hAnsi="仿宋_GB2312" w:cs="仿宋_GB2312" w:eastAsia="仿宋_GB2312"/>
                <w:sz w:val="24"/>
              </w:rPr>
              <w:t>。</w:t>
            </w:r>
          </w:p>
          <w:p>
            <w:pPr>
              <w:pStyle w:val="null3"/>
              <w:jc w:val="left"/>
            </w:pPr>
            <w:r>
              <w:rPr>
                <w:rFonts w:ascii="仿宋_GB2312" w:hAnsi="仿宋_GB2312" w:cs="仿宋_GB2312" w:eastAsia="仿宋_GB2312"/>
              </w:rPr>
              <w:t>3、</w:t>
            </w:r>
            <w:r>
              <w:rPr>
                <w:rFonts w:ascii="仿宋_GB2312" w:hAnsi="仿宋_GB2312" w:cs="仿宋_GB2312" w:eastAsia="仿宋_GB2312"/>
                <w:sz w:val="24"/>
              </w:rPr>
              <w:t>投标人提供</w:t>
            </w:r>
            <w:r>
              <w:rPr>
                <w:rFonts w:ascii="仿宋_GB2312" w:hAnsi="仿宋_GB2312" w:cs="仿宋_GB2312" w:eastAsia="仿宋_GB2312"/>
                <w:sz w:val="24"/>
              </w:rPr>
              <w:t>系统运维实施方案，包含</w:t>
            </w:r>
            <w:r>
              <w:rPr>
                <w:rFonts w:ascii="仿宋_GB2312" w:hAnsi="仿宋_GB2312" w:cs="仿宋_GB2312" w:eastAsia="仿宋_GB2312"/>
                <w:sz w:val="24"/>
              </w:rPr>
              <w:t>①</w:t>
            </w:r>
            <w:r>
              <w:rPr>
                <w:rFonts w:ascii="仿宋_GB2312" w:hAnsi="仿宋_GB2312" w:cs="仿宋_GB2312" w:eastAsia="仿宋_GB2312"/>
                <w:sz w:val="24"/>
              </w:rPr>
              <w:t>系统工艺运维方案</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设备操作及运维方案</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故障维修方案</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质量控制措施</w:t>
            </w:r>
            <w:r>
              <w:rPr>
                <w:rFonts w:ascii="仿宋_GB2312" w:hAnsi="仿宋_GB2312" w:cs="仿宋_GB2312" w:eastAsia="仿宋_GB2312"/>
                <w:sz w:val="24"/>
              </w:rPr>
              <w:t>。</w:t>
            </w:r>
          </w:p>
          <w:p>
            <w:pPr>
              <w:pStyle w:val="null3"/>
              <w:jc w:val="left"/>
            </w:pPr>
            <w:r>
              <w:rPr>
                <w:rFonts w:ascii="仿宋_GB2312" w:hAnsi="仿宋_GB2312" w:cs="仿宋_GB2312" w:eastAsia="仿宋_GB2312"/>
              </w:rPr>
              <w:t>4、</w:t>
            </w:r>
            <w:r>
              <w:rPr>
                <w:rFonts w:ascii="仿宋_GB2312" w:hAnsi="仿宋_GB2312" w:cs="仿宋_GB2312" w:eastAsia="仿宋_GB2312"/>
                <w:sz w:val="24"/>
              </w:rPr>
              <w:t>投标人提供</w:t>
            </w:r>
            <w:r>
              <w:rPr>
                <w:rFonts w:ascii="仿宋_GB2312" w:hAnsi="仿宋_GB2312" w:cs="仿宋_GB2312" w:eastAsia="仿宋_GB2312"/>
                <w:sz w:val="24"/>
              </w:rPr>
              <w:t>项目管理方案，包含</w:t>
            </w:r>
            <w:r>
              <w:rPr>
                <w:rFonts w:ascii="仿宋_GB2312" w:hAnsi="仿宋_GB2312" w:cs="仿宋_GB2312" w:eastAsia="仿宋_GB2312"/>
                <w:sz w:val="24"/>
              </w:rPr>
              <w:t>①机构设置；②管理制度；③人员分工；④人</w:t>
            </w:r>
            <w:r>
              <w:rPr>
                <w:rFonts w:ascii="仿宋_GB2312" w:hAnsi="仿宋_GB2312" w:cs="仿宋_GB2312" w:eastAsia="仿宋_GB2312"/>
                <w:sz w:val="24"/>
              </w:rPr>
              <w:t>员培训计划；⑤设备运行管理。</w:t>
            </w:r>
          </w:p>
          <w:p>
            <w:pPr>
              <w:pStyle w:val="null3"/>
              <w:jc w:val="left"/>
            </w:pPr>
            <w:r>
              <w:rPr>
                <w:rFonts w:ascii="仿宋_GB2312" w:hAnsi="仿宋_GB2312" w:cs="仿宋_GB2312" w:eastAsia="仿宋_GB2312"/>
              </w:rPr>
              <w:t>5、</w:t>
            </w:r>
            <w:r>
              <w:rPr>
                <w:rFonts w:ascii="仿宋_GB2312" w:hAnsi="仿宋_GB2312" w:cs="仿宋_GB2312" w:eastAsia="仿宋_GB2312"/>
                <w:sz w:val="24"/>
              </w:rPr>
              <w:t>投标人提供</w:t>
            </w:r>
            <w:r>
              <w:rPr>
                <w:rFonts w:ascii="仿宋_GB2312" w:hAnsi="仿宋_GB2312" w:cs="仿宋_GB2312" w:eastAsia="仿宋_GB2312"/>
                <w:sz w:val="24"/>
              </w:rPr>
              <w:t>应急</w:t>
            </w:r>
            <w:r>
              <w:rPr>
                <w:rFonts w:ascii="仿宋_GB2312" w:hAnsi="仿宋_GB2312" w:cs="仿宋_GB2312" w:eastAsia="仿宋_GB2312"/>
                <w:sz w:val="24"/>
              </w:rPr>
              <w:t>安全</w:t>
            </w:r>
            <w:r>
              <w:rPr>
                <w:rFonts w:ascii="仿宋_GB2312" w:hAnsi="仿宋_GB2312" w:cs="仿宋_GB2312" w:eastAsia="仿宋_GB2312"/>
                <w:sz w:val="24"/>
              </w:rPr>
              <w:t>预案，包含</w:t>
            </w:r>
            <w:r>
              <w:rPr>
                <w:rFonts w:ascii="仿宋_GB2312" w:hAnsi="仿宋_GB2312" w:cs="仿宋_GB2312" w:eastAsia="仿宋_GB2312"/>
                <w:sz w:val="24"/>
              </w:rPr>
              <w:t>①垃圾填埋场应急预案；②渗滤液处理厂应急预案</w:t>
            </w:r>
            <w:r>
              <w:rPr>
                <w:rFonts w:ascii="仿宋_GB2312" w:hAnsi="仿宋_GB2312" w:cs="仿宋_GB2312" w:eastAsia="仿宋_GB2312"/>
                <w:sz w:val="24"/>
              </w:rPr>
              <w:t>；</w:t>
            </w:r>
            <w:r>
              <w:rPr>
                <w:rFonts w:ascii="仿宋_GB2312" w:hAnsi="仿宋_GB2312" w:cs="仿宋_GB2312" w:eastAsia="仿宋_GB2312"/>
                <w:sz w:val="24"/>
              </w:rPr>
              <w:t>③安全管理制度。</w:t>
            </w:r>
          </w:p>
          <w:p>
            <w:pPr>
              <w:pStyle w:val="null3"/>
              <w:jc w:val="left"/>
            </w:pPr>
            <w:r>
              <w:rPr>
                <w:rFonts w:ascii="仿宋_GB2312" w:hAnsi="仿宋_GB2312" w:cs="仿宋_GB2312" w:eastAsia="仿宋_GB2312"/>
                <w:sz w:val="24"/>
              </w:rPr>
              <w:t>6、投标人提供自2023年1月1日（含）至今类似</w:t>
            </w:r>
            <w:r>
              <w:rPr>
                <w:rFonts w:ascii="仿宋_GB2312" w:hAnsi="仿宋_GB2312" w:cs="仿宋_GB2312" w:eastAsia="仿宋_GB2312"/>
                <w:sz w:val="24"/>
              </w:rPr>
              <w:t>项目业绩。</w:t>
            </w:r>
          </w:p>
          <w:p>
            <w:pPr>
              <w:pStyle w:val="null3"/>
              <w:jc w:val="left"/>
            </w:pPr>
            <w:r>
              <w:rPr>
                <w:rFonts w:ascii="仿宋_GB2312" w:hAnsi="仿宋_GB2312" w:cs="仿宋_GB2312" w:eastAsia="仿宋_GB2312"/>
              </w:rPr>
              <w:t>7、</w:t>
            </w:r>
            <w:r>
              <w:rPr>
                <w:rFonts w:ascii="仿宋_GB2312" w:hAnsi="仿宋_GB2312" w:cs="仿宋_GB2312" w:eastAsia="仿宋_GB2312"/>
                <w:sz w:val="24"/>
              </w:rPr>
              <w:t>投标人</w:t>
            </w:r>
            <w:r>
              <w:rPr>
                <w:rFonts w:ascii="仿宋_GB2312" w:hAnsi="仿宋_GB2312" w:cs="仿宋_GB2312" w:eastAsia="仿宋_GB2312"/>
                <w:sz w:val="24"/>
              </w:rPr>
              <w:t>拟派项目负责人具有【环境保护或环境（环保）工程或给排水】相关专业高级职称及以上或中级职称，项目团队中（除项目负责人）具有【环境保护或环境（环保）工程或给排水】相关专业高级职称及以上或中级职称。</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本项目为700万元/年，服务时间为3年，合同一年一签，在合同期限内处理水量及水质必须满足招标文件要求。合同期满后是否续签，需经采购人报上级部门进行审批。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都江堰市向峨垃圾填埋场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成都市市级采购项目履约验收实施细则（试行）》（2026版）、《政府采购需求管理办法》（财库（2021）22号）以及本项目招标文件要求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次一季度第一个月，达到付款条件起30日内，据实结算说明为根据日常管理考核情况、第三方检测单位抽样检测水质达标后据实支付上季度费用。若未达标，采购人有权不支付费用，如因未达标产生的环保问题及责任，由中标人承担</w:t>
            </w:r>
          </w:p>
          <w:p>
            <w:pPr>
              <w:pStyle w:val="null3"/>
              <w:jc w:val="left"/>
            </w:pPr>
            <w:r>
              <w:rPr>
                <w:rFonts w:ascii="仿宋_GB2312" w:hAnsi="仿宋_GB2312" w:cs="仿宋_GB2312" w:eastAsia="仿宋_GB2312"/>
              </w:rPr>
              <w:t>2、次一季度第一个月，达到付款条件起30日内，据实结算说明为根据日常管理考核情况、第三方检测单位抽样检测水质达标后据实支付上季度费用。若未达标，采购人有权不支付费用，如因未达标产生的环保问题及责任，由中标人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(3)合同履行期间,若双方发生争议，可协商或由有关部门调解解决，协商或调解不成的，按照下列方式解决：向采购人所在地人民法院起诉。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因系统模板固化原因，付款要求以此为准： ★1、付款方式：次一季度第一个月内，根据日常管理考核情况、第三方检测单位抽样检测水质达标后据实支付上季度费用。若未达标，采购人有权不支付费用，如因未达标产生的环保问题及责任，由中标人承担。 2、本项目所涉及标准如有更新，按最新版本执行。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并提供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3、若为其他组织：提供“对应主管部门颁发的准许执业证明文件或营业执照”； 4、若为自然人：提供“身份证明材料”； 5、若为分公司：提供总公司授权。</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本招标文件的实质性要求，对符合资格的投标文件进行审查，以确定其是否满足本招标文件的实质性要求。本项目的符合性审查事项必须以本招标文件明确规定的实质性要求为依据。投标人不满足本招标文件的实质性要求的，评审委员会应当将其投标文件作为无效处理。</w:t>
            </w:r>
          </w:p>
        </w:tc>
        <w:tc>
          <w:tcPr>
            <w:tcW w:type="dxa" w:w="1661"/>
          </w:tcPr>
          <w:p>
            <w:pPr>
              <w:pStyle w:val="null3"/>
              <w:jc w:val="left"/>
            </w:pPr>
            <w:r>
              <w:rPr>
                <w:rFonts w:ascii="仿宋_GB2312" w:hAnsi="仿宋_GB2312" w:cs="仿宋_GB2312" w:eastAsia="仿宋_GB2312"/>
              </w:rPr>
              <w:t>投标人应提交的相关证明材料,技术、服务及其他要求应答表.docx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(因系统模板固化原因，“需要投标人进行承诺的实质性要求”以本条要求为准。)需要性要求。</w:t>
            </w:r>
          </w:p>
        </w:tc>
        <w:tc>
          <w:tcPr>
            <w:tcW w:type="dxa" w:w="3322"/>
          </w:tcPr>
          <w:p>
            <w:pPr>
              <w:pStyle w:val="null3"/>
              <w:jc w:val="left"/>
            </w:pPr>
            <w:r>
              <w:rPr>
                <w:rFonts w:ascii="仿宋_GB2312" w:hAnsi="仿宋_GB2312" w:cs="仿宋_GB2312" w:eastAsia="仿宋_GB2312"/>
              </w:rPr>
              <w:t>对于招标文件明确提出需要提供承诺函的实质性要求，投标人应按要求单独提供有效的承诺函，承诺内容满足招标文件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项目理解程度</w:t>
            </w:r>
          </w:p>
        </w:tc>
        <w:tc>
          <w:tcPr>
            <w:tcW w:type="dxa" w:w="2575"/>
          </w:tcPr>
          <w:p>
            <w:pPr>
              <w:pStyle w:val="null3"/>
              <w:jc w:val="left"/>
            </w:pPr>
            <w:r>
              <w:rPr>
                <w:rFonts w:ascii="仿宋_GB2312" w:hAnsi="仿宋_GB2312" w:cs="仿宋_GB2312" w:eastAsia="仿宋_GB2312"/>
              </w:rPr>
              <w:t>根据投标人对本项目的理解程度进行综合评价： 包括①项目背景、作业区域的了解、描述；②项目目标；③难点分析。以上3项方案内容，每有一项方案内容满足项目需求的得3分，满分9分，方案内容中每有一处存在错误或不足的扣1.5分，分值扣完为止。 说明：(1)只是简单的复制采购需求内容而没有具体详细阐述的按照错误或不足处理；(2)错误或不足是指:非专门针对本项目或与本项目需求不匹配的情形；方案内容脱离项目实际情况；涉及的规范及标准错误或失效；项目信息错误；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系统运维实施方案</w:t>
            </w:r>
          </w:p>
        </w:tc>
        <w:tc>
          <w:tcPr>
            <w:tcW w:type="dxa" w:w="2575"/>
          </w:tcPr>
          <w:p>
            <w:pPr>
              <w:pStyle w:val="null3"/>
              <w:jc w:val="left"/>
            </w:pPr>
            <w:r>
              <w:rPr>
                <w:rFonts w:ascii="仿宋_GB2312" w:hAnsi="仿宋_GB2312" w:cs="仿宋_GB2312" w:eastAsia="仿宋_GB2312"/>
              </w:rPr>
              <w:t>根据投标人针对本项目制定的系统运维实施方案进行综合评价： 包含但不限于①系统工艺运维方案；②设备操作及运维方案；③故障维修方案；④质量控制措施。以上4项方案内容，每有一项方案内容满足项目需求的得3分，满分12分，方案内容中每有一处存在错误或不足的扣1.5分，分值扣完为止。 说明：(1)只是简单的复制采购需求内容而没有具体详细阐述的按照错误或不足处理；(2)错误或不足是指:非专门针对本项目或与本项目需求不匹配的情形；方案内容脱离项目实际情况；涉及的规范及标准错误或失效；项目信息错误；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根据投标人拟提供的项目管理方案进行综合评价： 包括①机构设置；②管理制度；③人员分工；④人员培训计划；⑤设备运行管理。以上5项方案内容，每有一项方案内容满足项目需求的得4分，满分20分，方案内容中每有一处存在错误或不足的扣2分，分值扣完为止。 说明：(1)只是简单的复制采购需求内容而没有具体详细阐述的按照错误或不足处理；(2)错误或不足是指:非专门针对本项目或与本项目需求不匹配的情形；方案内容脱离项目实际情况；涉及的规范及标准错误或失效；项目信息错误；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应急安全预案</w:t>
            </w:r>
          </w:p>
        </w:tc>
        <w:tc>
          <w:tcPr>
            <w:tcW w:type="dxa" w:w="2575"/>
          </w:tcPr>
          <w:p>
            <w:pPr>
              <w:pStyle w:val="null3"/>
              <w:jc w:val="left"/>
            </w:pPr>
            <w:r>
              <w:rPr>
                <w:rFonts w:ascii="仿宋_GB2312" w:hAnsi="仿宋_GB2312" w:cs="仿宋_GB2312" w:eastAsia="仿宋_GB2312"/>
              </w:rPr>
              <w:t>根据投标人针对本项目制定的应急安全预案进行综合评价： 包含①垃圾填埋场应急预案；②渗滤液处理厂应急预案；③安全管理制度；以上3项方案内容，每有一项方案内容满足项目需求的得4分，满分12分，方案内容中每有一处存在错误或不足的扣2分，分值扣完为止。 说明：(1)只是简单的复制采购需求内容而没有具体详细阐述的按照错误或不足处理；(2)错误或不足是指:非专门针对本项目或与本项目需求不匹配的情形；方案内容脱离项目实际情况；涉及的规范及标准错误或失效；项目信息错误；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工艺运行情况</w:t>
            </w:r>
          </w:p>
        </w:tc>
        <w:tc>
          <w:tcPr>
            <w:tcW w:type="dxa" w:w="2575"/>
          </w:tcPr>
          <w:p>
            <w:pPr>
              <w:pStyle w:val="null3"/>
              <w:jc w:val="left"/>
            </w:pPr>
            <w:r>
              <w:rPr>
                <w:rFonts w:ascii="仿宋_GB2312" w:hAnsi="仿宋_GB2312" w:cs="仿宋_GB2312" w:eastAsia="仿宋_GB2312"/>
              </w:rPr>
              <w:t>根据投标人对本项目的工艺运行情况进行综合评价： 包括①工艺技术分析；②设备运行技术分析。以上2项方案内容，每有一项方案内容满足项目需求的得5分，满分10分，方案内容中每有一处存在错误或不足的扣2.5分，分值扣完为止。 说明：(1)只是简单的复制采购需求内容而没有具体详细阐述的按照错误或不足处理；(2)错误或不足是指:非专门针对本项目或与本项目需求不匹配的情形；方案内容脱离项目实际情况；涉及的规范及标准错误或失效；项目信息错误；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投标人提供自2023年1月1日（含）至今类似项目业绩，每具有1个业绩得5分，最多得10分。 注：提供合同扫描件（或复印件）或成交（中标）通知书扫描件（或复印件）加盖投标人电子签章。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团队实力</w:t>
            </w:r>
          </w:p>
        </w:tc>
        <w:tc>
          <w:tcPr>
            <w:tcW w:type="dxa" w:w="2575"/>
          </w:tcPr>
          <w:p>
            <w:pPr>
              <w:pStyle w:val="null3"/>
              <w:jc w:val="left"/>
            </w:pPr>
            <w:r>
              <w:rPr>
                <w:rFonts w:ascii="仿宋_GB2312" w:hAnsi="仿宋_GB2312" w:cs="仿宋_GB2312" w:eastAsia="仿宋_GB2312"/>
              </w:rPr>
              <w:t>1.拟派项目负责人：具有【环境保护或环境（环保）工程或给排水】相关专业高级职称及以上得5分，具有【环境保护或环境（环保）工程或给排水】相关专业中级职称得2.5分，本项最多得5分。 2、项目团队中（除项目负责人）具有【环境保护或环境（环保）工程或给排水】相关专业高级职称及以上得5分，具有【环境保护或环境（环保）工程或给排水】相关专业中级职称得2.5分，本项最多得10分。 注：提供证书复印件并电子签章。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val="restart"/>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原有膜工艺（渗滤液处置站）处置渗滤液达标排放</w:t>
            </w:r>
          </w:p>
        </w:tc>
        <w:tc>
          <w:tcPr>
            <w:tcW w:type="dxa" w:w="2575"/>
          </w:tcPr>
          <w:p>
            <w:pPr>
              <w:pStyle w:val="null3"/>
              <w:jc w:val="left"/>
            </w:pPr>
            <w:r>
              <w:rPr>
                <w:rFonts w:ascii="仿宋_GB2312" w:hAnsi="仿宋_GB2312" w:cs="仿宋_GB2312" w:eastAsia="仿宋_GB2312"/>
              </w:rPr>
              <w:t>以本次最低有效投标报价[原有膜工艺（渗滤液处置站）处置渗滤液达标排放单价]为评标基准价，按照下列公式计算每个投标人的投标价格得分。公式：原有膜工艺（渗滤液处置站）处置渗滤液达标排放单价投标报价得分＝（评标基准价/投标报价）×价格权重（6%）×100；</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r>
        <w:tc>
          <w:tcPr>
            <w:tcW w:type="dxa" w:w="831"/>
            <w:vMerge/>
          </w:tcPr>
          <w:p/>
        </w:tc>
        <w:tc>
          <w:tcPr>
            <w:tcW w:type="dxa" w:w="1661"/>
          </w:tcPr>
          <w:p>
            <w:pPr>
              <w:pStyle w:val="null3"/>
              <w:jc w:val="left"/>
            </w:pPr>
            <w:r>
              <w:rPr>
                <w:rFonts w:ascii="仿宋_GB2312" w:hAnsi="仿宋_GB2312" w:cs="仿宋_GB2312" w:eastAsia="仿宋_GB2312"/>
              </w:rPr>
              <w:t>移动一体化设备处置渗滤液达标排放</w:t>
            </w:r>
          </w:p>
        </w:tc>
        <w:tc>
          <w:tcPr>
            <w:tcW w:type="dxa" w:w="2575"/>
          </w:tcPr>
          <w:p>
            <w:pPr>
              <w:pStyle w:val="null3"/>
              <w:jc w:val="left"/>
            </w:pPr>
            <w:r>
              <w:rPr>
                <w:rFonts w:ascii="仿宋_GB2312" w:hAnsi="仿宋_GB2312" w:cs="仿宋_GB2312" w:eastAsia="仿宋_GB2312"/>
              </w:rPr>
              <w:t>以本次最低有效投标报价（移动一体化设备处置渗滤液达标排放单价）为评标基准价，按照下列公式计算每个投标人的投标价格得分。公式：移动一体化设备处置渗滤液达标排放单价投标报价得分＝（评标基准价/投标报价）×价格权重（6%）×100；</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