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1"/>
        <w:rPr>
          <w:rFonts w:ascii="方正小标宋简体" w:hAnsi="方正小标宋简体" w:eastAsia="方正小标宋简体" w:cs="方正小标宋简体"/>
          <w:kern w:val="0"/>
          <w:sz w:val="44"/>
          <w:szCs w:val="44"/>
          <w:shd w:val="clear" w:color="auto" w:fill="FFFFFF"/>
          <w:lang w:bidi="ar"/>
        </w:rPr>
      </w:pPr>
      <w:r>
        <w:rPr>
          <w:rFonts w:hint="eastAsia" w:ascii="仿宋" w:hAnsi="仿宋" w:eastAsia="仿宋" w:cs="仿宋"/>
          <w:b/>
          <w:sz w:val="28"/>
          <w:szCs w:val="28"/>
        </w:rPr>
        <w:t xml:space="preserve"> </w:t>
      </w:r>
      <w:r>
        <w:rPr>
          <w:rFonts w:hint="eastAsia" w:ascii="方正小标宋简体" w:hAnsi="方正小标宋简体" w:eastAsia="方正小标宋简体" w:cs="方正小标宋简体"/>
          <w:kern w:val="0"/>
          <w:sz w:val="44"/>
          <w:szCs w:val="44"/>
          <w:shd w:val="clear" w:color="auto" w:fill="FFFFFF"/>
          <w:lang w:bidi="ar"/>
        </w:rPr>
        <w:t>《全省固定站移动站设备维修维护服务》的招标需求</w:t>
      </w:r>
    </w:p>
    <w:p>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一、项目概述</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为进一步提高无线电监测设施运行维护的科学化、规范化水平，加强无线电监测设施管理，保障无线电监测设施运行的安全性、可靠性和稳定性，发挥无线电监测设施在无线电管理工作中的技术支撑作用，按照《省级无线电监测设施运行维护规定》的规定和要求，结合我省实际情况，为确保相关工作正常开展，各类无线电无线电监测设施需要定期预防性巡检维护、及时抢修，部分设备需要进行维修或更换，保证黑龙江省无线电监测网设备正常、有序、安全运转，提高对设备故障处理响应速度，确保服务质量。</w:t>
      </w:r>
    </w:p>
    <w:p>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二、维保资金</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金额：</w:t>
      </w:r>
      <w:r>
        <w:rPr>
          <w:rFonts w:hint="eastAsia" w:ascii="Times New Roman" w:hAnsi="Times New Roman" w:eastAsia="仿宋_GB2312" w:cs="Times New Roman"/>
          <w:kern w:val="10"/>
          <w:sz w:val="32"/>
          <w:szCs w:val="32"/>
          <w:shd w:val="clear" w:color="auto" w:fill="FFFFFF"/>
          <w:lang w:val="en-US" w:eastAsia="zh-CN" w:bidi="ar"/>
        </w:rPr>
        <w:t>132.83</w:t>
      </w:r>
      <w:r>
        <w:rPr>
          <w:rFonts w:hint="eastAsia" w:ascii="Times New Roman" w:hAnsi="Times New Roman" w:eastAsia="仿宋_GB2312" w:cs="Times New Roman"/>
          <w:kern w:val="10"/>
          <w:sz w:val="32"/>
          <w:szCs w:val="32"/>
          <w:shd w:val="clear" w:color="auto" w:fill="FFFFFF"/>
          <w:lang w:bidi="ar"/>
        </w:rPr>
        <w:t>万元</w:t>
      </w:r>
    </w:p>
    <w:p>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三、维保内容</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3.1.定期巡检</w:t>
      </w:r>
    </w:p>
    <w:p>
      <w:pPr>
        <w:spacing w:line="360" w:lineRule="auto"/>
        <w:ind w:firstLine="643"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val="en-US" w:eastAsia="zh-CN" w:bidi="ar"/>
        </w:rPr>
        <w:t>★</w:t>
      </w: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维保服务供应商确保派技术熟练的专业技术人员，开展</w:t>
      </w:r>
      <w:r>
        <w:rPr>
          <w:rFonts w:hint="eastAsia" w:ascii="Times New Roman" w:hAnsi="Times New Roman" w:eastAsia="仿宋_GB2312" w:cs="Times New Roman"/>
          <w:kern w:val="10"/>
          <w:sz w:val="32"/>
          <w:szCs w:val="32"/>
          <w:shd w:val="clear" w:color="auto" w:fill="FFFFFF"/>
          <w:lang w:val="en-US" w:eastAsia="zh-CN" w:bidi="ar"/>
        </w:rPr>
        <w:t>1</w:t>
      </w:r>
      <w:r>
        <w:rPr>
          <w:rFonts w:hint="eastAsia" w:ascii="Times New Roman" w:hAnsi="Times New Roman" w:eastAsia="仿宋_GB2312" w:cs="Times New Roman"/>
          <w:kern w:val="10"/>
          <w:sz w:val="32"/>
          <w:szCs w:val="32"/>
          <w:shd w:val="clear" w:color="auto" w:fill="FFFFFF"/>
          <w:lang w:bidi="ar"/>
        </w:rPr>
        <w:t>次定期巡检及</w:t>
      </w:r>
      <w:r>
        <w:rPr>
          <w:rFonts w:hint="eastAsia" w:ascii="Times New Roman" w:hAnsi="Times New Roman" w:eastAsia="仿宋_GB2312" w:cs="Times New Roman"/>
          <w:kern w:val="10"/>
          <w:sz w:val="32"/>
          <w:szCs w:val="32"/>
          <w:shd w:val="clear" w:color="auto" w:fill="FFFFFF"/>
          <w:lang w:val="en-US" w:eastAsia="zh-CN" w:bidi="ar"/>
        </w:rPr>
        <w:t>1</w:t>
      </w:r>
      <w:r>
        <w:rPr>
          <w:rFonts w:hint="eastAsia" w:ascii="Times New Roman" w:hAnsi="Times New Roman" w:eastAsia="仿宋_GB2312" w:cs="Times New Roman"/>
          <w:kern w:val="10"/>
          <w:sz w:val="32"/>
          <w:szCs w:val="32"/>
          <w:shd w:val="clear" w:color="auto" w:fill="FFFFFF"/>
          <w:lang w:bidi="ar"/>
        </w:rPr>
        <w:t>次线上巡检，通过及时预防性巡检，保障监测系统（设备）的正常使用，对巡检时发现的问题及缺陷及时形成书面材料上报使用单位，巡检周期结束后维保单位需制作巡检终验报告提交给招标方。</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2</w:t>
      </w:r>
      <w:r>
        <w:rPr>
          <w:rFonts w:hint="eastAsia" w:ascii="Times New Roman" w:hAnsi="Times New Roman" w:eastAsia="仿宋_GB2312" w:cs="Times New Roman"/>
          <w:kern w:val="10"/>
          <w:sz w:val="32"/>
          <w:szCs w:val="32"/>
          <w:shd w:val="clear" w:color="auto" w:fill="FFFFFF"/>
          <w:lang w:bidi="ar"/>
        </w:rPr>
        <w:t>按照技术规范开展巡检维护保养，维护过程中造成设备人为损坏的，责任由服务方负担。</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3</w:t>
      </w:r>
      <w:r>
        <w:rPr>
          <w:rFonts w:hint="eastAsia" w:ascii="Times New Roman" w:hAnsi="Times New Roman" w:eastAsia="仿宋_GB2312" w:cs="Times New Roman"/>
          <w:kern w:val="10"/>
          <w:sz w:val="32"/>
          <w:szCs w:val="32"/>
          <w:shd w:val="clear" w:color="auto" w:fill="FFFFFF"/>
          <w:lang w:bidi="ar"/>
        </w:rPr>
        <w:t>可以对所巡检设备的运行情况提出优化、升级等合理化建议。</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w:t>
      </w:r>
      <w:r>
        <w:rPr>
          <w:rFonts w:ascii="Times New Roman" w:hAnsi="Times New Roman" w:eastAsia="仿宋_GB2312" w:cs="Times New Roman"/>
          <w:kern w:val="10"/>
          <w:sz w:val="32"/>
          <w:szCs w:val="32"/>
          <w:shd w:val="clear" w:color="auto" w:fill="FFFFFF"/>
          <w:lang w:bidi="ar"/>
        </w:rPr>
        <w:t>1</w:t>
      </w:r>
      <w:r>
        <w:rPr>
          <w:rFonts w:hint="eastAsia" w:ascii="Times New Roman" w:hAnsi="Times New Roman" w:eastAsia="仿宋_GB2312" w:cs="Times New Roman"/>
          <w:kern w:val="10"/>
          <w:sz w:val="32"/>
          <w:szCs w:val="32"/>
          <w:shd w:val="clear" w:color="auto" w:fill="FFFFFF"/>
          <w:lang w:bidi="ar"/>
        </w:rPr>
        <w:t>.</w:t>
      </w:r>
      <w:r>
        <w:rPr>
          <w:rFonts w:ascii="Times New Roman" w:hAnsi="Times New Roman" w:eastAsia="仿宋_GB2312" w:cs="Times New Roman"/>
          <w:kern w:val="10"/>
          <w:sz w:val="32"/>
          <w:szCs w:val="32"/>
          <w:shd w:val="clear" w:color="auto" w:fill="FFFFFF"/>
          <w:lang w:bidi="ar"/>
        </w:rPr>
        <w:t>4</w:t>
      </w:r>
      <w:r>
        <w:rPr>
          <w:rFonts w:hint="eastAsia" w:ascii="Times New Roman" w:hAnsi="Times New Roman" w:eastAsia="仿宋_GB2312" w:cs="Times New Roman"/>
          <w:kern w:val="10"/>
          <w:sz w:val="32"/>
          <w:szCs w:val="32"/>
          <w:shd w:val="clear" w:color="auto" w:fill="FFFFFF"/>
          <w:lang w:bidi="ar"/>
        </w:rPr>
        <w:t>巡检期间对系统所有相关操作，包括：系统安装、配置、硬件维修更换、软件升级等工作，必须经采购方同意后方可实施。</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3.2.故障设备维修</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3.2.1在时限内对项目要求维修的故障设备维修完毕。</w:t>
      </w:r>
    </w:p>
    <w:p>
      <w:pPr>
        <w:spacing w:line="360" w:lineRule="auto"/>
        <w:ind w:firstLine="643"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val="en-US" w:eastAsia="zh-CN" w:bidi="ar"/>
        </w:rPr>
        <w:t>★</w:t>
      </w:r>
      <w:r>
        <w:rPr>
          <w:rFonts w:hint="eastAsia" w:ascii="Times New Roman" w:hAnsi="Times New Roman" w:eastAsia="仿宋_GB2312" w:cs="Times New Roman"/>
          <w:kern w:val="10"/>
          <w:sz w:val="32"/>
          <w:szCs w:val="32"/>
          <w:shd w:val="clear" w:color="auto" w:fill="FFFFFF"/>
          <w:lang w:bidi="ar"/>
        </w:rPr>
        <w:t>3.2.2维修过的设备应进行测试，保证性能指标不低于维修前设备原技术指标</w:t>
      </w:r>
      <w:r>
        <w:rPr>
          <w:rFonts w:hint="eastAsia" w:ascii="Times New Roman" w:hAnsi="Times New Roman" w:eastAsia="仿宋_GB2312" w:cs="Times New Roman"/>
          <w:kern w:val="10"/>
          <w:sz w:val="32"/>
          <w:szCs w:val="32"/>
          <w:shd w:val="clear" w:color="auto" w:fill="FFFFFF"/>
          <w:lang w:eastAsia="zh-CN" w:bidi="ar"/>
        </w:rPr>
        <w:t>，</w:t>
      </w:r>
      <w:r>
        <w:rPr>
          <w:rFonts w:hint="eastAsia" w:ascii="Times New Roman" w:hAnsi="Times New Roman" w:eastAsia="仿宋_GB2312" w:cs="Times New Roman"/>
          <w:kern w:val="10"/>
          <w:sz w:val="32"/>
          <w:szCs w:val="32"/>
          <w:shd w:val="clear" w:color="auto" w:fill="FFFFFF"/>
          <w:lang w:val="en-US" w:eastAsia="zh-CN" w:bidi="ar"/>
        </w:rPr>
        <w:t>出具测试合格报告</w:t>
      </w:r>
      <w:r>
        <w:rPr>
          <w:rFonts w:hint="eastAsia" w:ascii="Times New Roman" w:hAnsi="Times New Roman" w:eastAsia="仿宋_GB2312" w:cs="Times New Roman"/>
          <w:kern w:val="10"/>
          <w:sz w:val="32"/>
          <w:szCs w:val="32"/>
          <w:shd w:val="clear" w:color="auto" w:fill="FFFFFF"/>
          <w:lang w:bidi="ar"/>
        </w:rPr>
        <w:t>。</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3.2.3对维修服务范围内的设备在维修完毕后提供1年的质量保证，确保维修过的故障不重复出现。</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3.2.4当运维设备出现突发故障时，维保服务供应商应优先保障设备正常运行，</w:t>
      </w:r>
      <w:r>
        <w:rPr>
          <w:rFonts w:hint="eastAsia" w:ascii="Times New Roman" w:hAnsi="Times New Roman" w:eastAsia="仿宋_GB2312" w:cs="Times New Roman"/>
          <w:kern w:val="10"/>
          <w:sz w:val="32"/>
          <w:szCs w:val="32"/>
          <w:shd w:val="clear" w:color="auto" w:fill="FFFFFF"/>
          <w:lang w:val="en-US" w:eastAsia="zh-CN" w:bidi="ar"/>
        </w:rPr>
        <w:t>2</w:t>
      </w:r>
      <w:r>
        <w:rPr>
          <w:rFonts w:hint="eastAsia" w:ascii="Times New Roman" w:hAnsi="Times New Roman" w:eastAsia="仿宋_GB2312" w:cs="Times New Roman"/>
          <w:kern w:val="10"/>
          <w:sz w:val="32"/>
          <w:szCs w:val="32"/>
          <w:shd w:val="clear" w:color="auto" w:fill="FFFFFF"/>
          <w:lang w:bidi="ar"/>
        </w:rPr>
        <w:t>小时内提出故障解决办法，不能在72小时内恢复正常的要免费提供备品（机）备件或者立即能投入使用的备选设备，待故障设备修好后,再将替换设备换回。</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3.3.故障维护</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针对我单位使用过程中发现的所承保系统（设备）出现的系统无法正常使用故障或功能错误，维保服务供应商应及时通过远程电话、网络等方式和我单位联系处理，不能远程处理完成的按照要求及时派遣维护工程师前往我单位现场进行处理。</w:t>
      </w:r>
    </w:p>
    <w:p>
      <w:pPr>
        <w:spacing w:line="360" w:lineRule="auto"/>
        <w:ind w:firstLine="643"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3.4.伴随保障</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针对重大活动，根据我单位提出的需求，派专门的技术人员和技术设施设备实施伴随保障。</w:t>
      </w:r>
      <w:bookmarkStart w:id="0" w:name="_GoBack"/>
      <w:bookmarkEnd w:id="0"/>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val="en-US" w:eastAsia="zh-CN" w:bidi="ar"/>
        </w:rPr>
        <w:t>★</w:t>
      </w:r>
      <w:r>
        <w:rPr>
          <w:rFonts w:hint="eastAsia" w:ascii="Times New Roman" w:hAnsi="Times New Roman" w:eastAsia="楷体_GB2312" w:cs="Times New Roman"/>
          <w:b/>
          <w:bCs/>
          <w:kern w:val="0"/>
          <w:sz w:val="32"/>
          <w:szCs w:val="32"/>
          <w:shd w:val="clear" w:color="auto" w:fill="FFFFFF"/>
          <w:lang w:bidi="ar"/>
        </w:rPr>
        <w:t>3.5.协助维护</w:t>
      </w:r>
    </w:p>
    <w:p>
      <w:pPr>
        <w:spacing w:line="360" w:lineRule="auto"/>
        <w:ind w:firstLine="640" w:firstLineChars="200"/>
        <w:rPr>
          <w:rFonts w:ascii="Times New Roman" w:hAnsi="Times New Roman" w:eastAsia="仿宋_GB2312" w:cs="Times New Roman"/>
          <w:kern w:val="10"/>
          <w:sz w:val="32"/>
          <w:szCs w:val="32"/>
          <w:shd w:val="clear" w:color="auto" w:fill="FFFFFF"/>
          <w:lang w:bidi="ar"/>
        </w:rPr>
      </w:pPr>
      <w:r>
        <w:rPr>
          <w:rFonts w:hint="eastAsia" w:ascii="Times New Roman" w:hAnsi="Times New Roman" w:eastAsia="仿宋_GB2312" w:cs="Times New Roman"/>
          <w:kern w:val="10"/>
          <w:sz w:val="32"/>
          <w:szCs w:val="32"/>
          <w:shd w:val="clear" w:color="auto" w:fill="FFFFFF"/>
          <w:lang w:bidi="ar"/>
        </w:rPr>
        <w:t>对于非公司承建承制的系统相关设备，维保服务供应商将尽力配合相关厂商进行检查，在必要时，及时到达现场协助排除问题。</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val="en-US" w:eastAsia="zh-CN" w:bidi="ar"/>
        </w:rPr>
        <w:t>★</w:t>
      </w:r>
      <w:r>
        <w:rPr>
          <w:rFonts w:hint="eastAsia" w:ascii="Times New Roman" w:hAnsi="Times New Roman" w:eastAsia="楷体_GB2312" w:cs="Times New Roman"/>
          <w:b/>
          <w:bCs/>
          <w:kern w:val="0"/>
          <w:sz w:val="32"/>
          <w:szCs w:val="32"/>
          <w:shd w:val="clear" w:color="auto" w:fill="FFFFFF"/>
          <w:lang w:bidi="ar"/>
        </w:rPr>
        <w:t>3.6.故障响应时间</w:t>
      </w:r>
    </w:p>
    <w:p>
      <w:pPr>
        <w:spacing w:line="360" w:lineRule="auto"/>
        <w:ind w:firstLine="640" w:firstLineChars="200"/>
        <w:rPr>
          <w:rFonts w:ascii="仿宋" w:hAnsi="仿宋" w:eastAsia="仿宋" w:cs="仿宋"/>
          <w:sz w:val="28"/>
          <w:szCs w:val="28"/>
        </w:rPr>
      </w:pPr>
      <w:r>
        <w:rPr>
          <w:rFonts w:hint="eastAsia" w:ascii="Times New Roman" w:hAnsi="Times New Roman" w:eastAsia="仿宋_GB2312" w:cs="Times New Roman"/>
          <w:kern w:val="10"/>
          <w:sz w:val="32"/>
          <w:szCs w:val="32"/>
          <w:shd w:val="clear" w:color="auto" w:fill="FFFFFF"/>
          <w:lang w:bidi="ar"/>
        </w:rPr>
        <w:t>巡检单位需提供7*24小时专业电话咨询服务</w:t>
      </w:r>
      <w:r>
        <w:rPr>
          <w:rFonts w:hint="eastAsia" w:ascii="Times New Roman" w:hAnsi="Times New Roman" w:eastAsia="仿宋_GB2312" w:cs="Times New Roman"/>
          <w:kern w:val="10"/>
          <w:sz w:val="32"/>
          <w:szCs w:val="32"/>
          <w:shd w:val="clear" w:color="auto" w:fill="FFFFFF"/>
          <w:lang w:eastAsia="zh-CN" w:bidi="ar"/>
        </w:rPr>
        <w:t>，</w:t>
      </w:r>
      <w:r>
        <w:rPr>
          <w:rFonts w:hint="eastAsia" w:ascii="Times New Roman" w:hAnsi="Times New Roman" w:eastAsia="仿宋_GB2312" w:cs="Times New Roman"/>
          <w:kern w:val="10"/>
          <w:sz w:val="32"/>
          <w:szCs w:val="32"/>
          <w:shd w:val="clear" w:color="auto" w:fill="FFFFFF"/>
          <w:lang w:bidi="ar"/>
        </w:rPr>
        <w:t>在接到我单位故障通知后，2小时快速响应机制。维保服务供应商在8小时以内由客户服务人员通过电话或互联网或远程故障诊断系统指导用户解决故障。如果设备故障在检查8小时后仍无法排除，维保服务供应商应指派工程师到现场维护，直至故障排除。</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3.7.物流保障和运输</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3.7.1维保服务供应商应保证项目招标服务范围内的设备在测试、校准和维护、维修送检往返运输的快捷和安全，运输过程发生的损失由维保服务供应商负责。</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3.7.2合同期内的设备测试、校准和维护、维修送检和配件的物流费用（含保险费），由维保服务供应商负责。</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3.8.质量保障</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3.8.1维保服务供应商应保证更换的主要部件或配件均是优质合格产品，并保证维修质量，维修、维护过的设备各项功能和性能指标不得低于维护维修前的水平，且要确保同一故障不反复出现。</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3.8.2如因维保服务供应商服务过程失误造成的损失，由维保服务供应商负责赔偿，招标方保留其它索赔权利。</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3.8.3当超过合同服务期限后，存在应解决而未能解决的故障时，招标方有权要求维保服务供应商持续提供服务，直至故障解决。</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3.9.相关费用</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3.9.1维保服务供应商邮寄各种部件、配件所产生的一切费用由维保服务供应商负责结算，在巡检及维护过程中，对我单位的工程技术人员进行维护技能方面的培训。</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3.9.2在维保时间内，维保服务供应商对招标文件中已经明确需要维护和维修的设备进行维修、更换、搬迁，不得另行收费。</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3.9.3在维保时间内，维保服务供应商对巡检范围内设备的新增故障，应安排技术人员到达故障现场，完成故障设备检测和诊断出问题，并对简单故障设备提供维修服务，不另收取费用。如设备、部件损坏需维修，维保服务供应商应立即书面通知使用单位（包含所有费用预算）。每次维修完毕，须提交相应的维修记录。</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3.9.4维保服务供应商维护工程师到设备现场进行维护产生的旅差费、住宿费等费用，由维保服务供应商自行解决。</w:t>
      </w:r>
    </w:p>
    <w:p>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四、项目时间、地点、服务方式要求</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4.1.维保时间要求：</w:t>
      </w:r>
      <w:r>
        <w:rPr>
          <w:rFonts w:hint="eastAsia" w:eastAsia="仿宋_GB2312"/>
          <w:kern w:val="10"/>
          <w:sz w:val="32"/>
          <w:szCs w:val="32"/>
          <w:shd w:val="clear" w:color="auto" w:fill="FFFFFF"/>
          <w:lang w:val="en-US" w:eastAsia="zh-CN" w:bidi="ar"/>
        </w:rPr>
        <w:t>2026年12月15日</w:t>
      </w:r>
      <w:r>
        <w:rPr>
          <w:rFonts w:hint="eastAsia" w:eastAsia="仿宋_GB2312"/>
          <w:kern w:val="10"/>
          <w:sz w:val="32"/>
          <w:szCs w:val="32"/>
          <w:shd w:val="clear" w:color="auto" w:fill="FFFFFF"/>
          <w:lang w:bidi="ar"/>
        </w:rPr>
        <w:t>至202</w:t>
      </w:r>
      <w:r>
        <w:rPr>
          <w:rFonts w:hint="eastAsia" w:eastAsia="仿宋_GB2312"/>
          <w:kern w:val="10"/>
          <w:sz w:val="32"/>
          <w:szCs w:val="32"/>
          <w:shd w:val="clear" w:color="auto" w:fill="FFFFFF"/>
          <w:lang w:val="en-US" w:eastAsia="zh-CN" w:bidi="ar"/>
        </w:rPr>
        <w:t>7</w:t>
      </w:r>
      <w:r>
        <w:rPr>
          <w:rFonts w:hint="eastAsia" w:eastAsia="仿宋_GB2312"/>
          <w:kern w:val="10"/>
          <w:sz w:val="32"/>
          <w:szCs w:val="32"/>
          <w:shd w:val="clear" w:color="auto" w:fill="FFFFFF"/>
          <w:lang w:bidi="ar"/>
        </w:rPr>
        <w:t>年</w:t>
      </w:r>
      <w:r>
        <w:rPr>
          <w:rFonts w:hint="eastAsia" w:eastAsia="仿宋_GB2312"/>
          <w:kern w:val="10"/>
          <w:sz w:val="32"/>
          <w:szCs w:val="32"/>
          <w:shd w:val="clear" w:color="auto" w:fill="FFFFFF"/>
          <w:lang w:val="en-US" w:eastAsia="zh-CN" w:bidi="ar"/>
        </w:rPr>
        <w:t>9</w:t>
      </w:r>
      <w:r>
        <w:rPr>
          <w:rFonts w:hint="eastAsia" w:eastAsia="仿宋_GB2312"/>
          <w:kern w:val="10"/>
          <w:sz w:val="32"/>
          <w:szCs w:val="32"/>
          <w:shd w:val="clear" w:color="auto" w:fill="FFFFFF"/>
          <w:lang w:bidi="ar"/>
        </w:rPr>
        <w:t>月</w:t>
      </w:r>
      <w:r>
        <w:rPr>
          <w:rFonts w:hint="eastAsia" w:eastAsia="仿宋_GB2312"/>
          <w:kern w:val="10"/>
          <w:sz w:val="32"/>
          <w:szCs w:val="32"/>
          <w:shd w:val="clear" w:color="auto" w:fill="FFFFFF"/>
          <w:lang w:val="en-US" w:eastAsia="zh-CN" w:bidi="ar"/>
        </w:rPr>
        <w:t>30</w:t>
      </w:r>
      <w:r>
        <w:rPr>
          <w:rFonts w:hint="eastAsia" w:eastAsia="仿宋_GB2312"/>
          <w:kern w:val="10"/>
          <w:sz w:val="32"/>
          <w:szCs w:val="32"/>
          <w:shd w:val="clear" w:color="auto" w:fill="FFFFFF"/>
          <w:lang w:bidi="ar"/>
        </w:rPr>
        <w:t>日。202</w:t>
      </w:r>
      <w:r>
        <w:rPr>
          <w:rFonts w:hint="eastAsia" w:eastAsia="仿宋_GB2312"/>
          <w:kern w:val="10"/>
          <w:sz w:val="32"/>
          <w:szCs w:val="32"/>
          <w:shd w:val="clear" w:color="auto" w:fill="FFFFFF"/>
          <w:lang w:val="en-US" w:eastAsia="zh-CN" w:bidi="ar"/>
        </w:rPr>
        <w:t>7</w:t>
      </w:r>
      <w:r>
        <w:rPr>
          <w:rFonts w:hint="eastAsia" w:eastAsia="仿宋_GB2312"/>
          <w:kern w:val="10"/>
          <w:sz w:val="32"/>
          <w:szCs w:val="32"/>
          <w:shd w:val="clear" w:color="auto" w:fill="FFFFFF"/>
          <w:lang w:bidi="ar"/>
        </w:rPr>
        <w:t>年</w:t>
      </w:r>
      <w:r>
        <w:rPr>
          <w:rFonts w:hint="eastAsia" w:eastAsia="仿宋_GB2312"/>
          <w:kern w:val="10"/>
          <w:sz w:val="32"/>
          <w:szCs w:val="32"/>
          <w:shd w:val="clear" w:color="auto" w:fill="FFFFFF"/>
          <w:lang w:val="en-US" w:eastAsia="zh-CN" w:bidi="ar"/>
        </w:rPr>
        <w:t>9</w:t>
      </w:r>
      <w:r>
        <w:rPr>
          <w:rFonts w:hint="eastAsia" w:eastAsia="仿宋_GB2312"/>
          <w:kern w:val="10"/>
          <w:sz w:val="32"/>
          <w:szCs w:val="32"/>
          <w:shd w:val="clear" w:color="auto" w:fill="FFFFFF"/>
          <w:lang w:bidi="ar"/>
        </w:rPr>
        <w:t>月</w:t>
      </w:r>
      <w:r>
        <w:rPr>
          <w:rFonts w:hint="eastAsia" w:eastAsia="仿宋_GB2312"/>
          <w:kern w:val="10"/>
          <w:sz w:val="32"/>
          <w:szCs w:val="32"/>
          <w:shd w:val="clear" w:color="auto" w:fill="FFFFFF"/>
          <w:lang w:val="en-US" w:eastAsia="zh-CN" w:bidi="ar"/>
        </w:rPr>
        <w:t>30</w:t>
      </w:r>
      <w:r>
        <w:rPr>
          <w:rFonts w:hint="eastAsia" w:eastAsia="仿宋_GB2312"/>
          <w:kern w:val="10"/>
          <w:sz w:val="32"/>
          <w:szCs w:val="32"/>
          <w:shd w:val="clear" w:color="auto" w:fill="FFFFFF"/>
          <w:lang w:bidi="ar"/>
        </w:rPr>
        <w:t>日前提交所有验收资料。</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4.2.维修地点：故障设备所在地或维修单位所在地。</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4.3.维修方式：上门维修或返厂维修，设备修复后需在原站点调试安装。</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4.4.中标单位应在项目服务合同签订后1周内，提交详细的维修服务方案，经采购人同意后实施。</w:t>
      </w:r>
    </w:p>
    <w:p>
      <w:pPr>
        <w:pStyle w:val="14"/>
        <w:tabs>
          <w:tab w:val="left" w:pos="0"/>
        </w:tabs>
        <w:spacing w:line="360" w:lineRule="auto"/>
        <w:ind w:left="0" w:leftChars="0" w:firstLine="640" w:firstLineChars="200"/>
        <w:rPr>
          <w:rFonts w:eastAsia="仿宋_GB2312"/>
          <w:kern w:val="10"/>
          <w:sz w:val="32"/>
          <w:szCs w:val="32"/>
          <w:shd w:val="clear" w:color="auto" w:fill="FFFFFF"/>
          <w:lang w:bidi="ar"/>
        </w:rPr>
      </w:pPr>
      <w:r>
        <w:rPr>
          <w:rFonts w:hint="eastAsia" w:eastAsia="仿宋_GB2312"/>
          <w:kern w:val="10"/>
          <w:sz w:val="32"/>
          <w:szCs w:val="32"/>
          <w:shd w:val="clear" w:color="auto" w:fill="FFFFFF"/>
          <w:lang w:bidi="ar"/>
        </w:rPr>
        <w:t>4.5.维修工作结束后，中标单位需向采购人提交完整、详实的维修记录、维修设备测试报告作为维修服务验收的重要依据。</w:t>
      </w:r>
    </w:p>
    <w:p>
      <w:pPr>
        <w:keepNext/>
        <w:keepLines/>
        <w:spacing w:line="360" w:lineRule="auto"/>
        <w:outlineLvl w:val="1"/>
        <w:rPr>
          <w:rFonts w:ascii="Times New Roman" w:hAnsi="Times New Roman" w:eastAsia="黑体" w:cs="Times New Roman"/>
          <w:kern w:val="0"/>
          <w:sz w:val="32"/>
          <w:szCs w:val="32"/>
          <w:shd w:val="clear" w:color="auto" w:fill="FFFFFF"/>
          <w:lang w:bidi="ar"/>
        </w:rPr>
      </w:pPr>
      <w:r>
        <w:rPr>
          <w:rFonts w:hint="eastAsia" w:ascii="Times New Roman" w:hAnsi="Times New Roman" w:eastAsia="黑体" w:cs="Times New Roman"/>
          <w:kern w:val="0"/>
          <w:sz w:val="32"/>
          <w:szCs w:val="32"/>
          <w:shd w:val="clear" w:color="auto" w:fill="FFFFFF"/>
          <w:lang w:bidi="ar"/>
        </w:rPr>
        <w:t>五、具体维护内容</w:t>
      </w: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5.1.维护和维修</w:t>
      </w:r>
    </w:p>
    <w:p>
      <w:pPr>
        <w:pStyle w:val="80"/>
        <w:spacing w:line="360" w:lineRule="auto"/>
        <w:ind w:firstLine="640"/>
        <w:rPr>
          <w:rFonts w:ascii="仿宋" w:hAnsi="仿宋" w:eastAsia="仿宋" w:cs="仿宋"/>
          <w:sz w:val="28"/>
          <w:szCs w:val="28"/>
        </w:rPr>
      </w:pPr>
      <w:r>
        <w:rPr>
          <w:rFonts w:hint="eastAsia" w:ascii="Times New Roman" w:hAnsi="Times New Roman" w:eastAsia="仿宋_GB2312"/>
          <w:kern w:val="10"/>
          <w:sz w:val="32"/>
          <w:szCs w:val="32"/>
          <w:shd w:val="clear" w:color="auto" w:fill="FFFFFF"/>
          <w:lang w:bidi="ar"/>
        </w:rPr>
        <w:t>维保服务供应商在服务期内应完成以下设备维护和维修工作。</w:t>
      </w:r>
    </w:p>
    <w:tbl>
      <w:tblPr>
        <w:tblStyle w:val="28"/>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96"/>
        <w:gridCol w:w="1536"/>
        <w:gridCol w:w="2307"/>
        <w:gridCol w:w="559"/>
        <w:gridCol w:w="30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96"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地市</w:t>
            </w:r>
          </w:p>
        </w:tc>
        <w:tc>
          <w:tcPr>
            <w:tcW w:w="1536"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设备名称</w:t>
            </w:r>
          </w:p>
        </w:tc>
        <w:tc>
          <w:tcPr>
            <w:tcW w:w="2307"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设备型号</w:t>
            </w:r>
          </w:p>
        </w:tc>
        <w:tc>
          <w:tcPr>
            <w:tcW w:w="55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数量</w:t>
            </w:r>
          </w:p>
        </w:tc>
        <w:tc>
          <w:tcPr>
            <w:tcW w:w="3021" w:type="dxa"/>
            <w:tcBorders>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维修、维护内容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096" w:type="dxa"/>
            <w:vMerge w:val="restar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齐齐哈尔</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default" w:ascii="仿宋" w:hAnsi="仿宋" w:eastAsia="仿宋" w:cs="仿宋"/>
                <w:i w:val="0"/>
                <w:iCs w:val="0"/>
                <w:color w:val="000000"/>
                <w:kern w:val="0"/>
                <w:sz w:val="22"/>
                <w:szCs w:val="22"/>
                <w:u w:val="none"/>
                <w:lang w:val="en-US" w:eastAsia="zh-CN" w:bidi="ar"/>
              </w:rPr>
              <w:t>UPS</w:t>
            </w:r>
            <w:r>
              <w:rPr>
                <w:rFonts w:ascii="仿宋" w:hAnsi="仿宋" w:eastAsia="仿宋" w:cs="仿宋"/>
                <w:i w:val="0"/>
                <w:iCs w:val="0"/>
                <w:color w:val="000000"/>
                <w:kern w:val="0"/>
                <w:sz w:val="22"/>
                <w:szCs w:val="22"/>
                <w:u w:val="none"/>
                <w:lang w:val="en-US" w:eastAsia="zh-CN" w:bidi="ar"/>
              </w:rPr>
              <w:t>电瓶</w:t>
            </w:r>
          </w:p>
        </w:tc>
        <w:tc>
          <w:tcPr>
            <w:tcW w:w="23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KELONG 12V100AH</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3</w:t>
            </w:r>
          </w:p>
        </w:tc>
        <w:tc>
          <w:tcPr>
            <w:tcW w:w="3021"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宋体" w:hAnsi="宋体" w:eastAsia="宋体" w:cs="宋体"/>
                <w:i w:val="0"/>
                <w:iCs w:val="0"/>
                <w:color w:val="000000"/>
                <w:kern w:val="0"/>
                <w:sz w:val="22"/>
                <w:szCs w:val="22"/>
                <w:u w:val="none"/>
                <w:lang w:val="en-US" w:eastAsia="zh-CN" w:bidi="ar"/>
              </w:rPr>
              <w:t>更换</w:t>
            </w:r>
            <w:r>
              <w:rPr>
                <w:rFonts w:hint="default" w:ascii="Times New Roman" w:hAnsi="Times New Roman" w:eastAsia="等线" w:cs="Times New Roman"/>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座固定站蓄电池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1096" w:type="dxa"/>
            <w:vMerge w:val="continue"/>
            <w:tcBorders>
              <w:top w:val="single" w:color="000000" w:sz="4" w:space="0"/>
              <w:bottom w:val="single" w:color="000000" w:sz="4" w:space="0"/>
              <w:right w:val="single" w:color="000000" w:sz="4" w:space="0"/>
            </w:tcBorders>
            <w:shd w:val="clear" w:color="auto" w:fill="auto"/>
            <w:noWrap/>
            <w:vAlign w:val="center"/>
          </w:tcPr>
          <w:p>
            <w:pPr>
              <w:jc w:val="center"/>
              <w:rPr>
                <w:rFonts w:ascii="仿宋_GB2312" w:hAnsi="等线" w:eastAsia="仿宋_GB2312" w:cs="仿宋_GB2312"/>
                <w:color w:val="000000"/>
                <w:sz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 w:hAnsi="仿宋" w:eastAsia="仿宋" w:cs="仿宋"/>
                <w:i w:val="0"/>
                <w:iCs w:val="0"/>
                <w:color w:val="000000"/>
                <w:kern w:val="0"/>
                <w:sz w:val="22"/>
                <w:szCs w:val="22"/>
                <w:u w:val="none"/>
                <w:lang w:val="en-US" w:eastAsia="zh-CN" w:bidi="ar"/>
              </w:rPr>
              <w:t>接收机主板</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HRS41A</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ascii="仿宋" w:hAnsi="仿宋" w:eastAsia="仿宋" w:cs="仿宋"/>
                <w:i w:val="0"/>
                <w:iCs w:val="0"/>
                <w:color w:val="000000"/>
                <w:kern w:val="0"/>
                <w:sz w:val="22"/>
                <w:szCs w:val="22"/>
                <w:u w:val="none"/>
                <w:lang w:val="en-US" w:eastAsia="zh-CN" w:bidi="ar"/>
              </w:rPr>
              <w:t>讷河小型站接收机主板故障，需要更换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096" w:type="dxa"/>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佳木斯</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黑瞎子岛分站</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HR-110S</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宋体" w:hAnsi="宋体" w:eastAsia="宋体" w:cs="宋体"/>
                <w:i w:val="0"/>
                <w:iCs w:val="0"/>
                <w:color w:val="000000"/>
                <w:kern w:val="0"/>
                <w:sz w:val="22"/>
                <w:szCs w:val="22"/>
                <w:u w:val="none"/>
                <w:lang w:val="en-US" w:eastAsia="zh-CN" w:bidi="ar"/>
              </w:rPr>
              <w:t>更换一组蓄电池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9" w:hRule="atLeast"/>
        </w:trPr>
        <w:tc>
          <w:tcPr>
            <w:tcW w:w="1096" w:type="dxa"/>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双鸭山</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 w:hAnsi="仿宋" w:eastAsia="仿宋" w:cs="仿宋"/>
                <w:i w:val="0"/>
                <w:iCs w:val="0"/>
                <w:color w:val="000000"/>
                <w:kern w:val="0"/>
                <w:sz w:val="22"/>
                <w:szCs w:val="22"/>
                <w:u w:val="none"/>
                <w:lang w:val="en-US" w:eastAsia="zh-CN" w:bidi="ar"/>
              </w:rPr>
              <w:t>监测网主站路由器</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ascii="仿宋" w:hAnsi="仿宋" w:eastAsia="仿宋" w:cs="仿宋"/>
                <w:i w:val="0"/>
                <w:iCs w:val="0"/>
                <w:color w:val="000000"/>
                <w:kern w:val="0"/>
                <w:sz w:val="22"/>
                <w:szCs w:val="22"/>
                <w:u w:val="none"/>
                <w:lang w:val="en-US" w:eastAsia="zh-CN" w:bidi="ar"/>
              </w:rPr>
              <w:t>华为</w:t>
            </w:r>
            <w:r>
              <w:rPr>
                <w:rFonts w:hint="default" w:ascii="Times New Roman" w:hAnsi="Times New Roman" w:eastAsia="等线" w:cs="Times New Roman"/>
                <w:i w:val="0"/>
                <w:iCs w:val="0"/>
                <w:color w:val="000000"/>
                <w:kern w:val="0"/>
                <w:sz w:val="22"/>
                <w:szCs w:val="22"/>
                <w:u w:val="none"/>
                <w:lang w:val="en-US" w:eastAsia="zh-CN" w:bidi="ar"/>
              </w:rPr>
              <w:t>ar2220</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 w:hAnsi="仿宋" w:eastAsia="仿宋" w:cs="仿宋"/>
                <w:i w:val="0"/>
                <w:iCs w:val="0"/>
                <w:color w:val="000000"/>
                <w:kern w:val="0"/>
                <w:sz w:val="22"/>
                <w:szCs w:val="22"/>
                <w:u w:val="none"/>
                <w:lang w:val="en-US" w:eastAsia="zh-CN" w:bidi="ar"/>
              </w:rPr>
              <w:t>路由器损坏，监测网中断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96" w:type="dxa"/>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七台河</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空间谱监测车系统</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HRS61C</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 w:hAnsi="仿宋" w:eastAsia="仿宋" w:cs="仿宋"/>
                <w:i w:val="0"/>
                <w:iCs w:val="0"/>
                <w:color w:val="000000"/>
                <w:kern w:val="0"/>
                <w:sz w:val="22"/>
                <w:szCs w:val="22"/>
                <w:u w:val="none"/>
                <w:lang w:val="en-US" w:eastAsia="zh-CN" w:bidi="ar"/>
              </w:rPr>
              <w:t>折叠显示器故障，屏幕颜色显示异常，维修显示器。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1096" w:type="dxa"/>
            <w:vMerge w:val="restar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黑河</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白石砬子小型站主板</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PCM-3363Z-1GS6A1E</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接收机故障，维修更换主板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1096" w:type="dxa"/>
            <w:vMerge w:val="continue"/>
            <w:tcBorders>
              <w:top w:val="single" w:color="000000" w:sz="4" w:space="0"/>
              <w:bottom w:val="single" w:color="000000" w:sz="4" w:space="0"/>
              <w:right w:val="single" w:color="000000" w:sz="4" w:space="0"/>
            </w:tcBorders>
            <w:shd w:val="clear" w:color="auto" w:fill="auto"/>
            <w:noWrap/>
            <w:vAlign w:val="center"/>
          </w:tcPr>
          <w:p>
            <w:pPr>
              <w:jc w:val="center"/>
              <w:rPr>
                <w:rFonts w:ascii="仿宋_GB2312" w:hAnsi="等线" w:eastAsia="仿宋_GB2312" w:cs="仿宋_GB2312"/>
                <w:color w:val="000000"/>
                <w:sz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孙吴口岸分站主板</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ZX9882</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接收机主板故障，维修更换主板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96" w:type="dxa"/>
            <w:vMerge w:val="continue"/>
            <w:tcBorders>
              <w:top w:val="single" w:color="000000" w:sz="4" w:space="0"/>
              <w:bottom w:val="single" w:color="000000" w:sz="4" w:space="0"/>
              <w:right w:val="single" w:color="000000" w:sz="4" w:space="0"/>
            </w:tcBorders>
            <w:shd w:val="clear" w:color="auto" w:fill="auto"/>
            <w:noWrap/>
            <w:vAlign w:val="center"/>
          </w:tcPr>
          <w:p>
            <w:pPr>
              <w:jc w:val="center"/>
              <w:rPr>
                <w:rFonts w:ascii="仿宋_GB2312" w:hAnsi="等线" w:eastAsia="仿宋_GB2312" w:cs="仿宋_GB2312"/>
                <w:color w:val="000000"/>
                <w:sz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车陆小型站主板</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PCM-3363Z-1GS6A1E</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接收机故障，维修更换主板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96" w:type="dxa"/>
            <w:vMerge w:val="restar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ascii="仿宋_GB2312" w:hAnsi="Times New Roman" w:eastAsia="仿宋_GB2312" w:cs="仿宋_GB2312"/>
                <w:i w:val="0"/>
                <w:iCs w:val="0"/>
                <w:color w:val="000000"/>
                <w:kern w:val="0"/>
                <w:sz w:val="22"/>
                <w:szCs w:val="22"/>
                <w:u w:val="none"/>
                <w:lang w:val="en-US" w:eastAsia="zh-CN" w:bidi="ar"/>
              </w:rPr>
              <w:t>大兴安岭</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逆变器</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1KV-1U</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边境站电压不稳，拟将北极村小型站</w:t>
            </w:r>
            <w:r>
              <w:rPr>
                <w:rFonts w:hint="default" w:ascii="Times New Roman" w:hAnsi="Times New Roman" w:eastAsia="等线" w:cs="Times New Roman"/>
                <w:i w:val="0"/>
                <w:iCs w:val="0"/>
                <w:color w:val="000000"/>
                <w:kern w:val="0"/>
                <w:sz w:val="22"/>
                <w:szCs w:val="22"/>
                <w:u w:val="none"/>
                <w:lang w:val="en-US" w:eastAsia="zh-CN" w:bidi="ar"/>
              </w:rPr>
              <w:t>UPS</w:t>
            </w:r>
            <w:r>
              <w:rPr>
                <w:rFonts w:hint="eastAsia" w:ascii="仿宋_GB2312" w:hAnsi="Times New Roman" w:eastAsia="仿宋_GB2312" w:cs="仿宋_GB2312"/>
                <w:i w:val="0"/>
                <w:iCs w:val="0"/>
                <w:color w:val="000000"/>
                <w:kern w:val="0"/>
                <w:sz w:val="22"/>
                <w:szCs w:val="22"/>
                <w:u w:val="none"/>
                <w:lang w:val="en-US" w:eastAsia="zh-CN" w:bidi="ar"/>
              </w:rPr>
              <w:t>更换为逆变器直流供电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9" w:hRule="atLeast"/>
        </w:trPr>
        <w:tc>
          <w:tcPr>
            <w:tcW w:w="1096" w:type="dxa"/>
            <w:vMerge w:val="continue"/>
            <w:tcBorders>
              <w:top w:val="single" w:color="000000" w:sz="4" w:space="0"/>
              <w:bottom w:val="single" w:color="000000" w:sz="4" w:space="0"/>
              <w:right w:val="single" w:color="000000" w:sz="4" w:space="0"/>
            </w:tcBorders>
            <w:shd w:val="clear" w:color="auto" w:fill="auto"/>
            <w:noWrap/>
            <w:vAlign w:val="center"/>
          </w:tcPr>
          <w:p>
            <w:pPr>
              <w:jc w:val="center"/>
              <w:rPr>
                <w:rFonts w:ascii="仿宋_GB2312" w:hAnsi="等线" w:eastAsia="仿宋_GB2312" w:cs="仿宋_GB2312"/>
                <w:color w:val="000000"/>
                <w:sz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逆变器</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1KV-1U</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边境站电压不稳，拟将依西肯小型站</w:t>
            </w:r>
            <w:r>
              <w:rPr>
                <w:rFonts w:hint="default" w:ascii="Times New Roman" w:hAnsi="Times New Roman" w:eastAsia="等线" w:cs="Times New Roman"/>
                <w:i w:val="0"/>
                <w:iCs w:val="0"/>
                <w:color w:val="000000"/>
                <w:kern w:val="0"/>
                <w:sz w:val="22"/>
                <w:szCs w:val="22"/>
                <w:u w:val="none"/>
                <w:lang w:val="en-US" w:eastAsia="zh-CN" w:bidi="ar"/>
              </w:rPr>
              <w:t>UPS</w:t>
            </w:r>
            <w:r>
              <w:rPr>
                <w:rFonts w:hint="eastAsia" w:ascii="仿宋_GB2312" w:hAnsi="Times New Roman" w:eastAsia="仿宋_GB2312" w:cs="仿宋_GB2312"/>
                <w:i w:val="0"/>
                <w:iCs w:val="0"/>
                <w:color w:val="000000"/>
                <w:kern w:val="0"/>
                <w:sz w:val="22"/>
                <w:szCs w:val="22"/>
                <w:u w:val="none"/>
                <w:lang w:val="en-US" w:eastAsia="zh-CN" w:bidi="ar"/>
              </w:rPr>
              <w:t>更换为逆变器直流供电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96" w:type="dxa"/>
            <w:vMerge w:val="continue"/>
            <w:tcBorders>
              <w:top w:val="single" w:color="000000" w:sz="4" w:space="0"/>
              <w:bottom w:val="single" w:color="000000" w:sz="4" w:space="0"/>
              <w:right w:val="single" w:color="000000" w:sz="4" w:space="0"/>
            </w:tcBorders>
            <w:shd w:val="clear" w:color="auto" w:fill="auto"/>
            <w:noWrap/>
            <w:vAlign w:val="center"/>
          </w:tcPr>
          <w:p>
            <w:pPr>
              <w:jc w:val="center"/>
              <w:rPr>
                <w:rFonts w:ascii="仿宋_GB2312" w:hAnsi="等线" w:eastAsia="仿宋_GB2312" w:cs="仿宋_GB2312"/>
                <w:color w:val="000000"/>
                <w:sz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漠河口岸分站</w:t>
            </w:r>
          </w:p>
        </w:tc>
        <w:tc>
          <w:tcPr>
            <w:tcW w:w="23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DDF9Channel</w:t>
            </w:r>
          </w:p>
        </w:tc>
        <w:tc>
          <w:tcPr>
            <w:tcW w:w="5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imes New Roman" w:hAnsi="Times New Roman" w:eastAsia="等线" w:cs="Times New Roman"/>
                <w:color w:val="000000"/>
                <w:sz w:val="22"/>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302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ascii="仿宋_GB2312" w:hAnsi="等线" w:eastAsia="仿宋_GB2312" w:cs="仿宋_GB2312"/>
                <w:color w:val="000000"/>
                <w:sz w:val="22"/>
              </w:rPr>
            </w:pPr>
            <w:r>
              <w:rPr>
                <w:rFonts w:hint="eastAsia" w:ascii="仿宋_GB2312" w:hAnsi="Times New Roman" w:eastAsia="仿宋_GB2312" w:cs="仿宋_GB2312"/>
                <w:i w:val="0"/>
                <w:iCs w:val="0"/>
                <w:color w:val="000000"/>
                <w:kern w:val="0"/>
                <w:sz w:val="22"/>
                <w:szCs w:val="22"/>
                <w:u w:val="none"/>
                <w:lang w:val="en-US" w:eastAsia="zh-CN" w:bidi="ar"/>
              </w:rPr>
              <w:t>设备网络不通，主板中频单元故障</w:t>
            </w:r>
          </w:p>
        </w:tc>
      </w:tr>
    </w:tbl>
    <w:p>
      <w:pPr>
        <w:spacing w:line="360" w:lineRule="auto"/>
        <w:rPr>
          <w:rFonts w:ascii="Times New Roman" w:hAnsi="Times New Roman"/>
          <w:szCs w:val="21"/>
        </w:rPr>
      </w:pPr>
    </w:p>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5.2.设备巡检</w:t>
      </w:r>
    </w:p>
    <w:p>
      <w:pPr>
        <w:pStyle w:val="80"/>
        <w:spacing w:line="360" w:lineRule="auto"/>
        <w:ind w:firstLine="640"/>
        <w:rPr>
          <w:rFonts w:ascii="Times New Roman" w:hAnsi="Times New Roman" w:eastAsia="仿宋_GB2312"/>
          <w:kern w:val="10"/>
          <w:sz w:val="32"/>
          <w:szCs w:val="32"/>
          <w:shd w:val="clear" w:color="auto" w:fill="FFFFFF"/>
          <w:lang w:bidi="ar"/>
        </w:rPr>
      </w:pPr>
      <w:r>
        <w:rPr>
          <w:rFonts w:hint="eastAsia" w:ascii="Times New Roman" w:hAnsi="Times New Roman" w:eastAsia="仿宋_GB2312"/>
          <w:kern w:val="10"/>
          <w:sz w:val="32"/>
          <w:szCs w:val="32"/>
          <w:shd w:val="clear" w:color="auto" w:fill="FFFFFF"/>
          <w:lang w:bidi="ar"/>
        </w:rPr>
        <w:t>维保服务供应商在服务期内需对黑龙江省13个地市共1</w:t>
      </w:r>
      <w:r>
        <w:rPr>
          <w:rFonts w:hint="eastAsia" w:ascii="Times New Roman" w:hAnsi="Times New Roman" w:eastAsia="仿宋_GB2312"/>
          <w:kern w:val="10"/>
          <w:sz w:val="32"/>
          <w:szCs w:val="32"/>
          <w:shd w:val="clear" w:color="auto" w:fill="FFFFFF"/>
          <w:lang w:val="en-US" w:eastAsia="zh-CN" w:bidi="ar"/>
        </w:rPr>
        <w:t>21</w:t>
      </w:r>
      <w:r>
        <w:rPr>
          <w:rFonts w:hint="eastAsia" w:ascii="Times New Roman" w:hAnsi="Times New Roman" w:eastAsia="仿宋_GB2312"/>
          <w:kern w:val="10"/>
          <w:sz w:val="32"/>
          <w:szCs w:val="32"/>
          <w:shd w:val="clear" w:color="auto" w:fill="FFFFFF"/>
          <w:lang w:bidi="ar"/>
        </w:rPr>
        <w:t>个固定监测站（含小型监测站），13辆移动监测车开展</w:t>
      </w:r>
      <w:r>
        <w:rPr>
          <w:rFonts w:hint="eastAsia" w:ascii="Times New Roman" w:hAnsi="Times New Roman" w:eastAsia="仿宋_GB2312"/>
          <w:kern w:val="10"/>
          <w:sz w:val="32"/>
          <w:szCs w:val="32"/>
          <w:shd w:val="clear" w:color="auto" w:fill="FFFFFF"/>
          <w:lang w:val="en-US" w:eastAsia="zh-CN" w:bidi="ar"/>
        </w:rPr>
        <w:t>1</w:t>
      </w:r>
      <w:r>
        <w:rPr>
          <w:rFonts w:hint="eastAsia" w:ascii="Times New Roman" w:hAnsi="Times New Roman" w:eastAsia="仿宋_GB2312"/>
          <w:kern w:val="10"/>
          <w:sz w:val="32"/>
          <w:szCs w:val="32"/>
          <w:shd w:val="clear" w:color="auto" w:fill="FFFFFF"/>
          <w:lang w:bidi="ar"/>
        </w:rPr>
        <w:t>次现场巡检</w:t>
      </w:r>
      <w:r>
        <w:rPr>
          <w:rFonts w:hint="eastAsia" w:ascii="Times New Roman" w:hAnsi="Times New Roman" w:eastAsia="仿宋_GB2312"/>
          <w:kern w:val="10"/>
          <w:sz w:val="32"/>
          <w:szCs w:val="32"/>
          <w:shd w:val="clear" w:color="auto" w:fill="FFFFFF"/>
          <w:lang w:val="en-US" w:eastAsia="zh-CN" w:bidi="ar"/>
        </w:rPr>
        <w:t>1</w:t>
      </w:r>
      <w:r>
        <w:rPr>
          <w:rFonts w:hint="eastAsia" w:ascii="Times New Roman" w:hAnsi="Times New Roman" w:eastAsia="仿宋_GB2312"/>
          <w:kern w:val="10"/>
          <w:sz w:val="32"/>
          <w:szCs w:val="32"/>
          <w:shd w:val="clear" w:color="auto" w:fill="FFFFFF"/>
          <w:lang w:bidi="ar"/>
        </w:rPr>
        <w:t>次线上巡检工作。维保服务供应商需要根据巡检具体的内容建立严格的巡检制度，编制巡检计划，规范化巡检程序，在巡检过程中详细记录巡检情况。</w:t>
      </w:r>
    </w:p>
    <w:p>
      <w:pPr>
        <w:pStyle w:val="80"/>
        <w:spacing w:line="360" w:lineRule="auto"/>
        <w:ind w:firstLine="640"/>
        <w:rPr>
          <w:rFonts w:ascii="Times New Roman" w:hAnsi="Times New Roman" w:eastAsia="仿宋_GB2312"/>
          <w:kern w:val="10"/>
          <w:sz w:val="32"/>
          <w:szCs w:val="32"/>
          <w:shd w:val="clear" w:color="auto" w:fill="FFFFFF"/>
          <w:lang w:bidi="ar"/>
        </w:rPr>
      </w:pPr>
      <w:r>
        <w:rPr>
          <w:rFonts w:hint="eastAsia" w:ascii="Times New Roman" w:hAnsi="Times New Roman" w:eastAsia="仿宋_GB2312"/>
          <w:kern w:val="10"/>
          <w:sz w:val="32"/>
          <w:szCs w:val="32"/>
          <w:shd w:val="clear" w:color="auto" w:fill="FFFFFF"/>
          <w:lang w:bidi="ar"/>
        </w:rPr>
        <w:t>固定站：</w:t>
      </w:r>
    </w:p>
    <w:tbl>
      <w:tblPr>
        <w:tblStyle w:val="28"/>
        <w:tblW w:w="7780" w:type="dxa"/>
        <w:tblInd w:w="98" w:type="dxa"/>
        <w:tblLayout w:type="autofit"/>
        <w:tblCellMar>
          <w:top w:w="0" w:type="dxa"/>
          <w:left w:w="108" w:type="dxa"/>
          <w:bottom w:w="0" w:type="dxa"/>
          <w:right w:w="108" w:type="dxa"/>
        </w:tblCellMar>
      </w:tblPr>
      <w:tblGrid>
        <w:gridCol w:w="1720"/>
        <w:gridCol w:w="3327"/>
        <w:gridCol w:w="2733"/>
      </w:tblGrid>
      <w:tr>
        <w:tblPrEx>
          <w:tblCellMar>
            <w:top w:w="0" w:type="dxa"/>
            <w:left w:w="108" w:type="dxa"/>
            <w:bottom w:w="0" w:type="dxa"/>
            <w:right w:w="108" w:type="dxa"/>
          </w:tblCellMar>
        </w:tblPrEx>
        <w:trPr>
          <w:trHeight w:val="33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哈尔滨</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南开华府分站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尚志小型站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增福分站</w:t>
            </w:r>
          </w:p>
        </w:tc>
      </w:tr>
      <w:tr>
        <w:tblPrEx>
          <w:tblCellMar>
            <w:top w:w="0" w:type="dxa"/>
            <w:left w:w="108" w:type="dxa"/>
            <w:bottom w:w="0" w:type="dxa"/>
            <w:right w:w="108" w:type="dxa"/>
          </w:tblCellMar>
        </w:tblPrEx>
        <w:trPr>
          <w:trHeight w:val="33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齐齐哈尔</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农垦局分站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讷河小型站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齐齐哈尔民航站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清馨雅居分站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牡丹江</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八面通小型站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民航民航站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绥芬河口岸（气象局）分站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东宁口岸（三岔口）分站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绥芬河口岸（天佑国际）分站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通沟岭小型站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南大岭小型站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南山村小型站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鸟青山小型站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19</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409哨所小型站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20</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朝阳村小型站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22</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五洲国际分站(原海浪小区分站)</w:t>
            </w:r>
          </w:p>
        </w:tc>
      </w:tr>
      <w:tr>
        <w:tblPrEx>
          <w:tblCellMar>
            <w:top w:w="0" w:type="dxa"/>
            <w:left w:w="108" w:type="dxa"/>
            <w:bottom w:w="0" w:type="dxa"/>
            <w:right w:w="108" w:type="dxa"/>
          </w:tblCellMar>
        </w:tblPrEx>
        <w:trPr>
          <w:trHeight w:val="33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佳木斯</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黑瞎子岛分站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富锦小型站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佳木斯机场民航站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同江口岸（街津口）分站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抚远口岸（广电局）分站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海青乡小型站</w:t>
            </w:r>
          </w:p>
        </w:tc>
      </w:tr>
      <w:tr>
        <w:tblPrEx>
          <w:tblCellMar>
            <w:top w:w="0" w:type="dxa"/>
            <w:left w:w="108" w:type="dxa"/>
            <w:bottom w:w="0" w:type="dxa"/>
            <w:right w:w="108" w:type="dxa"/>
          </w:tblCellMar>
        </w:tblPrEx>
        <w:trPr>
          <w:trHeight w:val="33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哈鱼岛小型站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勤得利农场小型站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通江乡小型站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32</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八岔赫赫哲族乡小型站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33</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临江镇小型站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34</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大庆</w:t>
            </w: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35</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林甸分站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大庆民航站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让胡路分站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鸡西</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密山小型站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鸡西兴凯湖机场民航站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当壁镇口岸分站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虎林口岸分站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珍宝岛乡小型站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858农场18连小型站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大王家村小型站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卫国村小型站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47</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兴凯湖乡小型站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858农场1渔队小型站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虎林小型站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18 中分站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双鸭山</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宝清小型站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饶河口岸（国门里）分站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饶河国门外小型站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东安镇小型站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镇江林场小型站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57</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北山村小型站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江口村小型站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西通村小型站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伊春</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南岔小型站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林都机场民航站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嘉荫口岸分站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大同村小型站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乌云镇小型站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常胜乡小型站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永安村小型站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68</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王家店村小型站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双河镇小型站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庆丰村小型站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铁力小型站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丰林小型站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伊春分站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七台河市</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北山分站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马场公园小型站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七台河创业大厦主站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鹤岗</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萝北小型站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萝北口岸（名山）分站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80</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太平沟乡小型站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中兴村小型站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肇兴镇小型站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290农场小型站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84</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延兴乡小型站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龙江第一渠小型站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镇边村小型站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中心站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林业分站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北安分站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嫩江小型站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黑河中心站（口岸）</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逊克口岸分站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孙吴口岸（四季屯）分站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95</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张地营子分站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霍尔沁村小型站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97</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车陆乡小型站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富拉尔基村小型站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上马厂村小型站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100</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孙吴小型站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101</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白石砬子村小型站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102</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无人分站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绥化</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103</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绥化四中分站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104</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东方新城分站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105</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明水小型站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106</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主站</w:t>
            </w:r>
          </w:p>
        </w:tc>
      </w:tr>
      <w:tr>
        <w:tblPrEx>
          <w:tblCellMar>
            <w:top w:w="0" w:type="dxa"/>
            <w:left w:w="108" w:type="dxa"/>
            <w:bottom w:w="0" w:type="dxa"/>
            <w:right w:w="108" w:type="dxa"/>
          </w:tblCellMar>
        </w:tblPrEx>
        <w:trPr>
          <w:trHeight w:val="310" w:hRule="atLeast"/>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大兴安岭</w:t>
            </w: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107</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塔河小型站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108</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呼玛口岸分站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109</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漠河口岸（兴安镇）分站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110</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三卡村小型站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111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兴安乡小型站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欧浦乡小型站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北极村小型站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114</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洛古河村小型站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115</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开库康乡小型站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116</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金山乡小型站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依希肯乡小型站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三合村小型站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加格达奇民航站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漠河民航站</w:t>
            </w:r>
          </w:p>
        </w:tc>
      </w:tr>
      <w:tr>
        <w:tblPrEx>
          <w:tblCellMar>
            <w:top w:w="0" w:type="dxa"/>
            <w:left w:w="108" w:type="dxa"/>
            <w:bottom w:w="0" w:type="dxa"/>
            <w:right w:w="108" w:type="dxa"/>
          </w:tblCellMar>
        </w:tblPrEx>
        <w:trPr>
          <w:trHeight w:val="310" w:hRule="atLeast"/>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121</w:t>
            </w:r>
          </w:p>
        </w:tc>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加格达奇主站</w:t>
            </w:r>
          </w:p>
        </w:tc>
      </w:tr>
    </w:tbl>
    <w:p>
      <w:pPr>
        <w:pStyle w:val="80"/>
        <w:spacing w:line="360" w:lineRule="auto"/>
        <w:ind w:firstLine="640"/>
        <w:rPr>
          <w:rFonts w:ascii="Times New Roman" w:hAnsi="Times New Roman" w:eastAsia="仿宋_GB2312"/>
          <w:kern w:val="10"/>
          <w:sz w:val="32"/>
          <w:szCs w:val="32"/>
          <w:shd w:val="clear" w:color="auto" w:fill="FFFFFF"/>
          <w:lang w:bidi="ar"/>
        </w:rPr>
      </w:pPr>
      <w:r>
        <w:rPr>
          <w:rFonts w:hint="eastAsia" w:ascii="Times New Roman" w:hAnsi="Times New Roman" w:eastAsia="仿宋_GB2312"/>
          <w:kern w:val="10"/>
          <w:sz w:val="32"/>
          <w:szCs w:val="32"/>
          <w:shd w:val="clear" w:color="auto" w:fill="FFFFFF"/>
          <w:lang w:bidi="ar"/>
        </w:rPr>
        <w:t>移动站：</w:t>
      </w:r>
    </w:p>
    <w:tbl>
      <w:tblPr>
        <w:tblStyle w:val="28"/>
        <w:tblW w:w="3864" w:type="pct"/>
        <w:jc w:val="center"/>
        <w:tblLayout w:type="fixed"/>
        <w:tblCellMar>
          <w:top w:w="0" w:type="dxa"/>
          <w:left w:w="108" w:type="dxa"/>
          <w:bottom w:w="0" w:type="dxa"/>
          <w:right w:w="108" w:type="dxa"/>
        </w:tblCellMar>
      </w:tblPr>
      <w:tblGrid>
        <w:gridCol w:w="1885"/>
        <w:gridCol w:w="1506"/>
        <w:gridCol w:w="3195"/>
      </w:tblGrid>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地市</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序号</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sz w:val="22"/>
              </w:rPr>
            </w:pPr>
            <w:r>
              <w:rPr>
                <w:rFonts w:hint="eastAsia" w:ascii="宋体" w:hAnsi="宋体" w:eastAsia="宋体" w:cs="宋体"/>
                <w:b/>
                <w:bCs/>
                <w:i w:val="0"/>
                <w:iCs w:val="0"/>
                <w:color w:val="000000"/>
                <w:kern w:val="0"/>
                <w:sz w:val="22"/>
                <w:szCs w:val="22"/>
                <w:u w:val="none"/>
                <w:lang w:val="en-US" w:eastAsia="zh-CN" w:bidi="ar"/>
              </w:rPr>
              <w:t>设备名称</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哈尔滨</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齐齐哈尔</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牡丹江</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佳木斯</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大庆</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依维柯监测车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鸡西</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双鸭山</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依维柯监测车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伊春</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七台河</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鹤岗</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黑河</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依维柯监测车</w:t>
            </w:r>
          </w:p>
        </w:tc>
      </w:tr>
      <w:tr>
        <w:tblPrEx>
          <w:tblCellMar>
            <w:top w:w="0" w:type="dxa"/>
            <w:left w:w="108" w:type="dxa"/>
            <w:bottom w:w="0" w:type="dxa"/>
            <w:right w:w="108" w:type="dxa"/>
          </w:tblCellMar>
        </w:tblPrEx>
        <w:trPr>
          <w:trHeight w:val="283" w:hRule="atLeast"/>
          <w:jc w:val="center"/>
        </w:trPr>
        <w:tc>
          <w:tcPr>
            <w:tcW w:w="1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绥化</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r>
        <w:tblPrEx>
          <w:tblCellMar>
            <w:top w:w="0" w:type="dxa"/>
            <w:left w:w="108" w:type="dxa"/>
            <w:bottom w:w="0" w:type="dxa"/>
            <w:right w:w="108" w:type="dxa"/>
          </w:tblCellMar>
        </w:tblPrEx>
        <w:trPr>
          <w:trHeight w:val="283" w:hRule="atLeast"/>
          <w:jc w:val="center"/>
        </w:trPr>
        <w:tc>
          <w:tcPr>
            <w:tcW w:w="18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大兴安岭</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3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奔驰\圣路监测车</w:t>
            </w:r>
          </w:p>
        </w:tc>
      </w:tr>
    </w:tbl>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5.2.1无线电监测设施运行维护定期巡检项目表</w:t>
      </w:r>
    </w:p>
    <w:tbl>
      <w:tblPr>
        <w:tblStyle w:val="28"/>
        <w:tblW w:w="92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267"/>
        <w:gridCol w:w="7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891" w:type="dxa"/>
            <w:tcBorders>
              <w:bottom w:val="single" w:color="auto" w:sz="4" w:space="0"/>
            </w:tcBorders>
            <w:vAlign w:val="center"/>
          </w:tcPr>
          <w:p>
            <w:pPr>
              <w:autoSpaceDE w:val="0"/>
              <w:autoSpaceDN w:val="0"/>
              <w:jc w:val="center"/>
              <w:rPr>
                <w:rFonts w:ascii="仿宋" w:hAnsi="仿宋" w:eastAsia="仿宋" w:cs="仿宋"/>
                <w:b/>
                <w:kern w:val="0"/>
                <w:sz w:val="24"/>
                <w:szCs w:val="24"/>
                <w:lang w:val="zh-CN" w:bidi="zh-CN"/>
              </w:rPr>
            </w:pPr>
            <w:r>
              <w:rPr>
                <w:rFonts w:hint="eastAsia" w:ascii="仿宋" w:hAnsi="仿宋" w:eastAsia="仿宋" w:cs="仿宋"/>
                <w:b/>
                <w:kern w:val="0"/>
                <w:sz w:val="24"/>
                <w:szCs w:val="24"/>
                <w:lang w:val="zh-CN" w:bidi="zh-CN"/>
              </w:rPr>
              <w:t>序号</w:t>
            </w:r>
          </w:p>
        </w:tc>
        <w:tc>
          <w:tcPr>
            <w:tcW w:w="1267" w:type="dxa"/>
            <w:tcBorders>
              <w:bottom w:val="single" w:color="auto" w:sz="4" w:space="0"/>
            </w:tcBorders>
            <w:vAlign w:val="center"/>
          </w:tcPr>
          <w:p>
            <w:pPr>
              <w:autoSpaceDE w:val="0"/>
              <w:autoSpaceDN w:val="0"/>
              <w:jc w:val="center"/>
              <w:rPr>
                <w:rFonts w:ascii="仿宋" w:hAnsi="仿宋" w:eastAsia="仿宋" w:cs="仿宋"/>
                <w:b/>
                <w:kern w:val="0"/>
                <w:sz w:val="24"/>
                <w:szCs w:val="24"/>
                <w:lang w:val="zh-CN" w:bidi="zh-CN"/>
              </w:rPr>
            </w:pPr>
            <w:r>
              <w:rPr>
                <w:rFonts w:hint="eastAsia" w:ascii="仿宋" w:hAnsi="仿宋" w:eastAsia="仿宋" w:cs="仿宋"/>
                <w:b/>
                <w:kern w:val="0"/>
                <w:sz w:val="24"/>
                <w:szCs w:val="24"/>
                <w:lang w:val="zh-CN" w:bidi="zh-CN"/>
              </w:rPr>
              <w:t>巡检设备</w:t>
            </w:r>
          </w:p>
        </w:tc>
        <w:tc>
          <w:tcPr>
            <w:tcW w:w="7061" w:type="dxa"/>
            <w:tcBorders>
              <w:bottom w:val="single" w:color="auto" w:sz="4" w:space="0"/>
            </w:tcBorders>
            <w:vAlign w:val="center"/>
          </w:tcPr>
          <w:p>
            <w:pPr>
              <w:autoSpaceDE w:val="0"/>
              <w:autoSpaceDN w:val="0"/>
              <w:jc w:val="center"/>
              <w:rPr>
                <w:rFonts w:ascii="仿宋" w:hAnsi="仿宋" w:eastAsia="仿宋" w:cs="仿宋"/>
                <w:b/>
                <w:kern w:val="0"/>
                <w:sz w:val="24"/>
                <w:szCs w:val="24"/>
                <w:lang w:val="zh-CN" w:bidi="zh-CN"/>
              </w:rPr>
            </w:pPr>
            <w:r>
              <w:rPr>
                <w:rFonts w:hint="eastAsia" w:ascii="仿宋" w:hAnsi="仿宋" w:eastAsia="仿宋" w:cs="仿宋"/>
                <w:b/>
                <w:kern w:val="0"/>
                <w:sz w:val="24"/>
                <w:szCs w:val="24"/>
                <w:lang w:val="zh-CN" w:bidi="zh-CN"/>
              </w:rPr>
              <w:t>巡检项目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891" w:type="dxa"/>
            <w:tcBorders>
              <w:bottom w:val="single" w:color="auto" w:sz="4" w:space="0"/>
            </w:tcBorders>
            <w:vAlign w:val="center"/>
          </w:tcPr>
          <w:p>
            <w:pPr>
              <w:jc w:val="center"/>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A</w:t>
            </w:r>
          </w:p>
        </w:tc>
        <w:tc>
          <w:tcPr>
            <w:tcW w:w="1267" w:type="dxa"/>
            <w:tcBorders>
              <w:bottom w:val="single" w:color="auto" w:sz="4" w:space="0"/>
            </w:tcBorders>
            <w:vAlign w:val="center"/>
          </w:tcPr>
          <w:p>
            <w:pPr>
              <w:autoSpaceDE w:val="0"/>
              <w:autoSpaceDN w:val="0"/>
              <w:jc w:val="center"/>
              <w:rPr>
                <w:rFonts w:ascii="仿宋" w:hAnsi="仿宋" w:eastAsia="仿宋" w:cs="仿宋"/>
                <w:kern w:val="0"/>
                <w:sz w:val="24"/>
                <w:szCs w:val="24"/>
                <w:lang w:bidi="zh-CN"/>
              </w:rPr>
            </w:pPr>
            <w:r>
              <w:rPr>
                <w:rFonts w:hint="eastAsia" w:ascii="仿宋" w:hAnsi="仿宋" w:eastAsia="仿宋" w:cs="仿宋"/>
                <w:kern w:val="0"/>
                <w:sz w:val="24"/>
                <w:szCs w:val="24"/>
                <w:lang w:val="zh-CN" w:bidi="zh-CN"/>
              </w:rPr>
              <w:t>移动监测</w:t>
            </w:r>
            <w:r>
              <w:rPr>
                <w:rFonts w:hint="eastAsia" w:ascii="仿宋" w:hAnsi="仿宋" w:eastAsia="仿宋" w:cs="仿宋"/>
                <w:kern w:val="0"/>
                <w:sz w:val="24"/>
                <w:szCs w:val="24"/>
                <w:lang w:bidi="zh-CN"/>
              </w:rPr>
              <w:t>站</w:t>
            </w:r>
          </w:p>
        </w:tc>
        <w:tc>
          <w:tcPr>
            <w:tcW w:w="7061" w:type="dxa"/>
            <w:tcBorders>
              <w:bottom w:val="single" w:color="auto" w:sz="4" w:space="0"/>
            </w:tcBorders>
            <w:vAlign w:val="center"/>
          </w:tcPr>
          <w:p>
            <w:pPr>
              <w:jc w:val="left"/>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监测、测向、定位、监听、控制、天馈、信号分析、信息记录，以及通信、电源等辅助系统。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89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B</w:t>
            </w:r>
          </w:p>
        </w:tc>
        <w:tc>
          <w:tcPr>
            <w:tcW w:w="1267"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 w:hAnsi="仿宋" w:eastAsia="仿宋" w:cs="仿宋"/>
                <w:kern w:val="0"/>
                <w:sz w:val="24"/>
                <w:szCs w:val="24"/>
                <w:lang w:bidi="zh-CN"/>
              </w:rPr>
            </w:pPr>
            <w:r>
              <w:rPr>
                <w:rFonts w:hint="eastAsia" w:ascii="仿宋" w:hAnsi="仿宋" w:eastAsia="仿宋" w:cs="仿宋"/>
                <w:kern w:val="0"/>
                <w:sz w:val="24"/>
                <w:szCs w:val="24"/>
                <w:lang w:val="zh-CN" w:bidi="zh-CN"/>
              </w:rPr>
              <w:t>固定监测</w:t>
            </w:r>
            <w:r>
              <w:rPr>
                <w:rFonts w:hint="eastAsia" w:ascii="仿宋" w:hAnsi="仿宋" w:eastAsia="仿宋" w:cs="仿宋"/>
                <w:kern w:val="0"/>
                <w:sz w:val="24"/>
                <w:szCs w:val="24"/>
                <w:lang w:bidi="zh-CN"/>
              </w:rPr>
              <w:t>站</w:t>
            </w:r>
          </w:p>
        </w:tc>
        <w:tc>
          <w:tcPr>
            <w:tcW w:w="7061"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仿宋" w:hAnsi="仿宋" w:eastAsia="仿宋" w:cs="仿宋"/>
                <w:kern w:val="0"/>
                <w:sz w:val="24"/>
                <w:szCs w:val="24"/>
                <w:lang w:val="zh-CN" w:bidi="zh-CN"/>
              </w:rPr>
            </w:pPr>
            <w:r>
              <w:rPr>
                <w:rFonts w:hint="eastAsia" w:ascii="仿宋" w:hAnsi="仿宋" w:eastAsia="仿宋" w:cs="仿宋"/>
                <w:kern w:val="0"/>
                <w:sz w:val="24"/>
                <w:szCs w:val="24"/>
                <w:lang w:bidi="zh-CN"/>
              </w:rPr>
              <w:t>二</w:t>
            </w:r>
            <w:r>
              <w:rPr>
                <w:rFonts w:hint="eastAsia" w:ascii="仿宋" w:hAnsi="仿宋" w:eastAsia="仿宋" w:cs="仿宋"/>
                <w:kern w:val="0"/>
                <w:sz w:val="24"/>
                <w:szCs w:val="24"/>
                <w:lang w:val="zh-CN" w:bidi="zh-CN"/>
              </w:rPr>
              <w:t>类固定站：天馈系统、监测系统、测向系统、控制系统、网络和存储系统、电源系统、防雷接地系统、环境监控系统、其他附属设备。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891" w:type="dxa"/>
            <w:vMerge w:val="continue"/>
            <w:tcBorders>
              <w:top w:val="single" w:color="auto" w:sz="4" w:space="0"/>
              <w:left w:val="single" w:color="auto" w:sz="4" w:space="0"/>
              <w:bottom w:val="single" w:color="auto" w:sz="4" w:space="0"/>
              <w:right w:val="single" w:color="auto" w:sz="4" w:space="0"/>
            </w:tcBorders>
          </w:tcPr>
          <w:p>
            <w:pPr>
              <w:jc w:val="center"/>
              <w:rPr>
                <w:rFonts w:ascii="仿宋" w:hAnsi="仿宋" w:eastAsia="仿宋" w:cs="仿宋"/>
                <w:kern w:val="0"/>
                <w:sz w:val="24"/>
                <w:szCs w:val="24"/>
                <w:lang w:val="zh-CN" w:bidi="zh-CN"/>
              </w:rPr>
            </w:pPr>
          </w:p>
        </w:tc>
        <w:tc>
          <w:tcPr>
            <w:tcW w:w="1267" w:type="dxa"/>
            <w:vMerge w:val="continue"/>
            <w:tcBorders>
              <w:top w:val="single" w:color="auto" w:sz="4" w:space="0"/>
              <w:left w:val="single" w:color="auto" w:sz="4" w:space="0"/>
              <w:bottom w:val="single" w:color="auto" w:sz="4" w:space="0"/>
              <w:right w:val="single" w:color="auto" w:sz="4" w:space="0"/>
            </w:tcBorders>
          </w:tcPr>
          <w:p>
            <w:pPr>
              <w:rPr>
                <w:rFonts w:ascii="仿宋" w:hAnsi="仿宋" w:eastAsia="仿宋" w:cs="仿宋"/>
                <w:sz w:val="24"/>
                <w:szCs w:val="24"/>
              </w:rPr>
            </w:pPr>
          </w:p>
        </w:tc>
        <w:tc>
          <w:tcPr>
            <w:tcW w:w="7061"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四类固定站：天馈系统、监测系统、控制系统、网络和存储系统、电源系统、防雷接地系统、环境监控系统、其他附属设备。</w:t>
            </w:r>
          </w:p>
        </w:tc>
      </w:tr>
    </w:tbl>
    <w:p>
      <w:pPr>
        <w:spacing w:line="360" w:lineRule="auto"/>
        <w:ind w:firstLine="643" w:firstLineChars="200"/>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5.2.2移动监测站设备运行维护定期巡检项目表</w:t>
      </w:r>
    </w:p>
    <w:tbl>
      <w:tblPr>
        <w:tblStyle w:val="28"/>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573"/>
        <w:gridCol w:w="4344"/>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1276" w:type="dxa"/>
            <w:vAlign w:val="center"/>
          </w:tcPr>
          <w:p>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巡检设备</w:t>
            </w:r>
          </w:p>
        </w:tc>
        <w:tc>
          <w:tcPr>
            <w:tcW w:w="1573" w:type="dxa"/>
            <w:vAlign w:val="center"/>
          </w:tcPr>
          <w:p>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巡检项目</w:t>
            </w:r>
          </w:p>
        </w:tc>
        <w:tc>
          <w:tcPr>
            <w:tcW w:w="4344" w:type="dxa"/>
            <w:vAlign w:val="center"/>
          </w:tcPr>
          <w:p>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工作要求</w:t>
            </w:r>
          </w:p>
        </w:tc>
        <w:tc>
          <w:tcPr>
            <w:tcW w:w="1407" w:type="dxa"/>
            <w:vAlign w:val="center"/>
          </w:tcPr>
          <w:p>
            <w:pPr>
              <w:spacing w:line="300" w:lineRule="auto"/>
              <w:jc w:val="center"/>
              <w:rPr>
                <w:rFonts w:ascii="仿宋" w:hAnsi="仿宋" w:eastAsia="仿宋" w:cs="仿宋"/>
                <w:b/>
                <w:bCs/>
                <w:sz w:val="24"/>
                <w:szCs w:val="24"/>
              </w:rPr>
            </w:pPr>
            <w:r>
              <w:rPr>
                <w:rFonts w:hint="eastAsia" w:ascii="仿宋" w:hAnsi="仿宋" w:eastAsia="仿宋" w:cs="仿宋"/>
                <w:b/>
                <w:bCs/>
                <w:sz w:val="24"/>
                <w:szCs w:val="24"/>
              </w:rPr>
              <w:t>巡检次数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1</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天馈系统</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监测功能</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检查监测天线在其工作范围的工作状态，确保能够实时准确的捕捉到天线所处空间的电波信号。</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天线阵单元检查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检查测向天线内部各振子是否完好，工作正常。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天线外观检查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检查天线自身，确保天线外部无损伤。</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天线外观检查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检查天线固定情况，查看天线和天线支臂是否存在松动。查看固定天线的螺丝是否存在氧化情况。</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GPS天线、电子罗盘检查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GPS天线、电子罗盘功能正常。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馈线、控制线接头检查</w:t>
            </w:r>
          </w:p>
        </w:tc>
        <w:tc>
          <w:tcPr>
            <w:tcW w:w="4344" w:type="dxa"/>
            <w:vMerge w:val="restart"/>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检查馈线、控制线接头是否存在裸露或氧化情况。及时有效的做好防水处理。</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防水情况检查</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监测系统</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设备外观</w:t>
            </w:r>
          </w:p>
        </w:tc>
        <w:tc>
          <w:tcPr>
            <w:tcW w:w="4344" w:type="dxa"/>
            <w:vMerge w:val="restart"/>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检查设备硬件部分，确定设备自身工作状态的稳定性，确定设备工作面板按键对设备操作时是否能够响应操作。</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设备开关机</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屏幕显示</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按键操作</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接收机自检</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设备地线连接检查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检查设备自身的防雷接地处理情况。避免在雷雨季节由于感应雷所造成的设备故障。</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单频测量</w:t>
            </w:r>
          </w:p>
        </w:tc>
        <w:tc>
          <w:tcPr>
            <w:tcW w:w="4344" w:type="dxa"/>
            <w:vMerge w:val="restart"/>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检查设备通过软件的控制过程，是否存在软件无法进行数据响应交换。</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频段扫描</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离散扫描</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设备除尘</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检查设备自身工作环境，对设备工作有影响的因素进行解决。（例如：散热或灰尘所引起的设备工作异常）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3</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测向系统（移动监测车）</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测向精度</w:t>
            </w:r>
          </w:p>
        </w:tc>
        <w:tc>
          <w:tcPr>
            <w:tcW w:w="4344" w:type="dxa"/>
            <w:vMerge w:val="restart"/>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检查测向机的测向等功能是否正常且测向准确。</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信标台站测试</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设备外观</w:t>
            </w:r>
          </w:p>
        </w:tc>
        <w:tc>
          <w:tcPr>
            <w:tcW w:w="4344" w:type="dxa"/>
            <w:vMerge w:val="restart"/>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检查设备硬件部分，确定设备自身工作状态的稳定性，确定设备工作面板按键对设备操作时是否能够响应操作。</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设备开关机</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屏幕显示</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按键操作</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测向机自检</w:t>
            </w:r>
          </w:p>
        </w:tc>
        <w:tc>
          <w:tcPr>
            <w:tcW w:w="4344" w:type="dxa"/>
            <w:vMerge w:val="continue"/>
            <w:vAlign w:val="center"/>
          </w:tcPr>
          <w:p>
            <w:pPr>
              <w:spacing w:line="300" w:lineRule="auto"/>
              <w:jc w:val="left"/>
              <w:rPr>
                <w:rFonts w:ascii="仿宋" w:hAnsi="仿宋" w:eastAsia="仿宋" w:cs="仿宋"/>
                <w:sz w:val="24"/>
                <w:szCs w:val="24"/>
              </w:rPr>
            </w:pP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设备地线连接检查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检查设备自身的防雷接地处理情况。避免在雷雨季节由于感应雷所造成的设备故障。</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设备除尘</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检查设备自身工作环境，对设备工作有影响的因素进行解决。（例如：散热或灰尘所引起的设备工作异常）。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测向软件检查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检查测试程序、系统软件控制等是否正常。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4</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监测测</w:t>
            </w:r>
          </w:p>
          <w:p>
            <w:pPr>
              <w:spacing w:line="300" w:lineRule="auto"/>
              <w:jc w:val="center"/>
              <w:rPr>
                <w:rFonts w:ascii="仿宋" w:hAnsi="仿宋" w:eastAsia="仿宋" w:cs="仿宋"/>
                <w:sz w:val="24"/>
                <w:szCs w:val="24"/>
              </w:rPr>
            </w:pPr>
            <w:r>
              <w:rPr>
                <w:rFonts w:hint="eastAsia" w:ascii="仿宋" w:hAnsi="仿宋" w:eastAsia="仿宋" w:cs="仿宋"/>
                <w:sz w:val="24"/>
                <w:szCs w:val="24"/>
              </w:rPr>
              <w:t>向软件</w:t>
            </w: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启动监测软件检查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检查服务端初始化是否正常，有无报错信息。</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检查服务端的设备、天线及网络配置检查。</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检查客户端是否正常连接，配置信息是否正确。</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信号扫描检查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检查天线频段扫描功能是否正常，扫描信号电平是否正常。</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检查多段扫描功能是否正常。</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检查FSCAN、PSCAN、MSCAN扫描功能是否正常。</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单频测量检查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对频率、滤波带宽、频谱带宽等各参数进行设置，并测量，检查测量结果是否正常。</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检查声音解调是否正常。</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示向度测量检查</w:t>
            </w:r>
          </w:p>
          <w:p>
            <w:pPr>
              <w:spacing w:line="300" w:lineRule="auto"/>
              <w:jc w:val="center"/>
              <w:rPr>
                <w:rFonts w:ascii="仿宋" w:hAnsi="仿宋" w:eastAsia="仿宋" w:cs="仿宋"/>
                <w:sz w:val="24"/>
                <w:szCs w:val="24"/>
              </w:rPr>
            </w:pPr>
            <w:r>
              <w:rPr>
                <w:rFonts w:hint="eastAsia" w:ascii="仿宋" w:hAnsi="仿宋" w:eastAsia="仿宋" w:cs="仿宋"/>
                <w:sz w:val="24"/>
                <w:szCs w:val="24"/>
              </w:rPr>
              <w:t>（移动监测车）</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设置不同频率、参数进行示向度测量，并检查测量结果是否正常。</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结合电子地图进行示向度测量显示。</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电子地图检查</w:t>
            </w:r>
          </w:p>
          <w:p>
            <w:pPr>
              <w:spacing w:line="300" w:lineRule="auto"/>
              <w:jc w:val="center"/>
              <w:rPr>
                <w:rFonts w:ascii="仿宋" w:hAnsi="仿宋" w:eastAsia="仿宋" w:cs="仿宋"/>
                <w:sz w:val="24"/>
                <w:szCs w:val="24"/>
              </w:rPr>
            </w:pPr>
            <w:r>
              <w:rPr>
                <w:rFonts w:hint="eastAsia" w:ascii="仿宋" w:hAnsi="仿宋" w:eastAsia="仿宋" w:cs="仿宋"/>
                <w:sz w:val="24"/>
                <w:szCs w:val="24"/>
              </w:rPr>
              <w:t>（移动监测车）</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检查地图是否正确打开，台站图标是否定位正确。</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检查图层是否显示正确、地图工具按钮功能是否正常。</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数据记录及管理检查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检查测量数据的记录、查询回放功能测试。</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信号录音功能测试。</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监测数据存储功能检查。</w:t>
            </w:r>
          </w:p>
        </w:tc>
        <w:tc>
          <w:tcPr>
            <w:tcW w:w="1407" w:type="dxa"/>
            <w:vMerge w:val="continue"/>
            <w:vAlign w:val="center"/>
          </w:tcPr>
          <w:p>
            <w:pPr>
              <w:spacing w:line="30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5</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控制系统</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控制电脑硬件、操作</w:t>
            </w:r>
          </w:p>
          <w:p>
            <w:pPr>
              <w:spacing w:line="300" w:lineRule="auto"/>
              <w:jc w:val="center"/>
              <w:rPr>
                <w:rFonts w:ascii="仿宋" w:hAnsi="仿宋" w:eastAsia="仿宋" w:cs="仿宋"/>
                <w:sz w:val="24"/>
                <w:szCs w:val="24"/>
              </w:rPr>
            </w:pPr>
            <w:r>
              <w:rPr>
                <w:rFonts w:hint="eastAsia" w:ascii="仿宋" w:hAnsi="仿宋" w:eastAsia="仿宋" w:cs="仿宋"/>
                <w:sz w:val="24"/>
                <w:szCs w:val="24"/>
              </w:rPr>
              <w:t>系统检查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控制电脑硬件、外观和操作系统正常。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系统安全检查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对系统进行安全测试，对其存在的安全漏洞进行修补，防止病毒的侵入。</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软件检查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确定控制系统内部软件工作是否正常，若异常及时对其进行故障判断解决。</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系统备份检查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对系统进行备份，以便在发生灾难性故障时能够及时有效的恢复系统。</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6</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电源系统</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电源管理模块检查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市电充电方式。</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电池状态检查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电池是否能正常进行充、放电。</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7</w:t>
            </w:r>
          </w:p>
        </w:tc>
        <w:tc>
          <w:tcPr>
            <w:tcW w:w="1276"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设备连接</w:t>
            </w: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电源连接线检查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设备电源连接线连接固定正常。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数据连接线检查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设备数据连接线连接固定正常。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射频线检查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天馈射频连接线连接固定正常。</w:t>
            </w:r>
          </w:p>
        </w:tc>
        <w:tc>
          <w:tcPr>
            <w:tcW w:w="1407"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restart"/>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车载设备检查</w:t>
            </w: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清理设备积灰，定期通电，检查车内各设备运行是否正常。</w:t>
            </w:r>
          </w:p>
        </w:tc>
        <w:tc>
          <w:tcPr>
            <w:tcW w:w="1407"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Merge w:val="continue"/>
            <w:vAlign w:val="center"/>
          </w:tcPr>
          <w:p>
            <w:pPr>
              <w:spacing w:line="300" w:lineRule="auto"/>
              <w:jc w:val="center"/>
              <w:rPr>
                <w:rFonts w:ascii="仿宋" w:hAnsi="仿宋" w:eastAsia="仿宋" w:cs="仿宋"/>
                <w:sz w:val="24"/>
                <w:szCs w:val="24"/>
              </w:rPr>
            </w:pPr>
          </w:p>
        </w:tc>
        <w:tc>
          <w:tcPr>
            <w:tcW w:w="1276" w:type="dxa"/>
            <w:vMerge w:val="continue"/>
            <w:vAlign w:val="center"/>
          </w:tcPr>
          <w:p>
            <w:pPr>
              <w:spacing w:line="300" w:lineRule="auto"/>
              <w:jc w:val="center"/>
              <w:rPr>
                <w:rFonts w:ascii="仿宋" w:hAnsi="仿宋" w:eastAsia="仿宋" w:cs="仿宋"/>
                <w:sz w:val="24"/>
                <w:szCs w:val="24"/>
              </w:rPr>
            </w:pPr>
          </w:p>
        </w:tc>
        <w:tc>
          <w:tcPr>
            <w:tcW w:w="1573" w:type="dxa"/>
            <w:vMerge w:val="continue"/>
            <w:vAlign w:val="center"/>
          </w:tcPr>
          <w:p>
            <w:pPr>
              <w:spacing w:line="300" w:lineRule="auto"/>
              <w:jc w:val="center"/>
              <w:rPr>
                <w:rFonts w:ascii="仿宋" w:hAnsi="仿宋" w:eastAsia="仿宋" w:cs="仿宋"/>
                <w:sz w:val="24"/>
                <w:szCs w:val="24"/>
              </w:rPr>
            </w:pPr>
          </w:p>
        </w:tc>
        <w:tc>
          <w:tcPr>
            <w:tcW w:w="4344" w:type="dxa"/>
            <w:vAlign w:val="center"/>
          </w:tcPr>
          <w:p>
            <w:pPr>
              <w:spacing w:line="300" w:lineRule="auto"/>
              <w:jc w:val="left"/>
              <w:rPr>
                <w:rFonts w:ascii="仿宋" w:hAnsi="仿宋" w:eastAsia="仿宋" w:cs="仿宋"/>
                <w:sz w:val="24"/>
                <w:szCs w:val="24"/>
              </w:rPr>
            </w:pPr>
            <w:r>
              <w:rPr>
                <w:rFonts w:hint="eastAsia" w:ascii="仿宋" w:hAnsi="仿宋" w:eastAsia="仿宋" w:cs="仿宋"/>
                <w:sz w:val="24"/>
                <w:szCs w:val="24"/>
              </w:rPr>
              <w:t>检查机柜散热风扇运行情况，检查机柜及设备紧固性。</w:t>
            </w:r>
          </w:p>
        </w:tc>
        <w:tc>
          <w:tcPr>
            <w:tcW w:w="1407" w:type="dxa"/>
            <w:vMerge w:val="continue"/>
            <w:vAlign w:val="center"/>
          </w:tcPr>
          <w:p>
            <w:pPr>
              <w:spacing w:line="300" w:lineRule="auto"/>
              <w:jc w:val="center"/>
              <w:rPr>
                <w:rFonts w:ascii="仿宋" w:hAnsi="仿宋" w:eastAsia="仿宋" w:cs="仿宋"/>
                <w:sz w:val="24"/>
                <w:szCs w:val="24"/>
              </w:rPr>
            </w:pPr>
          </w:p>
        </w:tc>
      </w:tr>
    </w:tbl>
    <w:p>
      <w:pPr>
        <w:spacing w:line="360" w:lineRule="auto"/>
        <w:rPr>
          <w:rFonts w:ascii="Times New Roman" w:hAnsi="Times New Roman" w:eastAsia="楷体_GB2312" w:cs="Times New Roman"/>
          <w:b/>
          <w:bCs/>
          <w:kern w:val="0"/>
          <w:sz w:val="32"/>
          <w:szCs w:val="32"/>
          <w:shd w:val="clear" w:color="auto" w:fill="FFFFFF"/>
          <w:lang w:bidi="ar"/>
        </w:rPr>
      </w:pPr>
      <w:r>
        <w:rPr>
          <w:rFonts w:hint="eastAsia" w:ascii="Times New Roman" w:hAnsi="Times New Roman" w:eastAsia="楷体_GB2312" w:cs="Times New Roman"/>
          <w:b/>
          <w:bCs/>
          <w:kern w:val="0"/>
          <w:sz w:val="32"/>
          <w:szCs w:val="32"/>
          <w:shd w:val="clear" w:color="auto" w:fill="FFFFFF"/>
          <w:lang w:bidi="ar"/>
        </w:rPr>
        <w:t>5.2.3固定监测站设备运行维护定期巡检项目表</w:t>
      </w:r>
    </w:p>
    <w:tbl>
      <w:tblPr>
        <w:tblStyle w:val="2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6"/>
        <w:gridCol w:w="1554"/>
        <w:gridCol w:w="4353"/>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1316"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巡检设备</w:t>
            </w:r>
          </w:p>
        </w:tc>
        <w:tc>
          <w:tcPr>
            <w:tcW w:w="1554"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巡检项目</w:t>
            </w:r>
          </w:p>
        </w:tc>
        <w:tc>
          <w:tcPr>
            <w:tcW w:w="4353"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工作要求</w:t>
            </w:r>
          </w:p>
        </w:tc>
        <w:tc>
          <w:tcPr>
            <w:tcW w:w="1446"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巡检次数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316"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天馈系统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sz w:val="24"/>
                <w:szCs w:val="24"/>
              </w:rPr>
              <w:t>监测功能</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sz w:val="24"/>
                <w:szCs w:val="24"/>
              </w:rPr>
              <w:t>检查监测天线在其工作范围的工作状态，确保能够实时准确的捕捉到天线所处空间的电波信号。</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天线阵单元检查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检查测向天线内部各振子是否完好，工作正常。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天线外观检查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检查天线自身，确保天线外部无损伤。</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天线及天线支臂固定情况检查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检查天线固定情况，查看天线和天线支臂是否存在松动。查看固定天线的螺丝是否存在氧化情况。</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馈线、控制线接头检查</w:t>
            </w:r>
          </w:p>
        </w:tc>
        <w:tc>
          <w:tcPr>
            <w:tcW w:w="4353"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检查馈线、控制线接头是否存在裸露或氧化情况。及时有效的做好防水处理。</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防水情况检查</w:t>
            </w:r>
          </w:p>
        </w:tc>
        <w:tc>
          <w:tcPr>
            <w:tcW w:w="4353" w:type="dxa"/>
            <w:vMerge w:val="continue"/>
            <w:vAlign w:val="center"/>
          </w:tcPr>
          <w:p>
            <w:pPr>
              <w:jc w:val="left"/>
              <w:rPr>
                <w:rFonts w:ascii="仿宋" w:hAnsi="仿宋" w:eastAsia="仿宋" w:cs="仿宋"/>
                <w:color w:val="000000"/>
                <w:sz w:val="24"/>
                <w:szCs w:val="24"/>
              </w:rPr>
            </w:pP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2</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监测系统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sz w:val="24"/>
                <w:szCs w:val="24"/>
              </w:rPr>
              <w:t>设备外观</w:t>
            </w:r>
          </w:p>
        </w:tc>
        <w:tc>
          <w:tcPr>
            <w:tcW w:w="4353" w:type="dxa"/>
            <w:vMerge w:val="restart"/>
            <w:vAlign w:val="center"/>
          </w:tcPr>
          <w:p>
            <w:pPr>
              <w:jc w:val="left"/>
              <w:rPr>
                <w:rFonts w:ascii="仿宋" w:hAnsi="仿宋" w:eastAsia="仿宋" w:cs="仿宋"/>
                <w:sz w:val="24"/>
                <w:szCs w:val="24"/>
              </w:rPr>
            </w:pPr>
            <w:r>
              <w:rPr>
                <w:rFonts w:hint="eastAsia" w:ascii="仿宋" w:hAnsi="仿宋" w:eastAsia="仿宋" w:cs="仿宋"/>
                <w:sz w:val="24"/>
                <w:szCs w:val="24"/>
              </w:rPr>
              <w:t>检查设备硬件部分，确定设备自身工作状态的稳定性，</w:t>
            </w:r>
            <w:r>
              <w:rPr>
                <w:rFonts w:hint="eastAsia" w:ascii="仿宋" w:hAnsi="仿宋" w:eastAsia="仿宋" w:cs="仿宋"/>
                <w:color w:val="000000"/>
                <w:sz w:val="24"/>
                <w:szCs w:val="24"/>
              </w:rPr>
              <w:t>确定设备工作面板按键</w:t>
            </w:r>
            <w:r>
              <w:rPr>
                <w:rFonts w:hint="eastAsia" w:ascii="仿宋" w:hAnsi="仿宋" w:eastAsia="仿宋" w:cs="仿宋"/>
                <w:sz w:val="24"/>
                <w:szCs w:val="24"/>
              </w:rPr>
              <w:t>对设备操作时是否能够响应操作。</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设备开关机</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屏幕显示</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按键操作</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接收机自检</w:t>
            </w:r>
          </w:p>
        </w:tc>
        <w:tc>
          <w:tcPr>
            <w:tcW w:w="4353" w:type="dxa"/>
            <w:vMerge w:val="continue"/>
            <w:vAlign w:val="center"/>
          </w:tcPr>
          <w:p>
            <w:pPr>
              <w:jc w:val="center"/>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设备地线连接检查</w:t>
            </w:r>
          </w:p>
        </w:tc>
        <w:tc>
          <w:tcPr>
            <w:tcW w:w="4353" w:type="dxa"/>
            <w:vAlign w:val="center"/>
          </w:tcPr>
          <w:p>
            <w:pPr>
              <w:jc w:val="center"/>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检查设备自身的防雷接地处理情况。避免在雷雨季节由于感应雷所造成的设备故障。</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单频测量</w:t>
            </w:r>
          </w:p>
        </w:tc>
        <w:tc>
          <w:tcPr>
            <w:tcW w:w="4353" w:type="dxa"/>
            <w:vMerge w:val="restart"/>
            <w:vAlign w:val="center"/>
          </w:tcPr>
          <w:p>
            <w:pPr>
              <w:jc w:val="left"/>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检查设备通过软件的控制过程，是否存在软件无法进行数据响应交换。</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频段扫描</w:t>
            </w:r>
          </w:p>
        </w:tc>
        <w:tc>
          <w:tcPr>
            <w:tcW w:w="4353" w:type="dxa"/>
            <w:vMerge w:val="continue"/>
            <w:vAlign w:val="center"/>
          </w:tcPr>
          <w:p>
            <w:pPr>
              <w:jc w:val="center"/>
              <w:rPr>
                <w:rFonts w:ascii="仿宋" w:hAnsi="仿宋" w:eastAsia="仿宋" w:cs="仿宋"/>
                <w:kern w:val="0"/>
                <w:sz w:val="24"/>
                <w:szCs w:val="24"/>
                <w:lang w:val="zh-CN" w:bidi="zh-CN"/>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离散扫描</w:t>
            </w:r>
          </w:p>
        </w:tc>
        <w:tc>
          <w:tcPr>
            <w:tcW w:w="4353" w:type="dxa"/>
            <w:vMerge w:val="continue"/>
            <w:vAlign w:val="center"/>
          </w:tcPr>
          <w:p>
            <w:pPr>
              <w:jc w:val="center"/>
              <w:rPr>
                <w:rFonts w:ascii="仿宋" w:hAnsi="仿宋" w:eastAsia="仿宋" w:cs="仿宋"/>
                <w:kern w:val="0"/>
                <w:sz w:val="24"/>
                <w:szCs w:val="24"/>
                <w:lang w:val="zh-CN" w:bidi="zh-CN"/>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adjustRightInd w:val="0"/>
              <w:snapToGrid w:val="0"/>
              <w:jc w:val="center"/>
              <w:rPr>
                <w:rFonts w:ascii="仿宋" w:hAnsi="仿宋" w:eastAsia="仿宋" w:cs="仿宋"/>
                <w:color w:val="000000"/>
                <w:kern w:val="0"/>
                <w:sz w:val="24"/>
                <w:szCs w:val="24"/>
                <w:lang w:val="zh-CN" w:bidi="zh-CN"/>
              </w:rPr>
            </w:pPr>
            <w:r>
              <w:rPr>
                <w:rFonts w:hint="eastAsia" w:ascii="仿宋" w:hAnsi="仿宋" w:eastAsia="仿宋" w:cs="仿宋"/>
                <w:kern w:val="0"/>
                <w:sz w:val="24"/>
                <w:szCs w:val="24"/>
                <w:lang w:val="zh-CN" w:bidi="zh-CN"/>
              </w:rPr>
              <w:t>设备除尘</w:t>
            </w:r>
          </w:p>
        </w:tc>
        <w:tc>
          <w:tcPr>
            <w:tcW w:w="4353" w:type="dxa"/>
            <w:vAlign w:val="center"/>
          </w:tcPr>
          <w:p>
            <w:pPr>
              <w:jc w:val="left"/>
              <w:rPr>
                <w:rFonts w:ascii="仿宋" w:hAnsi="仿宋" w:eastAsia="仿宋" w:cs="仿宋"/>
                <w:kern w:val="0"/>
                <w:sz w:val="24"/>
                <w:szCs w:val="24"/>
                <w:lang w:val="zh-CN" w:bidi="zh-CN"/>
              </w:rPr>
            </w:pPr>
            <w:r>
              <w:rPr>
                <w:rFonts w:hint="eastAsia" w:ascii="仿宋" w:hAnsi="仿宋" w:eastAsia="仿宋" w:cs="仿宋"/>
                <w:kern w:val="0"/>
                <w:sz w:val="24"/>
                <w:szCs w:val="24"/>
                <w:lang w:val="zh-CN" w:bidi="zh-CN"/>
              </w:rPr>
              <w:t>检查设备自身工作环境，对设备工作有影响的因素进行解决。（例如：散热或灰尘所引起的设备工作异常）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测向系统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测向精度</w:t>
            </w:r>
          </w:p>
        </w:tc>
        <w:tc>
          <w:tcPr>
            <w:tcW w:w="4353"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检查测向机的测向等功能是否正常且测向准确。</w:t>
            </w:r>
          </w:p>
        </w:tc>
        <w:tc>
          <w:tcPr>
            <w:tcW w:w="1446" w:type="dxa"/>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kern w:val="0"/>
                <w:sz w:val="24"/>
                <w:szCs w:val="24"/>
                <w:lang w:val="zh-CN" w:bidi="zh-CN"/>
              </w:rPr>
              <w:t>信标台站测试</w:t>
            </w:r>
          </w:p>
        </w:tc>
        <w:tc>
          <w:tcPr>
            <w:tcW w:w="4353" w:type="dxa"/>
            <w:vMerge w:val="continue"/>
            <w:vAlign w:val="center"/>
          </w:tcPr>
          <w:p>
            <w:pPr>
              <w:jc w:val="center"/>
              <w:rPr>
                <w:rFonts w:ascii="仿宋" w:hAnsi="仿宋" w:eastAsia="仿宋" w:cs="仿宋"/>
                <w:color w:val="000000"/>
                <w:sz w:val="24"/>
                <w:szCs w:val="24"/>
              </w:rPr>
            </w:pP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设备外观</w:t>
            </w:r>
          </w:p>
        </w:tc>
        <w:tc>
          <w:tcPr>
            <w:tcW w:w="4353"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检查设备硬件部分，确定设备自身工作状态的稳定性，确定设备工作面板按键对设备操作时是否能够响应操作。</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设备开关机</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屏幕显示</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按键操作</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测向机自检</w:t>
            </w:r>
          </w:p>
        </w:tc>
        <w:tc>
          <w:tcPr>
            <w:tcW w:w="4353" w:type="dxa"/>
            <w:vMerge w:val="continue"/>
            <w:vAlign w:val="center"/>
          </w:tcPr>
          <w:p>
            <w:pPr>
              <w:jc w:val="left"/>
              <w:rPr>
                <w:rFonts w:ascii="仿宋" w:hAnsi="仿宋" w:eastAsia="仿宋" w:cs="仿宋"/>
                <w:color w:val="000000"/>
                <w:sz w:val="24"/>
                <w:szCs w:val="24"/>
              </w:rPr>
            </w:pP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设备地线连接检查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检查设备自身的防雷接地处理情况。避免在雷雨季节由于感应雷所造成的设备故障。</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设备除尘</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检查设备自身工作环境，对设备工作有影响的因素进行解决。（例如：散热或灰尘所引起的设备工作异常）。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测向软件检查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检查测试程序、系统软件控制等是否正常。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4</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监测测向软件</w:t>
            </w: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启动监测软件检查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检查服务端初始化是否正常，有无报错信息。</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检查服务端的设备、天线及网络配置检查。</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检查客户端是否正常连接，配置信息是否正确。</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信号扫描检查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检查天线频段扫描功能是否正常，扫描信号电平是否正常。</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检查多段扫描功能是否正常。</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检查FSCAN、PSCAN、MSCAN扫描功能是否正常。</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单频测量检查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对频率、滤波带宽、频谱带宽等各参数进行设置，并测量，检查测量结果是否正常。</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检查声音解调是否正常。</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示向度测量检查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设置不同频率、参数进行示向度测量，并检查测量结果是否正常。</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结合电子地图进行示向度测量显示。</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电子地图检查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检查地图是否正确打开，台站图标是否定位正确。</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检查图层是否显示正确、地图工具按钮功能是否正常。</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数据记录及管理检查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检查测量数据的记录、查询回放功能测试。</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信号录音功能测试。</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监测数据存储功能检查。</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5</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控制系统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控制电脑硬件、操作系统检查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控制电脑硬件、外观和操作系统正常。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系统安全检查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对系统进行安全测试，对其存在的安全漏洞进行修补，防止病毒的侵入。</w:t>
            </w:r>
          </w:p>
        </w:tc>
        <w:tc>
          <w:tcPr>
            <w:tcW w:w="1446" w:type="dxa"/>
            <w:vAlign w:val="center"/>
          </w:tcPr>
          <w:p>
            <w:pPr>
              <w:spacing w:line="300" w:lineRule="auto"/>
              <w:jc w:val="center"/>
              <w:rPr>
                <w:rFonts w:ascii="仿宋" w:hAnsi="仿宋" w:eastAsia="仿宋" w:cs="仿宋"/>
                <w:sz w:val="24"/>
                <w:szCs w:val="24"/>
              </w:rPr>
            </w:pPr>
            <w:r>
              <w:rPr>
                <w:rFonts w:hint="eastAsia" w:ascii="仿宋" w:hAnsi="仿宋" w:eastAsia="仿宋" w:cs="仿宋"/>
                <w:sz w:val="24"/>
                <w:szCs w:val="24"/>
              </w:rPr>
              <w:t>两+</w:t>
            </w:r>
            <w:r>
              <w:rPr>
                <w:rFonts w:hint="eastAsia" w:ascii="仿宋" w:hAnsi="仿宋" w:eastAsia="仿宋" w:cs="仿宋"/>
                <w:sz w:val="24"/>
                <w:szCs w:val="24"/>
                <w:lang w:eastAsia="zh-CN"/>
              </w:rPr>
              <w:t>一次</w:t>
            </w:r>
            <w:r>
              <w:rPr>
                <w:rFonts w:hint="eastAsia" w:ascii="仿宋" w:hAnsi="仿宋" w:eastAsia="仿宋" w:cs="仿宋"/>
                <w:sz w:val="24"/>
                <w:szCs w:val="24"/>
              </w:rPr>
              <w:t>线上次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软件检查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确定控制系统内部软件工作是否正常，若异常及时对其进行故障判断解决。</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系统备份检查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对系统进行备份，防止在发生灾难性故障时能够及时有效的恢复系统。</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6</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网络系统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路由器硬件检查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检查路由器硬件，根据具体的硬件环境确定其工作状态。</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autoSpaceDE w:val="0"/>
              <w:autoSpaceDN w:val="0"/>
              <w:jc w:val="left"/>
              <w:rPr>
                <w:rFonts w:ascii="仿宋" w:hAnsi="仿宋" w:eastAsia="仿宋" w:cs="仿宋"/>
                <w:color w:val="000000"/>
                <w:kern w:val="0"/>
                <w:sz w:val="24"/>
                <w:szCs w:val="24"/>
                <w:lang w:val="zh-CN" w:bidi="zh-CN"/>
              </w:rPr>
            </w:pPr>
            <w:r>
              <w:rPr>
                <w:rFonts w:hint="eastAsia" w:ascii="仿宋" w:hAnsi="仿宋" w:eastAsia="仿宋" w:cs="仿宋"/>
                <w:color w:val="000000"/>
                <w:sz w:val="24"/>
                <w:szCs w:val="24"/>
              </w:rPr>
              <w:t>路由器连通性、安全性检查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对路由器进行网络联通性和安全测试，发现并对所发现的安全漏洞进行处理。</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交换机硬件检查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对交换机进行硬件检查，确定其工作状态，及时发现并解决出现的硬件故障。</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交换机连通性检查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对交换机进行数据包交换测试。确定其各端口数据交换的联通性。</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一次+一次线上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7</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电源系统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电池状态检查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电池是否能正常进行充、放电。</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UPS外观检查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UPS状态切换正常，状态指示灯显示正确。</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UPS功能检查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用电源管理和诊断软件检测UPS运行正常、参数设置正确。</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8</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设备连接</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电源连接线检查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设备电源连接线连接固定正常。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数据连接线检查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设备数据连接线连接固定正常。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射频线检查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天馈射频连接线连接固定正常。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9</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w:t>
            </w: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遥控系统检查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设备基本状态检查。</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设备本地开关机测试。</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设备远程唤醒、关机测试。</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红外线人体移动、门磁、烟感等传感器是否能够产生报警信息。</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10</w:t>
            </w:r>
          </w:p>
        </w:tc>
        <w:tc>
          <w:tcPr>
            <w:tcW w:w="1316"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防雷接地系统</w:t>
            </w:r>
          </w:p>
        </w:tc>
        <w:tc>
          <w:tcPr>
            <w:tcW w:w="1554" w:type="dxa"/>
            <w:vMerge w:val="restart"/>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机房、供电、设备、</w:t>
            </w:r>
          </w:p>
          <w:p>
            <w:pPr>
              <w:jc w:val="left"/>
              <w:rPr>
                <w:rFonts w:ascii="仿宋" w:hAnsi="仿宋" w:eastAsia="仿宋" w:cs="仿宋"/>
                <w:color w:val="000000"/>
                <w:sz w:val="24"/>
                <w:szCs w:val="24"/>
              </w:rPr>
            </w:pPr>
            <w:r>
              <w:rPr>
                <w:rFonts w:hint="eastAsia" w:ascii="仿宋" w:hAnsi="仿宋" w:eastAsia="仿宋" w:cs="仿宋"/>
                <w:color w:val="000000"/>
                <w:sz w:val="24"/>
                <w:szCs w:val="24"/>
              </w:rPr>
              <w:t>网络、天线、铁塔</w:t>
            </w:r>
          </w:p>
          <w:p>
            <w:pPr>
              <w:jc w:val="left"/>
              <w:rPr>
                <w:rFonts w:ascii="仿宋" w:hAnsi="仿宋" w:eastAsia="仿宋" w:cs="仿宋"/>
                <w:color w:val="000000"/>
                <w:sz w:val="24"/>
                <w:szCs w:val="24"/>
              </w:rPr>
            </w:pPr>
            <w:r>
              <w:rPr>
                <w:rFonts w:hint="eastAsia" w:ascii="仿宋" w:hAnsi="仿宋" w:eastAsia="仿宋" w:cs="仿宋"/>
                <w:color w:val="000000"/>
                <w:sz w:val="24"/>
                <w:szCs w:val="24"/>
              </w:rPr>
              <w:t>的防雷接地检测</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馈线防雷器性能是否良好，芯线未断路。</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防雷器外壳未击穿短路接地，无跳火现象。</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爬梯检查。</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周边环境杂物清理。</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防腐防锈检查。</w:t>
            </w:r>
          </w:p>
        </w:tc>
        <w:tc>
          <w:tcPr>
            <w:tcW w:w="1446" w:type="dxa"/>
            <w:vMerge w:val="continue"/>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restart"/>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11</w:t>
            </w:r>
          </w:p>
        </w:tc>
        <w:tc>
          <w:tcPr>
            <w:tcW w:w="1316"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环境监控系统</w:t>
            </w: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门窗防盗检查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检查门窗是否完好，每次出入机房按规定关好门窗。</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温湿度检查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检查机房内温度湿度计正常工作，指标正常。</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消防检查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检查消防器材是否在有效时间和状态范围内，检查室外消火栓系统、防排烟设施和灭火设施的维护情况。</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空调检查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清洗并检查空调是否正常工作。</w:t>
            </w:r>
          </w:p>
        </w:tc>
        <w:tc>
          <w:tcPr>
            <w:tcW w:w="1446" w:type="dxa"/>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机房检查</w:t>
            </w: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检查机柜安全可靠牢固，检查机柜散热风扇运行情况正常。</w:t>
            </w:r>
          </w:p>
        </w:tc>
        <w:tc>
          <w:tcPr>
            <w:tcW w:w="1446" w:type="dxa"/>
            <w:vMerge w:val="restart"/>
            <w:vAlign w:val="center"/>
          </w:tcPr>
          <w:p>
            <w:pPr>
              <w:spacing w:line="30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对设备进行除尘，对机柜进行清洁维护。</w:t>
            </w:r>
          </w:p>
        </w:tc>
        <w:tc>
          <w:tcPr>
            <w:tcW w:w="1446" w:type="dxa"/>
            <w:vMerge w:val="continue"/>
            <w:vAlign w:val="center"/>
          </w:tcPr>
          <w:p>
            <w:pPr>
              <w:jc w:val="center"/>
              <w:rPr>
                <w:rFonts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7" w:type="dxa"/>
            <w:vMerge w:val="continue"/>
            <w:vAlign w:val="center"/>
          </w:tcPr>
          <w:p>
            <w:pPr>
              <w:jc w:val="center"/>
              <w:rPr>
                <w:rFonts w:ascii="仿宋" w:hAnsi="仿宋" w:eastAsia="仿宋" w:cs="仿宋"/>
                <w:color w:val="000000"/>
                <w:sz w:val="24"/>
                <w:szCs w:val="24"/>
              </w:rPr>
            </w:pPr>
          </w:p>
        </w:tc>
        <w:tc>
          <w:tcPr>
            <w:tcW w:w="1316" w:type="dxa"/>
            <w:vMerge w:val="continue"/>
            <w:vAlign w:val="center"/>
          </w:tcPr>
          <w:p>
            <w:pPr>
              <w:jc w:val="center"/>
              <w:rPr>
                <w:rFonts w:ascii="仿宋" w:hAnsi="仿宋" w:eastAsia="仿宋" w:cs="仿宋"/>
                <w:color w:val="000000"/>
                <w:sz w:val="24"/>
                <w:szCs w:val="24"/>
              </w:rPr>
            </w:pPr>
          </w:p>
        </w:tc>
        <w:tc>
          <w:tcPr>
            <w:tcW w:w="1554" w:type="dxa"/>
            <w:vMerge w:val="continue"/>
            <w:vAlign w:val="center"/>
          </w:tcPr>
          <w:p>
            <w:pPr>
              <w:jc w:val="center"/>
              <w:rPr>
                <w:rFonts w:ascii="仿宋" w:hAnsi="仿宋" w:eastAsia="仿宋" w:cs="仿宋"/>
                <w:color w:val="000000"/>
                <w:sz w:val="24"/>
                <w:szCs w:val="24"/>
              </w:rPr>
            </w:pPr>
          </w:p>
        </w:tc>
        <w:tc>
          <w:tcPr>
            <w:tcW w:w="4353" w:type="dxa"/>
            <w:vAlign w:val="center"/>
          </w:tcPr>
          <w:p>
            <w:pPr>
              <w:jc w:val="left"/>
              <w:rPr>
                <w:rFonts w:ascii="仿宋" w:hAnsi="仿宋" w:eastAsia="仿宋" w:cs="仿宋"/>
                <w:color w:val="000000"/>
                <w:sz w:val="24"/>
                <w:szCs w:val="24"/>
              </w:rPr>
            </w:pPr>
            <w:r>
              <w:rPr>
                <w:rFonts w:hint="eastAsia" w:ascii="仿宋" w:hAnsi="仿宋" w:eastAsia="仿宋" w:cs="仿宋"/>
                <w:color w:val="000000"/>
                <w:sz w:val="24"/>
                <w:szCs w:val="24"/>
              </w:rPr>
              <w:t>对机房环境卫生进行打扫，机柜内线缆连接检查整理，隐患排除。</w:t>
            </w:r>
          </w:p>
        </w:tc>
        <w:tc>
          <w:tcPr>
            <w:tcW w:w="1446" w:type="dxa"/>
            <w:vMerge w:val="continue"/>
            <w:vAlign w:val="center"/>
          </w:tcPr>
          <w:p>
            <w:pPr>
              <w:jc w:val="center"/>
              <w:rPr>
                <w:rFonts w:ascii="仿宋" w:hAnsi="仿宋" w:eastAsia="仿宋" w:cs="仿宋"/>
                <w:color w:val="000000"/>
                <w:sz w:val="24"/>
                <w:szCs w:val="24"/>
              </w:rPr>
            </w:pPr>
          </w:p>
        </w:tc>
      </w:tr>
    </w:tbl>
    <w:p>
      <w:pPr>
        <w:jc w:val="center"/>
        <w:rPr>
          <w:b/>
          <w:sz w:val="28"/>
        </w:rPr>
      </w:pPr>
    </w:p>
    <w:p>
      <w:pPr>
        <w:pStyle w:val="80"/>
        <w:spacing w:line="360" w:lineRule="auto"/>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A39739-BC34-43C8-B16C-36C5E13C8A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2" w:fontKey="{31EFBD2D-F6D1-4CB1-B107-901D16001A64}"/>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embedRegular r:id="rId3" w:fontKey="{AA548528-1436-4F31-A982-5B345696160A}"/>
  </w:font>
  <w:font w:name="方正小标宋简体">
    <w:panose1 w:val="02010600010101010101"/>
    <w:charset w:val="86"/>
    <w:family w:val="auto"/>
    <w:pitch w:val="default"/>
    <w:sig w:usb0="00000001" w:usb1="080E0000" w:usb2="00000000" w:usb3="00000000" w:csb0="00040000" w:csb1="00000000"/>
    <w:embedRegular r:id="rId4" w:fontKey="{253AD469-71F5-49BF-92AB-F88A88792ED2}"/>
  </w:font>
  <w:font w:name="仿宋_GB2312">
    <w:panose1 w:val="02010609030101010101"/>
    <w:charset w:val="86"/>
    <w:family w:val="modern"/>
    <w:pitch w:val="default"/>
    <w:sig w:usb0="00000001" w:usb1="080E0000" w:usb2="00000000" w:usb3="00000000" w:csb0="00040000" w:csb1="00000000"/>
    <w:embedRegular r:id="rId5" w:fontKey="{98F3630E-2381-43B2-BD0E-F3FAD23BB73C}"/>
  </w:font>
  <w:font w:name="楷体_GB2312">
    <w:panose1 w:val="02010609030101010101"/>
    <w:charset w:val="86"/>
    <w:family w:val="modern"/>
    <w:pitch w:val="default"/>
    <w:sig w:usb0="00000001" w:usb1="080E0000" w:usb2="00000000" w:usb3="00000000" w:csb0="00040000" w:csb1="00000000"/>
    <w:embedRegular r:id="rId6" w:fontKey="{8B346B15-295F-466A-8AD5-315A6120AFD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pStyle w:val="8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NjM0YjFhY2RkMDI1NThkMmYyNTQ0MGZkM2E5M2QifQ=="/>
    <w:docVar w:name="KSO_WPS_MARK_KEY" w:val="a4bad218-b34a-4b0b-b1e7-abe241536494"/>
  </w:docVars>
  <w:rsids>
    <w:rsidRoot w:val="26280A8C"/>
    <w:rsid w:val="00056811"/>
    <w:rsid w:val="000B7134"/>
    <w:rsid w:val="000D78EB"/>
    <w:rsid w:val="00323781"/>
    <w:rsid w:val="004B1C6B"/>
    <w:rsid w:val="006228C9"/>
    <w:rsid w:val="00623D89"/>
    <w:rsid w:val="007765BC"/>
    <w:rsid w:val="0095118D"/>
    <w:rsid w:val="009A3EC8"/>
    <w:rsid w:val="00A104CC"/>
    <w:rsid w:val="00B14038"/>
    <w:rsid w:val="00B86ECD"/>
    <w:rsid w:val="00BC5F7A"/>
    <w:rsid w:val="00C02DFF"/>
    <w:rsid w:val="00C55843"/>
    <w:rsid w:val="00CA50CC"/>
    <w:rsid w:val="00DB0680"/>
    <w:rsid w:val="00E27B90"/>
    <w:rsid w:val="00FE073D"/>
    <w:rsid w:val="02495E29"/>
    <w:rsid w:val="0727242B"/>
    <w:rsid w:val="07B95154"/>
    <w:rsid w:val="08BA4259"/>
    <w:rsid w:val="0C5D1909"/>
    <w:rsid w:val="0DA524F4"/>
    <w:rsid w:val="0F7C3BC2"/>
    <w:rsid w:val="18A40BA0"/>
    <w:rsid w:val="194257E9"/>
    <w:rsid w:val="1B29727B"/>
    <w:rsid w:val="1C7D3011"/>
    <w:rsid w:val="223634B3"/>
    <w:rsid w:val="24CC453B"/>
    <w:rsid w:val="26280A8C"/>
    <w:rsid w:val="263C384E"/>
    <w:rsid w:val="28121A46"/>
    <w:rsid w:val="2A0D58BF"/>
    <w:rsid w:val="2A934412"/>
    <w:rsid w:val="2FC15C61"/>
    <w:rsid w:val="31A43359"/>
    <w:rsid w:val="321D3C8B"/>
    <w:rsid w:val="34D97A4A"/>
    <w:rsid w:val="352E0416"/>
    <w:rsid w:val="37551638"/>
    <w:rsid w:val="386D6DD1"/>
    <w:rsid w:val="3C16659C"/>
    <w:rsid w:val="42094FED"/>
    <w:rsid w:val="43AA6B1D"/>
    <w:rsid w:val="43CE7A76"/>
    <w:rsid w:val="49E02695"/>
    <w:rsid w:val="4EF179BD"/>
    <w:rsid w:val="53D23E1C"/>
    <w:rsid w:val="55903398"/>
    <w:rsid w:val="59F32987"/>
    <w:rsid w:val="5E1B76C4"/>
    <w:rsid w:val="61186B1C"/>
    <w:rsid w:val="614F445C"/>
    <w:rsid w:val="62CD6779"/>
    <w:rsid w:val="63976623"/>
    <w:rsid w:val="691E6AD1"/>
    <w:rsid w:val="6D465772"/>
    <w:rsid w:val="70097ECE"/>
    <w:rsid w:val="706B6832"/>
    <w:rsid w:val="7334649C"/>
    <w:rsid w:val="740D72A9"/>
    <w:rsid w:val="748C4324"/>
    <w:rsid w:val="769B72B7"/>
    <w:rsid w:val="77DD0D9C"/>
    <w:rsid w:val="78F65EB3"/>
    <w:rsid w:val="7A992236"/>
    <w:rsid w:val="7B521308"/>
    <w:rsid w:val="7F366F31"/>
    <w:rsid w:val="7FA91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8"/>
    <w:qFormat/>
    <w:uiPriority w:val="9"/>
    <w:pPr>
      <w:keepNext/>
      <w:keepLines/>
      <w:spacing w:before="340" w:after="330" w:line="576" w:lineRule="auto"/>
      <w:outlineLvl w:val="0"/>
    </w:pPr>
    <w:rPr>
      <w:rFonts w:ascii="Calibri" w:hAnsi="Calibri" w:eastAsia="宋体" w:cs="Times New Roman"/>
      <w:b/>
      <w:bCs/>
      <w:kern w:val="44"/>
      <w:sz w:val="44"/>
      <w:szCs w:val="44"/>
    </w:rPr>
  </w:style>
  <w:style w:type="paragraph" w:styleId="3">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07"/>
    <w:qFormat/>
    <w:uiPriority w:val="9"/>
    <w:pPr>
      <w:keepNext/>
      <w:keepLines/>
      <w:spacing w:before="260" w:after="260" w:line="412" w:lineRule="auto"/>
      <w:outlineLvl w:val="2"/>
    </w:pPr>
    <w:rPr>
      <w:rFonts w:ascii="Times New Roman" w:hAnsi="Times New Roman" w:eastAsia="宋体" w:cs="Times New Roman"/>
      <w:b/>
      <w:sz w:val="32"/>
      <w:szCs w:val="32"/>
    </w:rPr>
  </w:style>
  <w:style w:type="paragraph" w:styleId="5">
    <w:name w:val="heading 4"/>
    <w:basedOn w:val="1"/>
    <w:next w:val="1"/>
    <w:link w:val="108"/>
    <w:qFormat/>
    <w:uiPriority w:val="9"/>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100"/>
    <w:qFormat/>
    <w:uiPriority w:val="9"/>
    <w:pPr>
      <w:keepNext/>
      <w:keepLines/>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95"/>
    <w:unhideWhenUsed/>
    <w:qFormat/>
    <w:uiPriority w:val="9"/>
    <w:pPr>
      <w:keepNext/>
      <w:keepLines/>
      <w:spacing w:before="240" w:after="64" w:line="320" w:lineRule="auto"/>
      <w:outlineLvl w:val="5"/>
    </w:pPr>
    <w:rPr>
      <w:rFonts w:ascii="Calibri Light" w:hAnsi="Calibri Light" w:eastAsia="宋体" w:cs="Times New Roman"/>
      <w:b/>
      <w:bCs/>
      <w:sz w:val="24"/>
      <w:szCs w:val="24"/>
    </w:rPr>
  </w:style>
  <w:style w:type="paragraph" w:styleId="8">
    <w:name w:val="heading 7"/>
    <w:basedOn w:val="1"/>
    <w:next w:val="1"/>
    <w:link w:val="109"/>
    <w:qFormat/>
    <w:uiPriority w:val="9"/>
    <w:pPr>
      <w:keepNext/>
      <w:keepLines/>
      <w:spacing w:before="240" w:after="64" w:line="320" w:lineRule="auto"/>
      <w:outlineLvl w:val="6"/>
    </w:pPr>
    <w:rPr>
      <w:rFonts w:ascii="Calibri" w:hAnsi="Calibri" w:eastAsia="宋体" w:cs="Times New Roman"/>
      <w:b/>
      <w:bCs/>
      <w:sz w:val="24"/>
      <w:szCs w:val="24"/>
    </w:rPr>
  </w:style>
  <w:style w:type="paragraph" w:styleId="9">
    <w:name w:val="heading 8"/>
    <w:basedOn w:val="1"/>
    <w:next w:val="1"/>
    <w:link w:val="101"/>
    <w:qFormat/>
    <w:uiPriority w:val="9"/>
    <w:pPr>
      <w:keepNext/>
      <w:keepLines/>
      <w:spacing w:before="240" w:after="64" w:line="320" w:lineRule="auto"/>
      <w:outlineLvl w:val="7"/>
    </w:pPr>
    <w:rPr>
      <w:rFonts w:ascii="Arial" w:hAnsi="Arial" w:eastAsia="黑体" w:cs="Times New Roman"/>
      <w:sz w:val="24"/>
      <w:szCs w:val="24"/>
    </w:rPr>
  </w:style>
  <w:style w:type="paragraph" w:styleId="10">
    <w:name w:val="heading 9"/>
    <w:basedOn w:val="1"/>
    <w:next w:val="1"/>
    <w:link w:val="102"/>
    <w:qFormat/>
    <w:uiPriority w:val="9"/>
    <w:pPr>
      <w:keepNext/>
      <w:keepLines/>
      <w:spacing w:before="240" w:after="64" w:line="320" w:lineRule="auto"/>
      <w:outlineLvl w:val="8"/>
    </w:pPr>
    <w:rPr>
      <w:rFonts w:ascii="Arial" w:hAnsi="Arial" w:eastAsia="黑体" w:cs="Times New Roman"/>
      <w:sz w:val="24"/>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65"/>
    <w:qFormat/>
    <w:uiPriority w:val="0"/>
    <w:pPr>
      <w:ind w:firstLine="420" w:firstLineChars="200"/>
    </w:pPr>
    <w:rPr>
      <w:rFonts w:ascii="Times New Roman" w:hAnsi="Times New Roman" w:eastAsia="宋体" w:cs="Times New Roman"/>
      <w:kern w:val="0"/>
      <w:sz w:val="20"/>
      <w:szCs w:val="24"/>
    </w:rPr>
  </w:style>
  <w:style w:type="paragraph" w:styleId="12">
    <w:name w:val="annotation text"/>
    <w:basedOn w:val="1"/>
    <w:link w:val="55"/>
    <w:qFormat/>
    <w:uiPriority w:val="0"/>
    <w:pPr>
      <w:jc w:val="left"/>
    </w:pPr>
    <w:rPr>
      <w:rFonts w:ascii="Times New Roman" w:hAnsi="Times New Roman" w:eastAsia="宋体" w:cs="Times New Roman"/>
      <w:kern w:val="0"/>
      <w:sz w:val="20"/>
      <w:szCs w:val="20"/>
    </w:rPr>
  </w:style>
  <w:style w:type="paragraph" w:styleId="13">
    <w:name w:val="Body Text"/>
    <w:basedOn w:val="1"/>
    <w:link w:val="38"/>
    <w:qFormat/>
    <w:uiPriority w:val="99"/>
    <w:pPr>
      <w:spacing w:after="120"/>
    </w:pPr>
  </w:style>
  <w:style w:type="paragraph" w:styleId="14">
    <w:name w:val="Body Text Indent"/>
    <w:basedOn w:val="1"/>
    <w:qFormat/>
    <w:uiPriority w:val="0"/>
    <w:pPr>
      <w:spacing w:line="500" w:lineRule="exact"/>
      <w:ind w:left="1588" w:leftChars="832" w:firstLine="433" w:firstLineChars="196"/>
    </w:pPr>
    <w:rPr>
      <w:rFonts w:ascii="Times New Roman" w:hAnsi="Times New Roman" w:eastAsia="宋体" w:cs="Times New Roman"/>
      <w:sz w:val="24"/>
      <w:szCs w:val="24"/>
    </w:rPr>
  </w:style>
  <w:style w:type="paragraph" w:styleId="15">
    <w:name w:val="toc 3"/>
    <w:basedOn w:val="1"/>
    <w:next w:val="1"/>
    <w:qFormat/>
    <w:uiPriority w:val="0"/>
    <w:pPr>
      <w:ind w:left="840" w:leftChars="400"/>
    </w:pPr>
    <w:rPr>
      <w:rFonts w:hint="eastAsia" w:ascii="Times New Roman" w:hAnsi="Times New Roman" w:eastAsia="宋体" w:cs="Times New Roman"/>
      <w:szCs w:val="20"/>
    </w:rPr>
  </w:style>
  <w:style w:type="paragraph" w:styleId="16">
    <w:name w:val="Plain Text"/>
    <w:basedOn w:val="1"/>
    <w:link w:val="64"/>
    <w:qFormat/>
    <w:uiPriority w:val="99"/>
    <w:rPr>
      <w:rFonts w:ascii="宋体" w:hAnsi="Courier New" w:eastAsia="宋体" w:cs="Times New Roman"/>
      <w:kern w:val="0"/>
      <w:sz w:val="20"/>
      <w:szCs w:val="20"/>
    </w:rPr>
  </w:style>
  <w:style w:type="paragraph" w:styleId="17">
    <w:name w:val="Date"/>
    <w:basedOn w:val="1"/>
    <w:next w:val="1"/>
    <w:link w:val="82"/>
    <w:qFormat/>
    <w:uiPriority w:val="0"/>
    <w:pPr>
      <w:ind w:left="100" w:leftChars="2500"/>
    </w:pPr>
    <w:rPr>
      <w:rFonts w:ascii="Times New Roman" w:hAnsi="Times New Roman" w:eastAsia="宋体" w:cs="Times New Roman"/>
      <w:szCs w:val="20"/>
    </w:rPr>
  </w:style>
  <w:style w:type="paragraph" w:styleId="18">
    <w:name w:val="Body Text Indent 2"/>
    <w:basedOn w:val="1"/>
    <w:link w:val="57"/>
    <w:qFormat/>
    <w:uiPriority w:val="0"/>
    <w:pPr>
      <w:spacing w:after="120" w:line="480" w:lineRule="auto"/>
      <w:ind w:left="420" w:leftChars="200"/>
    </w:pPr>
    <w:rPr>
      <w:rFonts w:ascii="Calibri" w:hAnsi="Calibri" w:eastAsia="宋体" w:cs="Times New Roman"/>
      <w:kern w:val="0"/>
      <w:sz w:val="20"/>
      <w:szCs w:val="20"/>
    </w:rPr>
  </w:style>
  <w:style w:type="paragraph" w:styleId="19">
    <w:name w:val="Balloon Text"/>
    <w:basedOn w:val="1"/>
    <w:link w:val="59"/>
    <w:qFormat/>
    <w:uiPriority w:val="0"/>
    <w:rPr>
      <w:rFonts w:ascii="Times New Roman" w:hAnsi="Times New Roman" w:eastAsia="宋体" w:cs="Times New Roman"/>
      <w:kern w:val="0"/>
      <w:sz w:val="18"/>
      <w:szCs w:val="18"/>
    </w:rPr>
  </w:style>
  <w:style w:type="paragraph" w:styleId="20">
    <w:name w:val="footer"/>
    <w:basedOn w:val="1"/>
    <w:link w:val="37"/>
    <w:qFormat/>
    <w:uiPriority w:val="99"/>
    <w:pPr>
      <w:tabs>
        <w:tab w:val="center" w:pos="4153"/>
        <w:tab w:val="right" w:pos="8306"/>
      </w:tabs>
      <w:snapToGrid w:val="0"/>
      <w:jc w:val="left"/>
    </w:pPr>
    <w:rPr>
      <w:sz w:val="18"/>
      <w:szCs w:val="18"/>
    </w:rPr>
  </w:style>
  <w:style w:type="paragraph" w:styleId="21">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rPr>
      <w:rFonts w:hint="eastAsia" w:ascii="Times New Roman" w:hAnsi="Times New Roman" w:eastAsia="宋体" w:cs="Times New Roman"/>
      <w:szCs w:val="20"/>
    </w:rPr>
  </w:style>
  <w:style w:type="paragraph" w:styleId="23">
    <w:name w:val="toc 2"/>
    <w:basedOn w:val="1"/>
    <w:next w:val="1"/>
    <w:qFormat/>
    <w:uiPriority w:val="0"/>
    <w:pPr>
      <w:ind w:left="420" w:leftChars="200"/>
    </w:pPr>
    <w:rPr>
      <w:rFonts w:hint="eastAsia" w:ascii="Times New Roman" w:hAnsi="Times New Roman" w:eastAsia="宋体" w:cs="Times New Roman"/>
      <w:szCs w:val="20"/>
    </w:rPr>
  </w:style>
  <w:style w:type="paragraph" w:styleId="24">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styleId="25">
    <w:name w:val="Title"/>
    <w:basedOn w:val="1"/>
    <w:next w:val="1"/>
    <w:link w:val="88"/>
    <w:qFormat/>
    <w:uiPriority w:val="10"/>
    <w:pPr>
      <w:spacing w:before="240" w:after="60"/>
      <w:jc w:val="center"/>
      <w:outlineLvl w:val="0"/>
    </w:pPr>
    <w:rPr>
      <w:rFonts w:ascii="Cambria" w:hAnsi="Cambria" w:eastAsia="宋体" w:cs="Times New Roman"/>
      <w:b/>
      <w:bCs/>
      <w:sz w:val="32"/>
      <w:szCs w:val="32"/>
    </w:rPr>
  </w:style>
  <w:style w:type="paragraph" w:styleId="26">
    <w:name w:val="annotation subject"/>
    <w:basedOn w:val="12"/>
    <w:next w:val="12"/>
    <w:link w:val="52"/>
    <w:qFormat/>
    <w:uiPriority w:val="0"/>
    <w:rPr>
      <w:b/>
      <w:bCs/>
    </w:rPr>
  </w:style>
  <w:style w:type="paragraph" w:styleId="27">
    <w:name w:val="Body Text First Indent"/>
    <w:basedOn w:val="13"/>
    <w:link w:val="39"/>
    <w:qFormat/>
    <w:uiPriority w:val="99"/>
    <w:pPr>
      <w:ind w:firstLine="420" w:firstLineChars="100"/>
    </w:p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rFonts w:hint="eastAsia" w:ascii="Times New Roman" w:hAnsi="Times New Roman" w:eastAsia="宋体" w:cs="Times New Roman"/>
      <w:b/>
    </w:rPr>
  </w:style>
  <w:style w:type="character" w:styleId="32">
    <w:name w:val="page number"/>
    <w:qFormat/>
    <w:uiPriority w:val="0"/>
    <w:rPr>
      <w:rFonts w:ascii="Times New Roman" w:hAnsi="Times New Roman" w:eastAsia="宋体" w:cs="Times New Roman"/>
    </w:rPr>
  </w:style>
  <w:style w:type="character" w:styleId="33">
    <w:name w:val="FollowedHyperlink"/>
    <w:qFormat/>
    <w:uiPriority w:val="99"/>
    <w:rPr>
      <w:rFonts w:ascii="Times New Roman" w:hAnsi="Times New Roman" w:eastAsia="宋体" w:cs="Times New Roman"/>
      <w:color w:val="800080"/>
      <w:u w:val="single"/>
    </w:rPr>
  </w:style>
  <w:style w:type="character" w:styleId="34">
    <w:name w:val="Hyperlink"/>
    <w:qFormat/>
    <w:uiPriority w:val="99"/>
    <w:rPr>
      <w:rFonts w:ascii="Times New Roman" w:hAnsi="Times New Roman" w:eastAsia="宋体" w:cs="Times New Roman"/>
      <w:color w:val="0000FF"/>
      <w:u w:val="single"/>
    </w:rPr>
  </w:style>
  <w:style w:type="character" w:styleId="35">
    <w:name w:val="annotation reference"/>
    <w:qFormat/>
    <w:uiPriority w:val="0"/>
    <w:rPr>
      <w:rFonts w:ascii="Times New Roman" w:hAnsi="Times New Roman" w:eastAsia="宋体" w:cs="Times New Roman"/>
      <w:sz w:val="21"/>
      <w:szCs w:val="21"/>
    </w:rPr>
  </w:style>
  <w:style w:type="character" w:customStyle="1" w:styleId="36">
    <w:name w:val="页眉 Char1"/>
    <w:basedOn w:val="30"/>
    <w:link w:val="21"/>
    <w:qFormat/>
    <w:uiPriority w:val="99"/>
    <w:rPr>
      <w:kern w:val="2"/>
      <w:sz w:val="18"/>
      <w:szCs w:val="18"/>
    </w:rPr>
  </w:style>
  <w:style w:type="character" w:customStyle="1" w:styleId="37">
    <w:name w:val="页脚 Char1"/>
    <w:basedOn w:val="30"/>
    <w:link w:val="20"/>
    <w:qFormat/>
    <w:uiPriority w:val="99"/>
    <w:rPr>
      <w:kern w:val="2"/>
      <w:sz w:val="18"/>
      <w:szCs w:val="18"/>
    </w:rPr>
  </w:style>
  <w:style w:type="character" w:customStyle="1" w:styleId="38">
    <w:name w:val="正文文本 Char"/>
    <w:basedOn w:val="30"/>
    <w:link w:val="13"/>
    <w:qFormat/>
    <w:uiPriority w:val="99"/>
    <w:rPr>
      <w:kern w:val="2"/>
      <w:sz w:val="21"/>
      <w:szCs w:val="22"/>
    </w:rPr>
  </w:style>
  <w:style w:type="character" w:customStyle="1" w:styleId="39">
    <w:name w:val="正文首行缩进 Char"/>
    <w:basedOn w:val="38"/>
    <w:link w:val="27"/>
    <w:qFormat/>
    <w:uiPriority w:val="99"/>
    <w:rPr>
      <w:kern w:val="2"/>
      <w:sz w:val="21"/>
      <w:szCs w:val="22"/>
    </w:rPr>
  </w:style>
  <w:style w:type="character" w:customStyle="1" w:styleId="40">
    <w:name w:val="标题 1 字符"/>
    <w:basedOn w:val="30"/>
    <w:qFormat/>
    <w:uiPriority w:val="9"/>
    <w:rPr>
      <w:b/>
      <w:bCs/>
      <w:kern w:val="44"/>
      <w:sz w:val="44"/>
      <w:szCs w:val="44"/>
    </w:rPr>
  </w:style>
  <w:style w:type="character" w:customStyle="1" w:styleId="41">
    <w:name w:val="标题 2 Char1"/>
    <w:basedOn w:val="30"/>
    <w:link w:val="3"/>
    <w:qFormat/>
    <w:uiPriority w:val="9"/>
    <w:rPr>
      <w:rFonts w:asciiTheme="majorHAnsi" w:hAnsiTheme="majorHAnsi" w:eastAsiaTheme="majorEastAsia" w:cstheme="majorBidi"/>
      <w:b/>
      <w:bCs/>
      <w:kern w:val="2"/>
      <w:sz w:val="32"/>
      <w:szCs w:val="32"/>
    </w:rPr>
  </w:style>
  <w:style w:type="character" w:customStyle="1" w:styleId="42">
    <w:name w:val="标题 3 字符"/>
    <w:basedOn w:val="30"/>
    <w:semiHidden/>
    <w:qFormat/>
    <w:uiPriority w:val="9"/>
    <w:rPr>
      <w:b/>
      <w:bCs/>
      <w:kern w:val="2"/>
      <w:sz w:val="32"/>
      <w:szCs w:val="32"/>
    </w:rPr>
  </w:style>
  <w:style w:type="character" w:customStyle="1" w:styleId="43">
    <w:name w:val="标题 4 字符"/>
    <w:basedOn w:val="30"/>
    <w:semiHidden/>
    <w:qFormat/>
    <w:uiPriority w:val="9"/>
    <w:rPr>
      <w:rFonts w:asciiTheme="majorHAnsi" w:hAnsiTheme="majorHAnsi" w:eastAsiaTheme="majorEastAsia" w:cstheme="majorBidi"/>
      <w:b/>
      <w:bCs/>
      <w:kern w:val="2"/>
      <w:sz w:val="28"/>
      <w:szCs w:val="28"/>
    </w:rPr>
  </w:style>
  <w:style w:type="character" w:customStyle="1" w:styleId="44">
    <w:name w:val="标题 5 字符"/>
    <w:basedOn w:val="30"/>
    <w:semiHidden/>
    <w:qFormat/>
    <w:uiPriority w:val="9"/>
    <w:rPr>
      <w:b/>
      <w:bCs/>
      <w:kern w:val="2"/>
      <w:sz w:val="28"/>
      <w:szCs w:val="28"/>
    </w:rPr>
  </w:style>
  <w:style w:type="character" w:customStyle="1" w:styleId="45">
    <w:name w:val="标题 6 字符"/>
    <w:basedOn w:val="30"/>
    <w:semiHidden/>
    <w:qFormat/>
    <w:uiPriority w:val="9"/>
    <w:rPr>
      <w:rFonts w:asciiTheme="majorHAnsi" w:hAnsiTheme="majorHAnsi" w:eastAsiaTheme="majorEastAsia" w:cstheme="majorBidi"/>
      <w:b/>
      <w:bCs/>
      <w:kern w:val="2"/>
      <w:sz w:val="24"/>
      <w:szCs w:val="24"/>
    </w:rPr>
  </w:style>
  <w:style w:type="character" w:customStyle="1" w:styleId="46">
    <w:name w:val="标题 7 字符"/>
    <w:basedOn w:val="30"/>
    <w:semiHidden/>
    <w:qFormat/>
    <w:uiPriority w:val="9"/>
    <w:rPr>
      <w:b/>
      <w:bCs/>
      <w:kern w:val="2"/>
      <w:sz w:val="24"/>
      <w:szCs w:val="24"/>
    </w:rPr>
  </w:style>
  <w:style w:type="character" w:customStyle="1" w:styleId="47">
    <w:name w:val="标题 8 字符"/>
    <w:basedOn w:val="30"/>
    <w:semiHidden/>
    <w:qFormat/>
    <w:uiPriority w:val="9"/>
    <w:rPr>
      <w:rFonts w:asciiTheme="majorHAnsi" w:hAnsiTheme="majorHAnsi" w:eastAsiaTheme="majorEastAsia" w:cstheme="majorBidi"/>
      <w:kern w:val="2"/>
      <w:sz w:val="24"/>
      <w:szCs w:val="24"/>
    </w:rPr>
  </w:style>
  <w:style w:type="character" w:customStyle="1" w:styleId="48">
    <w:name w:val="标题 9 字符"/>
    <w:basedOn w:val="30"/>
    <w:semiHidden/>
    <w:qFormat/>
    <w:uiPriority w:val="9"/>
    <w:rPr>
      <w:rFonts w:asciiTheme="majorHAnsi" w:hAnsiTheme="majorHAnsi" w:eastAsiaTheme="majorEastAsia" w:cstheme="majorBidi"/>
      <w:kern w:val="2"/>
      <w:sz w:val="21"/>
      <w:szCs w:val="21"/>
    </w:rPr>
  </w:style>
  <w:style w:type="paragraph" w:customStyle="1" w:styleId="49">
    <w:name w:val="标题2"/>
    <w:basedOn w:val="3"/>
    <w:link w:val="50"/>
    <w:qFormat/>
    <w:uiPriority w:val="0"/>
    <w:pPr>
      <w:widowControl/>
      <w:spacing w:before="0" w:after="0" w:line="360" w:lineRule="auto"/>
      <w:jc w:val="left"/>
    </w:pPr>
    <w:rPr>
      <w:rFonts w:ascii="华文中宋" w:hAnsi="华文中宋" w:eastAsia="华文中宋" w:cs="Times New Roman"/>
      <w:kern w:val="0"/>
      <w:sz w:val="30"/>
      <w:szCs w:val="30"/>
    </w:rPr>
  </w:style>
  <w:style w:type="character" w:customStyle="1" w:styleId="50">
    <w:name w:val="标题2 字符"/>
    <w:basedOn w:val="30"/>
    <w:link w:val="49"/>
    <w:qFormat/>
    <w:uiPriority w:val="0"/>
    <w:rPr>
      <w:rFonts w:ascii="华文中宋" w:hAnsi="华文中宋" w:eastAsia="华文中宋" w:cs="Times New Roman"/>
      <w:b/>
      <w:bCs/>
      <w:sz w:val="30"/>
      <w:szCs w:val="30"/>
    </w:rPr>
  </w:style>
  <w:style w:type="character" w:customStyle="1" w:styleId="51">
    <w:name w:val="font81"/>
    <w:qFormat/>
    <w:uiPriority w:val="0"/>
    <w:rPr>
      <w:rFonts w:ascii="Arial" w:hAnsi="Arial" w:eastAsia="宋体" w:cs="Arial"/>
      <w:color w:val="000000"/>
      <w:sz w:val="18"/>
      <w:szCs w:val="18"/>
      <w:u w:val="none"/>
    </w:rPr>
  </w:style>
  <w:style w:type="character" w:customStyle="1" w:styleId="52">
    <w:name w:val="批注主题 Char"/>
    <w:link w:val="26"/>
    <w:qFormat/>
    <w:uiPriority w:val="0"/>
    <w:rPr>
      <w:rFonts w:ascii="Times New Roman" w:hAnsi="Times New Roman" w:eastAsia="宋体" w:cs="Times New Roman"/>
      <w:b/>
      <w:bCs/>
    </w:rPr>
  </w:style>
  <w:style w:type="character" w:customStyle="1" w:styleId="53">
    <w:name w:val="font01"/>
    <w:qFormat/>
    <w:uiPriority w:val="0"/>
    <w:rPr>
      <w:rFonts w:ascii="宋体" w:hAnsi="宋体" w:eastAsia="宋体" w:cs="宋体"/>
      <w:color w:val="000000"/>
      <w:sz w:val="24"/>
      <w:szCs w:val="24"/>
      <w:u w:val="none"/>
    </w:rPr>
  </w:style>
  <w:style w:type="character" w:customStyle="1" w:styleId="54">
    <w:name w:val="font11"/>
    <w:qFormat/>
    <w:uiPriority w:val="0"/>
    <w:rPr>
      <w:rFonts w:ascii="仿宋" w:hAnsi="仿宋" w:eastAsia="仿宋" w:cs="仿宋"/>
      <w:color w:val="000000"/>
      <w:sz w:val="20"/>
      <w:szCs w:val="20"/>
      <w:u w:val="none"/>
      <w:vertAlign w:val="superscript"/>
    </w:rPr>
  </w:style>
  <w:style w:type="character" w:customStyle="1" w:styleId="55">
    <w:name w:val="批注文字 Char"/>
    <w:link w:val="12"/>
    <w:qFormat/>
    <w:uiPriority w:val="0"/>
    <w:rPr>
      <w:rFonts w:ascii="Times New Roman" w:hAnsi="Times New Roman" w:eastAsia="宋体" w:cs="Times New Roman"/>
    </w:rPr>
  </w:style>
  <w:style w:type="character" w:customStyle="1" w:styleId="56">
    <w:name w:val="p141"/>
    <w:qFormat/>
    <w:uiPriority w:val="0"/>
    <w:rPr>
      <w:rFonts w:ascii="Times New Roman" w:hAnsi="Times New Roman" w:eastAsia="宋体" w:cs="Times New Roman"/>
      <w:sz w:val="21"/>
      <w:szCs w:val="21"/>
    </w:rPr>
  </w:style>
  <w:style w:type="character" w:customStyle="1" w:styleId="57">
    <w:name w:val="正文文本缩进 2 Char"/>
    <w:link w:val="18"/>
    <w:qFormat/>
    <w:uiPriority w:val="0"/>
    <w:rPr>
      <w:rFonts w:ascii="Calibri" w:hAnsi="Calibri" w:eastAsia="宋体" w:cs="Times New Roman"/>
    </w:rPr>
  </w:style>
  <w:style w:type="character" w:customStyle="1" w:styleId="58">
    <w:name w:val="font51"/>
    <w:qFormat/>
    <w:uiPriority w:val="0"/>
    <w:rPr>
      <w:rFonts w:hint="default" w:ascii="Tahoma" w:hAnsi="Tahoma" w:eastAsia="Tahoma" w:cs="Tahoma"/>
      <w:color w:val="000000"/>
      <w:sz w:val="18"/>
      <w:szCs w:val="18"/>
      <w:u w:val="none"/>
    </w:rPr>
  </w:style>
  <w:style w:type="character" w:customStyle="1" w:styleId="59">
    <w:name w:val="批注框文本 Char"/>
    <w:link w:val="19"/>
    <w:qFormat/>
    <w:uiPriority w:val="0"/>
    <w:rPr>
      <w:rFonts w:ascii="Times New Roman" w:hAnsi="Times New Roman" w:eastAsia="宋体" w:cs="Times New Roman"/>
      <w:sz w:val="18"/>
      <w:szCs w:val="18"/>
    </w:rPr>
  </w:style>
  <w:style w:type="character" w:customStyle="1" w:styleId="60">
    <w:name w:val="Char Char3"/>
    <w:qFormat/>
    <w:locked/>
    <w:uiPriority w:val="99"/>
    <w:rPr>
      <w:rFonts w:ascii="宋体" w:hAnsi="Courier New" w:eastAsia="宋体" w:cs="Times New Roman"/>
      <w:kern w:val="2"/>
      <w:sz w:val="21"/>
      <w:lang w:val="en-US" w:eastAsia="zh-CN" w:bidi="ar-SA"/>
    </w:rPr>
  </w:style>
  <w:style w:type="character" w:customStyle="1" w:styleId="61">
    <w:name w:val="font71"/>
    <w:qFormat/>
    <w:uiPriority w:val="0"/>
    <w:rPr>
      <w:rFonts w:ascii="仿宋" w:hAnsi="仿宋" w:eastAsia="仿宋" w:cs="仿宋"/>
      <w:color w:val="000000"/>
      <w:sz w:val="20"/>
      <w:szCs w:val="20"/>
      <w:u w:val="none"/>
      <w:vertAlign w:val="superscript"/>
    </w:rPr>
  </w:style>
  <w:style w:type="character" w:customStyle="1" w:styleId="62">
    <w:name w:val="font31"/>
    <w:qFormat/>
    <w:uiPriority w:val="0"/>
    <w:rPr>
      <w:rFonts w:hint="eastAsia" w:ascii="宋体" w:hAnsi="宋体" w:eastAsia="宋体" w:cs="宋体"/>
      <w:color w:val="000000"/>
      <w:sz w:val="24"/>
      <w:szCs w:val="24"/>
      <w:u w:val="none"/>
    </w:rPr>
  </w:style>
  <w:style w:type="character" w:customStyle="1" w:styleId="63">
    <w:name w:val="font112"/>
    <w:qFormat/>
    <w:uiPriority w:val="0"/>
    <w:rPr>
      <w:rFonts w:hint="eastAsia" w:ascii="宋体" w:hAnsi="宋体" w:eastAsia="宋体" w:cs="宋体"/>
      <w:color w:val="000000"/>
      <w:sz w:val="18"/>
      <w:szCs w:val="18"/>
      <w:u w:val="none"/>
    </w:rPr>
  </w:style>
  <w:style w:type="character" w:customStyle="1" w:styleId="64">
    <w:name w:val="纯文本 Char"/>
    <w:link w:val="16"/>
    <w:qFormat/>
    <w:uiPriority w:val="99"/>
    <w:rPr>
      <w:rFonts w:ascii="宋体" w:hAnsi="Courier New" w:eastAsia="宋体" w:cs="Times New Roman"/>
    </w:rPr>
  </w:style>
  <w:style w:type="character" w:customStyle="1" w:styleId="65">
    <w:name w:val="正文缩进 Char"/>
    <w:link w:val="11"/>
    <w:qFormat/>
    <w:uiPriority w:val="0"/>
    <w:rPr>
      <w:rFonts w:ascii="Times New Roman" w:hAnsi="Times New Roman" w:eastAsia="宋体" w:cs="Times New Roman"/>
      <w:szCs w:val="24"/>
    </w:rPr>
  </w:style>
  <w:style w:type="character" w:customStyle="1" w:styleId="66">
    <w:name w:val="font61"/>
    <w:qFormat/>
    <w:uiPriority w:val="0"/>
    <w:rPr>
      <w:rFonts w:hint="default" w:ascii="Times New Roman" w:hAnsi="Times New Roman" w:eastAsia="宋体" w:cs="Times New Roman"/>
      <w:color w:val="000000"/>
      <w:sz w:val="18"/>
      <w:szCs w:val="18"/>
      <w:u w:val="none"/>
    </w:rPr>
  </w:style>
  <w:style w:type="character" w:customStyle="1" w:styleId="67">
    <w:name w:val="font21"/>
    <w:qFormat/>
    <w:uiPriority w:val="0"/>
    <w:rPr>
      <w:rFonts w:hint="eastAsia" w:ascii="宋体" w:hAnsi="宋体" w:eastAsia="宋体" w:cs="宋体"/>
      <w:color w:val="000000"/>
      <w:sz w:val="18"/>
      <w:szCs w:val="18"/>
      <w:u w:val="none"/>
    </w:rPr>
  </w:style>
  <w:style w:type="character" w:customStyle="1" w:styleId="68">
    <w:name w:val="标题 1 Char"/>
    <w:link w:val="2"/>
    <w:qFormat/>
    <w:uiPriority w:val="9"/>
    <w:rPr>
      <w:rFonts w:ascii="Calibri" w:hAnsi="Calibri" w:eastAsia="宋体" w:cs="Times New Roman"/>
      <w:b/>
      <w:bCs/>
      <w:kern w:val="44"/>
      <w:sz w:val="44"/>
      <w:szCs w:val="44"/>
    </w:rPr>
  </w:style>
  <w:style w:type="character" w:customStyle="1" w:styleId="69">
    <w:name w:val="apple-converted-space"/>
    <w:qFormat/>
    <w:uiPriority w:val="0"/>
    <w:rPr>
      <w:rFonts w:ascii="Times New Roman" w:hAnsi="Times New Roman" w:eastAsia="宋体" w:cs="Times New Roman"/>
    </w:rPr>
  </w:style>
  <w:style w:type="character" w:customStyle="1" w:styleId="70">
    <w:name w:val="displayarti"/>
    <w:qFormat/>
    <w:uiPriority w:val="0"/>
    <w:rPr>
      <w:rFonts w:ascii="Times New Roman" w:hAnsi="Times New Roman" w:eastAsia="宋体" w:cs="Times New Roman"/>
      <w:color w:val="FFFFFF"/>
      <w:shd w:val="clear" w:color="auto" w:fill="A00000"/>
    </w:rPr>
  </w:style>
  <w:style w:type="character" w:customStyle="1" w:styleId="71">
    <w:name w:val="cfdate"/>
    <w:qFormat/>
    <w:uiPriority w:val="0"/>
    <w:rPr>
      <w:rFonts w:ascii="Times New Roman" w:hAnsi="Times New Roman" w:eastAsia="宋体" w:cs="Times New Roman"/>
      <w:color w:val="333333"/>
      <w:sz w:val="14"/>
      <w:szCs w:val="14"/>
    </w:rPr>
  </w:style>
  <w:style w:type="character" w:customStyle="1" w:styleId="72">
    <w:name w:val="redfilefwwh"/>
    <w:qFormat/>
    <w:uiPriority w:val="0"/>
    <w:rPr>
      <w:rFonts w:ascii="Times New Roman" w:hAnsi="Times New Roman" w:eastAsia="宋体" w:cs="Times New Roman"/>
      <w:color w:val="BA2636"/>
      <w:sz w:val="14"/>
      <w:szCs w:val="14"/>
    </w:rPr>
  </w:style>
  <w:style w:type="character" w:customStyle="1" w:styleId="73">
    <w:name w:val="redfilenumber"/>
    <w:qFormat/>
    <w:uiPriority w:val="0"/>
    <w:rPr>
      <w:rFonts w:ascii="Times New Roman" w:hAnsi="Times New Roman" w:eastAsia="宋体" w:cs="Times New Roman"/>
      <w:color w:val="BA2636"/>
      <w:sz w:val="14"/>
      <w:szCs w:val="14"/>
    </w:rPr>
  </w:style>
  <w:style w:type="character" w:customStyle="1" w:styleId="74">
    <w:name w:val="gjfg"/>
    <w:basedOn w:val="30"/>
    <w:qFormat/>
    <w:uiPriority w:val="0"/>
    <w:rPr>
      <w:rFonts w:ascii="Times New Roman" w:hAnsi="Times New Roman" w:eastAsia="宋体" w:cs="Times New Roman"/>
    </w:rPr>
  </w:style>
  <w:style w:type="character" w:customStyle="1" w:styleId="75">
    <w:name w:val="qxdate"/>
    <w:qFormat/>
    <w:uiPriority w:val="0"/>
    <w:rPr>
      <w:rFonts w:ascii="Times New Roman" w:hAnsi="Times New Roman" w:eastAsia="宋体" w:cs="Times New Roman"/>
      <w:color w:val="333333"/>
      <w:sz w:val="14"/>
      <w:szCs w:val="14"/>
    </w:rPr>
  </w:style>
  <w:style w:type="paragraph" w:customStyle="1" w:styleId="7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Arial Unicode MS" w:cs="Arial Unicode MS"/>
      <w:color w:val="000000"/>
      <w:kern w:val="2"/>
      <w:sz w:val="21"/>
      <w:szCs w:val="21"/>
      <w:lang w:val="en-US" w:eastAsia="zh-CN" w:bidi="ar-SA"/>
    </w:rPr>
  </w:style>
  <w:style w:type="paragraph" w:customStyle="1" w:styleId="77">
    <w:name w:val="_Style 4"/>
    <w:basedOn w:val="1"/>
    <w:qFormat/>
    <w:uiPriority w:val="0"/>
    <w:pPr>
      <w:widowControl/>
      <w:spacing w:before="60" w:after="60"/>
      <w:ind w:firstLine="420" w:firstLineChars="200"/>
    </w:pPr>
    <w:rPr>
      <w:rFonts w:ascii="Times New Roman" w:hAnsi="Times New Roman" w:eastAsia="宋体" w:cs="Times New Roman"/>
      <w:szCs w:val="20"/>
    </w:rPr>
  </w:style>
  <w:style w:type="character" w:customStyle="1" w:styleId="78">
    <w:name w:val="批注文字 字符"/>
    <w:basedOn w:val="30"/>
    <w:qFormat/>
    <w:uiPriority w:val="99"/>
    <w:rPr>
      <w:kern w:val="2"/>
      <w:sz w:val="21"/>
      <w:szCs w:val="22"/>
    </w:rPr>
  </w:style>
  <w:style w:type="character" w:customStyle="1" w:styleId="79">
    <w:name w:val="批注框文本 字符"/>
    <w:basedOn w:val="30"/>
    <w:qFormat/>
    <w:uiPriority w:val="0"/>
    <w:rPr>
      <w:kern w:val="2"/>
      <w:sz w:val="18"/>
      <w:szCs w:val="18"/>
    </w:rPr>
  </w:style>
  <w:style w:type="paragraph" w:customStyle="1" w:styleId="80">
    <w:name w:val="列出段落1"/>
    <w:basedOn w:val="1"/>
    <w:qFormat/>
    <w:uiPriority w:val="0"/>
    <w:pPr>
      <w:ind w:firstLine="420" w:firstLineChars="200"/>
    </w:pPr>
    <w:rPr>
      <w:rFonts w:ascii="Cambria" w:hAnsi="Cambria" w:eastAsia="宋体" w:cs="Times New Roman"/>
      <w:sz w:val="24"/>
      <w:szCs w:val="24"/>
    </w:rPr>
  </w:style>
  <w:style w:type="character" w:customStyle="1" w:styleId="81">
    <w:name w:val="纯文本 字符"/>
    <w:basedOn w:val="30"/>
    <w:qFormat/>
    <w:uiPriority w:val="99"/>
    <w:rPr>
      <w:rFonts w:hAnsi="Courier New" w:cs="Courier New" w:asciiTheme="minorEastAsia"/>
      <w:kern w:val="2"/>
      <w:sz w:val="21"/>
      <w:szCs w:val="22"/>
    </w:rPr>
  </w:style>
  <w:style w:type="character" w:customStyle="1" w:styleId="82">
    <w:name w:val="日期 Char"/>
    <w:basedOn w:val="30"/>
    <w:link w:val="17"/>
    <w:qFormat/>
    <w:uiPriority w:val="0"/>
    <w:rPr>
      <w:rFonts w:ascii="Times New Roman" w:hAnsi="Times New Roman" w:eastAsia="宋体" w:cs="Times New Roman"/>
      <w:kern w:val="2"/>
      <w:sz w:val="21"/>
    </w:rPr>
  </w:style>
  <w:style w:type="paragraph" w:customStyle="1" w:styleId="83">
    <w:name w:val="样式1"/>
    <w:basedOn w:val="1"/>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84">
    <w:name w:val="修订1"/>
    <w:qFormat/>
    <w:uiPriority w:val="0"/>
    <w:rPr>
      <w:rFonts w:ascii="Calibri" w:hAnsi="Calibri" w:eastAsia="宋体" w:cs="Times New Roman"/>
      <w:kern w:val="2"/>
      <w:sz w:val="21"/>
      <w:lang w:val="en-US" w:eastAsia="zh-CN" w:bidi="ar-SA"/>
    </w:rPr>
  </w:style>
  <w:style w:type="character" w:customStyle="1" w:styleId="85">
    <w:name w:val="正文文本缩进 2 字符"/>
    <w:basedOn w:val="30"/>
    <w:qFormat/>
    <w:uiPriority w:val="99"/>
    <w:rPr>
      <w:kern w:val="2"/>
      <w:sz w:val="21"/>
      <w:szCs w:val="22"/>
    </w:rPr>
  </w:style>
  <w:style w:type="paragraph" w:customStyle="1" w:styleId="86">
    <w:name w:val="列出段落11"/>
    <w:basedOn w:val="1"/>
    <w:qFormat/>
    <w:uiPriority w:val="0"/>
    <w:pPr>
      <w:widowControl/>
      <w:ind w:left="720"/>
      <w:contextualSpacing/>
      <w:jc w:val="left"/>
    </w:pPr>
    <w:rPr>
      <w:rFonts w:ascii="Calibri" w:hAnsi="Calibri" w:eastAsia="宋体" w:cs="Times New Roman"/>
      <w:kern w:val="0"/>
      <w:sz w:val="24"/>
      <w:szCs w:val="20"/>
    </w:rPr>
  </w:style>
  <w:style w:type="paragraph" w:customStyle="1" w:styleId="87">
    <w:name w:val="Char"/>
    <w:basedOn w:val="1"/>
    <w:qFormat/>
    <w:uiPriority w:val="0"/>
    <w:rPr>
      <w:rFonts w:ascii="Tahoma" w:hAnsi="Tahoma" w:eastAsia="宋体" w:cs="Times New Roman"/>
      <w:sz w:val="24"/>
      <w:szCs w:val="20"/>
    </w:rPr>
  </w:style>
  <w:style w:type="character" w:customStyle="1" w:styleId="88">
    <w:name w:val="标题 Char"/>
    <w:basedOn w:val="30"/>
    <w:link w:val="25"/>
    <w:qFormat/>
    <w:uiPriority w:val="10"/>
    <w:rPr>
      <w:rFonts w:ascii="Cambria" w:hAnsi="Cambria" w:eastAsia="宋体" w:cs="Times New Roman"/>
      <w:b/>
      <w:bCs/>
      <w:kern w:val="2"/>
      <w:sz w:val="32"/>
      <w:szCs w:val="32"/>
    </w:rPr>
  </w:style>
  <w:style w:type="character" w:customStyle="1" w:styleId="89">
    <w:name w:val="批注主题 字符"/>
    <w:basedOn w:val="78"/>
    <w:qFormat/>
    <w:uiPriority w:val="99"/>
    <w:rPr>
      <w:b/>
      <w:bCs/>
      <w:kern w:val="2"/>
      <w:sz w:val="21"/>
      <w:szCs w:val="22"/>
    </w:rPr>
  </w:style>
  <w:style w:type="paragraph" w:customStyle="1" w:styleId="90">
    <w:name w:val="p0"/>
    <w:basedOn w:val="1"/>
    <w:qFormat/>
    <w:uiPriority w:val="0"/>
    <w:pPr>
      <w:widowControl/>
    </w:pPr>
    <w:rPr>
      <w:rFonts w:ascii="Times New Roman" w:hAnsi="Times New Roman" w:eastAsia="宋体" w:cs="Times New Roman"/>
      <w:kern w:val="0"/>
      <w:szCs w:val="21"/>
    </w:rPr>
  </w:style>
  <w:style w:type="paragraph" w:customStyle="1" w:styleId="91">
    <w:name w:val="中等深浅网格 1 - 强调文字颜色 21"/>
    <w:basedOn w:val="1"/>
    <w:qFormat/>
    <w:uiPriority w:val="0"/>
    <w:pPr>
      <w:adjustRightInd w:val="0"/>
      <w:spacing w:line="360" w:lineRule="atLeast"/>
      <w:ind w:firstLine="420" w:firstLineChars="200"/>
      <w:jc w:val="left"/>
      <w:textAlignment w:val="baseline"/>
    </w:pPr>
    <w:rPr>
      <w:rFonts w:ascii="宋体" w:hAnsi="Times New Roman" w:eastAsia="宋体" w:cs="Times New Roman"/>
      <w:kern w:val="0"/>
      <w:position w:val="20"/>
      <w:sz w:val="24"/>
      <w:szCs w:val="20"/>
    </w:rPr>
  </w:style>
  <w:style w:type="paragraph" w:customStyle="1" w:styleId="92">
    <w:name w:val="样式 首行缩进:  2.25 字符"/>
    <w:basedOn w:val="1"/>
    <w:qFormat/>
    <w:uiPriority w:val="0"/>
    <w:pPr>
      <w:ind w:firstLine="225" w:firstLineChars="225"/>
    </w:pPr>
    <w:rPr>
      <w:rFonts w:ascii="Times New Roman" w:hAnsi="Times New Roman" w:eastAsia="宋体" w:cs="宋体"/>
      <w:szCs w:val="20"/>
    </w:rPr>
  </w:style>
  <w:style w:type="paragraph" w:customStyle="1" w:styleId="93">
    <w:name w:val="Char Char1 Char Char Char Char Char Char Char Char Char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table" w:customStyle="1" w:styleId="94">
    <w:name w:val="Table Normal"/>
    <w:unhideWhenUsed/>
    <w:qFormat/>
    <w:uiPriority w:val="2"/>
    <w:rPr>
      <w:rFonts w:ascii="Calibri" w:hAnsi="Calibri"/>
    </w:rPr>
    <w:tblPr>
      <w:tblCellMar>
        <w:top w:w="0" w:type="dxa"/>
        <w:left w:w="0" w:type="dxa"/>
        <w:bottom w:w="0" w:type="dxa"/>
        <w:right w:w="0" w:type="dxa"/>
      </w:tblCellMar>
    </w:tblPr>
  </w:style>
  <w:style w:type="character" w:customStyle="1" w:styleId="95">
    <w:name w:val="标题 6 Char"/>
    <w:link w:val="7"/>
    <w:qFormat/>
    <w:uiPriority w:val="9"/>
    <w:rPr>
      <w:rFonts w:ascii="Calibri Light" w:hAnsi="Calibri Light" w:eastAsia="宋体" w:cs="Times New Roman"/>
      <w:b/>
      <w:bCs/>
      <w:kern w:val="2"/>
      <w:sz w:val="24"/>
      <w:szCs w:val="24"/>
    </w:rPr>
  </w:style>
  <w:style w:type="paragraph" w:customStyle="1" w:styleId="96">
    <w:name w:val="默认段落字体 Para Char Char Char Char Char Char Char Char Char Char"/>
    <w:basedOn w:val="1"/>
    <w:qFormat/>
    <w:uiPriority w:val="0"/>
    <w:rPr>
      <w:rFonts w:ascii="Tahoma" w:hAnsi="Tahoma" w:eastAsia="宋体" w:cs="Times New Roman"/>
      <w:sz w:val="24"/>
      <w:szCs w:val="20"/>
    </w:rPr>
  </w:style>
  <w:style w:type="table" w:customStyle="1" w:styleId="97">
    <w:name w:val="网格型1"/>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wang正文"/>
    <w:basedOn w:val="1"/>
    <w:qFormat/>
    <w:uiPriority w:val="0"/>
    <w:pPr>
      <w:tabs>
        <w:tab w:val="left" w:pos="6840"/>
      </w:tabs>
      <w:topLinePunct/>
      <w:ind w:firstLine="420"/>
    </w:pPr>
    <w:rPr>
      <w:rFonts w:ascii="Calibri" w:hAnsi="Calibri" w:eastAsia="宋体" w:cs="Calibri"/>
      <w:kern w:val="0"/>
      <w:szCs w:val="21"/>
    </w:rPr>
  </w:style>
  <w:style w:type="paragraph" w:customStyle="1" w:styleId="99">
    <w:name w:val="首行缩进"/>
    <w:basedOn w:val="1"/>
    <w:qFormat/>
    <w:uiPriority w:val="0"/>
    <w:pPr>
      <w:spacing w:line="360" w:lineRule="auto"/>
      <w:ind w:firstLine="420" w:firstLineChars="200"/>
    </w:pPr>
    <w:rPr>
      <w:rFonts w:ascii="Calibri" w:hAnsi="Calibri" w:eastAsia="宋体" w:cs="Times New Roman"/>
      <w:szCs w:val="24"/>
    </w:rPr>
  </w:style>
  <w:style w:type="character" w:customStyle="1" w:styleId="100">
    <w:name w:val="标题 5 Char"/>
    <w:link w:val="6"/>
    <w:qFormat/>
    <w:uiPriority w:val="9"/>
    <w:rPr>
      <w:rFonts w:ascii="Times New Roman" w:hAnsi="Times New Roman" w:eastAsia="宋体" w:cs="Times New Roman"/>
      <w:b/>
      <w:bCs/>
      <w:kern w:val="2"/>
      <w:sz w:val="28"/>
      <w:szCs w:val="28"/>
    </w:rPr>
  </w:style>
  <w:style w:type="character" w:customStyle="1" w:styleId="101">
    <w:name w:val="标题 8 Char"/>
    <w:link w:val="9"/>
    <w:qFormat/>
    <w:uiPriority w:val="9"/>
    <w:rPr>
      <w:rFonts w:ascii="Arial" w:hAnsi="Arial" w:eastAsia="黑体" w:cs="Times New Roman"/>
      <w:kern w:val="2"/>
      <w:sz w:val="24"/>
      <w:szCs w:val="24"/>
    </w:rPr>
  </w:style>
  <w:style w:type="character" w:customStyle="1" w:styleId="102">
    <w:name w:val="标题 9 Char"/>
    <w:link w:val="10"/>
    <w:qFormat/>
    <w:uiPriority w:val="9"/>
    <w:rPr>
      <w:rFonts w:ascii="Arial" w:hAnsi="Arial" w:eastAsia="黑体" w:cs="Times New Roman"/>
      <w:kern w:val="2"/>
      <w:sz w:val="24"/>
      <w:szCs w:val="21"/>
    </w:rPr>
  </w:style>
  <w:style w:type="character" w:customStyle="1" w:styleId="103">
    <w:name w:val="页眉 Char"/>
    <w:qFormat/>
    <w:uiPriority w:val="99"/>
    <w:rPr>
      <w:rFonts w:ascii="Times New Roman" w:hAnsi="Times New Roman"/>
      <w:kern w:val="2"/>
      <w:sz w:val="18"/>
      <w:szCs w:val="18"/>
    </w:rPr>
  </w:style>
  <w:style w:type="character" w:customStyle="1" w:styleId="104">
    <w:name w:val="页脚 Char"/>
    <w:qFormat/>
    <w:uiPriority w:val="99"/>
    <w:rPr>
      <w:rFonts w:ascii="Times New Roman" w:hAnsi="Times New Roman"/>
      <w:kern w:val="2"/>
      <w:sz w:val="18"/>
      <w:szCs w:val="18"/>
    </w:rPr>
  </w:style>
  <w:style w:type="paragraph" w:customStyle="1" w:styleId="105">
    <w:name w:val="Table Paragraph"/>
    <w:basedOn w:val="1"/>
    <w:qFormat/>
    <w:uiPriority w:val="1"/>
    <w:pPr>
      <w:autoSpaceDE w:val="0"/>
      <w:autoSpaceDN w:val="0"/>
      <w:ind w:left="108"/>
      <w:jc w:val="left"/>
    </w:pPr>
    <w:rPr>
      <w:rFonts w:ascii="仿宋" w:hAnsi="仿宋" w:eastAsia="仿宋" w:cs="仿宋"/>
      <w:kern w:val="0"/>
      <w:sz w:val="22"/>
      <w:lang w:val="zh-CN" w:bidi="zh-CN"/>
    </w:rPr>
  </w:style>
  <w:style w:type="character" w:customStyle="1" w:styleId="106">
    <w:name w:val="标题 2 Char"/>
    <w:qFormat/>
    <w:uiPriority w:val="9"/>
    <w:rPr>
      <w:rFonts w:ascii="Arial" w:hAnsi="Arial" w:eastAsia="黑体"/>
      <w:b/>
      <w:kern w:val="2"/>
      <w:sz w:val="32"/>
      <w:szCs w:val="32"/>
    </w:rPr>
  </w:style>
  <w:style w:type="character" w:customStyle="1" w:styleId="107">
    <w:name w:val="标题 3 Char"/>
    <w:link w:val="4"/>
    <w:qFormat/>
    <w:uiPriority w:val="9"/>
    <w:rPr>
      <w:rFonts w:ascii="Times New Roman" w:hAnsi="Times New Roman" w:eastAsia="宋体" w:cs="Times New Roman"/>
      <w:b/>
      <w:kern w:val="2"/>
      <w:sz w:val="32"/>
      <w:szCs w:val="32"/>
    </w:rPr>
  </w:style>
  <w:style w:type="character" w:customStyle="1" w:styleId="108">
    <w:name w:val="标题 4 Char"/>
    <w:link w:val="5"/>
    <w:qFormat/>
    <w:uiPriority w:val="9"/>
    <w:rPr>
      <w:rFonts w:ascii="Arial" w:hAnsi="Arial" w:eastAsia="黑体" w:cs="Times New Roman"/>
      <w:b/>
      <w:bCs/>
      <w:kern w:val="2"/>
      <w:sz w:val="28"/>
      <w:szCs w:val="28"/>
    </w:rPr>
  </w:style>
  <w:style w:type="character" w:customStyle="1" w:styleId="109">
    <w:name w:val="标题 7 Char"/>
    <w:link w:val="8"/>
    <w:qFormat/>
    <w:uiPriority w:val="9"/>
    <w:rPr>
      <w:rFonts w:ascii="Calibri" w:hAnsi="Calibri" w:eastAsia="宋体" w:cs="Times New Roman"/>
      <w:b/>
      <w:bCs/>
      <w:kern w:val="2"/>
      <w:sz w:val="24"/>
      <w:szCs w:val="24"/>
    </w:rPr>
  </w:style>
  <w:style w:type="paragraph" w:customStyle="1" w:styleId="110">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12">
    <w:name w:val="font6"/>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113">
    <w:name w:val="font7"/>
    <w:basedOn w:val="1"/>
    <w:qFormat/>
    <w:uiPriority w:val="0"/>
    <w:pPr>
      <w:widowControl/>
      <w:spacing w:before="100" w:beforeAutospacing="1" w:after="100" w:afterAutospacing="1"/>
      <w:jc w:val="left"/>
    </w:pPr>
    <w:rPr>
      <w:rFonts w:ascii="等线" w:hAnsi="等线" w:eastAsia="等线" w:cs="宋体"/>
      <w:color w:val="000000"/>
      <w:kern w:val="0"/>
      <w:sz w:val="22"/>
    </w:rPr>
  </w:style>
  <w:style w:type="paragraph" w:customStyle="1" w:styleId="114">
    <w:name w:val="font8"/>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15">
    <w:name w:val="font9"/>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11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1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2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2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2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2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2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2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character" w:customStyle="1" w:styleId="126">
    <w:name w:val="font41"/>
    <w:basedOn w:val="30"/>
    <w:qFormat/>
    <w:uiPriority w:val="0"/>
    <w:rPr>
      <w:rFonts w:hint="eastAsia" w:ascii="宋体" w:hAnsi="宋体" w:eastAsia="宋体" w:cs="宋体"/>
      <w:color w:val="000000"/>
      <w:sz w:val="21"/>
      <w:szCs w:val="21"/>
      <w:u w:val="none"/>
    </w:rPr>
  </w:style>
  <w:style w:type="character" w:customStyle="1" w:styleId="127">
    <w:name w:val="font91"/>
    <w:basedOn w:val="30"/>
    <w:qFormat/>
    <w:uiPriority w:val="0"/>
    <w:rPr>
      <w:rFonts w:hint="eastAsia" w:ascii="宋体" w:hAnsi="宋体" w:eastAsia="宋体" w:cs="宋体"/>
      <w:b/>
      <w:bCs/>
      <w:color w:val="000000"/>
      <w:sz w:val="21"/>
      <w:szCs w:val="21"/>
      <w:u w:val="none"/>
    </w:rPr>
  </w:style>
  <w:style w:type="character" w:customStyle="1" w:styleId="128">
    <w:name w:val="font101"/>
    <w:basedOn w:val="30"/>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2757</Words>
  <Characters>3034</Characters>
  <Lines>20</Lines>
  <Paragraphs>20</Paragraphs>
  <TotalTime>21</TotalTime>
  <ScaleCrop>false</ScaleCrop>
  <LinksUpToDate>false</LinksUpToDate>
  <CharactersWithSpaces>3050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2022-03-27T04:57:00Z</dcterms:created>
  <dc:creator>战狼</dc:creator>
  <cp:lastModifiedBy>Admin</cp:lastModifiedBy>
  <dcterms:modified xsi:type="dcterms:W3CDTF">2026-08-25T01:14:15Z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3CC04F7F28994CE8A7CC7DD603F0C729</vt:lpwstr>
  </property>
  <property fmtid="{D5CDD505-2E9C-101B-9397-08002B2CF9AE}" pid="4" name="KSOTemplateDocerSaveRecord">
    <vt:lpwstr>eyJoZGlkIjoiMjgxMDA4Y2U3OWNiODA0OGRhOGQ2ZjA3YzEzZDZjYjEiLCJ1c2VySWQiOiI0NDU1NDI3NjMifQ==</vt:lpwstr>
  </property>
</Properties>
</file>