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440001-2025-01897</w:t>
      </w:r>
    </w:p>
    <w:p>
      <w:pPr>
        <w:pStyle w:val="null3"/>
        <w:jc w:val="center"/>
        <w:outlineLvl w:val="3"/>
      </w:pPr>
      <w:r>
        <w:rPr>
          <w:sz w:val="24"/>
          <w:b/>
        </w:rPr>
        <w:t>采购项目编号：</w:t>
      </w:r>
      <w:r>
        <w:rPr>
          <w:sz w:val="24"/>
          <w:b/>
        </w:rPr>
        <w:t>GPCGD251156GC005J</w:t>
      </w:r>
    </w:p>
    <w:p>
      <w:pPr>
        <w:pStyle w:val="null3"/>
        <w:jc w:val="center"/>
        <w:outlineLvl w:val="3"/>
      </w:pPr>
      <w:r>
        <w:rPr>
          <w:sz w:val="24"/>
          <w:b/>
        </w:rPr>
        <w:t>项目名称：</w:t>
      </w:r>
      <w:r>
        <w:rPr>
          <w:sz w:val="24"/>
          <w:b/>
        </w:rPr>
        <w:t>仲恺农业工程学院动物科技学院专业实验室建设项目(二次)</w:t>
      </w:r>
    </w:p>
    <w:p>
      <w:pPr>
        <w:pStyle w:val="null3"/>
        <w:jc w:val="center"/>
        <w:outlineLvl w:val="3"/>
      </w:pPr>
      <w:r>
        <w:rPr>
          <w:sz w:val="24"/>
          <w:b/>
        </w:rPr>
        <w:t>采购人：</w:t>
      </w:r>
      <w:r>
        <w:rPr>
          <w:sz w:val="24"/>
          <w:b/>
        </w:rPr>
        <w:t>仲恺农业工程学院</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广东省政府采购中心</w:t>
      </w:r>
      <w:r>
        <w:rPr/>
        <w:t>受</w:t>
      </w:r>
      <w:r>
        <w:rPr/>
        <w:t>仲恺农业工程学院</w:t>
      </w:r>
      <w:r>
        <w:rPr/>
        <w:t>的委托，采用</w:t>
      </w:r>
      <w:r>
        <w:rPr/>
        <w:t>竞争性磋商</w:t>
      </w:r>
      <w:r>
        <w:rPr/>
        <w:t>方式组织采购</w:t>
      </w:r>
      <w:r>
        <w:rPr/>
        <w:t>仲恺农业工程学院动物科技学院专业实验室建设项目(二次)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仲恺农业工程学院动物科技学院专业实验室建设项目(二次)</w:t>
      </w:r>
    </w:p>
    <w:p>
      <w:pPr>
        <w:pStyle w:val="null3"/>
        <w:ind w:firstLine="480"/>
      </w:pPr>
      <w:r>
        <w:rPr/>
        <w:t>采购计划编号：</w:t>
      </w:r>
      <w:r>
        <w:rPr/>
        <w:t>440001-2025-01897</w:t>
      </w:r>
    </w:p>
    <w:p>
      <w:pPr>
        <w:pStyle w:val="null3"/>
        <w:ind w:firstLine="480"/>
      </w:pPr>
      <w:r>
        <w:rPr/>
        <w:t>采购项目编号：</w:t>
      </w:r>
      <w:r>
        <w:rPr/>
        <w:t>GPCGD251156GC005J</w:t>
      </w:r>
    </w:p>
    <w:p>
      <w:pPr>
        <w:pStyle w:val="null3"/>
        <w:ind w:firstLine="480"/>
      </w:pPr>
      <w:r>
        <w:rPr/>
        <w:t>采购方式：</w:t>
      </w:r>
      <w:r>
        <w:rPr/>
        <w:t>竞争性磋商</w:t>
      </w:r>
    </w:p>
    <w:p>
      <w:pPr>
        <w:pStyle w:val="null3"/>
        <w:ind w:firstLine="480"/>
      </w:pPr>
      <w:r>
        <w:rPr/>
        <w:t>预算金额：</w:t>
      </w:r>
      <w:r>
        <w:rPr/>
        <w:t>1,410,000.00</w:t>
      </w:r>
      <w:r>
        <w:rPr/>
        <w:t>元</w:t>
      </w:r>
    </w:p>
    <w:p>
      <w:pPr>
        <w:pStyle w:val="null3"/>
        <w:outlineLvl w:val="3"/>
      </w:pPr>
      <w:r>
        <w:rPr>
          <w:sz w:val="24"/>
          <w:b/>
        </w:rPr>
        <w:t>2.项目内容及需求情况（采购项目技术规格、参数及要求）</w:t>
      </w:r>
    </w:p>
    <w:p>
      <w:pPr>
        <w:pStyle w:val="null3"/>
      </w:pPr>
      <w:r>
        <w:rPr/>
        <w:t>采购包1(仲恺农业工程学院动科院专业教学实验室建设):</w:t>
      </w:r>
    </w:p>
    <w:p>
      <w:pPr>
        <w:pStyle w:val="null3"/>
      </w:pPr>
      <w:r>
        <w:rPr/>
        <w:t>采购包预算金额：1,410,000.00元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装修工程</w:t>
            </w:r>
          </w:p>
        </w:tc>
        <w:tc>
          <w:tcPr>
            <w:tcW w:type="dxa" w:w="2052"/>
          </w:tcPr>
          <w:p>
            <w:pPr>
              <w:pStyle w:val="null3"/>
            </w:pPr>
            <w:r>
              <w:rPr/>
              <w:t>动科院专业教学实验室建设</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1,410,000.00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合同履行期限：具体要求详见用户需求书。</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3）具有良好的商业信誉和健全的财务会计制度：供应商必须具有良好的商业信誉和健全的财务会计制度（提供以下2种证明材料之一：1. 2023或2024年度经会计师事务所审计的财务状况报告；2. 同时提供①基本开户行出具的资信证明，②《基本存款账号信息》或《开户许可证》。）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采购包1（仲恺农业工程学院动科院专业教学实验室建设）：</w:t>
      </w:r>
      <w:r>
        <w:rPr/>
        <w:t>本项目属于专门面向中小企业采购的项目。报价人须符合本项目采购标的对应行业（建筑业）的政策划分标准的中小企业。监狱企业、残疾人福利单位视同小型、微型企业。 注：中小企业以供应商填写的《中小企业声明函（工程）》（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 《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outlineLvl w:val="3"/>
      </w:pPr>
      <w:r>
        <w:rPr>
          <w:sz w:val="24"/>
          <w:b/>
        </w:rPr>
        <w:t>3.本项目特定的资格要求：</w:t>
      </w:r>
    </w:p>
    <w:p>
      <w:pPr>
        <w:pStyle w:val="null3"/>
      </w:pPr>
      <w:r>
        <w:rPr/>
        <w:t>采购包1（仲恺农业工程学院动科院专业教学实验室建设）：</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3)供应商必须具有有效期内的建筑装修装饰工程专业承包资质。首次响应文件提供证书复印件。</w:t>
      </w:r>
    </w:p>
    <w:p>
      <w:pPr>
        <w:pStyle w:val="null3"/>
      </w:pPr>
      <w:r>
        <w:rPr/>
        <w:t>4)供应商必须具有建设行政主管部门颁发的安全生产许可证，首次响应文件提供证书复印件。</w:t>
      </w:r>
    </w:p>
    <w:p>
      <w:pPr>
        <w:pStyle w:val="null3"/>
      </w:pPr>
      <w:r>
        <w:rPr/>
        <w:t>5)供应商拟担任本工程项目负责人的人员, 首次响应文件提供以下证书复印件: 项目负责人应具备建筑工程专业二级（或以上）注册建造师执业资格，并持有项目负责人安全生产考核合格证（B类）或能够提供建筑施工企业管理人员安全生产考核信息系统安全生产管理人员证书信息的打印页； 注1：建造师的专业及等级标准按《注册建造师执业管理办法（试行）》及《注册建造师执业工程规模标准（试行）》。 注2：项目负责人不得同时在其他在建工程项目担任项目负责人。（首次响应文件提供承诺函）</w:t>
      </w:r>
    </w:p>
    <w:p>
      <w:pPr>
        <w:pStyle w:val="null3"/>
      </w:pPr>
      <w:r>
        <w:rPr/>
        <w:t>6)专职安全员须具有在有效期内的安全生产考核合格证(C类)或建筑施工企业专职安全生产管理人员安全生产考核合格证(综合类C3)，提供证书复印件。 项目负责人在任职期间不得担任专职安全员，项目专职安全员在任职期间也不得担任项目负责人，项目负责人和安全员不为同一人。首次响应文件提供承诺函。</w:t>
      </w:r>
    </w:p>
    <w:p>
      <w:pPr>
        <w:pStyle w:val="null3"/>
      </w:pPr>
      <w:r>
        <w:rPr/>
        <w:t>7)已获取本项目采购文件。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仲恺农业工程学院</w:t>
      </w:r>
    </w:p>
    <w:p>
      <w:pPr>
        <w:pStyle w:val="null3"/>
        <w:ind w:firstLine="480"/>
      </w:pPr>
      <w:r>
        <w:rPr/>
        <w:t>地址：</w:t>
      </w:r>
      <w:r>
        <w:rPr/>
        <w:t>广州市海珠区东沙街24号</w:t>
      </w:r>
    </w:p>
    <w:p>
      <w:pPr>
        <w:pStyle w:val="null3"/>
        <w:ind w:firstLine="480"/>
      </w:pPr>
      <w:r>
        <w:rPr/>
        <w:t>联系方式：</w:t>
      </w:r>
      <w:r>
        <w:rPr/>
        <w:t>13719320078</w:t>
      </w:r>
    </w:p>
    <w:p>
      <w:pPr>
        <w:pStyle w:val="null3"/>
        <w:outlineLvl w:val="3"/>
      </w:pPr>
      <w:r>
        <w:rPr>
          <w:sz w:val="24"/>
          <w:b/>
        </w:rPr>
        <w:t>2.采购代理机构信息</w:t>
      </w:r>
    </w:p>
    <w:p>
      <w:pPr>
        <w:pStyle w:val="null3"/>
        <w:ind w:firstLine="480"/>
      </w:pPr>
      <w:r>
        <w:rPr/>
        <w:t>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020-83187190（邮箱：gpcgd_zcl@gd.gov.cn）</w:t>
      </w:r>
    </w:p>
    <w:p>
      <w:pPr>
        <w:pStyle w:val="null3"/>
        <w:outlineLvl w:val="3"/>
      </w:pPr>
      <w:r>
        <w:rPr>
          <w:sz w:val="24"/>
          <w:b/>
        </w:rPr>
        <w:t xml:space="preserve"> 3.项目联系方式</w:t>
      </w:r>
    </w:p>
    <w:p>
      <w:pPr>
        <w:pStyle w:val="null3"/>
        <w:ind w:firstLine="480"/>
      </w:pPr>
      <w:r>
        <w:rPr/>
        <w:t xml:space="preserve"> 项目联系人：</w:t>
      </w:r>
      <w:r>
        <w:rPr/>
        <w:t>庄先生</w:t>
      </w:r>
    </w:p>
    <w:p>
      <w:pPr>
        <w:pStyle w:val="null3"/>
        <w:ind w:firstLine="480"/>
      </w:pPr>
      <w:r>
        <w:rPr/>
        <w:t xml:space="preserve"> 电话：</w:t>
      </w:r>
      <w:r>
        <w:rPr/>
        <w:t>020-83187190（邮箱：gpcgd_zcl@gd.gov.cn）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用户需求书</w:t>
      </w:r>
    </w:p>
    <w:p>
      <w:pPr>
        <w:pStyle w:val="null3"/>
        <w:jc w:val="both"/>
      </w:pPr>
      <w:r>
        <w:rPr>
          <w:sz w:val="21"/>
        </w:rPr>
        <w:t>《用户需求书》中标注有“★”号的条款必须实质性响应，负偏离（不满足要求）将导致报价无效。</w:t>
      </w:r>
    </w:p>
    <w:p>
      <w:pPr>
        <w:pStyle w:val="null3"/>
        <w:jc w:val="both"/>
      </w:pPr>
      <w:r>
        <w:rPr>
          <w:sz w:val="21"/>
        </w:rPr>
        <w:t>★本项目</w:t>
      </w:r>
      <w:r>
        <w:rPr>
          <w:sz w:val="21"/>
        </w:rPr>
        <w:t>不允许分包。如供应商在投标/响应文件中未出现《分包协议意向书》，则视为未采取分包。</w:t>
      </w:r>
    </w:p>
    <w:p>
      <w:pPr>
        <w:pStyle w:val="null3"/>
        <w:ind w:left="630"/>
        <w:jc w:val="both"/>
        <w:outlineLvl w:val="1"/>
      </w:pPr>
      <w:r>
        <w:rPr>
          <w:sz w:val="21"/>
          <w:b/>
        </w:rPr>
        <w:t xml:space="preserve">一、  </w:t>
      </w:r>
      <w:r>
        <w:rPr>
          <w:sz w:val="21"/>
          <w:b/>
        </w:rPr>
        <w:t>总体要求</w:t>
      </w:r>
    </w:p>
    <w:p>
      <w:pPr>
        <w:pStyle w:val="null3"/>
        <w:ind w:left="210"/>
        <w:jc w:val="left"/>
      </w:pPr>
      <w:r>
        <w:rPr>
          <w:sz w:val="21"/>
        </w:rPr>
        <w:t xml:space="preserve">（一）项目概况 ：  </w:t>
      </w:r>
    </w:p>
    <w:p>
      <w:pPr>
        <w:pStyle w:val="null3"/>
        <w:ind w:firstLine="420"/>
        <w:jc w:val="left"/>
      </w:pPr>
      <w:r>
        <w:rPr>
          <w:sz w:val="21"/>
        </w:rPr>
        <w:t>本项目主要进行畜牧学科、兽医学科、水产学科三个学科四个本科专业的专业教学实验室建设，具体地点为白云校区生命科学大楼B栋1、7、8、9楼，分别建设为动物教学医院、动物科学专业实验室（7楼）、动物医学专业实验室（8楼）、水产科学专业实验室（9楼），具体建设内容主要为场地改造和水、电、通风等基础设施建设。</w:t>
      </w:r>
    </w:p>
    <w:p>
      <w:pPr>
        <w:pStyle w:val="null3"/>
        <w:ind w:left="720"/>
        <w:jc w:val="left"/>
      </w:pPr>
      <w:r>
        <w:rPr>
          <w:sz w:val="21"/>
        </w:rPr>
        <w:t>（二） 采购项目预（概）算：</w:t>
      </w:r>
    </w:p>
    <w:p>
      <w:pPr>
        <w:pStyle w:val="null3"/>
        <w:ind w:left="210"/>
        <w:jc w:val="left"/>
      </w:pPr>
      <w:r>
        <w:rPr>
          <w:sz w:val="24"/>
          <w:color w:val="000000"/>
        </w:rPr>
        <w:t>1</w:t>
      </w:r>
      <w:r>
        <w:rPr>
          <w:sz w:val="24"/>
          <w:color w:val="000000"/>
        </w:rPr>
        <w:t>、项目名称：仲恺农业工程学院动物科技学院专业实验室建设项目（二次）</w:t>
      </w:r>
    </w:p>
    <w:p>
      <w:pPr>
        <w:pStyle w:val="null3"/>
        <w:ind w:left="210"/>
        <w:jc w:val="left"/>
      </w:pPr>
      <w:r>
        <w:rPr>
          <w:sz w:val="24"/>
          <w:color w:val="000000"/>
        </w:rPr>
        <w:t>2</w:t>
      </w:r>
      <w:r>
        <w:rPr>
          <w:sz w:val="24"/>
          <w:color w:val="000000"/>
        </w:rPr>
        <w:t>、总预算金额：  141万。★其中：绿色防护施工安全防护措施费14736.58元、暂列金95026.92元，</w:t>
      </w:r>
      <w:r>
        <w:rPr>
          <w:sz w:val="24"/>
          <w:b/>
          <w:color w:val="000000"/>
        </w:rPr>
        <w:t>不按此固定价报价的为无效报价</w:t>
      </w:r>
      <w:r>
        <w:rPr>
          <w:sz w:val="24"/>
          <w:color w:val="000000"/>
        </w:rPr>
        <w:t xml:space="preserve">。   </w:t>
      </w:r>
    </w:p>
    <w:p>
      <w:pPr>
        <w:pStyle w:val="null3"/>
        <w:ind w:firstLine="420"/>
        <w:jc w:val="left"/>
      </w:pPr>
      <w:r>
        <w:rPr>
          <w:sz w:val="21"/>
        </w:rPr>
        <w:t>（1）响应总报价包括完成本项目的成本、利润、运费、税金等全部费用。响应供应商所投设备应是原厂原装、全新的产品，并符合下列要求：国家标准、行业标准以及该产品的出厂标准。</w:t>
      </w:r>
    </w:p>
    <w:p>
      <w:pPr>
        <w:pStyle w:val="null3"/>
        <w:ind w:firstLine="420"/>
        <w:jc w:val="left"/>
      </w:pPr>
      <w:r>
        <w:rPr>
          <w:sz w:val="21"/>
        </w:rPr>
        <w:t>（2）响应供应商应对响应设备列明其品牌、型号、制造商名称、产地、技术参数、功能介绍和使用说明。</w:t>
      </w:r>
    </w:p>
    <w:p>
      <w:pPr>
        <w:pStyle w:val="null3"/>
        <w:ind w:firstLine="420"/>
        <w:jc w:val="left"/>
      </w:pPr>
      <w:r>
        <w:rPr>
          <w:sz w:val="21"/>
        </w:rPr>
        <w:t>（3）伴随服务（费用包含在总价内）：设备的运输、安装调试、人员培训、售后服务、含税等费用。</w:t>
      </w:r>
    </w:p>
    <w:p>
      <w:pPr>
        <w:pStyle w:val="null3"/>
        <w:ind w:left="240" w:right="240" w:firstLine="480"/>
        <w:jc w:val="both"/>
        <w:outlineLvl w:val="1"/>
      </w:pPr>
      <w:r>
        <w:rPr>
          <w:sz w:val="21"/>
          <w:b/>
        </w:rPr>
        <w:t xml:space="preserve">二、  </w:t>
      </w:r>
      <w:r>
        <w:rPr>
          <w:sz w:val="21"/>
          <w:b/>
        </w:rPr>
        <w:t>技术要求</w:t>
      </w:r>
    </w:p>
    <w:p>
      <w:pPr>
        <w:pStyle w:val="null3"/>
        <w:ind w:firstLine="420"/>
        <w:jc w:val="both"/>
      </w:pPr>
      <w:r>
        <w:rPr>
          <w:sz w:val="21"/>
        </w:rPr>
        <w:t>（一）技术要求</w:t>
      </w:r>
    </w:p>
    <w:p>
      <w:pPr>
        <w:pStyle w:val="null3"/>
      </w:pPr>
      <w:r>
        <w:rPr>
          <w:sz w:val="24"/>
          <w:color w:val="000000"/>
        </w:rPr>
        <w:t>1</w:t>
      </w:r>
      <w:r>
        <w:rPr>
          <w:sz w:val="24"/>
          <w:color w:val="000000"/>
        </w:rPr>
        <w:t>、新增设备需求</w:t>
      </w:r>
    </w:p>
    <w:tbl>
      <w:tblPr>
        <w:tblW w:w="0" w:type="auto"/>
        <w:tblBorders>
          <w:top w:val="none" w:color="000000" w:sz="4"/>
          <w:left w:val="none" w:color="000000" w:sz="4"/>
          <w:bottom w:val="none" w:color="000000" w:sz="4"/>
          <w:right w:val="none" w:color="000000" w:sz="4"/>
          <w:insideH w:val="none"/>
          <w:insideV w:val="none"/>
        </w:tblBorders>
        <w:shd w:fill="FFFFFF"/>
      </w:tblPr>
      <w:tblGrid>
        <w:gridCol w:w="2769"/>
        <w:gridCol w:w="2769"/>
        <w:gridCol w:w="2769"/>
      </w:tblGrid>
      <w:tr>
        <w:tc>
          <w:tcPr>
            <w:tcW w:type="dxa" w:w="2769"/>
            <w:tcBorders>
              <w:top w:val="singl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序号</w:t>
            </w:r>
          </w:p>
        </w:tc>
        <w:tc>
          <w:tcPr>
            <w:tcW w:type="dxa" w:w="2769"/>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设备名称</w:t>
            </w:r>
          </w:p>
        </w:tc>
        <w:tc>
          <w:tcPr>
            <w:tcW w:type="dxa" w:w="2769"/>
            <w:tcBorders>
              <w:top w:val="singl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技术参数及要求（重要）</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边台、中央台和角柜（定制）</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实验室家具采用钢木结构，台面采用实验室专用</w:t>
            </w:r>
            <w:r>
              <w:rPr>
                <w:sz w:val="21"/>
              </w:rPr>
              <w:t>12.7mm</w:t>
            </w:r>
            <w:r>
              <w:rPr>
                <w:sz w:val="21"/>
              </w:rPr>
              <w:t>厚实芯理化板，边缘加厚至25.4mm，结构坚固致密，能抗强冲击，耐酸碱，耐高温，更具有良好的承重性能。</w:t>
            </w:r>
          </w:p>
          <w:p>
            <w:pPr>
              <w:pStyle w:val="null3"/>
              <w:jc w:val="both"/>
            </w:pPr>
            <w:r>
              <w:rPr>
                <w:sz w:val="21"/>
              </w:rPr>
              <w:t>1.1</w:t>
            </w:r>
            <w:r>
              <w:rPr>
                <w:sz w:val="21"/>
              </w:rPr>
              <w:t>、</w:t>
            </w:r>
            <w:r>
              <w:rPr>
                <w:sz w:val="21"/>
              </w:rPr>
              <w:t>台面指标要求</w:t>
            </w:r>
          </w:p>
          <w:p>
            <w:pPr>
              <w:pStyle w:val="null3"/>
              <w:ind w:firstLine="420"/>
              <w:jc w:val="both"/>
            </w:pPr>
            <w:r>
              <w:rPr>
                <w:sz w:val="21"/>
              </w:rPr>
              <w:t>实验操作台面选用≥</w:t>
            </w:r>
            <w:r>
              <w:rPr>
                <w:sz w:val="21"/>
              </w:rPr>
              <w:t>12.7mm</w:t>
            </w:r>
            <w:r>
              <w:rPr>
                <w:sz w:val="21"/>
              </w:rPr>
              <w:t>厚实心理化板，边缘加厚至≥</w:t>
            </w:r>
            <w:r>
              <w:rPr>
                <w:sz w:val="21"/>
              </w:rPr>
              <w:t>25.4mm</w:t>
            </w:r>
            <w:r>
              <w:rPr>
                <w:sz w:val="21"/>
              </w:rPr>
              <w:t>。台面在正常使用中接触到的部件或零件</w:t>
            </w:r>
            <w:r>
              <w:rPr>
                <w:sz w:val="21"/>
              </w:rPr>
              <w:t>应</w:t>
            </w:r>
            <w:r>
              <w:rPr>
                <w:sz w:val="21"/>
              </w:rPr>
              <w:t>没有毛刺、刃口、尖锐等，需圆角设计。</w:t>
            </w:r>
          </w:p>
          <w:p>
            <w:pPr>
              <w:pStyle w:val="null3"/>
              <w:ind w:firstLine="420"/>
              <w:jc w:val="both"/>
            </w:pPr>
            <w:r>
              <w:rPr>
                <w:sz w:val="21"/>
              </w:rPr>
              <w:t>为保证台面材料质量以及从环保角度保障实验室人员健康，台面板须满足以下技术参数及要求，验收时提供相应的</w:t>
            </w:r>
            <w:r>
              <w:rPr>
                <w:sz w:val="21"/>
              </w:rPr>
              <w:t>第三方检测机构或实验室出具的具有CMA或CNAS标识的</w:t>
            </w:r>
            <w:r>
              <w:rPr>
                <w:sz w:val="21"/>
              </w:rPr>
              <w:t>检测报告证明文件（首次响应时提供承诺），或者首次响应时提供彩页、网页截图、技术白皮书、技术说明：</w:t>
            </w:r>
          </w:p>
          <w:p>
            <w:pPr>
              <w:pStyle w:val="null3"/>
              <w:ind w:firstLine="422"/>
              <w:jc w:val="both"/>
            </w:pPr>
            <w:r>
              <w:rPr>
                <w:sz w:val="21"/>
              </w:rPr>
              <w:t>1)</w:t>
            </w:r>
            <w:r>
              <w:rPr>
                <w:sz w:val="21"/>
              </w:rPr>
              <w:t>理化性能</w:t>
            </w:r>
            <w:r>
              <w:rPr>
                <w:sz w:val="21"/>
              </w:rPr>
              <w:t>：对</w:t>
            </w:r>
            <w:r>
              <w:rPr>
                <w:sz w:val="21"/>
              </w:rPr>
              <w:t>98%</w:t>
            </w:r>
            <w:r>
              <w:rPr>
                <w:sz w:val="21"/>
              </w:rPr>
              <w:t>硫酸、</w:t>
            </w:r>
            <w:r>
              <w:rPr>
                <w:sz w:val="21"/>
              </w:rPr>
              <w:t>99%</w:t>
            </w:r>
            <w:r>
              <w:rPr>
                <w:sz w:val="21"/>
              </w:rPr>
              <w:t>乙酸、</w:t>
            </w:r>
            <w:r>
              <w:rPr>
                <w:sz w:val="21"/>
              </w:rPr>
              <w:t>65%</w:t>
            </w:r>
            <w:r>
              <w:rPr>
                <w:sz w:val="21"/>
              </w:rPr>
              <w:t>硝酸、</w:t>
            </w:r>
            <w:r>
              <w:rPr>
                <w:sz w:val="21"/>
              </w:rPr>
              <w:t>37%</w:t>
            </w:r>
            <w:r>
              <w:rPr>
                <w:sz w:val="21"/>
              </w:rPr>
              <w:t>盐酸、</w:t>
            </w:r>
            <w:r>
              <w:rPr>
                <w:sz w:val="21"/>
              </w:rPr>
              <w:t>48%</w:t>
            </w:r>
            <w:r>
              <w:rPr>
                <w:sz w:val="21"/>
              </w:rPr>
              <w:t>氢氟酸、</w:t>
            </w:r>
            <w:r>
              <w:rPr>
                <w:sz w:val="21"/>
              </w:rPr>
              <w:t>37%</w:t>
            </w:r>
            <w:r>
              <w:rPr>
                <w:sz w:val="21"/>
              </w:rPr>
              <w:t>甲醛溶液、</w:t>
            </w:r>
            <w:r>
              <w:rPr>
                <w:sz w:val="21"/>
              </w:rPr>
              <w:t>13%</w:t>
            </w:r>
            <w:r>
              <w:rPr>
                <w:sz w:val="21"/>
              </w:rPr>
              <w:t>次氯酸钠、</w:t>
            </w:r>
            <w:r>
              <w:rPr>
                <w:sz w:val="21"/>
              </w:rPr>
              <w:t>3%</w:t>
            </w:r>
            <w:r>
              <w:rPr>
                <w:sz w:val="21"/>
              </w:rPr>
              <w:t>双氧水等</w:t>
            </w:r>
            <w:r>
              <w:rPr>
                <w:sz w:val="21"/>
              </w:rPr>
              <w:t xml:space="preserve"> 45 </w:t>
            </w:r>
            <w:r>
              <w:rPr>
                <w:sz w:val="21"/>
              </w:rPr>
              <w:t>种强酸强碱化学试剂分级检验结果</w:t>
            </w:r>
            <w:r>
              <w:rPr>
                <w:sz w:val="21"/>
              </w:rPr>
              <w:t>均</w:t>
            </w:r>
            <w:r>
              <w:rPr>
                <w:sz w:val="21"/>
              </w:rPr>
              <w:t>为</w:t>
            </w:r>
            <w:r>
              <w:rPr>
                <w:sz w:val="21"/>
              </w:rPr>
              <w:t xml:space="preserve"> 5 </w:t>
            </w:r>
            <w:r>
              <w:rPr>
                <w:sz w:val="21"/>
              </w:rPr>
              <w:t>级或</w:t>
            </w:r>
            <w:r>
              <w:rPr>
                <w:sz w:val="21"/>
              </w:rPr>
              <w:t>以上</w:t>
            </w:r>
            <w:r>
              <w:rPr>
                <w:sz w:val="21"/>
              </w:rPr>
              <w:t>。</w:t>
            </w:r>
            <w:r>
              <w:rPr>
                <w:sz w:val="21"/>
              </w:rPr>
              <w:t>为了保证产品质量，验收时提供相对应的第三方检测机构或实验室出具的具有CMA或CNAS标识的</w:t>
            </w:r>
            <w:r>
              <w:rPr>
                <w:sz w:val="21"/>
              </w:rPr>
              <w:t>检测报告（首次响应时提供承诺），或者首次响应时提供彩页、网页截图、技术白皮书、技术说明。</w:t>
            </w:r>
          </w:p>
          <w:p>
            <w:pPr>
              <w:pStyle w:val="null3"/>
              <w:ind w:firstLine="422"/>
              <w:jc w:val="both"/>
            </w:pPr>
            <w:r>
              <w:rPr>
                <w:sz w:val="21"/>
              </w:rPr>
              <w:t>▲</w:t>
            </w:r>
            <w:r>
              <w:rPr>
                <w:sz w:val="21"/>
              </w:rPr>
              <w:t>2)</w:t>
            </w:r>
            <w:r>
              <w:rPr>
                <w:sz w:val="21"/>
              </w:rPr>
              <w:t>物理性能</w:t>
            </w:r>
            <w:r>
              <w:rPr>
                <w:sz w:val="21"/>
              </w:rPr>
              <w:t>：</w:t>
            </w:r>
            <w:r>
              <w:rPr>
                <w:sz w:val="21"/>
              </w:rPr>
              <w:t>耐湿热性能、耐污染性能、耐水蒸气性能、耐龟裂性能、耐香烟灼烧性能均达</w:t>
            </w:r>
            <w:r>
              <w:rPr>
                <w:sz w:val="21"/>
              </w:rPr>
              <w:t xml:space="preserve"> 5 </w:t>
            </w:r>
            <w:r>
              <w:rPr>
                <w:sz w:val="21"/>
              </w:rPr>
              <w:t>级，无变化或无明显变化。抗冲击性能（</w:t>
            </w:r>
            <w:r>
              <w:rPr>
                <w:sz w:val="21"/>
              </w:rPr>
              <w:t>0.324kg</w:t>
            </w:r>
            <w:r>
              <w:rPr>
                <w:sz w:val="21"/>
              </w:rPr>
              <w:t>，</w:t>
            </w:r>
            <w:r>
              <w:rPr>
                <w:sz w:val="21"/>
              </w:rPr>
              <w:t>1m</w:t>
            </w:r>
            <w:r>
              <w:rPr>
                <w:sz w:val="21"/>
              </w:rPr>
              <w:t>）凹陷直径不得大于</w:t>
            </w:r>
            <w:r>
              <w:rPr>
                <w:sz w:val="21"/>
              </w:rPr>
              <w:t xml:space="preserve"> 6.1 mm</w:t>
            </w:r>
            <w:r>
              <w:rPr>
                <w:sz w:val="21"/>
              </w:rPr>
              <w:t>，无破损。耐刮划性（金刚石划痕法）≥</w:t>
            </w:r>
            <w:r>
              <w:rPr>
                <w:sz w:val="21"/>
              </w:rPr>
              <w:t>1N</w:t>
            </w:r>
            <w:r>
              <w:rPr>
                <w:sz w:val="21"/>
              </w:rPr>
              <w:t>，试件表面无大于</w:t>
            </w:r>
            <w:r>
              <w:rPr>
                <w:sz w:val="21"/>
              </w:rPr>
              <w:t>90</w:t>
            </w:r>
            <w:r>
              <w:rPr>
                <w:sz w:val="21"/>
              </w:rPr>
              <w:t>％的连续划痕，表面装饰花纹无破坏现象。抗拉强度不得低于</w:t>
            </w:r>
            <w:r>
              <w:rPr>
                <w:sz w:val="21"/>
              </w:rPr>
              <w:t xml:space="preserve"> 93.5MPa</w:t>
            </w:r>
            <w:r>
              <w:rPr>
                <w:sz w:val="21"/>
              </w:rPr>
              <w:t>。弯曲强度不得低于</w:t>
            </w:r>
            <w:r>
              <w:rPr>
                <w:sz w:val="21"/>
              </w:rPr>
              <w:t>167MPa</w:t>
            </w:r>
            <w:r>
              <w:rPr>
                <w:sz w:val="21"/>
              </w:rPr>
              <w:t>。弯曲弹性模量不得低于</w:t>
            </w:r>
            <w:r>
              <w:rPr>
                <w:sz w:val="21"/>
              </w:rPr>
              <w:t>1.48*10</w:t>
            </w:r>
            <w:r>
              <w:rPr>
                <w:sz w:val="21"/>
                <w:vertAlign w:val="superscript"/>
              </w:rPr>
              <w:t>4</w:t>
            </w:r>
            <w:r>
              <w:rPr>
                <w:sz w:val="21"/>
              </w:rPr>
              <w:t>MPa</w:t>
            </w:r>
            <w:r>
              <w:rPr>
                <w:sz w:val="21"/>
              </w:rPr>
              <w:t>。产品耐磨性能：</w:t>
            </w:r>
            <w:r>
              <w:rPr>
                <w:sz w:val="21"/>
              </w:rPr>
              <w:t>r</w:t>
            </w:r>
            <w:r>
              <w:rPr>
                <w:sz w:val="21"/>
              </w:rPr>
              <w:t>≥</w:t>
            </w:r>
            <w:r>
              <w:rPr>
                <w:sz w:val="21"/>
              </w:rPr>
              <w:t>1000</w:t>
            </w:r>
            <w:r>
              <w:rPr>
                <w:sz w:val="21"/>
              </w:rPr>
              <w:t>。</w:t>
            </w:r>
            <w:r>
              <w:rPr>
                <w:sz w:val="21"/>
              </w:rPr>
              <w:t>为了保证产品质量，验收时需提供相对应的第三方检测机构或实验室出具的具有CMA或CNAS标识的</w:t>
            </w:r>
            <w:r>
              <w:rPr>
                <w:sz w:val="21"/>
              </w:rPr>
              <w:t>检测报告（首次响应时提供承诺），或者首次响应时提供彩页、网页截图、技术白皮书、技术说明。</w:t>
            </w:r>
          </w:p>
          <w:p>
            <w:pPr>
              <w:pStyle w:val="null3"/>
              <w:ind w:firstLine="422"/>
              <w:jc w:val="both"/>
            </w:pPr>
            <w:r>
              <w:rPr>
                <w:sz w:val="20"/>
              </w:rPr>
              <w:t>★</w:t>
            </w:r>
            <w:r>
              <w:rPr>
                <w:sz w:val="21"/>
              </w:rPr>
              <w:t>3)</w:t>
            </w:r>
            <w:r>
              <w:rPr>
                <w:sz w:val="21"/>
              </w:rPr>
              <w:t>按照</w:t>
            </w:r>
            <w:r>
              <w:rPr>
                <w:sz w:val="21"/>
              </w:rPr>
              <w:t>GB 18580-2017</w:t>
            </w:r>
            <w:r>
              <w:rPr>
                <w:sz w:val="21"/>
              </w:rPr>
              <w:t>进行检测，甲醛检测数值≤</w:t>
            </w:r>
            <w:r>
              <w:rPr>
                <w:sz w:val="21"/>
              </w:rPr>
              <w:t>0.124 mg/m</w:t>
            </w:r>
            <w:r>
              <w:rPr>
                <w:sz w:val="21"/>
              </w:rPr>
              <w:t>³。</w:t>
            </w:r>
            <w:r>
              <w:rPr>
                <w:sz w:val="21"/>
              </w:rPr>
              <w:t>为了保证产品质量，验收时需提供相对应的第三方检测机构或实验室出具的具有CMA或CNAS标识的</w:t>
            </w:r>
            <w:r>
              <w:rPr>
                <w:sz w:val="21"/>
              </w:rPr>
              <w:t>检测报告（首次响应时提供承诺），或者首次响应时提供彩页、网页截图、技术白皮书、技术说明。</w:t>
            </w:r>
          </w:p>
          <w:p>
            <w:pPr>
              <w:pStyle w:val="null3"/>
              <w:ind w:firstLine="422"/>
              <w:jc w:val="both"/>
            </w:pPr>
            <w:r>
              <w:rPr>
                <w:sz w:val="21"/>
              </w:rPr>
              <w:t>4)</w:t>
            </w:r>
            <w:r>
              <w:rPr>
                <w:sz w:val="21"/>
              </w:rPr>
              <w:t>挥发性有机化合物的测定值≤</w:t>
            </w:r>
            <w:r>
              <w:rPr>
                <w:sz w:val="21"/>
              </w:rPr>
              <w:t>0.002 mg/m</w:t>
            </w:r>
            <w:r>
              <w:rPr>
                <w:sz w:val="21"/>
              </w:rPr>
              <w:t>³，甲醛值≤</w:t>
            </w:r>
            <w:r>
              <w:rPr>
                <w:sz w:val="21"/>
              </w:rPr>
              <w:t>0.004 ppm</w:t>
            </w:r>
            <w:r>
              <w:rPr>
                <w:sz w:val="21"/>
              </w:rPr>
              <w:t>，总醛类值≤</w:t>
            </w:r>
            <w:r>
              <w:rPr>
                <w:sz w:val="21"/>
              </w:rPr>
              <w:t>0.004 ppm</w:t>
            </w:r>
            <w:r>
              <w:rPr>
                <w:sz w:val="21"/>
              </w:rPr>
              <w:t>，苯基环已稀</w:t>
            </w:r>
            <w:r>
              <w:rPr>
                <w:sz w:val="21"/>
              </w:rPr>
              <w:t>&lt;0.001 mg/m</w:t>
            </w:r>
            <w:r>
              <w:rPr>
                <w:sz w:val="21"/>
              </w:rPr>
              <w:t>³，单体非甲烷烃类物质未检出。</w:t>
            </w:r>
            <w:r>
              <w:rPr>
                <w:sz w:val="21"/>
              </w:rPr>
              <w:t>为了保证产品质量，验收时需提供相对应的第三方检测机构或实验室出具的具有CMA或CNAS标识的</w:t>
            </w:r>
            <w:r>
              <w:rPr>
                <w:sz w:val="21"/>
              </w:rPr>
              <w:t>检测报告（首次响应时提供承诺），或者首次响应时提供彩页、网页截图、技术白皮书、技术说明。</w:t>
            </w:r>
          </w:p>
          <w:p>
            <w:pPr>
              <w:pStyle w:val="null3"/>
              <w:ind w:firstLine="422"/>
              <w:jc w:val="both"/>
            </w:pPr>
            <w:r>
              <w:rPr>
                <w:sz w:val="21"/>
              </w:rPr>
              <w:t>5)</w:t>
            </w:r>
            <w:r>
              <w:rPr>
                <w:sz w:val="21"/>
              </w:rPr>
              <w:t>铅的含量达到合格标准。测定的接触性油墨含铅量为</w:t>
            </w:r>
            <w:r>
              <w:rPr>
                <w:sz w:val="21"/>
              </w:rPr>
              <w:t xml:space="preserve"> 0.002</w:t>
            </w:r>
            <w:r>
              <w:rPr>
                <w:sz w:val="21"/>
              </w:rPr>
              <w:t>（标准要求≤</w:t>
            </w:r>
            <w:r>
              <w:rPr>
                <w:sz w:val="21"/>
              </w:rPr>
              <w:t>0.009% w/w</w:t>
            </w:r>
            <w:r>
              <w:rPr>
                <w:sz w:val="21"/>
              </w:rPr>
              <w:t>）。测定的产品积材含铅量为</w:t>
            </w:r>
            <w:r>
              <w:rPr>
                <w:sz w:val="21"/>
              </w:rPr>
              <w:t xml:space="preserve"> 0.002</w:t>
            </w:r>
            <w:r>
              <w:rPr>
                <w:sz w:val="21"/>
              </w:rPr>
              <w:t>（标准要求≤</w:t>
            </w:r>
            <w:r>
              <w:rPr>
                <w:sz w:val="21"/>
              </w:rPr>
              <w:t>0.01% w/w</w:t>
            </w:r>
            <w:r>
              <w:rPr>
                <w:sz w:val="21"/>
              </w:rPr>
              <w:t>）。</w:t>
            </w:r>
            <w:r>
              <w:rPr>
                <w:sz w:val="21"/>
              </w:rPr>
              <w:t>为了保证产品质量，验收时需提供相对应的第三方检测机构或实验室出具的具有CMA或CNAS标识的</w:t>
            </w:r>
            <w:r>
              <w:rPr>
                <w:sz w:val="21"/>
              </w:rPr>
              <w:t>检测报告（首次响应时提供承诺），或者首次响应时提供彩页、网页截图、技术白皮书、技术说明。</w:t>
            </w:r>
          </w:p>
          <w:p>
            <w:pPr>
              <w:pStyle w:val="null3"/>
              <w:ind w:firstLine="422"/>
              <w:jc w:val="both"/>
            </w:pPr>
            <w:r>
              <w:rPr>
                <w:sz w:val="21"/>
              </w:rPr>
              <w:t>6)</w:t>
            </w:r>
            <w:r>
              <w:rPr>
                <w:sz w:val="21"/>
              </w:rPr>
              <w:t xml:space="preserve">要求放射性元素用于装饰装修材料时，需同时满足其中内照射指数 </w:t>
            </w:r>
            <w:r>
              <w:rPr>
                <w:sz w:val="21"/>
                <w:i/>
              </w:rPr>
              <w:t>l</w:t>
            </w:r>
            <w:r>
              <w:rPr>
                <w:sz w:val="21"/>
                <w:vertAlign w:val="subscript"/>
              </w:rPr>
              <w:t>Ra</w:t>
            </w:r>
            <w:r>
              <w:rPr>
                <w:sz w:val="21"/>
              </w:rPr>
              <w:t>≤</w:t>
            </w:r>
            <w:r>
              <w:rPr>
                <w:sz w:val="21"/>
              </w:rPr>
              <w:t>1.0</w:t>
            </w:r>
            <w:r>
              <w:rPr>
                <w:sz w:val="21"/>
              </w:rPr>
              <w:t xml:space="preserve">，外照射指数 </w:t>
            </w:r>
            <w:r>
              <w:rPr>
                <w:sz w:val="21"/>
                <w:i/>
              </w:rPr>
              <w:t>I</w:t>
            </w:r>
            <w:r>
              <w:rPr>
                <w:sz w:val="21"/>
              </w:rPr>
              <w:t>γ≤</w:t>
            </w:r>
            <w:r>
              <w:rPr>
                <w:sz w:val="21"/>
              </w:rPr>
              <w:t xml:space="preserve">1.3, </w:t>
            </w:r>
            <w:r>
              <w:rPr>
                <w:sz w:val="21"/>
              </w:rPr>
              <w:t xml:space="preserve">内照射指数 </w:t>
            </w:r>
            <w:r>
              <w:rPr>
                <w:sz w:val="21"/>
                <w:i/>
              </w:rPr>
              <w:t>l</w:t>
            </w:r>
            <w:r>
              <w:rPr>
                <w:sz w:val="21"/>
                <w:vertAlign w:val="subscript"/>
              </w:rPr>
              <w:t>Ra</w:t>
            </w:r>
            <w:r>
              <w:rPr>
                <w:sz w:val="21"/>
              </w:rPr>
              <w:t>＜</w:t>
            </w:r>
            <w:r>
              <w:rPr>
                <w:sz w:val="21"/>
              </w:rPr>
              <w:t>0.1</w:t>
            </w:r>
            <w:r>
              <w:rPr>
                <w:sz w:val="21"/>
              </w:rPr>
              <w:t xml:space="preserve">，外照射指数 </w:t>
            </w:r>
            <w:r>
              <w:rPr>
                <w:sz w:val="21"/>
                <w:i/>
              </w:rPr>
              <w:t>I</w:t>
            </w:r>
            <w:r>
              <w:rPr>
                <w:sz w:val="21"/>
              </w:rPr>
              <w:t>γ＜</w:t>
            </w:r>
            <w:r>
              <w:rPr>
                <w:sz w:val="21"/>
              </w:rPr>
              <w:t>0.1</w:t>
            </w:r>
            <w:r>
              <w:rPr>
                <w:sz w:val="21"/>
              </w:rPr>
              <w:t>，符合</w:t>
            </w:r>
            <w:r>
              <w:rPr>
                <w:sz w:val="21"/>
              </w:rPr>
              <w:t xml:space="preserve"> A </w:t>
            </w:r>
            <w:r>
              <w:rPr>
                <w:sz w:val="21"/>
              </w:rPr>
              <w:t>类产品要求。</w:t>
            </w:r>
            <w:r>
              <w:rPr>
                <w:sz w:val="21"/>
              </w:rPr>
              <w:t>为了保证产品质量，验收时需提供相对应的第三方检测机构或实验室出具的具有CMA或CNAS标识的</w:t>
            </w:r>
            <w:r>
              <w:rPr>
                <w:sz w:val="21"/>
              </w:rPr>
              <w:t>检测报告（首次响应时提供承诺），或者首次响应时提供彩页、网页截图、技术白皮书、技术说明。</w:t>
            </w:r>
          </w:p>
          <w:p>
            <w:pPr>
              <w:pStyle w:val="null3"/>
              <w:ind w:firstLine="422"/>
              <w:jc w:val="both"/>
            </w:pPr>
            <w:r>
              <w:rPr>
                <w:sz w:val="21"/>
              </w:rPr>
              <w:t>7)</w:t>
            </w:r>
            <w:r>
              <w:rPr>
                <w:sz w:val="21"/>
              </w:rPr>
              <w:t>检测抗菌活性值</w:t>
            </w:r>
            <w:r>
              <w:rPr>
                <w:sz w:val="21"/>
              </w:rPr>
              <w:t>：</w:t>
            </w:r>
            <w:r>
              <w:rPr>
                <w:sz w:val="21"/>
              </w:rPr>
              <w:t>大肠杆菌</w:t>
            </w:r>
            <w:r>
              <w:rPr>
                <w:sz w:val="21"/>
              </w:rPr>
              <w:t xml:space="preserve"> ATCC 8739 </w:t>
            </w:r>
            <w:r>
              <w:rPr>
                <w:sz w:val="21"/>
              </w:rPr>
              <w:t>抗菌活性值不得低于</w:t>
            </w:r>
            <w:r>
              <w:rPr>
                <w:sz w:val="21"/>
              </w:rPr>
              <w:t xml:space="preserve"> 6.6</w:t>
            </w:r>
            <w:r>
              <w:rPr>
                <w:sz w:val="21"/>
              </w:rPr>
              <w:t>；</w:t>
            </w:r>
            <w:r>
              <w:rPr>
                <w:sz w:val="21"/>
              </w:rPr>
              <w:t>金黄色葡萄球菌</w:t>
            </w:r>
            <w:r>
              <w:rPr>
                <w:sz w:val="21"/>
              </w:rPr>
              <w:t xml:space="preserve"> 6538P </w:t>
            </w:r>
            <w:r>
              <w:rPr>
                <w:sz w:val="21"/>
              </w:rPr>
              <w:t>抗菌活性值不得低于</w:t>
            </w:r>
            <w:r>
              <w:rPr>
                <w:sz w:val="21"/>
              </w:rPr>
              <w:t xml:space="preserve"> 6.2</w:t>
            </w:r>
            <w:r>
              <w:rPr>
                <w:sz w:val="21"/>
              </w:rPr>
              <w:t>；</w:t>
            </w:r>
            <w:r>
              <w:rPr>
                <w:sz w:val="21"/>
              </w:rPr>
              <w:t>肺炎克雷伯氏菌</w:t>
            </w:r>
            <w:r>
              <w:rPr>
                <w:sz w:val="21"/>
              </w:rPr>
              <w:t xml:space="preserve"> ATCC 4352 </w:t>
            </w:r>
            <w:r>
              <w:rPr>
                <w:sz w:val="21"/>
              </w:rPr>
              <w:t>抗菌活性值不得低于</w:t>
            </w:r>
            <w:r>
              <w:rPr>
                <w:sz w:val="21"/>
              </w:rPr>
              <w:t xml:space="preserve"> 6.5</w:t>
            </w:r>
            <w:r>
              <w:rPr>
                <w:sz w:val="21"/>
              </w:rPr>
              <w:t>；</w:t>
            </w:r>
            <w:r>
              <w:rPr>
                <w:sz w:val="21"/>
              </w:rPr>
              <w:t>铜绿假单胞菌</w:t>
            </w:r>
            <w:r>
              <w:rPr>
                <w:sz w:val="21"/>
              </w:rPr>
              <w:t xml:space="preserve"> ATCC 9027 </w:t>
            </w:r>
            <w:r>
              <w:rPr>
                <w:sz w:val="21"/>
              </w:rPr>
              <w:t>抗菌活性值不得低于</w:t>
            </w:r>
            <w:r>
              <w:rPr>
                <w:sz w:val="21"/>
              </w:rPr>
              <w:t xml:space="preserve"> 6.0</w:t>
            </w:r>
            <w:r>
              <w:rPr>
                <w:sz w:val="21"/>
              </w:rPr>
              <w:t>。为了保证产品质量，验收时需提供相对应的第三方检测机构或实验室出具的具有CMA或CNAS标识的</w:t>
            </w:r>
            <w:r>
              <w:rPr>
                <w:sz w:val="21"/>
              </w:rPr>
              <w:t>检测报告（首次响应时提供承诺），或者首次响应时提供彩页、网页截图、技术白皮书、技术说明。</w:t>
            </w:r>
          </w:p>
          <w:p>
            <w:pPr>
              <w:pStyle w:val="null3"/>
              <w:ind w:firstLine="630"/>
              <w:jc w:val="both"/>
            </w:pPr>
            <w:r>
              <w:rPr>
                <w:sz w:val="21"/>
              </w:rPr>
              <w:t>8)</w:t>
            </w:r>
            <w:r>
              <w:rPr>
                <w:sz w:val="21"/>
              </w:rPr>
              <w:t>检测</w:t>
            </w:r>
            <w:r>
              <w:rPr>
                <w:sz w:val="21"/>
              </w:rPr>
              <w:t>抗病毒活性值</w:t>
            </w:r>
            <w:r>
              <w:rPr>
                <w:sz w:val="21"/>
              </w:rPr>
              <w:t>：</w:t>
            </w:r>
            <w:r>
              <w:rPr>
                <w:sz w:val="21"/>
              </w:rPr>
              <w:t>抗人冠状病毒活性值大于</w:t>
            </w:r>
            <w:r>
              <w:rPr>
                <w:sz w:val="21"/>
              </w:rPr>
              <w:t xml:space="preserve"> 3.51</w:t>
            </w:r>
            <w:r>
              <w:rPr>
                <w:sz w:val="21"/>
              </w:rPr>
              <w:t>，活性率大于</w:t>
            </w:r>
            <w:r>
              <w:rPr>
                <w:sz w:val="21"/>
              </w:rPr>
              <w:t xml:space="preserve"> 99.97%</w:t>
            </w:r>
            <w:r>
              <w:rPr>
                <w:sz w:val="21"/>
              </w:rPr>
              <w:t>；</w:t>
            </w:r>
            <w:r>
              <w:rPr>
                <w:sz w:val="21"/>
              </w:rPr>
              <w:t>抗甲型流病毒活性值大于</w:t>
            </w:r>
            <w:r>
              <w:rPr>
                <w:sz w:val="21"/>
              </w:rPr>
              <w:t xml:space="preserve"> 3.43</w:t>
            </w:r>
            <w:r>
              <w:rPr>
                <w:sz w:val="21"/>
              </w:rPr>
              <w:t>，活性率大于</w:t>
            </w:r>
            <w:r>
              <w:rPr>
                <w:sz w:val="21"/>
              </w:rPr>
              <w:t xml:space="preserve"> 99.96%</w:t>
            </w:r>
            <w:r>
              <w:rPr>
                <w:sz w:val="21"/>
              </w:rPr>
              <w:t>。</w:t>
            </w:r>
            <w:r>
              <w:rPr>
                <w:sz w:val="21"/>
              </w:rPr>
              <w:t>为了保证产品质量，验收时需提供相对应的第三方检测机构或实验室出具的具有CMA或CNAS标识的</w:t>
            </w:r>
            <w:r>
              <w:rPr>
                <w:sz w:val="21"/>
              </w:rPr>
              <w:t>检测报告（首次响应时提供承诺），或者首次响应时提供彩页、网页截图、技术白皮书、技术说明。</w:t>
            </w:r>
          </w:p>
          <w:p>
            <w:pPr>
              <w:pStyle w:val="null3"/>
              <w:jc w:val="both"/>
            </w:pPr>
            <w:r>
              <w:rPr>
                <w:sz w:val="21"/>
              </w:rPr>
              <w:t>1.2</w:t>
            </w:r>
            <w:r>
              <w:rPr>
                <w:sz w:val="21"/>
              </w:rPr>
              <w:t>、</w:t>
            </w:r>
            <w:r>
              <w:rPr>
                <w:sz w:val="21"/>
              </w:rPr>
              <w:t>钢制框架：钢架：选用40*60*2.0mm优质方冷轧钢管，表面经去油、酸洗磷化、电镀并经EPOXY粉末静电喷涂，喷涂均匀完整光滑。</w:t>
            </w:r>
          </w:p>
          <w:p>
            <w:pPr>
              <w:pStyle w:val="null3"/>
              <w:jc w:val="both"/>
            </w:pPr>
            <w:r>
              <w:rPr>
                <w:sz w:val="21"/>
              </w:rPr>
              <w:t>1.3</w:t>
            </w:r>
            <w:r>
              <w:rPr>
                <w:sz w:val="21"/>
              </w:rPr>
              <w:t>、</w:t>
            </w:r>
            <w:r>
              <w:rPr>
                <w:sz w:val="21"/>
              </w:rPr>
              <w:t>柜体：采用16mm厚E1级三聚氰胺中纤板。所有断面经优质2mm厚 PVC防水封边处理。不翘不裂、耐潮耐热、质地结实、表面平整、耐承重、抗冲击、有一定的强度。所用板材的甲醛含量均需低于国家标准。柜体内设一层活动隔板，在有水管、电线连接的部位，背板设活动挡板，以方便维修；</w:t>
            </w:r>
          </w:p>
          <w:p>
            <w:pPr>
              <w:pStyle w:val="null3"/>
              <w:jc w:val="both"/>
            </w:pPr>
            <w:r>
              <w:rPr>
                <w:sz w:val="21"/>
              </w:rPr>
              <w:t>1.4</w:t>
            </w:r>
            <w:r>
              <w:rPr>
                <w:sz w:val="21"/>
              </w:rPr>
              <w:t>、门板及抽屉面板：采用18mm厚E1级三聚氰胺中纤板，断面经优质2mm厚 PVC防水封边处理。</w:t>
            </w:r>
          </w:p>
          <w:p>
            <w:pPr>
              <w:pStyle w:val="null3"/>
              <w:jc w:val="both"/>
            </w:pPr>
            <w:r>
              <w:rPr>
                <w:sz w:val="21"/>
              </w:rPr>
              <w:t>1.5</w:t>
            </w:r>
            <w:r>
              <w:rPr>
                <w:sz w:val="21"/>
              </w:rPr>
              <w:t>、可调脚、螺母：采用钢制可调地脚，外包覆优质ABS塑料。</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2</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通风柜（带小水池）</w:t>
            </w:r>
            <w:r>
              <w:rPr>
                <w:sz w:val="21"/>
              </w:rPr>
              <w:t>（定制）</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spacing w:before="45"/>
              <w:ind w:right="60"/>
              <w:jc w:val="both"/>
            </w:pPr>
            <w:r>
              <w:rPr>
                <w:sz w:val="21"/>
              </w:rPr>
              <w:t>2.1</w:t>
            </w:r>
            <w:r>
              <w:rPr>
                <w:sz w:val="21"/>
              </w:rPr>
              <w:t>通风柜台面：</w:t>
            </w:r>
          </w:p>
          <w:p>
            <w:pPr>
              <w:pStyle w:val="null3"/>
              <w:ind w:firstLine="420"/>
              <w:jc w:val="both"/>
            </w:pPr>
            <w:r>
              <w:rPr>
                <w:sz w:val="21"/>
              </w:rPr>
              <w:t>通风柜台面要求：采用≥25mm厚一体成型高温烧制实验室专用蝶形陶瓷台面，采用黑色或蓝色胚体经高温一体烧结而成，台面表面耐高温、耐腐蚀、耐磨、不脱色、不变色、美观大方。通风柜台面技术要求如下：</w:t>
            </w:r>
          </w:p>
          <w:p>
            <w:pPr>
              <w:pStyle w:val="null3"/>
              <w:ind w:firstLine="420"/>
              <w:jc w:val="left"/>
            </w:pPr>
            <w:r>
              <w:rPr>
                <w:sz w:val="21"/>
              </w:rPr>
              <w:t>1</w:t>
            </w:r>
            <w:r>
              <w:rPr>
                <w:sz w:val="21"/>
              </w:rPr>
              <w:t>）台耐酸碱腐蚀性能要求：台面可抵御（除氢氟酸等同类型化学试剂）任何强酸强碱及有机溶剂腐蚀。验收时提供抗化学和污染性能的第三方检测机构或实验室出具的具有CMA或CNAS标识的检测报告（含提供盖玻璃片的检测报告）（首次响应时提供承诺），或者首次响应时提供彩页、网页截图、技术白皮书、技术说明。</w:t>
            </w:r>
          </w:p>
          <w:p>
            <w:pPr>
              <w:pStyle w:val="null3"/>
              <w:ind w:firstLine="420"/>
              <w:jc w:val="left"/>
            </w:pPr>
            <w:r>
              <w:rPr>
                <w:sz w:val="21"/>
              </w:rPr>
              <w:t>2</w:t>
            </w:r>
            <w:r>
              <w:rPr>
                <w:sz w:val="21"/>
              </w:rPr>
              <w:t>）提供陶瓷台面表面抗菌和抑菌性能，要求抗菌陶瓷制品抗菌性能检测结果抗大肠杆菌抗菌率≥99.99%，金黄色葡萄球菌抗菌率≥99.99%。抗菌耐久性能抗大肠杆菌抗菌率≥99%，金黄色葡萄球菌抗菌率≥99.9%，验收时提供由具有通过CMA或CNAS认证的第三方检测机构或实验室出具的检测报告（首次响应时提供承诺），或者首次响应时提供彩页、网页截图、技术白皮书、技术说明。</w:t>
            </w:r>
          </w:p>
          <w:p>
            <w:pPr>
              <w:pStyle w:val="null3"/>
              <w:ind w:firstLine="420"/>
              <w:jc w:val="left"/>
            </w:pPr>
            <w:r>
              <w:rPr>
                <w:sz w:val="21"/>
              </w:rPr>
              <w:t>3</w:t>
            </w:r>
            <w:r>
              <w:rPr>
                <w:sz w:val="21"/>
              </w:rPr>
              <w:t>）防静电性能:要求检测的实验台面板产品面积不小于 1500mm*750mm 检测结果台面的体积电阻在柠檬酸中不低于6.8x10^8 欧姆~9.5x10^8 欧姆，检测结果合格，验收时提供由具有通过CMA或 CNAS 认证的第三方检测机构或实验室出具的检测报告（首次响应时提供承诺），或者首次响应时提供彩页、网页截图、技术白皮书、技术说明。</w:t>
            </w:r>
          </w:p>
          <w:p>
            <w:pPr>
              <w:pStyle w:val="null3"/>
              <w:ind w:firstLine="420"/>
              <w:jc w:val="left"/>
            </w:pPr>
            <w:r>
              <w:rPr>
                <w:sz w:val="21"/>
              </w:rPr>
              <w:t>▲4）承重安全：通过“静态承重测试”，台面板检测样品尺寸不小于910 mm x610 mm，检测结果为：通过直径为 305 毫米的圆盘施加800公斤的力在桌面的中心。维持加载 48 小时，测试后无破裂和功能丧失。验收时提供相对应的第三方检测机构或实验室出具的具有CMA或CNAS标识的检测报告（首次响应时提供承诺），或者首次响应时提供彩页、网页截图、技术白皮书、技术说明。</w:t>
            </w:r>
          </w:p>
          <w:p>
            <w:pPr>
              <w:pStyle w:val="null3"/>
              <w:ind w:firstLine="420"/>
              <w:jc w:val="left"/>
            </w:pPr>
            <w:r>
              <w:rPr>
                <w:sz w:val="21"/>
              </w:rPr>
              <w:t>▲5）实验室陶瓷台面抗褪色性能要求：验收时提供台面光色牢度的检测报告，提供紫外灯曝露试验,所有试样表面无变化的通过CMA或CNAS认证的第三方检测机构或实验室出具的符合上述参数的原材料的检测报告（首次响应时提供承诺），或者首次响应时提供彩页、网页截图、技术白皮书、技术说明。</w:t>
            </w:r>
          </w:p>
          <w:p>
            <w:pPr>
              <w:pStyle w:val="null3"/>
              <w:ind w:firstLine="420"/>
              <w:jc w:val="left"/>
            </w:pPr>
            <w:r>
              <w:rPr>
                <w:sz w:val="21"/>
              </w:rPr>
              <w:t>★</w:t>
            </w:r>
            <w:r>
              <w:rPr>
                <w:sz w:val="21"/>
              </w:rPr>
              <w:t>6</w:t>
            </w:r>
            <w:r>
              <w:rPr>
                <w:sz w:val="21"/>
              </w:rPr>
              <w:t>）放射性：陶瓷台面放射性核素符合GB6566-2010标准中A类装修装饰材料。验收时提供第三方检测机构或实验室出具的具有CMA或CNAS标识的符合上述参数的检测报告（首次响应时提供承诺），或者首次响应时提供彩页、网页截图、技术白皮书、技术说明。</w:t>
            </w:r>
          </w:p>
          <w:p>
            <w:pPr>
              <w:pStyle w:val="null3"/>
              <w:ind w:firstLine="420"/>
              <w:jc w:val="left"/>
            </w:pPr>
            <w:r>
              <w:rPr>
                <w:sz w:val="21"/>
              </w:rPr>
              <w:t>7</w:t>
            </w:r>
            <w:r>
              <w:rPr>
                <w:sz w:val="21"/>
              </w:rPr>
              <w:t>）陶瓷台面板产品符合低碳绿色环保。</w:t>
            </w:r>
          </w:p>
          <w:p>
            <w:pPr>
              <w:pStyle w:val="null3"/>
              <w:ind w:firstLine="420"/>
              <w:jc w:val="left"/>
            </w:pPr>
            <w:r>
              <w:rPr>
                <w:sz w:val="21"/>
              </w:rPr>
              <w:t>2.2</w:t>
            </w:r>
            <w:r>
              <w:rPr>
                <w:sz w:val="21"/>
              </w:rPr>
              <w:t>、通风柜柜体：</w:t>
            </w:r>
          </w:p>
          <w:p>
            <w:pPr>
              <w:pStyle w:val="null3"/>
              <w:ind w:firstLine="422"/>
              <w:jc w:val="both"/>
            </w:pPr>
            <w:r>
              <w:rPr>
                <w:sz w:val="21"/>
              </w:rPr>
              <w:t>1</w:t>
            </w:r>
            <w:r>
              <w:rPr>
                <w:sz w:val="21"/>
              </w:rPr>
              <w:t>）采用≥</w:t>
            </w:r>
            <w:r>
              <w:rPr>
                <w:sz w:val="21"/>
              </w:rPr>
              <w:t>1.0mm</w:t>
            </w:r>
            <w:r>
              <w:rPr>
                <w:sz w:val="21"/>
              </w:rPr>
              <w:t>一级钢板（</w:t>
            </w:r>
            <w:r>
              <w:rPr>
                <w:sz w:val="21"/>
              </w:rPr>
              <w:t>SPCCT</w:t>
            </w:r>
            <w:r>
              <w:rPr>
                <w:sz w:val="21"/>
              </w:rPr>
              <w:t>），经激光切割，数控折弯，高频自动焊接，表面经除油、清洗、去锈、清洗、中和、表调、磷化、清洗等工序，高温烘干防锈处理；</w:t>
            </w:r>
          </w:p>
          <w:p>
            <w:pPr>
              <w:pStyle w:val="null3"/>
              <w:ind w:firstLine="422"/>
              <w:jc w:val="both"/>
            </w:pPr>
            <w:r>
              <w:rPr>
                <w:sz w:val="21"/>
              </w:rPr>
              <w:t>喷涂：采用环氧树脂粉末喷涂，涂层厚度≥</w:t>
            </w:r>
            <w:r>
              <w:rPr>
                <w:sz w:val="21"/>
              </w:rPr>
              <w:t>75</w:t>
            </w:r>
            <w:r>
              <w:rPr>
                <w:sz w:val="21"/>
              </w:rPr>
              <w:t>μ</w:t>
            </w:r>
            <w:r>
              <w:rPr>
                <w:sz w:val="21"/>
              </w:rPr>
              <w:t>m</w:t>
            </w:r>
            <w:r>
              <w:rPr>
                <w:sz w:val="21"/>
              </w:rPr>
              <w:t>，表面光滑均匀、色泽一致、无流挂、皱皮、鼓泡、凹陷、压痕、漏喷、锈蚀；</w:t>
            </w:r>
          </w:p>
          <w:p>
            <w:pPr>
              <w:pStyle w:val="null3"/>
              <w:ind w:firstLine="422"/>
              <w:jc w:val="both"/>
            </w:pPr>
            <w:r>
              <w:rPr>
                <w:sz w:val="21"/>
              </w:rPr>
              <w:t>2</w:t>
            </w:r>
            <w:r>
              <w:rPr>
                <w:sz w:val="21"/>
              </w:rPr>
              <w:t>）左右两侧主柱带有顷斜角设计，使气体能够平缓的流入通风柜内部，立柱上功能模块均为活动扣件，无需螺丝链接，便于安装维护，中部上设有微电脑液晶显示屏操作界面，具备操作照明灯、电动调节阀、风机等功能；</w:t>
            </w:r>
          </w:p>
          <w:p>
            <w:pPr>
              <w:pStyle w:val="null3"/>
              <w:ind w:firstLine="422"/>
              <w:jc w:val="both"/>
            </w:pPr>
            <w:r>
              <w:rPr>
                <w:sz w:val="21"/>
              </w:rPr>
              <w:t>3</w:t>
            </w:r>
            <w:r>
              <w:rPr>
                <w:sz w:val="21"/>
              </w:rPr>
              <w:t>）通风柜具有操作方便的自动限位功能，在通风柜左侧主柱设置了限位卡位。同时拉手符合气流原理，无死角，使气体能够平缓的进入柜内。</w:t>
            </w:r>
          </w:p>
          <w:p>
            <w:pPr>
              <w:pStyle w:val="null3"/>
              <w:spacing w:before="45"/>
              <w:ind w:right="60" w:firstLine="420"/>
              <w:jc w:val="both"/>
            </w:pPr>
            <w:r>
              <w:rPr>
                <w:sz w:val="21"/>
              </w:rPr>
              <w:t>4</w:t>
            </w:r>
            <w:r>
              <w:rPr>
                <w:sz w:val="21"/>
              </w:rPr>
              <w:t>）内衬板及导流板采用实验室专用白色表面耐酸碱 5mm 厚抗倍特板制作；</w:t>
            </w:r>
          </w:p>
          <w:p>
            <w:pPr>
              <w:pStyle w:val="null3"/>
              <w:ind w:firstLine="422"/>
              <w:jc w:val="both"/>
            </w:pPr>
            <w:r>
              <w:rPr>
                <w:sz w:val="21"/>
              </w:rPr>
              <w:t>5</w:t>
            </w:r>
            <w:r>
              <w:rPr>
                <w:sz w:val="21"/>
              </w:rPr>
              <w:t>）下承重部分采用≥</w:t>
            </w:r>
            <w:r>
              <w:rPr>
                <w:sz w:val="21"/>
              </w:rPr>
              <w:t>40*60*2.0 mm</w:t>
            </w:r>
            <w:r>
              <w:rPr>
                <w:sz w:val="21"/>
              </w:rPr>
              <w:t>的方管制作钢架支撑，承重能力好；前面板左右各二个万能</w:t>
            </w:r>
            <w:r>
              <w:rPr>
                <w:sz w:val="21"/>
              </w:rPr>
              <w:t>13A</w:t>
            </w:r>
            <w:r>
              <w:rPr>
                <w:sz w:val="21"/>
              </w:rPr>
              <w:t>防护罩型插座，共四个，适用各种仪器插头，操作安全、方便；配备电路过载及短路保护装置；后端下部预留水电通道，便于上下水，电源，气体管路等安装。</w:t>
            </w:r>
          </w:p>
          <w:p>
            <w:pPr>
              <w:pStyle w:val="null3"/>
              <w:ind w:firstLine="422"/>
              <w:jc w:val="both"/>
            </w:pPr>
            <w:r>
              <w:rPr>
                <w:sz w:val="21"/>
              </w:rPr>
              <w:t>6</w:t>
            </w:r>
            <w:r>
              <w:rPr>
                <w:sz w:val="21"/>
              </w:rPr>
              <w:t>）底部储存柜为单独多柜体设计，门板为双层结构，门板内填充防火型橡塑材料，每个门板上均粘贴警示标志。</w:t>
            </w:r>
          </w:p>
          <w:p>
            <w:pPr>
              <w:pStyle w:val="null3"/>
              <w:ind w:firstLine="422"/>
              <w:jc w:val="both"/>
            </w:pPr>
            <w:r>
              <w:rPr>
                <w:sz w:val="21"/>
              </w:rPr>
              <w:t>7</w:t>
            </w:r>
            <w:r>
              <w:rPr>
                <w:sz w:val="21"/>
              </w:rPr>
              <w:t>）地脚：底部调节脚采用带防护套的尼龙的地脚，防护套可以保护内部螺杆不受外界空气的氧化，腐蚀。</w:t>
            </w:r>
          </w:p>
          <w:p>
            <w:pPr>
              <w:pStyle w:val="null3"/>
              <w:ind w:firstLine="422"/>
              <w:jc w:val="both"/>
            </w:pPr>
            <w:r>
              <w:rPr>
                <w:sz w:val="21"/>
              </w:rPr>
              <w:t>8</w:t>
            </w:r>
            <w:r>
              <w:rPr>
                <w:sz w:val="21"/>
              </w:rPr>
              <w:t>）视窗拉门：特制铝型材，活动垂直水平升降，可停于任意位置，最大开启高度≥</w:t>
            </w:r>
            <w:r>
              <w:rPr>
                <w:sz w:val="21"/>
              </w:rPr>
              <w:t>850mm</w:t>
            </w:r>
            <w:r>
              <w:rPr>
                <w:sz w:val="21"/>
              </w:rPr>
              <w:t>；滑动部分采用液压轮、尼龙轴承滚轮组合设计；尼龙传送带内嵌承重钢丝（承重≥</w:t>
            </w:r>
            <w:r>
              <w:rPr>
                <w:sz w:val="21"/>
              </w:rPr>
              <w:t>150kg</w:t>
            </w:r>
            <w:r>
              <w:rPr>
                <w:sz w:val="21"/>
              </w:rPr>
              <w:t>）；≥</w:t>
            </w:r>
            <w:r>
              <w:rPr>
                <w:sz w:val="21"/>
              </w:rPr>
              <w:t>6mm</w:t>
            </w:r>
            <w:r>
              <w:rPr>
                <w:sz w:val="21"/>
              </w:rPr>
              <w:t>组合型钢化防爆浮法玻璃，上下滑动轻赢顺畅，无声响，传动力为≤</w:t>
            </w:r>
            <w:r>
              <w:rPr>
                <w:sz w:val="21"/>
              </w:rPr>
              <w:t>1kg</w:t>
            </w:r>
            <w:r>
              <w:rPr>
                <w:sz w:val="21"/>
              </w:rPr>
              <w:t>力即可升降玻璃视窗，整体具有良好的防腐性和维护保养性。视窗拉下后可以左右开合。</w:t>
            </w:r>
          </w:p>
          <w:p>
            <w:pPr>
              <w:pStyle w:val="null3"/>
              <w:ind w:firstLine="422"/>
              <w:jc w:val="both"/>
            </w:pPr>
            <w:r>
              <w:rPr>
                <w:sz w:val="21"/>
              </w:rPr>
              <w:t>9</w:t>
            </w:r>
            <w:r>
              <w:rPr>
                <w:sz w:val="21"/>
              </w:rPr>
              <w:t>）顶排风口：</w:t>
            </w:r>
            <w:r>
              <w:rPr>
                <w:sz w:val="21"/>
              </w:rPr>
              <w:t>∅</w:t>
            </w:r>
            <w:r>
              <w:rPr>
                <w:sz w:val="21"/>
              </w:rPr>
              <w:t>250 PVC</w:t>
            </w:r>
            <w:r>
              <w:rPr>
                <w:sz w:val="21"/>
              </w:rPr>
              <w:t>风罩，风罩具有冷凝水收集功能，防止管道水滴回流到通风柜。</w:t>
            </w:r>
          </w:p>
          <w:p>
            <w:pPr>
              <w:pStyle w:val="null3"/>
              <w:ind w:firstLine="422"/>
              <w:jc w:val="both"/>
            </w:pPr>
            <w:r>
              <w:rPr>
                <w:sz w:val="21"/>
              </w:rPr>
              <w:t>10</w:t>
            </w:r>
            <w:r>
              <w:rPr>
                <w:sz w:val="21"/>
              </w:rPr>
              <w:t>）水槽水龙头：采用遥控式</w:t>
            </w:r>
            <w:r>
              <w:rPr>
                <w:sz w:val="21"/>
              </w:rPr>
              <w:t xml:space="preserve">/ </w:t>
            </w:r>
            <w:r>
              <w:rPr>
                <w:sz w:val="21"/>
              </w:rPr>
              <w:t>手动水阀，</w:t>
            </w:r>
            <w:r>
              <w:rPr>
                <w:sz w:val="21"/>
              </w:rPr>
              <w:t>PP</w:t>
            </w:r>
            <w:r>
              <w:rPr>
                <w:sz w:val="21"/>
              </w:rPr>
              <w:t>水杯，</w:t>
            </w:r>
            <w:r>
              <w:rPr>
                <w:sz w:val="21"/>
              </w:rPr>
              <w:t>PP</w:t>
            </w:r>
            <w:r>
              <w:rPr>
                <w:sz w:val="21"/>
              </w:rPr>
              <w:t>水杯安装在通风柜靠后部分，尽量节省前面台面利用空间。</w:t>
            </w:r>
          </w:p>
          <w:p>
            <w:pPr>
              <w:pStyle w:val="null3"/>
              <w:ind w:firstLine="422"/>
              <w:jc w:val="both"/>
            </w:pPr>
            <w:r>
              <w:rPr>
                <w:sz w:val="21"/>
              </w:rPr>
              <w:t>11</w:t>
            </w:r>
            <w:r>
              <w:rPr>
                <w:sz w:val="21"/>
              </w:rPr>
              <w:t>）配重块：放置于柜体背板后方。</w:t>
            </w:r>
          </w:p>
          <w:p>
            <w:pPr>
              <w:pStyle w:val="null3"/>
              <w:ind w:firstLine="422"/>
              <w:jc w:val="both"/>
            </w:pPr>
            <w:r>
              <w:rPr>
                <w:sz w:val="21"/>
              </w:rPr>
              <w:t>12</w:t>
            </w:r>
            <w:r>
              <w:rPr>
                <w:sz w:val="21"/>
              </w:rPr>
              <w:t>）照明灯：</w:t>
            </w:r>
            <w:r>
              <w:rPr>
                <w:sz w:val="21"/>
              </w:rPr>
              <w:t>18w*2</w:t>
            </w:r>
            <w:r>
              <w:rPr>
                <w:sz w:val="21"/>
              </w:rPr>
              <w:t>个</w:t>
            </w:r>
            <w:r>
              <w:rPr>
                <w:sz w:val="21"/>
              </w:rPr>
              <w:t>LED</w:t>
            </w:r>
            <w:r>
              <w:rPr>
                <w:sz w:val="21"/>
              </w:rPr>
              <w:t>安装在通风柜顶板上方，在台面的照度大于</w:t>
            </w:r>
            <w:r>
              <w:rPr>
                <w:sz w:val="21"/>
              </w:rPr>
              <w:t>3</w:t>
            </w:r>
            <w:r>
              <w:rPr>
                <w:sz w:val="21"/>
              </w:rPr>
              <w:t>00Lux</w:t>
            </w:r>
            <w:r>
              <w:rPr>
                <w:sz w:val="21"/>
              </w:rPr>
              <w:t>。</w:t>
            </w:r>
            <w:r>
              <w:rPr>
                <w:sz w:val="21"/>
              </w:rPr>
              <w:t>LED</w:t>
            </w:r>
            <w:r>
              <w:rPr>
                <w:sz w:val="21"/>
              </w:rPr>
              <w:t>灯不和通风柜内的气体直接接触。</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3</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不锈钢操作台</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3.1</w:t>
            </w:r>
            <w:r>
              <w:rPr>
                <w:sz w:val="21"/>
              </w:rPr>
              <w:t>、</w:t>
            </w:r>
            <w:r>
              <w:rPr>
                <w:sz w:val="21"/>
              </w:rPr>
              <w:t>材质</w:t>
            </w:r>
          </w:p>
          <w:p>
            <w:pPr>
              <w:pStyle w:val="null3"/>
              <w:ind w:firstLine="420"/>
              <w:jc w:val="both"/>
            </w:pPr>
            <w:r>
              <w:rPr>
                <w:sz w:val="21"/>
              </w:rPr>
              <w:t>台面、框架均采用高品质</w:t>
            </w:r>
            <w:r>
              <w:rPr>
                <w:sz w:val="21"/>
              </w:rPr>
              <w:t>SUS304</w:t>
            </w:r>
            <w:r>
              <w:rPr>
                <w:sz w:val="21"/>
              </w:rPr>
              <w:t>不锈钢≥</w:t>
            </w:r>
            <w:r>
              <w:rPr>
                <w:sz w:val="21"/>
              </w:rPr>
              <w:t>1.0mm</w:t>
            </w:r>
            <w:r>
              <w:rPr>
                <w:sz w:val="21"/>
              </w:rPr>
              <w:t>板制作。</w:t>
            </w:r>
          </w:p>
          <w:p>
            <w:pPr>
              <w:pStyle w:val="null3"/>
              <w:jc w:val="both"/>
            </w:pPr>
            <w:r>
              <w:rPr>
                <w:sz w:val="21"/>
              </w:rPr>
              <w:t>3.2</w:t>
            </w:r>
            <w:r>
              <w:rPr>
                <w:sz w:val="21"/>
              </w:rPr>
              <w:t>、</w:t>
            </w:r>
            <w:r>
              <w:rPr>
                <w:sz w:val="21"/>
              </w:rPr>
              <w:t>结构</w:t>
            </w:r>
          </w:p>
          <w:p>
            <w:pPr>
              <w:pStyle w:val="null3"/>
              <w:ind w:firstLine="420"/>
              <w:jc w:val="both"/>
            </w:pPr>
            <w:r>
              <w:rPr>
                <w:sz w:val="21"/>
              </w:rPr>
              <w:t>框架以≥</w:t>
            </w:r>
            <w:r>
              <w:rPr>
                <w:sz w:val="21"/>
              </w:rPr>
              <w:t>40</w:t>
            </w:r>
            <w:r>
              <w:rPr>
                <w:sz w:val="21"/>
              </w:rPr>
              <w:t>×</w:t>
            </w:r>
            <w:r>
              <w:rPr>
                <w:sz w:val="21"/>
              </w:rPr>
              <w:t>40mm</w:t>
            </w:r>
            <w:r>
              <w:rPr>
                <w:sz w:val="21"/>
              </w:rPr>
              <w:t>的不锈钢方管整体焊接成型。根据实验室各具体岗位操作特点，设计合适高度。</w:t>
            </w:r>
          </w:p>
          <w:p>
            <w:pPr>
              <w:pStyle w:val="null3"/>
              <w:jc w:val="both"/>
            </w:pPr>
            <w:r>
              <w:rPr>
                <w:sz w:val="21"/>
              </w:rPr>
              <w:t>▲</w:t>
            </w:r>
            <w:r>
              <w:rPr>
                <w:sz w:val="21"/>
              </w:rPr>
              <w:t>3.3</w:t>
            </w:r>
            <w:r>
              <w:rPr>
                <w:sz w:val="21"/>
              </w:rPr>
              <w:t>、</w:t>
            </w:r>
            <w:r>
              <w:rPr>
                <w:sz w:val="21"/>
              </w:rPr>
              <w:t>台面</w:t>
            </w:r>
          </w:p>
          <w:p>
            <w:pPr>
              <w:pStyle w:val="null3"/>
            </w:pPr>
            <w:r>
              <w:rPr>
                <w:sz w:val="24"/>
                <w:color w:val="000000"/>
              </w:rPr>
              <w:t>台面内包抑菌板，台面外包SUS 304不锈钢，整体焊接成型，总厚度为≥25mm，台脚为不锈钢管并带可调脚，承载性好，牢固边角打磨光滑无毛刺。</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4</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试剂架</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4</w:t>
            </w:r>
            <w:r>
              <w:rPr>
                <w:sz w:val="21"/>
              </w:rPr>
              <w:t>.1</w:t>
            </w:r>
            <w:r>
              <w:rPr>
                <w:sz w:val="21"/>
              </w:rPr>
              <w:t>、</w:t>
            </w:r>
            <w:r>
              <w:rPr>
                <w:sz w:val="21"/>
              </w:rPr>
              <w:t>试剂架立柱</w:t>
            </w:r>
            <w:r>
              <w:rPr>
                <w:sz w:val="21"/>
              </w:rPr>
              <w:t>：</w:t>
            </w:r>
            <w:r>
              <w:rPr>
                <w:sz w:val="21"/>
              </w:rPr>
              <w:t>立柱采用≥</w:t>
            </w:r>
            <w:r>
              <w:rPr>
                <w:sz w:val="21"/>
              </w:rPr>
              <w:t>1.5mm</w:t>
            </w:r>
            <w:r>
              <w:rPr>
                <w:sz w:val="21"/>
              </w:rPr>
              <w:t>高品质一级钢板（</w:t>
            </w:r>
            <w:r>
              <w:rPr>
                <w:sz w:val="21"/>
              </w:rPr>
              <w:t>SPCCT</w:t>
            </w:r>
            <w:r>
              <w:rPr>
                <w:sz w:val="21"/>
              </w:rPr>
              <w:t>），经激光切割，数控折弯，高频自动焊接，表面经除油、清洗、去锈、清洗、中和、表调、磷化、清洗等十一道工序，高温烘干防锈处理。</w:t>
            </w:r>
          </w:p>
          <w:p>
            <w:pPr>
              <w:pStyle w:val="null3"/>
              <w:jc w:val="both"/>
            </w:pPr>
            <w:r>
              <w:rPr>
                <w:sz w:val="21"/>
              </w:rPr>
              <w:t>4</w:t>
            </w:r>
            <w:r>
              <w:rPr>
                <w:sz w:val="21"/>
              </w:rPr>
              <w:t>.2</w:t>
            </w:r>
            <w:r>
              <w:rPr>
                <w:sz w:val="21"/>
              </w:rPr>
              <w:t>、</w:t>
            </w:r>
            <w:r>
              <w:rPr>
                <w:sz w:val="21"/>
              </w:rPr>
              <w:t>试剂架托盘</w:t>
            </w:r>
            <w:r>
              <w:rPr>
                <w:sz w:val="21"/>
              </w:rPr>
              <w:t>：</w:t>
            </w:r>
            <w:r>
              <w:rPr>
                <w:sz w:val="21"/>
              </w:rPr>
              <w:t>采用≥</w:t>
            </w:r>
            <w:r>
              <w:rPr>
                <w:sz w:val="21"/>
              </w:rPr>
              <w:t>1.5mm</w:t>
            </w:r>
            <w:r>
              <w:rPr>
                <w:sz w:val="21"/>
              </w:rPr>
              <w:t>高品质一级钢板（</w:t>
            </w:r>
            <w:r>
              <w:rPr>
                <w:sz w:val="21"/>
              </w:rPr>
              <w:t>SPCCT</w:t>
            </w:r>
            <w:r>
              <w:rPr>
                <w:sz w:val="21"/>
              </w:rPr>
              <w:t>），折弯挂钩，表面打磨、酸洗、磷化高温环氧树脂静电粉末喷涂。</w:t>
            </w:r>
          </w:p>
          <w:p>
            <w:pPr>
              <w:pStyle w:val="null3"/>
              <w:jc w:val="both"/>
            </w:pPr>
            <w:r>
              <w:rPr>
                <w:sz w:val="21"/>
              </w:rPr>
              <w:t>4</w:t>
            </w:r>
            <w:r>
              <w:rPr>
                <w:sz w:val="21"/>
              </w:rPr>
              <w:t>.3</w:t>
            </w:r>
            <w:r>
              <w:rPr>
                <w:sz w:val="21"/>
              </w:rPr>
              <w:t>、</w:t>
            </w:r>
            <w:r>
              <w:rPr>
                <w:sz w:val="21"/>
              </w:rPr>
              <w:t>试剂架层板</w:t>
            </w:r>
            <w:r>
              <w:rPr>
                <w:sz w:val="21"/>
              </w:rPr>
              <w:t>：</w:t>
            </w:r>
            <w:r>
              <w:rPr>
                <w:sz w:val="21"/>
              </w:rPr>
              <w:t>采用≥</w:t>
            </w:r>
            <w:r>
              <w:rPr>
                <w:sz w:val="21"/>
              </w:rPr>
              <w:t>10mm</w:t>
            </w:r>
            <w:r>
              <w:rPr>
                <w:sz w:val="21"/>
              </w:rPr>
              <w:t>钢化玻璃。</w:t>
            </w:r>
          </w:p>
          <w:p>
            <w:pPr>
              <w:pStyle w:val="null3"/>
              <w:jc w:val="both"/>
            </w:pPr>
            <w:r>
              <w:rPr>
                <w:sz w:val="21"/>
              </w:rPr>
              <w:t>4</w:t>
            </w:r>
            <w:r>
              <w:rPr>
                <w:sz w:val="21"/>
              </w:rPr>
              <w:t>.4</w:t>
            </w:r>
            <w:r>
              <w:rPr>
                <w:sz w:val="21"/>
              </w:rPr>
              <w:t>、</w:t>
            </w:r>
            <w:r>
              <w:rPr>
                <w:sz w:val="21"/>
              </w:rPr>
              <w:t>护栏</w:t>
            </w:r>
            <w:r>
              <w:rPr>
                <w:sz w:val="21"/>
              </w:rPr>
              <w:t>：</w:t>
            </w:r>
            <w:r>
              <w:rPr>
                <w:sz w:val="21"/>
              </w:rPr>
              <w:t>采用铝合金材质，以防止试剂瓶跌落。</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5</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PP</w:t>
            </w:r>
            <w:r>
              <w:rPr>
                <w:sz w:val="21"/>
              </w:rPr>
              <w:t>水盆</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5.1</w:t>
            </w:r>
            <w:r>
              <w:rPr>
                <w:sz w:val="21"/>
              </w:rPr>
              <w:t>、水盆</w:t>
            </w:r>
            <w:r>
              <w:rPr>
                <w:sz w:val="21"/>
              </w:rPr>
              <w:t>采用高密度全新</w:t>
            </w:r>
            <w:r>
              <w:rPr>
                <w:sz w:val="21"/>
              </w:rPr>
              <w:t>PP</w:t>
            </w:r>
            <w:r>
              <w:rPr>
                <w:sz w:val="21"/>
              </w:rPr>
              <w:t>料，耐硫酸浸泡：</w:t>
            </w:r>
            <w:r>
              <w:rPr>
                <w:sz w:val="21"/>
              </w:rPr>
              <w:t>40%</w:t>
            </w:r>
            <w:r>
              <w:rPr>
                <w:sz w:val="21"/>
              </w:rPr>
              <w:t>硫酸溶液常温浸泡</w:t>
            </w:r>
            <w:r>
              <w:rPr>
                <w:sz w:val="21"/>
              </w:rPr>
              <w:t>24</w:t>
            </w:r>
            <w:r>
              <w:rPr>
                <w:sz w:val="21"/>
              </w:rPr>
              <w:t>小时，表面无明显变化；耐硝酸浸泡：</w:t>
            </w:r>
            <w:r>
              <w:rPr>
                <w:sz w:val="21"/>
              </w:rPr>
              <w:t>40%</w:t>
            </w:r>
            <w:r>
              <w:rPr>
                <w:sz w:val="21"/>
              </w:rPr>
              <w:t>硝酸溶液常温浸泡</w:t>
            </w:r>
            <w:r>
              <w:rPr>
                <w:sz w:val="21"/>
              </w:rPr>
              <w:t>24</w:t>
            </w:r>
            <w:r>
              <w:rPr>
                <w:sz w:val="21"/>
              </w:rPr>
              <w:t>小时，表面无明显变化；耐盐酸浸泡：</w:t>
            </w:r>
            <w:r>
              <w:rPr>
                <w:sz w:val="21"/>
              </w:rPr>
              <w:t>40%</w:t>
            </w:r>
            <w:r>
              <w:rPr>
                <w:sz w:val="21"/>
              </w:rPr>
              <w:t>盐酸溶液常温浸泡</w:t>
            </w:r>
            <w:r>
              <w:rPr>
                <w:sz w:val="21"/>
              </w:rPr>
              <w:t>24</w:t>
            </w:r>
            <w:r>
              <w:rPr>
                <w:sz w:val="21"/>
              </w:rPr>
              <w:t>小时，表面无明显变化。材料≥</w:t>
            </w:r>
            <w:r>
              <w:rPr>
                <w:sz w:val="21"/>
              </w:rPr>
              <w:t>6mm</w:t>
            </w:r>
            <w:r>
              <w:rPr>
                <w:sz w:val="21"/>
              </w:rPr>
              <w:t>厚一体成型。</w:t>
            </w:r>
          </w:p>
          <w:p>
            <w:pPr>
              <w:pStyle w:val="null3"/>
              <w:jc w:val="both"/>
            </w:pPr>
            <w:r>
              <w:rPr>
                <w:sz w:val="21"/>
              </w:rPr>
              <w:t>5.2</w:t>
            </w:r>
            <w:r>
              <w:rPr>
                <w:sz w:val="21"/>
              </w:rPr>
              <w:t>、</w:t>
            </w:r>
            <w:r>
              <w:rPr>
                <w:sz w:val="21"/>
              </w:rPr>
              <w:t>安装时水盆便于与台面平齐或低于台面，使台面不易存水。接高密度</w:t>
            </w:r>
            <w:r>
              <w:rPr>
                <w:sz w:val="21"/>
              </w:rPr>
              <w:t>PP</w:t>
            </w:r>
            <w:r>
              <w:rPr>
                <w:sz w:val="21"/>
              </w:rPr>
              <w:t>反水弯，防止水管阻塞功能</w:t>
            </w:r>
            <w:r>
              <w:rPr>
                <w:sz w:val="21"/>
              </w:rPr>
              <w:t xml:space="preserve">, </w:t>
            </w:r>
            <w:r>
              <w:rPr>
                <w:sz w:val="21"/>
              </w:rPr>
              <w:t>并易于拆卸。</w:t>
            </w:r>
          </w:p>
          <w:p>
            <w:pPr>
              <w:pStyle w:val="null3"/>
              <w:spacing w:before="45"/>
              <w:ind w:right="60"/>
              <w:jc w:val="both"/>
            </w:pPr>
            <w:r>
              <w:rPr>
                <w:sz w:val="21"/>
              </w:rPr>
              <w:t>5.3</w:t>
            </w:r>
            <w:r>
              <w:rPr>
                <w:sz w:val="21"/>
              </w:rPr>
              <w:t>、采用防溢流一体化水槽，单重达到4KG以上,主体厚度7mm以上，以保证主体的牢固度，水槽主体四个周边平整度控制在1.0mm以内，以保证安装方便美观，水槽内设有可防止水槽内的积存水溢出的溢水槽，该溢水槽一端为进水口，设在靠近水槽本体上边缘处，加一端为排水口，设在出水孔下方且与出水孔相通，设计合理，</w:t>
            </w:r>
          </w:p>
          <w:p>
            <w:pPr>
              <w:pStyle w:val="null3"/>
              <w:spacing w:before="45"/>
              <w:ind w:right="60"/>
              <w:jc w:val="both"/>
            </w:pPr>
            <w:r>
              <w:rPr>
                <w:sz w:val="21"/>
              </w:rPr>
              <w:t>5.4</w:t>
            </w:r>
            <w:r>
              <w:rPr>
                <w:sz w:val="21"/>
              </w:rPr>
              <w:t>、结构牢固，安装方便，使用安全，溢水槽部份、出水孔部分与水槽主体一次性注塑成形。</w:t>
            </w:r>
          </w:p>
          <w:p>
            <w:pPr>
              <w:pStyle w:val="null3"/>
              <w:jc w:val="both"/>
            </w:pPr>
            <w:r>
              <w:rPr>
                <w:sz w:val="21"/>
              </w:rPr>
              <w:t>5.5</w:t>
            </w:r>
            <w:r>
              <w:rPr>
                <w:sz w:val="21"/>
              </w:rPr>
              <w:t>、</w:t>
            </w:r>
            <w:r>
              <w:rPr>
                <w:sz w:val="21"/>
              </w:rPr>
              <w:t>水槽采用</w:t>
            </w:r>
            <w:r>
              <w:rPr>
                <w:sz w:val="21"/>
              </w:rPr>
              <w:t>全新</w:t>
            </w:r>
            <w:r>
              <w:rPr>
                <w:sz w:val="21"/>
              </w:rPr>
              <w:t>PP</w:t>
            </w:r>
            <w:r>
              <w:rPr>
                <w:sz w:val="21"/>
              </w:rPr>
              <w:t>料</w:t>
            </w:r>
            <w:r>
              <w:rPr>
                <w:sz w:val="21"/>
              </w:rPr>
              <w:t>及色母料，无碳酸钙成分；下水口与水槽一体注塑成型，水槽内壁无缩印，四边平整，表面光滑顺畅，</w:t>
            </w:r>
            <w:r>
              <w:rPr>
                <w:sz w:val="21"/>
              </w:rPr>
              <w:t>不</w:t>
            </w:r>
            <w:r>
              <w:rPr>
                <w:sz w:val="21"/>
              </w:rPr>
              <w:t>有划伤、裂纹、气泡、爆边等明显缺陷。</w:t>
            </w:r>
            <w:r>
              <w:rPr>
                <w:sz w:val="21"/>
              </w:rPr>
              <w:t>水槽壁厚≤5mm；</w:t>
            </w:r>
            <w:r>
              <w:rPr>
                <w:sz w:val="21"/>
              </w:rPr>
              <w:t>为防止水槽中间或四周有积液，槽体底部有导流线。</w:t>
            </w:r>
          </w:p>
          <w:p>
            <w:pPr>
              <w:pStyle w:val="null3"/>
              <w:jc w:val="both"/>
            </w:pPr>
            <w:r>
              <w:rPr>
                <w:sz w:val="21"/>
              </w:rPr>
              <w:t>5.6</w:t>
            </w:r>
            <w:r>
              <w:rPr>
                <w:sz w:val="21"/>
              </w:rPr>
              <w:t>水槽尺寸：≥610mm*510mm*300mm</w:t>
            </w:r>
          </w:p>
          <w:p>
            <w:pPr>
              <w:pStyle w:val="null3"/>
              <w:spacing w:before="255" w:after="255"/>
              <w:jc w:val="both"/>
              <w:outlineLvl w:val="2"/>
            </w:pPr>
            <w:r>
              <w:rPr>
                <w:sz w:val="21"/>
                <w:b/>
              </w:rPr>
              <w:t>★</w:t>
            </w:r>
            <w:r>
              <w:rPr>
                <w:sz w:val="21"/>
                <w:b/>
              </w:rPr>
              <w:t>5.7</w:t>
            </w:r>
            <w:r>
              <w:rPr>
                <w:sz w:val="21"/>
                <w:b/>
              </w:rPr>
              <w:t>、耐腐蚀性试验：依据GB/T11547-2008标准，99%苯、77%硫酸与70%硝酸的混合物(等体积比例)、99%乙酸、42%氢氟酸、1%硝酸银、98%硫酸、饱和氢氧化钠溶液等16种试剂，分别浸泡，无明显变化。（验收时提供第三方检测机构或实验室出具的带有CMA或CNAS章的检测报告（首次响应时提供承诺），或者首次响应时提供彩页、网页截图、技术白皮书、技术说明)；</w:t>
            </w:r>
          </w:p>
          <w:p>
            <w:pPr>
              <w:pStyle w:val="null3"/>
              <w:jc w:val="both"/>
            </w:pPr>
            <w:r>
              <w:rPr>
                <w:sz w:val="21"/>
              </w:rPr>
              <w:t>★</w:t>
            </w:r>
            <w:r>
              <w:rPr>
                <w:sz w:val="21"/>
              </w:rPr>
              <w:t>5.8</w:t>
            </w:r>
            <w:r>
              <w:rPr>
                <w:sz w:val="21"/>
              </w:rPr>
              <w:t>、耐污染性能：依据GB/T 17657-2022标准，检测项目包含48%氢溴酸、50%氟硼酸、氢氧化铵、冰醋酸、丙酮、碘、单宁酸、碘酸钾、次氯酸钠、二硫化碳、甘油、高碘酸钾、酚酞、二氯甲烷等60种有机、无机试剂，检验结果为5级。验收时提供第三方检测机构或实验室出具的带有CMA或CNAS章的检测报告</w:t>
            </w:r>
            <w:r>
              <w:rPr>
                <w:sz w:val="21"/>
              </w:rPr>
              <w:t>（首次响应时提供承诺），或者首次响应时提供彩页、网页截图、技术白皮书、技术说明</w:t>
            </w:r>
            <w:r>
              <w:rPr>
                <w:sz w:val="21"/>
              </w:rPr>
              <w:t>。</w:t>
            </w:r>
          </w:p>
          <w:p>
            <w:pPr>
              <w:pStyle w:val="null3"/>
              <w:spacing w:before="255" w:after="255"/>
              <w:jc w:val="both"/>
              <w:outlineLvl w:val="2"/>
            </w:pPr>
            <w:r>
              <w:rPr>
                <w:sz w:val="21"/>
                <w:b/>
              </w:rPr>
              <w:t>5.9</w:t>
            </w:r>
            <w:r>
              <w:rPr>
                <w:sz w:val="21"/>
                <w:b/>
              </w:rPr>
              <w:t>、抗老化测试：192h老化的过程，测试结果≤0.20，外观无可视变化。（验收时提供第三方检测机构或实验室出具的带有CMA或CNAS章的检测报告（首次响应时提供承诺），或者首次响应时提供彩页、网页截图、技术白皮书、技术说明）；</w:t>
            </w:r>
          </w:p>
          <w:p>
            <w:pPr>
              <w:pStyle w:val="null3"/>
              <w:jc w:val="both"/>
            </w:pPr>
            <w:r>
              <w:rPr>
                <w:sz w:val="21"/>
              </w:rPr>
              <w:t>5.10</w:t>
            </w:r>
            <w:r>
              <w:rPr>
                <w:sz w:val="21"/>
              </w:rPr>
              <w:t>、球压痕硬度试验：两块试样叠合测试，试样总厚度≥7.2mm，检验结果≥358N，产品规格符合技术尺寸要求。（验收时须提供第三方检测机构或实验室出具的带有CMA或CNAS章的检测报告</w:t>
            </w:r>
            <w:r>
              <w:rPr>
                <w:sz w:val="21"/>
              </w:rPr>
              <w:t>（首次响应时提供承诺），或者首次响应时提供彩页、网页截图、技术白皮书、技术说明</w:t>
            </w:r>
            <w:r>
              <w:rPr>
                <w:sz w:val="21"/>
              </w:rPr>
              <w:t>)</w:t>
            </w:r>
            <w:r>
              <w:rPr>
                <w:sz w:val="21"/>
              </w:rPr>
              <w:t>；</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6</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三口龙头</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ind w:firstLine="420"/>
              <w:jc w:val="both"/>
            </w:pPr>
            <w:r>
              <w:rPr>
                <w:sz w:val="21"/>
              </w:rPr>
              <w:t>龙头选用</w:t>
            </w:r>
            <w:r>
              <w:rPr>
                <w:sz w:val="21"/>
              </w:rPr>
              <w:t>H63</w:t>
            </w:r>
            <w:r>
              <w:rPr>
                <w:sz w:val="21"/>
              </w:rPr>
              <w:t>黄铜管</w:t>
            </w:r>
            <w:r>
              <w:rPr>
                <w:sz w:val="21"/>
              </w:rPr>
              <w:t>，</w:t>
            </w:r>
            <w:r>
              <w:rPr>
                <w:sz w:val="21"/>
              </w:rPr>
              <w:t>使用红冲锻造工艺，不出现沙眼；</w:t>
            </w:r>
            <w:r>
              <w:rPr>
                <w:sz w:val="21"/>
              </w:rPr>
              <w:t>涂层经</w:t>
            </w:r>
            <w:r>
              <w:rPr>
                <w:sz w:val="21"/>
              </w:rPr>
              <w:t>哑光</w:t>
            </w:r>
            <w:r>
              <w:rPr>
                <w:sz w:val="21"/>
              </w:rPr>
              <w:t>环氧树脂粉末涂料热固处理，防紫外线辐射，耐</w:t>
            </w:r>
            <w:r>
              <w:rPr>
                <w:sz w:val="21"/>
              </w:rPr>
              <w:t>化学腐蚀；陶瓷阀芯</w:t>
            </w:r>
            <w:r>
              <w:rPr>
                <w:sz w:val="21"/>
              </w:rPr>
              <w:t>可90度旋转、耐磨、耐腐蚀，开关使用寿命测试可达60万次，静态最大耐压2.5MPa，鹅颈出水管可360度旋转；旋钮把手</w:t>
            </w:r>
            <w:r>
              <w:rPr>
                <w:sz w:val="21"/>
              </w:rPr>
              <w:t>为</w:t>
            </w:r>
            <w:r>
              <w:rPr>
                <w:sz w:val="21"/>
              </w:rPr>
              <w:t>PP</w:t>
            </w:r>
            <w:r>
              <w:rPr>
                <w:sz w:val="21"/>
              </w:rPr>
              <w:t>全新料无添加碳酸钙；</w:t>
            </w:r>
            <w:r>
              <w:rPr>
                <w:sz w:val="21"/>
              </w:rPr>
              <w:t>供水软管:长度1.5米，软性PVC管外覆不锈钢网,外层包裹PE管，有效防止生锈、渗漏。</w:t>
            </w:r>
          </w:p>
          <w:p>
            <w:pPr>
              <w:pStyle w:val="null3"/>
              <w:jc w:val="both"/>
            </w:pPr>
            <w:r>
              <w:rPr>
                <w:sz w:val="21"/>
              </w:rPr>
              <w:t>★6.1、采用加厚的国标65铜挤压铜管，螺纹密封的螺纹精度应符合GB/T7306.1或GB/T7306.2的规定，非螺纹密封的螺纹精度应符合GB/T7307的规定，按GB/T7307的外螺纹应不低于B级精度。</w:t>
            </w:r>
          </w:p>
          <w:p>
            <w:pPr>
              <w:pStyle w:val="null3"/>
              <w:jc w:val="both"/>
            </w:pPr>
            <w:r>
              <w:rPr>
                <w:sz w:val="21"/>
              </w:rPr>
              <w:t>6.2</w:t>
            </w:r>
            <w:r>
              <w:rPr>
                <w:sz w:val="21"/>
              </w:rPr>
              <w:t>、装配好的手柄应平稳，轻便、无卡阻。手柄与阀杆连接牢固，不得松动。单柄单控和双柄双控水嘴手柄扭力矩应大于等于4Nm±0.5Nm。试验后，任何部件应无可见变形 。</w:t>
            </w:r>
          </w:p>
          <w:p>
            <w:pPr>
              <w:pStyle w:val="null3"/>
              <w:jc w:val="both"/>
            </w:pPr>
            <w:r>
              <w:rPr>
                <w:sz w:val="21"/>
              </w:rPr>
              <w:t>6.3</w:t>
            </w:r>
            <w:r>
              <w:rPr>
                <w:sz w:val="21"/>
              </w:rPr>
              <w:t>、水嘴密封性能：连接件：1.6 MPa ±0.05 MPa，关闭阀芯，打开出水口，稳压时间（60±5）s，出水口应无渗漏;2)水压（0.05±0.01）Mpa,保压时间（60±5）s，出水口应无渗漏；上密封：0.4 MPa±0.02 MPa，关闭阀芯，打开出水口，稳压时间（60±5）s，无渗漏；水嘴开关寿命：冷、热水嘴手柄分别进行寿命试验，柄端分别经过2x10</w:t>
            </w:r>
            <w:r>
              <w:rPr>
                <w:sz w:val="21"/>
                <w:vertAlign w:val="superscript"/>
              </w:rPr>
              <w:t>5</w:t>
            </w:r>
            <w:r>
              <w:rPr>
                <w:sz w:val="21"/>
              </w:rPr>
              <w:t>次循环。</w:t>
            </w:r>
          </w:p>
          <w:p>
            <w:pPr>
              <w:pStyle w:val="null3"/>
              <w:jc w:val="both"/>
            </w:pPr>
            <w:r>
              <w:rPr>
                <w:sz w:val="21"/>
              </w:rPr>
              <w:t>6.4</w:t>
            </w:r>
            <w:r>
              <w:rPr>
                <w:sz w:val="21"/>
              </w:rPr>
              <w:t>、开关在65万次循环寿命试验后，零部件不应出现断裂、卡阻和渗漏现象。</w:t>
            </w:r>
          </w:p>
          <w:p>
            <w:pPr>
              <w:pStyle w:val="null3"/>
              <w:jc w:val="left"/>
            </w:pPr>
            <w:r>
              <w:rPr>
                <w:sz w:val="21"/>
              </w:rPr>
              <w:t>6.5</w:t>
            </w:r>
            <w:r>
              <w:rPr>
                <w:sz w:val="21"/>
              </w:rPr>
              <w:t>、表面耐腐蚀性能通过24h乙酸盐雾试验，检测结果满足10级要求。【验收时提供第三方检测机构或实验室出具的具有CMA或CNAS标识的符合本项要求的检测报告复</w:t>
            </w:r>
            <w:r>
              <w:rPr>
                <w:sz w:val="21"/>
              </w:rPr>
              <w:t>印件</w:t>
            </w:r>
            <w:r>
              <w:rPr>
                <w:sz w:val="21"/>
              </w:rPr>
              <w:t>并加盖供应商</w:t>
            </w:r>
            <w:r>
              <w:rPr>
                <w:sz w:val="21"/>
              </w:rPr>
              <w:t>印章</w:t>
            </w:r>
            <w:r>
              <w:rPr>
                <w:sz w:val="21"/>
              </w:rPr>
              <w:t>（首次响应时提供承诺），或者首次响应时提供彩页、网页截图、技术白皮书、技术说明。】</w:t>
            </w:r>
          </w:p>
          <w:p>
            <w:pPr>
              <w:pStyle w:val="null3"/>
              <w:jc w:val="left"/>
            </w:pPr>
            <w:r>
              <w:rPr>
                <w:sz w:val="21"/>
              </w:rPr>
              <w:t>6.6</w:t>
            </w:r>
            <w:r>
              <w:rPr>
                <w:sz w:val="21"/>
              </w:rPr>
              <w:t>、水嘴可拆卸，材质可选铜制或PP，带防溅滤水器。</w:t>
            </w:r>
          </w:p>
          <w:p>
            <w:pPr>
              <w:pStyle w:val="null3"/>
              <w:jc w:val="left"/>
            </w:pPr>
            <w:r>
              <w:rPr>
                <w:sz w:val="21"/>
              </w:rPr>
              <w:t>6.7</w:t>
            </w:r>
            <w:r>
              <w:rPr>
                <w:sz w:val="21"/>
              </w:rPr>
              <w:t>、</w:t>
            </w:r>
            <w:r>
              <w:rPr>
                <w:sz w:val="21"/>
              </w:rPr>
              <w:t>管螺纹精度：</w:t>
            </w:r>
            <w:r>
              <w:rPr>
                <w:sz w:val="21"/>
              </w:rPr>
              <w:t>G3/8</w:t>
            </w:r>
            <w:r>
              <w:rPr>
                <w:sz w:val="21"/>
              </w:rPr>
              <w:t>，G1/2，G3/4符合标准，牙形角55°螺纹无锥度。</w:t>
            </w:r>
          </w:p>
          <w:p>
            <w:pPr>
              <w:pStyle w:val="null3"/>
              <w:jc w:val="left"/>
            </w:pPr>
            <w:r>
              <w:rPr>
                <w:sz w:val="21"/>
              </w:rPr>
              <w:t>★6.8、实验室化验水龙头需提供</w:t>
            </w:r>
            <w:r>
              <w:rPr>
                <w:sz w:val="21"/>
              </w:rPr>
              <w:t>国家确定的认证机构出具的、</w:t>
            </w:r>
            <w:r>
              <w:rPr>
                <w:sz w:val="21"/>
              </w:rPr>
              <w:t>处于有效期之内</w:t>
            </w:r>
            <w:r>
              <w:rPr>
                <w:sz w:val="21"/>
              </w:rPr>
              <w:t>中国节水产品认证证书</w:t>
            </w:r>
            <w:r>
              <w:rPr>
                <w:sz w:val="21"/>
              </w:rPr>
              <w:t>；</w:t>
            </w:r>
          </w:p>
          <w:p>
            <w:pPr>
              <w:pStyle w:val="null3"/>
              <w:jc w:val="left"/>
            </w:pPr>
            <w:r>
              <w:rPr>
                <w:sz w:val="21"/>
              </w:rPr>
              <w:t>6.9</w:t>
            </w:r>
            <w:r>
              <w:rPr>
                <w:sz w:val="21"/>
              </w:rPr>
              <w:t>、</w:t>
            </w:r>
            <w:r>
              <w:rPr>
                <w:sz w:val="21"/>
              </w:rPr>
              <w:t>水龙头金属污染物析出：检测结果铅析出统计值Q＜5，锑析出量＜0.6，砷析出量＜1.0，硼析出量＜500，镉析出量＜0.5等不少于8种金属析出物的检测，验收时提供第三方检测机构或实验室出具的加盖CMA及CNAS章的检测报告</w:t>
            </w:r>
            <w:r>
              <w:rPr>
                <w:sz w:val="21"/>
              </w:rPr>
              <w:t>（首次响应时提供承诺），或者首次响应时提供彩页、网页截图、技术白皮书、技术说明</w:t>
            </w:r>
            <w:r>
              <w:rPr>
                <w:sz w:val="21"/>
              </w:rPr>
              <w:t>；</w:t>
            </w:r>
          </w:p>
          <w:p>
            <w:pPr>
              <w:pStyle w:val="null3"/>
              <w:jc w:val="left"/>
            </w:pPr>
            <w:r>
              <w:rPr>
                <w:sz w:val="24"/>
                <w:color w:val="000000"/>
              </w:rPr>
              <w:t>6.10</w:t>
            </w:r>
            <w:r>
              <w:rPr>
                <w:sz w:val="24"/>
                <w:color w:val="000000"/>
              </w:rPr>
              <w:t>、涂镀层附着强度，在水嘴上较平整的表面进行划格试验至少达到1级要求；</w:t>
            </w:r>
          </w:p>
          <w:p>
            <w:pPr>
              <w:pStyle w:val="null3"/>
              <w:jc w:val="left"/>
            </w:pPr>
            <w:r>
              <w:rPr>
                <w:sz w:val="24"/>
                <w:color w:val="000000"/>
              </w:rPr>
              <w:t>6.11</w:t>
            </w:r>
            <w:r>
              <w:rPr>
                <w:sz w:val="24"/>
                <w:color w:val="000000"/>
              </w:rPr>
              <w:t>、水嘴流量：符合3.0L/min≤流量≤9.0L/min；</w:t>
            </w:r>
          </w:p>
          <w:p>
            <w:pPr>
              <w:pStyle w:val="null3"/>
              <w:jc w:val="left"/>
            </w:pPr>
            <w:r>
              <w:rPr>
                <w:sz w:val="24"/>
                <w:color w:val="000000"/>
              </w:rPr>
              <w:t>6.12</w:t>
            </w:r>
            <w:r>
              <w:rPr>
                <w:sz w:val="24"/>
                <w:color w:val="000000"/>
              </w:rPr>
              <w:t>、主体加厚铜质，涂层经环氧树脂粉末涂料热固处理，防紫外线辐射，耐酸碱、耐腐蚀；</w:t>
            </w:r>
          </w:p>
          <w:p>
            <w:pPr>
              <w:pStyle w:val="null3"/>
              <w:jc w:val="left"/>
            </w:pPr>
            <w:r>
              <w:rPr>
                <w:sz w:val="24"/>
                <w:color w:val="000000"/>
              </w:rPr>
              <w:t>6.13</w:t>
            </w:r>
            <w:r>
              <w:rPr>
                <w:sz w:val="24"/>
                <w:color w:val="000000"/>
              </w:rPr>
              <w:t>、对实验室安全性，节水性要求的需要，水龙头配件好坏对实验尤为重要，供应商递交响应文件时还须同时提供水龙头以下文件或验收时提供检测报告复印件并加盖响应单位公章</w:t>
            </w:r>
            <w:r>
              <w:rPr>
                <w:sz w:val="24"/>
                <w:color w:val="000000"/>
              </w:rPr>
              <w:t>（首次响应时提供承诺），或者首次响应时提供彩页、网页截图、技术白皮书、技术说明</w:t>
            </w:r>
            <w:r>
              <w:rPr>
                <w:sz w:val="24"/>
                <w:color w:val="000000"/>
              </w:rPr>
              <w:t>：</w:t>
            </w:r>
          </w:p>
          <w:p>
            <w:pPr>
              <w:pStyle w:val="null3"/>
              <w:jc w:val="left"/>
            </w:pPr>
            <w:r>
              <w:rPr>
                <w:sz w:val="24"/>
                <w:color w:val="000000"/>
              </w:rPr>
              <w:t>1</w:t>
            </w:r>
            <w:r>
              <w:rPr>
                <w:sz w:val="24"/>
                <w:color w:val="000000"/>
              </w:rPr>
              <w:t>）.针对实验室水龙头，验收时提供第三方检测机构或实验室出具的具有CMA或CNAS标识的主材铜含量测试报告</w:t>
            </w:r>
            <w:r>
              <w:rPr>
                <w:sz w:val="24"/>
                <w:color w:val="000000"/>
              </w:rPr>
              <w:t>（首次响应时提供承诺），或者首次响应时提供彩页、网页截图、技术白皮书、技术说明</w:t>
            </w:r>
            <w:r>
              <w:rPr>
                <w:sz w:val="24"/>
                <w:color w:val="000000"/>
              </w:rPr>
              <w:t>；</w:t>
            </w:r>
          </w:p>
          <w:p>
            <w:pPr>
              <w:pStyle w:val="null3"/>
              <w:jc w:val="left"/>
            </w:pPr>
            <w:r>
              <w:rPr>
                <w:sz w:val="24"/>
                <w:color w:val="000000"/>
              </w:rPr>
              <w:t>2</w:t>
            </w:r>
            <w:r>
              <w:rPr>
                <w:sz w:val="24"/>
                <w:color w:val="000000"/>
              </w:rPr>
              <w:t>）.实验室化验水龙头提供有效的国内保险公司承保合同；</w:t>
            </w:r>
          </w:p>
          <w:p>
            <w:pPr>
              <w:pStyle w:val="null3"/>
              <w:spacing w:before="255" w:after="255"/>
              <w:jc w:val="both"/>
              <w:outlineLvl w:val="2"/>
            </w:pPr>
            <w:r>
              <w:rPr>
                <w:sz w:val="21"/>
                <w:b/>
              </w:rPr>
              <w:t>6.14</w:t>
            </w:r>
            <w:r>
              <w:rPr>
                <w:sz w:val="21"/>
                <w:b/>
              </w:rPr>
              <w:t>、抗菌性：要求≥12种细菌的检测，检测值≥99.99%；（菌种包括金黄色葡萄球菌，大肠埃希氏菌，肺炎克雷伯氏菌，表皮葡萄球菌等）。验收时提供第三方检测机构或实验室出具的带有CMA或CNAS章的检测报告（首次响应时提供承诺），或者首次响应时提供彩页、网页截图、技术白皮书、技术说明；</w:t>
            </w:r>
          </w:p>
          <w:p>
            <w:pPr>
              <w:pStyle w:val="null3"/>
              <w:jc w:val="both"/>
            </w:pPr>
            <w:r>
              <w:rPr>
                <w:sz w:val="21"/>
              </w:rPr>
              <w:t>▲</w:t>
            </w:r>
            <w:r>
              <w:rPr>
                <w:sz w:val="21"/>
              </w:rPr>
              <w:t>6.15</w:t>
            </w:r>
            <w:r>
              <w:rPr>
                <w:sz w:val="21"/>
              </w:rPr>
              <w:t>、声学性能：压力0.3MPa时，顶部、左侧、右侧三个部位的出水口均≤220分贝，满足1级要求。验收时提供第三方检测机构或实验室出具的带有CMA或CNAS章的检测报告</w:t>
            </w:r>
            <w:r>
              <w:rPr>
                <w:sz w:val="21"/>
              </w:rPr>
              <w:t>（首次响应时提供承诺），或者首次响应时提供彩页、网页截图、技术白皮书、技术说明</w:t>
            </w:r>
            <w:r>
              <w:rPr>
                <w:sz w:val="21"/>
              </w:rPr>
              <w:t>；</w:t>
            </w:r>
          </w:p>
          <w:p>
            <w:pPr>
              <w:pStyle w:val="null3"/>
              <w:spacing w:before="255" w:after="255"/>
              <w:jc w:val="both"/>
              <w:outlineLvl w:val="2"/>
            </w:pPr>
            <w:r>
              <w:rPr>
                <w:sz w:val="21"/>
                <w:b/>
              </w:rPr>
              <w:t>6.16</w:t>
            </w:r>
            <w:r>
              <w:rPr>
                <w:sz w:val="21"/>
                <w:b/>
              </w:rPr>
              <w:t>、防霉性：要求≥10种霉菌的检测，检测结果为0级；（霉菌种类包括黑曲霉、土曲霉、宛氏拟青霉、绳装青霉、出芽短梗霉、球毛壳霉、绿色木霉）。（验收时提供第三方检测机构或实验室出具的带有CMA或CNAS章的检测报告扫描件（首次响应时提供承诺），或者首次响应时提供彩页、网页截图、技术白皮书、技术说明）</w:t>
            </w:r>
          </w:p>
          <w:p>
            <w:pPr>
              <w:pStyle w:val="null3"/>
              <w:spacing w:before="255" w:after="255"/>
              <w:jc w:val="both"/>
              <w:outlineLvl w:val="2"/>
            </w:pPr>
            <w:r>
              <w:rPr>
                <w:sz w:val="21"/>
                <w:b/>
              </w:rPr>
              <w:t>6.17</w:t>
            </w:r>
            <w:r>
              <w:rPr>
                <w:sz w:val="21"/>
                <w:b/>
              </w:rPr>
              <w:t>、老化测试：光照辐射度≥0.76，黑板温度≥60℃，紫外老化≥200h，无可视变化，色差≤0.19，变色等级≤0。验收时提供第三方检测机构或实验室出具的带有CMA或CNAS章的检测报告（首次响应时提供承诺），或者首次响应时提供彩页、网页截图、技术白皮书、技术说明。</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7</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风柜空调</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w:t>
            </w:r>
            <w:r>
              <w:rPr>
                <w:sz w:val="21"/>
              </w:rPr>
              <w:t>7.1</w:t>
            </w:r>
            <w:r>
              <w:rPr>
                <w:sz w:val="21"/>
              </w:rPr>
              <w:t>、机组水盘须采用抗菌型水盘，对大肠杆菌、金黄色球菌和白色葡萄球菌的抗菌活性值，需满足标准值≥5.2，水盘对所测菌株均具有抗菌效果，验收时须提供检测报告的复印件文件。（验收时提供第三方检测机构或实验室出具的带有CMA或CNAS标志的检测报告复印件并加盖响应供应商公章</w:t>
            </w:r>
            <w:r>
              <w:rPr>
                <w:sz w:val="21"/>
              </w:rPr>
              <w:t>（首次响应时提供承诺），或者首次响应时提供彩页、网页截图、技术白皮书、技术说明</w:t>
            </w:r>
            <w:r>
              <w:rPr>
                <w:sz w:val="21"/>
              </w:rPr>
              <w:t>）</w:t>
            </w:r>
          </w:p>
          <w:p>
            <w:pPr>
              <w:pStyle w:val="null3"/>
              <w:jc w:val="both"/>
            </w:pPr>
            <w:r>
              <w:rPr>
                <w:sz w:val="21"/>
              </w:rPr>
              <w:t>7.2</w:t>
            </w:r>
            <w:r>
              <w:rPr>
                <w:sz w:val="21"/>
              </w:rPr>
              <w:t>、直膨机组室外机采用冷凝风机调速控制技术，无需中压开关，可保证机组在0℃以上稳定制冷；循环风及全新风恒温恒湿机组室外机节流装置采用电子膨胀阀，可精准控制蒸发压力。</w:t>
            </w:r>
          </w:p>
          <w:p>
            <w:pPr>
              <w:pStyle w:val="null3"/>
              <w:jc w:val="both"/>
            </w:pPr>
            <w:r>
              <w:rPr>
                <w:sz w:val="21"/>
              </w:rPr>
              <w:t>7.3</w:t>
            </w:r>
            <w:r>
              <w:rPr>
                <w:sz w:val="21"/>
              </w:rPr>
              <w:t>、组合式净化风柜箱体结构须采用铝合金无框架全模板迷宫式密封框架结构，空调箱体外形美观大方，采用铝质型材框架结构，铝型材与面板通过高压聚氨酯发泡形成一个整体，铝型材带凹凸槽，安装后形成榫头互扣连接，通过螺栓螺母的连接方式，形成了严密的迷宫式密封；</w:t>
            </w:r>
          </w:p>
          <w:p>
            <w:pPr>
              <w:pStyle w:val="null3"/>
              <w:jc w:val="both"/>
            </w:pPr>
            <w:r>
              <w:rPr>
                <w:sz w:val="21"/>
              </w:rPr>
              <w:t>7.4</w:t>
            </w:r>
            <w:r>
              <w:rPr>
                <w:sz w:val="21"/>
              </w:rPr>
              <w:t>、机组具有良好的密封性能：在-400pa条件下漏风量≤0.12L/(s*m²)，达到L1级标准；在700pa条件下漏风量≤0.16L/(s*m²)，达到L1级标准；在±1000Pa压力下，箱体变形量≤0.8mm/m；传热系数≤0.38，达到T1级；热桥因子≤0.89达到TB1级别，需满足以上五个条件并在验收时提供第三方检测机构或实验室出具的具有CMA或CNAS标识的检测报告，须加盖供应商章的检测报告的复印件文件（检测报告）</w:t>
            </w:r>
            <w:r>
              <w:rPr>
                <w:sz w:val="21"/>
              </w:rPr>
              <w:t>（首次响应时提供承诺），或者首次响应时提供彩页、网页截图、技术白皮书、技术说明</w:t>
            </w:r>
          </w:p>
          <w:p>
            <w:pPr>
              <w:pStyle w:val="null3"/>
              <w:jc w:val="both"/>
            </w:pPr>
            <w:r>
              <w:rPr>
                <w:sz w:val="21"/>
              </w:rPr>
              <w:t>7.5</w:t>
            </w:r>
            <w:r>
              <w:rPr>
                <w:sz w:val="21"/>
              </w:rPr>
              <w:t>、机组采用环保冷媒，即R410A冷媒。（样册说明）</w:t>
            </w:r>
          </w:p>
          <w:p>
            <w:pPr>
              <w:pStyle w:val="null3"/>
              <w:jc w:val="both"/>
            </w:pPr>
            <w:r>
              <w:rPr>
                <w:sz w:val="21"/>
              </w:rPr>
              <w:t>7.6</w:t>
            </w:r>
            <w:r>
              <w:rPr>
                <w:sz w:val="21"/>
              </w:rPr>
              <w:t>、为保证风柜强度，需要采用非下沉式5°微角度设计冷凝水盘，使产生的冷凝水通过排水盘角度的导流迅速向排水口集结，达到迅速排水的效果即冷凝水盘独立制作安装，不与箱体一体成型，选用304#不锈钢材料制造，避免生锈；机组检修门采用航空式检修门，检修门门锁具有泄压保护功能，防止工作人员误开正在工作机组的检修门而被检修门直接打伤的风险。</w:t>
            </w:r>
          </w:p>
          <w:p>
            <w:pPr>
              <w:pStyle w:val="null3"/>
              <w:jc w:val="both"/>
            </w:pP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8</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LED</w:t>
            </w:r>
            <w:r>
              <w:rPr>
                <w:sz w:val="21"/>
              </w:rPr>
              <w:t>洁净灯</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8.1</w:t>
            </w:r>
            <w:r>
              <w:rPr>
                <w:sz w:val="21"/>
              </w:rPr>
              <w:t>、   洁净灯具应采用耐腐蚀、抗氧化、易清洁、光衰小、寿命长稳定性强的洁净照明灯具，全部采用斜边易清洁。</w:t>
            </w:r>
          </w:p>
          <w:p>
            <w:pPr>
              <w:pStyle w:val="null3"/>
              <w:jc w:val="both"/>
            </w:pPr>
            <w:r>
              <w:rPr>
                <w:sz w:val="21"/>
              </w:rPr>
              <w:t>8.2</w:t>
            </w:r>
            <w:r>
              <w:rPr>
                <w:sz w:val="21"/>
              </w:rPr>
              <w:t>、   洁净实验室照度300Lux以上，走廊区域照度200Lux以上。</w:t>
            </w:r>
          </w:p>
          <w:p>
            <w:pPr>
              <w:pStyle w:val="null3"/>
              <w:jc w:val="both"/>
            </w:pPr>
            <w:r>
              <w:rPr>
                <w:sz w:val="21"/>
              </w:rPr>
              <w:t>8.3</w:t>
            </w:r>
            <w:r>
              <w:rPr>
                <w:sz w:val="21"/>
              </w:rPr>
              <w:t>、   LED洁净灯采用吸顶安装，铝合金边框，电泳表面工艺，尺寸选择不小于1200mm×260mm×8.5mm和不小于600mm×260mm×8.5mm，不小于1200mm×300mm×8.5mm和不小于600mm×300mm×8.5mm紧固螺丝不能外露。</w:t>
            </w:r>
          </w:p>
          <w:p>
            <w:pPr>
              <w:pStyle w:val="null3"/>
              <w:jc w:val="both"/>
            </w:pPr>
            <w:r>
              <w:rPr>
                <w:sz w:val="21"/>
              </w:rPr>
              <w:t>8.4</w:t>
            </w:r>
            <w:r>
              <w:rPr>
                <w:sz w:val="21"/>
              </w:rPr>
              <w:t>、   LED洁净灯外表面光滑、无清洁死角，表面粗糙度Ra≤0.08，便于擦拭。灯具应尽可能薄，以减少对洁净室气流的干扰。</w:t>
            </w:r>
          </w:p>
          <w:p>
            <w:pPr>
              <w:pStyle w:val="null3"/>
              <w:jc w:val="both"/>
            </w:pPr>
            <w:r>
              <w:rPr>
                <w:sz w:val="21"/>
              </w:rPr>
              <w:t>8.5</w:t>
            </w:r>
            <w:r>
              <w:rPr>
                <w:sz w:val="21"/>
              </w:rPr>
              <w:t>、配置相应的应急照明装置（可选用带应急照明的吸顶灯替代双头应急灯）应急亮度300Lm以上，应急时间90min以上，按照图纸配备出口指示灯，配备走廊安全指示灯。</w:t>
            </w:r>
          </w:p>
          <w:p>
            <w:pPr>
              <w:pStyle w:val="null3"/>
              <w:jc w:val="both"/>
            </w:pPr>
            <w:r>
              <w:rPr>
                <w:sz w:val="21"/>
              </w:rPr>
              <w:t>8.6</w:t>
            </w:r>
            <w:r>
              <w:rPr>
                <w:sz w:val="21"/>
              </w:rPr>
              <w:t>、   LED洁净灯灯具主体应采用高导热性航空铝材6061或更优质材料，保证灯体强度、提高导热率。</w:t>
            </w:r>
          </w:p>
          <w:p>
            <w:pPr>
              <w:pStyle w:val="null3"/>
              <w:jc w:val="both"/>
            </w:pPr>
            <w:r>
              <w:rPr>
                <w:sz w:val="21"/>
              </w:rPr>
              <w:t>8.7</w:t>
            </w:r>
            <w:r>
              <w:rPr>
                <w:sz w:val="21"/>
              </w:rPr>
              <w:t>、   LED洁净灯的导光板采用激光雕刻物理性工艺，保证LED光源的可靠性。</w:t>
            </w:r>
          </w:p>
          <w:p>
            <w:pPr>
              <w:pStyle w:val="null3"/>
              <w:jc w:val="both"/>
            </w:pPr>
            <w:r>
              <w:rPr>
                <w:sz w:val="21"/>
              </w:rPr>
              <w:t>8.8</w:t>
            </w:r>
            <w:r>
              <w:rPr>
                <w:sz w:val="21"/>
              </w:rPr>
              <w:t>、   LED洁净灯的扩散板应采用物理性工艺，保障结构的长期稳定性。采用化学添加工艺应考虑稳定性和化学残留，表面工艺光洁，减小外表面灰尘吸附力，避免引起微生物生长。</w:t>
            </w:r>
          </w:p>
          <w:p>
            <w:pPr>
              <w:pStyle w:val="null3"/>
              <w:jc w:val="both"/>
            </w:pPr>
            <w:r>
              <w:rPr>
                <w:sz w:val="21"/>
              </w:rPr>
              <w:t>8.9</w:t>
            </w:r>
            <w:r>
              <w:rPr>
                <w:sz w:val="21"/>
              </w:rPr>
              <w:t>、   洁净灯具的设计、安装应符合GMP对照明的相关要求。</w:t>
            </w:r>
          </w:p>
          <w:p>
            <w:pPr>
              <w:pStyle w:val="null3"/>
              <w:jc w:val="both"/>
            </w:pPr>
            <w:r>
              <w:rPr>
                <w:sz w:val="21"/>
              </w:rPr>
              <w:t>8.10</w:t>
            </w:r>
            <w:r>
              <w:rPr>
                <w:sz w:val="21"/>
              </w:rPr>
              <w:t>、  LED洁净灯初始光效应不低于95lm/W，平均寿命不低于50000 h，以确保长期稳定使用的功能保持。</w:t>
            </w:r>
          </w:p>
          <w:p>
            <w:pPr>
              <w:pStyle w:val="null3"/>
              <w:jc w:val="both"/>
            </w:pPr>
            <w:r>
              <w:rPr>
                <w:sz w:val="21"/>
              </w:rPr>
              <w:t>8.11</w:t>
            </w:r>
            <w:r>
              <w:rPr>
                <w:sz w:val="21"/>
              </w:rPr>
              <w:t>、  LED洁净灯一般显色指数（Ra）应不低于80；红饱和指数(R9) 应大于0，提高清晰度，减轻视觉疲劳。</w:t>
            </w:r>
          </w:p>
          <w:p>
            <w:pPr>
              <w:pStyle w:val="null3"/>
              <w:jc w:val="both"/>
            </w:pPr>
            <w:r>
              <w:rPr>
                <w:sz w:val="21"/>
              </w:rPr>
              <w:t>8.12</w:t>
            </w:r>
            <w:r>
              <w:rPr>
                <w:sz w:val="21"/>
              </w:rPr>
              <w:t>、  LED洁净灯在燃点10000h时，其光通维持率应不低于90%；在燃点30000h时，其光通维持率应不低于85%。在燃点70%额定寿命时，其光通量维持率不低于80%。</w:t>
            </w:r>
          </w:p>
          <w:p>
            <w:pPr>
              <w:pStyle w:val="null3"/>
              <w:jc w:val="both"/>
            </w:pPr>
            <w:r>
              <w:rPr>
                <w:sz w:val="21"/>
              </w:rPr>
              <w:t>8.13</w:t>
            </w:r>
            <w:r>
              <w:rPr>
                <w:sz w:val="21"/>
              </w:rPr>
              <w:t>、  LED洁净灯设计应注重减少产生视觉疲劳的因素，减少光强对视觉的刺激，灯具发光角度120°，遮光角应小于30°，目视避开光强，降低炫光指数，色纯度Purity不低于4.4%。</w:t>
            </w:r>
          </w:p>
          <w:p>
            <w:pPr>
              <w:pStyle w:val="null3"/>
              <w:jc w:val="both"/>
            </w:pPr>
            <w:r>
              <w:rPr>
                <w:sz w:val="21"/>
              </w:rPr>
              <w:t>8.14</w:t>
            </w:r>
            <w:r>
              <w:rPr>
                <w:sz w:val="21"/>
              </w:rPr>
              <w:t>、  驱动电源应采用双极隔离稳压设计，以消除LED洁净灯的频闪现象，驱动电源转换效率＞88，减少阻抗提高电源使用寿命。</w:t>
            </w:r>
          </w:p>
          <w:p>
            <w:pPr>
              <w:pStyle w:val="null3"/>
              <w:jc w:val="both"/>
            </w:pPr>
            <w:r>
              <w:rPr>
                <w:sz w:val="21"/>
              </w:rPr>
              <w:t>8.15</w:t>
            </w:r>
            <w:r>
              <w:rPr>
                <w:sz w:val="21"/>
              </w:rPr>
              <w:t>、  LED洁净灯的设计应减少光生物危害。蓝光危害评估的等级为RG0＜15并保持长期稳定。</w:t>
            </w:r>
          </w:p>
          <w:p>
            <w:pPr>
              <w:pStyle w:val="null3"/>
              <w:jc w:val="both"/>
            </w:pPr>
            <w:r>
              <w:rPr>
                <w:sz w:val="21"/>
              </w:rPr>
              <w:t>8.16</w:t>
            </w:r>
            <w:r>
              <w:rPr>
                <w:sz w:val="21"/>
              </w:rPr>
              <w:t>、  LED洁净灯采用外置电源，减小灯具的厚度，降低检修的难度，有利于洁净区域的保护。</w:t>
            </w:r>
          </w:p>
          <w:p>
            <w:pPr>
              <w:pStyle w:val="null3"/>
              <w:jc w:val="both"/>
            </w:pPr>
            <w:r>
              <w:rPr>
                <w:sz w:val="21"/>
              </w:rPr>
              <w:t>8.17</w:t>
            </w:r>
            <w:r>
              <w:rPr>
                <w:sz w:val="21"/>
              </w:rPr>
              <w:t>、  LED洁净灯的边框应采用高导热性航空铝材6061，表面喷粉处理，以保证灯体强度、导热效率、光通维持率、以及灯具长期使用热量堆积造成灯珠光衰。</w:t>
            </w:r>
          </w:p>
          <w:p>
            <w:pPr>
              <w:pStyle w:val="null3"/>
              <w:jc w:val="both"/>
            </w:pPr>
            <w:r>
              <w:rPr>
                <w:sz w:val="21"/>
              </w:rPr>
              <w:t>8.18</w:t>
            </w:r>
            <w:r>
              <w:rPr>
                <w:sz w:val="21"/>
              </w:rPr>
              <w:t>、  LED洁净灯扩散板直接面向室内一面应光滑，应选用PC等透明物理性光学板材、性质稳定、具有一定结构强度，耐有机溶剂，保持长期稳定性。</w:t>
            </w:r>
          </w:p>
          <w:p>
            <w:pPr>
              <w:pStyle w:val="null3"/>
              <w:jc w:val="both"/>
            </w:pPr>
            <w:r>
              <w:rPr>
                <w:sz w:val="21"/>
              </w:rPr>
              <w:t>▲</w:t>
            </w:r>
            <w:r>
              <w:rPr>
                <w:sz w:val="21"/>
              </w:rPr>
              <w:t>8.19</w:t>
            </w:r>
            <w:r>
              <w:rPr>
                <w:sz w:val="21"/>
              </w:rPr>
              <w:t>、LED洁净灯光学导光板，应采用透光率＞90%亚克力物理性工艺，减少光学衰减，耐过氧化氢有机溶剂，保持长期稳定性。验收时提供第三方检测机构或实验室出具的带有CMA或CNAS章的检测报告，须提供加盖供应商章的复印件文件</w:t>
            </w:r>
            <w:r>
              <w:rPr>
                <w:sz w:val="21"/>
              </w:rPr>
              <w:t>（首次响应时提供承诺），或者首次响应时提供彩页、网页截图、技术白皮书、技术说明</w:t>
            </w:r>
            <w:r>
              <w:rPr>
                <w:sz w:val="21"/>
              </w:rPr>
              <w:t>。</w:t>
            </w:r>
          </w:p>
          <w:p>
            <w:pPr>
              <w:pStyle w:val="null3"/>
              <w:jc w:val="both"/>
            </w:pPr>
            <w:r>
              <w:rPr>
                <w:sz w:val="21"/>
              </w:rPr>
              <w:t>8.20</w:t>
            </w:r>
            <w:r>
              <w:rPr>
                <w:sz w:val="21"/>
              </w:rPr>
              <w:t>、  LED洁净灯提供的安装形式以及灯的控制装置的安装应有防松脱措施，紧固螺丝不外露。</w:t>
            </w:r>
          </w:p>
          <w:p>
            <w:pPr>
              <w:pStyle w:val="null3"/>
              <w:jc w:val="both"/>
            </w:pPr>
            <w:r>
              <w:rPr>
                <w:sz w:val="21"/>
              </w:rPr>
              <w:t>8.21</w:t>
            </w:r>
            <w:r>
              <w:rPr>
                <w:sz w:val="21"/>
              </w:rPr>
              <w:t>、  LED洁净灯应有足够的机械强度，其结构应使灯具正常使用时可以预料的粗糙搬运或者急速的温度、压力变化后，仍然可以安全运行。</w:t>
            </w:r>
          </w:p>
          <w:p>
            <w:pPr>
              <w:pStyle w:val="null3"/>
              <w:jc w:val="both"/>
            </w:pPr>
            <w:r>
              <w:rPr>
                <w:sz w:val="21"/>
              </w:rPr>
              <w:t>8.22</w:t>
            </w:r>
            <w:r>
              <w:rPr>
                <w:sz w:val="21"/>
              </w:rPr>
              <w:t>、  LED洁净灯正常工作状态下，电源的功率因数应＞0.9。</w:t>
            </w:r>
          </w:p>
          <w:p>
            <w:pPr>
              <w:pStyle w:val="null3"/>
              <w:jc w:val="both"/>
            </w:pPr>
            <w:r>
              <w:rPr>
                <w:sz w:val="21"/>
              </w:rPr>
              <w:t>8.23</w:t>
            </w:r>
            <w:r>
              <w:rPr>
                <w:sz w:val="21"/>
              </w:rPr>
              <w:t>、  LED洁净灯在额定电压和额定频率下工作，其实际消耗的功率与额定功率只差应不大于10%。</w:t>
            </w:r>
          </w:p>
          <w:p>
            <w:pPr>
              <w:pStyle w:val="null3"/>
              <w:jc w:val="both"/>
            </w:pPr>
            <w:r>
              <w:rPr>
                <w:sz w:val="21"/>
              </w:rPr>
              <w:t>8.24</w:t>
            </w:r>
            <w:r>
              <w:rPr>
                <w:sz w:val="21"/>
              </w:rPr>
              <w:t>、  LED洁净灯等在额定电压和额定频率下工作，其功率因数实测值应不低于制造商标称值的0.9。</w:t>
            </w:r>
          </w:p>
          <w:p>
            <w:pPr>
              <w:pStyle w:val="null3"/>
              <w:jc w:val="both"/>
            </w:pPr>
            <w:r>
              <w:rPr>
                <w:sz w:val="21"/>
              </w:rPr>
              <w:t>★</w:t>
            </w:r>
            <w:r>
              <w:rPr>
                <w:sz w:val="21"/>
              </w:rPr>
              <w:t>8.25</w:t>
            </w:r>
            <w:r>
              <w:rPr>
                <w:sz w:val="21"/>
              </w:rPr>
              <w:t>、  LED洁净灯需提供国家确定的认证机构出具的、</w:t>
            </w:r>
            <w:r>
              <w:rPr>
                <w:sz w:val="21"/>
              </w:rPr>
              <w:t>处于有效期之内</w:t>
            </w:r>
            <w:r>
              <w:rPr>
                <w:sz w:val="21"/>
              </w:rPr>
              <w:t>中国节能认证证书。</w:t>
            </w:r>
          </w:p>
          <w:p>
            <w:pPr>
              <w:pStyle w:val="null3"/>
              <w:jc w:val="both"/>
            </w:pPr>
            <w:r>
              <w:rPr>
                <w:sz w:val="21"/>
              </w:rPr>
              <w:t>8.26</w:t>
            </w:r>
            <w:r>
              <w:rPr>
                <w:sz w:val="21"/>
              </w:rPr>
              <w:t>、 LED洁净灯需提供在额定电压和额定电源条件下充分预热，待灯具稳定后测量灯县的光度数据，概算灯具的UGR值的检测报告（验收时提供第三方检测机构或实验室出具的带有CMA或CNAS标志的检测报告复印件并加盖响应供应商公章</w:t>
            </w:r>
            <w:r>
              <w:rPr>
                <w:sz w:val="21"/>
              </w:rPr>
              <w:t>（首次响应时提供承诺），或者首次响应时提供彩页、网页截图、技术白皮书、技术说明</w:t>
            </w:r>
            <w:r>
              <w:rPr>
                <w:sz w:val="21"/>
              </w:rPr>
              <w:t>）。</w:t>
            </w:r>
          </w:p>
          <w:p>
            <w:pPr>
              <w:pStyle w:val="null3"/>
              <w:jc w:val="both"/>
            </w:pPr>
            <w:r>
              <w:rPr>
                <w:sz w:val="21"/>
              </w:rPr>
              <w:t>★</w:t>
            </w:r>
            <w:r>
              <w:rPr>
                <w:sz w:val="21"/>
              </w:rPr>
              <w:t>8.27</w:t>
            </w:r>
            <w:r>
              <w:rPr>
                <w:sz w:val="21"/>
              </w:rPr>
              <w:t>、洁净灯依据：GB7000.1-2015《灯具第1部分:一般要求与试验》、GB24461-2009《洁净室用灯技术要求》检测标准，对标记、结果（无光生物危害）、爬电距离和电气间隙、外部接线和内部接线、防触电保护、耐久性试验和热试验、防尘防固体异物和防水、绝缘电阻和电气强度进行检测（验收时提供第三方检测机构或实验室出具的带有CMA或CNAS标志的检测报告复印件并加盖响应供应商公章</w:t>
            </w:r>
            <w:r>
              <w:rPr>
                <w:sz w:val="21"/>
              </w:rPr>
              <w:t>（首次响应时提供承诺），或者首次响应时提供彩页、网页截图、技术白皮书、技术说明</w:t>
            </w:r>
            <w:r>
              <w:rPr>
                <w:sz w:val="21"/>
              </w:rPr>
              <w:t>）</w:t>
            </w:r>
          </w:p>
          <w:p>
            <w:pPr>
              <w:pStyle w:val="null3"/>
            </w:pPr>
            <w:r>
              <w:rPr>
                <w:sz w:val="24"/>
                <w:color w:val="000000"/>
              </w:rPr>
              <w:t>8.28</w:t>
            </w:r>
            <w:r>
              <w:rPr>
                <w:sz w:val="24"/>
                <w:color w:val="000000"/>
              </w:rPr>
              <w:t>、对洁净灯具在VHP环境中的挑战性试验：表面镀膜不发生腐蚀、脱落、褪色灯状况，金属表面不发生腐蚀;灯具非金属材料不发生腐蚀、脱落、褪色、渗出灯状况。（验收时提供第三方检测机构或实验室出具的具有CMA或CNAS标识的检测报告复印件并加盖响应供应商公章</w:t>
            </w:r>
            <w:r>
              <w:rPr>
                <w:sz w:val="24"/>
                <w:color w:val="000000"/>
              </w:rPr>
              <w:t>（首次响应时提供承诺），或者首次响应时提供彩页、网页截图、技术白皮书、技术说明</w:t>
            </w:r>
            <w:r>
              <w:rPr>
                <w:sz w:val="24"/>
                <w:color w:val="000000"/>
              </w:rPr>
              <w:t>）</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9</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高效活性炭废气处理设备</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pPr>
            <w:r>
              <w:rPr>
                <w:sz w:val="24"/>
                <w:color w:val="000000"/>
              </w:rPr>
              <w:t>PP/</w:t>
            </w:r>
            <w:r>
              <w:rPr>
                <w:sz w:val="24"/>
                <w:color w:val="000000"/>
              </w:rPr>
              <w:t>玻璃钢高效活性炭废气处理设备主要用于有机废气的吸附净化，达到快速高效的吸附效果，实现达标排放的目标。　</w:t>
            </w:r>
          </w:p>
          <w:p>
            <w:pPr>
              <w:pStyle w:val="null3"/>
            </w:pPr>
            <w:r>
              <w:rPr>
                <w:sz w:val="24"/>
                <w:color w:val="000000"/>
              </w:rPr>
              <w:t>9.1</w:t>
            </w:r>
            <w:r>
              <w:rPr>
                <w:sz w:val="24"/>
                <w:color w:val="000000"/>
              </w:rPr>
              <w:t>、压力损失符合活性炭吸附装置压力损失≦2.5KPa要求；</w:t>
            </w:r>
          </w:p>
          <w:p>
            <w:pPr>
              <w:pStyle w:val="null3"/>
            </w:pPr>
            <w:r>
              <w:rPr>
                <w:sz w:val="24"/>
                <w:color w:val="000000"/>
              </w:rPr>
              <w:t>9.2</w:t>
            </w:r>
            <w:r>
              <w:rPr>
                <w:sz w:val="24"/>
                <w:color w:val="000000"/>
              </w:rPr>
              <w:t>、气密性符合吸附装置的焊缝、管道连接处、换热器等均应严密、不得漏气符合检验要求。</w:t>
            </w:r>
          </w:p>
          <w:p>
            <w:pPr>
              <w:pStyle w:val="null3"/>
            </w:pPr>
            <w:r>
              <w:rPr>
                <w:sz w:val="24"/>
                <w:color w:val="000000"/>
              </w:rPr>
              <w:t>▲</w:t>
            </w:r>
            <w:r>
              <w:rPr>
                <w:sz w:val="24"/>
                <w:color w:val="000000"/>
              </w:rPr>
              <w:t>9.3</w:t>
            </w:r>
            <w:r>
              <w:rPr>
                <w:sz w:val="24"/>
                <w:color w:val="000000"/>
              </w:rPr>
              <w:t>、制造质量符合污染物为腐蚀性气体的吸附装置，应选抗腐蚀材料。设备材质为玻璃钢或PP，具有抗腐蚀性能符合要求。</w:t>
            </w:r>
          </w:p>
          <w:p>
            <w:pPr>
              <w:pStyle w:val="null3"/>
            </w:pPr>
            <w:r>
              <w:rPr>
                <w:sz w:val="24"/>
                <w:color w:val="000000"/>
              </w:rPr>
              <w:t>9.4</w:t>
            </w:r>
            <w:r>
              <w:rPr>
                <w:sz w:val="24"/>
                <w:color w:val="000000"/>
              </w:rPr>
              <w:t>、安全要求，表面温度≤35.4℃</w:t>
            </w:r>
          </w:p>
          <w:p>
            <w:pPr>
              <w:pStyle w:val="null3"/>
            </w:pPr>
            <w:r>
              <w:rPr>
                <w:sz w:val="24"/>
                <w:color w:val="000000"/>
              </w:rPr>
              <w:t>9.5</w:t>
            </w:r>
            <w:r>
              <w:rPr>
                <w:sz w:val="24"/>
                <w:color w:val="000000"/>
              </w:rPr>
              <w:t>、苯的排放浓度≤1.85mg/m³,苯净化率≥95.4%；</w:t>
            </w:r>
          </w:p>
          <w:p>
            <w:pPr>
              <w:pStyle w:val="null3"/>
            </w:pPr>
            <w:r>
              <w:rPr>
                <w:sz w:val="24"/>
                <w:color w:val="000000"/>
              </w:rPr>
              <w:t>9.6</w:t>
            </w:r>
            <w:r>
              <w:rPr>
                <w:sz w:val="24"/>
                <w:color w:val="000000"/>
              </w:rPr>
              <w:t>、甲苯的排放浓度≤2.78mg/m³,甲苯净化率≥92.3%；</w:t>
            </w:r>
          </w:p>
          <w:p>
            <w:pPr>
              <w:pStyle w:val="null3"/>
            </w:pPr>
            <w:r>
              <w:rPr>
                <w:sz w:val="24"/>
                <w:color w:val="000000"/>
              </w:rPr>
              <w:t>9.7</w:t>
            </w:r>
            <w:r>
              <w:rPr>
                <w:sz w:val="24"/>
                <w:color w:val="000000"/>
              </w:rPr>
              <w:t>、二甲苯的排放浓度为2.02mg/m³,苯净化率≥93.1%</w:t>
            </w:r>
          </w:p>
          <w:p>
            <w:pPr>
              <w:pStyle w:val="null3"/>
            </w:pPr>
            <w:r>
              <w:rPr>
                <w:sz w:val="24"/>
                <w:color w:val="000000"/>
              </w:rPr>
              <w:t>9.8</w:t>
            </w:r>
            <w:r>
              <w:rPr>
                <w:sz w:val="24"/>
                <w:color w:val="000000"/>
              </w:rPr>
              <w:t>、非甲烷总烃a的排放浓度为0.78mg/m³,苯净化率≥93.2%</w:t>
            </w:r>
          </w:p>
          <w:p>
            <w:pPr>
              <w:pStyle w:val="null3"/>
            </w:pPr>
            <w:r>
              <w:rPr>
                <w:sz w:val="24"/>
                <w:color w:val="000000"/>
              </w:rPr>
              <w:t>备注：</w:t>
            </w:r>
            <w:r>
              <w:rPr>
                <w:sz w:val="24"/>
                <w:color w:val="000000"/>
              </w:rPr>
              <w:t>响应</w:t>
            </w:r>
            <w:r>
              <w:rPr>
                <w:sz w:val="24"/>
                <w:color w:val="000000"/>
              </w:rPr>
              <w:t>单位承诺验收时</w:t>
            </w:r>
            <w:r>
              <w:rPr>
                <w:sz w:val="24"/>
                <w:color w:val="000000"/>
              </w:rPr>
              <w:t>提供以上9.1-9.8所有测试项目的第三方检测机构或实验室出具的带CMA或CNAS标识的检测报告复印件需加盖供应商公章</w:t>
            </w:r>
            <w:r>
              <w:rPr>
                <w:sz w:val="24"/>
                <w:color w:val="000000"/>
              </w:rPr>
              <w:t>（首次响应时提供承诺），或者首次响应时提供彩页、网页截图、技术白皮书、技术说明</w:t>
            </w:r>
            <w:r>
              <w:rPr>
                <w:sz w:val="24"/>
                <w:color w:val="000000"/>
              </w:rPr>
              <w:t>。</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10</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地板胶</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ind w:left="420"/>
              <w:jc w:val="both"/>
            </w:pPr>
            <w:r>
              <w:rPr>
                <w:sz w:val="21"/>
              </w:rPr>
              <w:t>10.1</w:t>
            </w:r>
            <w:r>
              <w:rPr>
                <w:sz w:val="21"/>
              </w:rPr>
              <w:t>、同质透芯聚氯乙烯、无方向、碎花纹卷材产品，宽副：2M-4M之间任意订制，长度≥20M；</w:t>
            </w:r>
          </w:p>
          <w:p>
            <w:pPr>
              <w:pStyle w:val="null3"/>
              <w:ind w:left="420"/>
              <w:jc w:val="both"/>
            </w:pPr>
            <w:r>
              <w:rPr>
                <w:sz w:val="21"/>
              </w:rPr>
              <w:t>10.2</w:t>
            </w:r>
            <w:r>
              <w:rPr>
                <w:sz w:val="21"/>
              </w:rPr>
              <w:t>、产品厚度：符合国标标准，即≥2.0MM，；</w:t>
            </w:r>
          </w:p>
          <w:p>
            <w:pPr>
              <w:pStyle w:val="null3"/>
              <w:ind w:left="420"/>
              <w:jc w:val="both"/>
            </w:pPr>
            <w:r>
              <w:rPr>
                <w:sz w:val="21"/>
              </w:rPr>
              <w:t>▲10.3、 产品耐磨等级：符合 T级的标准， 检测达到1.8mm3；</w:t>
            </w:r>
          </w:p>
          <w:p>
            <w:pPr>
              <w:pStyle w:val="null3"/>
              <w:ind w:left="420"/>
              <w:jc w:val="both"/>
            </w:pPr>
            <w:r>
              <w:rPr>
                <w:sz w:val="21"/>
              </w:rPr>
              <w:t>10.4</w:t>
            </w:r>
            <w:r>
              <w:rPr>
                <w:sz w:val="21"/>
              </w:rPr>
              <w:t>、残留凹陷度：符合国标；检测达到≤0.02mm.</w:t>
            </w:r>
          </w:p>
          <w:p>
            <w:pPr>
              <w:pStyle w:val="null3"/>
              <w:ind w:left="420"/>
              <w:jc w:val="both"/>
            </w:pPr>
            <w:r>
              <w:rPr>
                <w:sz w:val="21"/>
              </w:rPr>
              <w:t>10.5</w:t>
            </w:r>
            <w:r>
              <w:rPr>
                <w:sz w:val="21"/>
              </w:rPr>
              <w:t>、加热尺寸变化率及加热曲翘：符合国标；</w:t>
            </w:r>
          </w:p>
          <w:p>
            <w:pPr>
              <w:pStyle w:val="null3"/>
              <w:ind w:left="420"/>
              <w:jc w:val="both"/>
            </w:pPr>
            <w:r>
              <w:rPr>
                <w:sz w:val="21"/>
              </w:rPr>
              <w:t>10.6</w:t>
            </w:r>
            <w:r>
              <w:rPr>
                <w:sz w:val="21"/>
              </w:rPr>
              <w:t>、椅子脚轮实验；符合，无损坏；</w:t>
            </w:r>
          </w:p>
          <w:p>
            <w:pPr>
              <w:pStyle w:val="null3"/>
              <w:ind w:left="420"/>
              <w:jc w:val="both"/>
            </w:pPr>
            <w:r>
              <w:rPr>
                <w:sz w:val="21"/>
              </w:rPr>
              <w:t>10.7</w:t>
            </w:r>
            <w:r>
              <w:rPr>
                <w:sz w:val="21"/>
              </w:rPr>
              <w:t>、防滑性能：检测达到≥R10.</w:t>
            </w:r>
          </w:p>
          <w:p>
            <w:pPr>
              <w:pStyle w:val="null3"/>
              <w:ind w:left="420"/>
              <w:jc w:val="both"/>
            </w:pPr>
            <w:r>
              <w:rPr>
                <w:sz w:val="21"/>
              </w:rPr>
              <w:t>10.8</w:t>
            </w:r>
            <w:r>
              <w:rPr>
                <w:sz w:val="21"/>
              </w:rPr>
              <w:t>、色牢度/级：符合标准≥6级；</w:t>
            </w:r>
          </w:p>
          <w:p>
            <w:pPr>
              <w:pStyle w:val="null3"/>
              <w:ind w:left="420"/>
              <w:jc w:val="both"/>
            </w:pPr>
            <w:r>
              <w:rPr>
                <w:sz w:val="21"/>
              </w:rPr>
              <w:t>10.9</w:t>
            </w:r>
            <w:r>
              <w:rPr>
                <w:sz w:val="21"/>
              </w:rPr>
              <w:t>、燃烧性能：符合标准，达到B1级；</w:t>
            </w:r>
          </w:p>
          <w:p>
            <w:pPr>
              <w:pStyle w:val="null3"/>
              <w:ind w:left="420"/>
              <w:jc w:val="both"/>
            </w:pPr>
            <w:r>
              <w:rPr>
                <w:sz w:val="21"/>
              </w:rPr>
              <w:t>10.10</w:t>
            </w:r>
            <w:r>
              <w:rPr>
                <w:sz w:val="21"/>
              </w:rPr>
              <w:t>、重金属：19种重金属，未检出。</w:t>
            </w:r>
          </w:p>
          <w:p>
            <w:pPr>
              <w:pStyle w:val="null3"/>
              <w:ind w:left="420"/>
              <w:jc w:val="both"/>
            </w:pPr>
            <w:r>
              <w:rPr>
                <w:sz w:val="21"/>
              </w:rPr>
              <w:t>★10.11、有害物质限量：可溶性铅和镉和氯乙烯符合国标GB18586-2001标准，挥发物符合国标，值为≤1.4g/m2（验收时须提供第三方或实验室出具的带CMA或CNAS标识的检测报告复印件并加盖供应商公章（首次响应时提供承诺），或者首次响应时提供彩页、网页截图、技术白皮书、技术说明）</w:t>
            </w:r>
          </w:p>
          <w:p>
            <w:pPr>
              <w:pStyle w:val="null3"/>
              <w:ind w:left="420"/>
              <w:jc w:val="both"/>
            </w:pPr>
            <w:r>
              <w:rPr>
                <w:sz w:val="21"/>
              </w:rPr>
              <w:t>10.12</w:t>
            </w:r>
            <w:r>
              <w:rPr>
                <w:sz w:val="21"/>
              </w:rPr>
              <w:t>、耐污染性：符合9种耐污测试；</w:t>
            </w:r>
          </w:p>
          <w:p>
            <w:pPr>
              <w:pStyle w:val="null3"/>
              <w:ind w:left="420"/>
              <w:jc w:val="both"/>
            </w:pPr>
            <w:r>
              <w:rPr>
                <w:sz w:val="21"/>
              </w:rPr>
              <w:t>10.13</w:t>
            </w:r>
            <w:r>
              <w:rPr>
                <w:sz w:val="21"/>
              </w:rPr>
              <w:t>、抗化学性能：符合标准值为18mol/L浓硫酸，14mol/L浓硝酸，12mol/L浓盐酸，无影响。</w:t>
            </w:r>
          </w:p>
          <w:p>
            <w:pPr>
              <w:pStyle w:val="null3"/>
              <w:ind w:left="420"/>
              <w:jc w:val="both"/>
            </w:pPr>
            <w:r>
              <w:rPr>
                <w:sz w:val="21"/>
              </w:rPr>
              <w:t>10.14</w:t>
            </w:r>
            <w:r>
              <w:rPr>
                <w:sz w:val="21"/>
              </w:rPr>
              <w:t>、粘合剂含量：检测达到Type1.</w:t>
            </w:r>
          </w:p>
          <w:p>
            <w:pPr>
              <w:pStyle w:val="null3"/>
              <w:ind w:left="420"/>
              <w:jc w:val="both"/>
            </w:pPr>
            <w:r>
              <w:rPr>
                <w:sz w:val="21"/>
              </w:rPr>
              <w:t>10.15</w:t>
            </w:r>
            <w:r>
              <w:rPr>
                <w:sz w:val="21"/>
              </w:rPr>
              <w:t>、抗菌性能抗菌活性值：符合标准大肠杆菌ATCC 8739；符合金黄色葡萄球菌菌ATCC 6538P；</w:t>
            </w:r>
          </w:p>
          <w:p>
            <w:pPr>
              <w:pStyle w:val="null3"/>
              <w:ind w:left="420"/>
              <w:jc w:val="both"/>
            </w:pPr>
            <w:r>
              <w:rPr>
                <w:sz w:val="21"/>
              </w:rPr>
              <w:t>10.16</w:t>
            </w:r>
            <w:r>
              <w:rPr>
                <w:sz w:val="21"/>
              </w:rPr>
              <w:t>、动摩擦系数：符合标准≥0.5；</w:t>
            </w:r>
          </w:p>
          <w:p>
            <w:pPr>
              <w:pStyle w:val="null3"/>
              <w:ind w:left="420"/>
              <w:jc w:val="both"/>
            </w:pPr>
            <w:r>
              <w:rPr>
                <w:sz w:val="21"/>
              </w:rPr>
              <w:t>10.17</w:t>
            </w:r>
            <w:r>
              <w:rPr>
                <w:sz w:val="21"/>
              </w:rPr>
              <w:t>、产品弯曲性：符合标准，无开裂。</w:t>
            </w:r>
          </w:p>
          <w:p>
            <w:pPr>
              <w:pStyle w:val="null3"/>
              <w:ind w:left="420"/>
              <w:jc w:val="both"/>
            </w:pPr>
            <w:r>
              <w:rPr>
                <w:sz w:val="21"/>
              </w:rPr>
              <w:t>10.18</w:t>
            </w:r>
            <w:r>
              <w:rPr>
                <w:sz w:val="21"/>
              </w:rPr>
              <w:t>、抗冲击性：符合标准，无开裂。</w:t>
            </w:r>
          </w:p>
          <w:p>
            <w:pPr>
              <w:pStyle w:val="null3"/>
              <w:ind w:left="420"/>
              <w:jc w:val="both"/>
            </w:pPr>
            <w:r>
              <w:rPr>
                <w:sz w:val="21"/>
              </w:rPr>
              <w:t>10.19</w:t>
            </w:r>
            <w:r>
              <w:rPr>
                <w:sz w:val="21"/>
              </w:rPr>
              <w:t>、耐洗刷性：符合标准，无露底。</w:t>
            </w:r>
          </w:p>
          <w:p>
            <w:pPr>
              <w:pStyle w:val="null3"/>
              <w:ind w:left="420"/>
              <w:jc w:val="both"/>
            </w:pPr>
            <w:r>
              <w:rPr>
                <w:sz w:val="21"/>
              </w:rPr>
              <w:t>10.20</w:t>
            </w:r>
            <w:r>
              <w:rPr>
                <w:sz w:val="21"/>
              </w:rPr>
              <w:t>、耐碳素墨水：符合，检测合格。</w:t>
            </w:r>
          </w:p>
          <w:p>
            <w:pPr>
              <w:pStyle w:val="null3"/>
              <w:ind w:left="420"/>
              <w:jc w:val="both"/>
            </w:pPr>
            <w:r>
              <w:rPr>
                <w:sz w:val="21"/>
              </w:rPr>
              <w:t>10.21</w:t>
            </w:r>
            <w:r>
              <w:rPr>
                <w:sz w:val="21"/>
              </w:rPr>
              <w:t>、甲醛检测：检测结果未含。</w:t>
            </w:r>
          </w:p>
          <w:p>
            <w:pPr>
              <w:pStyle w:val="null3"/>
              <w:ind w:left="420"/>
              <w:jc w:val="both"/>
            </w:pPr>
            <w:r>
              <w:rPr>
                <w:sz w:val="21"/>
              </w:rPr>
              <w:t>10.22</w:t>
            </w:r>
            <w:r>
              <w:rPr>
                <w:sz w:val="21"/>
              </w:rPr>
              <w:t>、增塑剂：符合标准，检测不含邻苯增塑剂 。</w:t>
            </w:r>
          </w:p>
          <w:p>
            <w:pPr>
              <w:pStyle w:val="null3"/>
              <w:ind w:left="420"/>
              <w:jc w:val="both"/>
            </w:pPr>
            <w:r>
              <w:rPr>
                <w:sz w:val="21"/>
                <w:b/>
              </w:rPr>
              <w:t>10.23</w:t>
            </w:r>
            <w:r>
              <w:rPr>
                <w:sz w:val="21"/>
                <w:b/>
              </w:rPr>
              <w:t>、响应供应商承诺验收时提供以上10.2-10.22所有测试项目的第三方或实验室出具的带CMA或CNAS标识的检测报告复印件并加盖供应商公章（首次响应时提供承诺），或者首次响应时提供彩页、网页截图、技术白皮书、技术说明。</w:t>
            </w:r>
          </w:p>
          <w:p>
            <w:pPr>
              <w:pStyle w:val="null3"/>
              <w:ind w:left="420"/>
              <w:jc w:val="both"/>
            </w:pPr>
            <w:r>
              <w:rPr>
                <w:sz w:val="21"/>
              </w:rPr>
              <w:t>▲10.25、响应品牌需环保无毒，采用食品级环保增塑剂（柠檬酸ATBC）成分，验收时提供第三方检测机构或实验室出具的带CMA或CNAS标识的相关检测报告复印件并加盖供应商的公章（首次响应时提供承诺），或者首次响应时提供彩页、网页截图、技术白皮书、技术说明；</w:t>
            </w:r>
          </w:p>
          <w:p>
            <w:pPr>
              <w:pStyle w:val="null3"/>
              <w:ind w:left="420"/>
              <w:jc w:val="both"/>
            </w:pPr>
            <w:r>
              <w:rPr>
                <w:sz w:val="21"/>
              </w:rPr>
              <w:t>10.26</w:t>
            </w:r>
            <w:r>
              <w:rPr>
                <w:sz w:val="21"/>
              </w:rPr>
              <w:t>、所投品牌的TVOC 168小时 符合未检出。</w:t>
            </w:r>
          </w:p>
          <w:p>
            <w:pPr>
              <w:pStyle w:val="null3"/>
              <w:ind w:left="420"/>
              <w:jc w:val="both"/>
            </w:pPr>
            <w:r>
              <w:rPr>
                <w:sz w:val="21"/>
              </w:rPr>
              <w:t>10.27</w:t>
            </w:r>
            <w:r>
              <w:rPr>
                <w:sz w:val="21"/>
              </w:rPr>
              <w:t>、空气负离子诱生量，符合标准，检测合格。</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11</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防腐风机</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pPr>
            <w:r>
              <w:rPr>
                <w:sz w:val="24"/>
                <w:color w:val="000000"/>
              </w:rPr>
              <w:t>产品名称：高效节能防腐风机</w:t>
            </w:r>
          </w:p>
          <w:p>
            <w:pPr>
              <w:pStyle w:val="null3"/>
            </w:pPr>
            <w:r>
              <w:rPr>
                <w:sz w:val="24"/>
                <w:color w:val="000000"/>
              </w:rPr>
              <w:t>排风风机采用玻璃钢离心风机，外壳及叶轮材质：FRP耐酸碱VinylEster(乙烯基脂树脂+无碱玻璃纤维)制作，机壳连接螺栓采用与废气无接触外接式固定，风机采用双底座减震处理措施。参数满足如下要求，其他技术参数参见施工图纸。</w:t>
            </w:r>
          </w:p>
          <w:p>
            <w:pPr>
              <w:pStyle w:val="null3"/>
            </w:pPr>
            <w:r>
              <w:rPr>
                <w:sz w:val="24"/>
                <w:color w:val="000000"/>
              </w:rPr>
              <w:t>11.1</w:t>
            </w:r>
            <w:r>
              <w:rPr>
                <w:sz w:val="24"/>
                <w:color w:val="000000"/>
              </w:rPr>
              <w:t>、风机叶轮为悬臂闭式后倾离心式结构；</w:t>
            </w:r>
          </w:p>
          <w:p>
            <w:pPr>
              <w:pStyle w:val="null3"/>
            </w:pPr>
            <w:r>
              <w:rPr>
                <w:sz w:val="24"/>
                <w:color w:val="000000"/>
              </w:rPr>
              <w:t>11.2</w:t>
            </w:r>
            <w:r>
              <w:rPr>
                <w:sz w:val="24"/>
                <w:color w:val="000000"/>
              </w:rPr>
              <w:t>、轴封：采用填料（机油毡）填充式轴封；</w:t>
            </w:r>
          </w:p>
          <w:p>
            <w:pPr>
              <w:pStyle w:val="null3"/>
            </w:pPr>
            <w:r>
              <w:rPr>
                <w:sz w:val="24"/>
                <w:color w:val="000000"/>
              </w:rPr>
              <w:t>11.3</w:t>
            </w:r>
            <w:r>
              <w:rPr>
                <w:sz w:val="24"/>
                <w:color w:val="000000"/>
              </w:rPr>
              <w:t>、传动方式：皮带传动或直联式传动（可根据实际情况选配）；</w:t>
            </w:r>
          </w:p>
          <w:p>
            <w:pPr>
              <w:pStyle w:val="null3"/>
            </w:pPr>
            <w:r>
              <w:rPr>
                <w:sz w:val="24"/>
                <w:color w:val="000000"/>
              </w:rPr>
              <w:t>11.4</w:t>
            </w:r>
            <w:r>
              <w:rPr>
                <w:sz w:val="24"/>
                <w:color w:val="000000"/>
              </w:rPr>
              <w:t>、外壳及叶轮材质：FRP耐酸碱VinylEster(乙烯基脂树脂+无碱玻璃纤维)制作，</w:t>
            </w:r>
          </w:p>
          <w:p>
            <w:pPr>
              <w:pStyle w:val="null3"/>
            </w:pPr>
            <w:r>
              <w:rPr>
                <w:sz w:val="24"/>
                <w:color w:val="000000"/>
              </w:rPr>
              <w:t>11.5</w:t>
            </w:r>
            <w:r>
              <w:rPr>
                <w:sz w:val="24"/>
                <w:color w:val="000000"/>
              </w:rPr>
              <w:t>、</w:t>
            </w:r>
            <w:r>
              <w:rPr>
                <w:sz w:val="24"/>
                <w:color w:val="000000"/>
              </w:rPr>
              <w:t>风机支架采用</w:t>
            </w:r>
            <w:r>
              <w:rPr>
                <w:sz w:val="24"/>
                <w:color w:val="000000"/>
              </w:rPr>
              <w:t>机架材质：钢材焊接经过抛丸除锈后喷</w:t>
            </w:r>
            <w:r>
              <w:rPr>
                <w:sz w:val="24"/>
                <w:color w:val="000000"/>
              </w:rPr>
              <w:t>户外防腐粉经过</w:t>
            </w:r>
            <w:r>
              <w:rPr>
                <w:sz w:val="24"/>
                <w:color w:val="000000"/>
              </w:rPr>
              <w:t>208</w:t>
            </w:r>
            <w:r>
              <w:rPr>
                <w:sz w:val="24"/>
                <w:color w:val="000000"/>
              </w:rPr>
              <w:t>度高温烤漆制作，实现</w:t>
            </w:r>
            <w:r>
              <w:rPr>
                <w:sz w:val="24"/>
                <w:color w:val="000000"/>
              </w:rPr>
              <w:t>5</w:t>
            </w:r>
            <w:r>
              <w:rPr>
                <w:sz w:val="24"/>
                <w:color w:val="000000"/>
              </w:rPr>
              <w:t>年以上表面不生锈。</w:t>
            </w:r>
          </w:p>
          <w:p>
            <w:pPr>
              <w:pStyle w:val="null3"/>
            </w:pPr>
            <w:r>
              <w:rPr>
                <w:sz w:val="24"/>
                <w:color w:val="000000"/>
              </w:rPr>
              <w:t>11.6</w:t>
            </w:r>
            <w:r>
              <w:rPr>
                <w:sz w:val="24"/>
                <w:color w:val="000000"/>
              </w:rPr>
              <w:t>、轴心材质：45#钢</w:t>
            </w:r>
            <w:r>
              <w:rPr>
                <w:sz w:val="24"/>
                <w:color w:val="000000"/>
              </w:rPr>
              <w:t>后防腐密封处理</w:t>
            </w:r>
            <w:r>
              <w:rPr>
                <w:sz w:val="24"/>
                <w:color w:val="000000"/>
              </w:rPr>
              <w:t>；</w:t>
            </w:r>
          </w:p>
          <w:p>
            <w:pPr>
              <w:pStyle w:val="null3"/>
            </w:pPr>
            <w:r>
              <w:rPr>
                <w:sz w:val="24"/>
                <w:color w:val="000000"/>
              </w:rPr>
              <w:t>11.7</w:t>
            </w:r>
            <w:r>
              <w:rPr>
                <w:sz w:val="24"/>
                <w:color w:val="000000"/>
              </w:rPr>
              <w:t>、所有紧固件或螺丝与废气分离防止腐蚀，外部裸漏部分需采用帽套结构（避免松动）；</w:t>
            </w:r>
          </w:p>
          <w:p>
            <w:pPr>
              <w:pStyle w:val="null3"/>
            </w:pPr>
            <w:r>
              <w:rPr>
                <w:sz w:val="24"/>
                <w:color w:val="000000"/>
              </w:rPr>
              <w:t>11.8</w:t>
            </w:r>
            <w:r>
              <w:rPr>
                <w:sz w:val="24"/>
                <w:color w:val="000000"/>
              </w:rPr>
              <w:t>、皮带：优质高张力型皮带，使用寿命一万小时以上。（注：直联式风机无此配件）</w:t>
            </w:r>
          </w:p>
          <w:p>
            <w:pPr>
              <w:pStyle w:val="null3"/>
            </w:pPr>
            <w:r>
              <w:rPr>
                <w:sz w:val="24"/>
                <w:color w:val="000000"/>
              </w:rPr>
              <w:t>11.9</w:t>
            </w:r>
            <w:r>
              <w:rPr>
                <w:sz w:val="24"/>
                <w:color w:val="000000"/>
              </w:rPr>
              <w:t>、皮带轮：美式含锥套免敲击拆装式（注：直联式风机无此配件）</w:t>
            </w:r>
          </w:p>
          <w:p>
            <w:pPr>
              <w:pStyle w:val="null3"/>
            </w:pPr>
            <w:r>
              <w:rPr>
                <w:sz w:val="24"/>
                <w:color w:val="000000"/>
              </w:rPr>
              <w:t>11.10</w:t>
            </w:r>
            <w:r>
              <w:rPr>
                <w:sz w:val="24"/>
                <w:color w:val="000000"/>
              </w:rPr>
              <w:t>、传动箱轴承选用参考：（使用寿命十万小时以上）；（注：直联式风机无此配件）</w:t>
            </w:r>
          </w:p>
          <w:p>
            <w:pPr>
              <w:pStyle w:val="null3"/>
            </w:pPr>
            <w:r>
              <w:rPr>
                <w:sz w:val="24"/>
                <w:color w:val="000000"/>
              </w:rPr>
              <w:t>11.11</w:t>
            </w:r>
            <w:r>
              <w:rPr>
                <w:sz w:val="24"/>
                <w:color w:val="000000"/>
              </w:rPr>
              <w:t>、轴承座：免维护轴承座（无需加机油使用）；（注：直联式风机无此配件）</w:t>
            </w:r>
          </w:p>
          <w:p>
            <w:pPr>
              <w:pStyle w:val="null3"/>
            </w:pPr>
            <w:r>
              <w:rPr>
                <w:sz w:val="24"/>
                <w:color w:val="000000"/>
              </w:rPr>
              <w:t>★11.12、配套电机：电机需符合GB_18613-2012 电动机能效限定值及能效等级中所规定的IE3能效标准以上，电源380V、3相、50HZ、IP55、F级绝缘、B级温升考核；</w:t>
            </w:r>
          </w:p>
          <w:p>
            <w:pPr>
              <w:pStyle w:val="null3"/>
            </w:pPr>
            <w:r>
              <w:rPr>
                <w:sz w:val="24"/>
                <w:color w:val="000000"/>
              </w:rPr>
              <w:t>11.13</w:t>
            </w:r>
            <w:r>
              <w:rPr>
                <w:sz w:val="24"/>
                <w:color w:val="000000"/>
              </w:rPr>
              <w:t>、风机底部配置减振台及排水清理装置（PVC排水孔）；风机的叶轮要便于检查清理；</w:t>
            </w:r>
          </w:p>
          <w:p>
            <w:pPr>
              <w:pStyle w:val="null3"/>
            </w:pPr>
            <w:r>
              <w:rPr>
                <w:sz w:val="24"/>
                <w:color w:val="000000"/>
              </w:rPr>
              <w:t>★</w:t>
            </w:r>
            <w:r>
              <w:rPr>
                <w:sz w:val="24"/>
                <w:color w:val="000000"/>
              </w:rPr>
              <w:t>11.14</w:t>
            </w:r>
            <w:r>
              <w:rPr>
                <w:sz w:val="24"/>
                <w:color w:val="000000"/>
              </w:rPr>
              <w:t>、</w:t>
            </w:r>
            <w:r>
              <w:rPr>
                <w:sz w:val="24"/>
                <w:color w:val="000000"/>
              </w:rPr>
              <w:t>风机性能要求：验收时必须提供第三方检测机构或实验室出具的检测报告（报告需要带CMA及CNAS认证标志）</w:t>
            </w:r>
            <w:r>
              <w:rPr>
                <w:sz w:val="24"/>
                <w:color w:val="000000"/>
              </w:rPr>
              <w:t>（首次响应时提供承诺），或者首次响应时提供彩页、网页截图、技术白皮书、技术说明：</w:t>
            </w:r>
          </w:p>
          <w:p>
            <w:pPr>
              <w:pStyle w:val="null3"/>
            </w:pPr>
            <w:r>
              <w:rPr>
                <w:sz w:val="24"/>
                <w:color w:val="000000"/>
              </w:rPr>
              <w:t>检测要求如下：</w:t>
            </w:r>
          </w:p>
          <w:p>
            <w:pPr>
              <w:pStyle w:val="null3"/>
            </w:pPr>
            <w:r>
              <w:rPr>
                <w:sz w:val="24"/>
                <w:color w:val="000000"/>
              </w:rPr>
              <w:t>检测依据GB/T 1236-2017 《工业通风机 用标准化风道性能试验》</w:t>
            </w:r>
          </w:p>
          <w:p>
            <w:pPr>
              <w:pStyle w:val="null3"/>
            </w:pPr>
            <w:r>
              <w:rPr>
                <w:sz w:val="24"/>
                <w:color w:val="000000"/>
              </w:rPr>
              <w:t xml:space="preserve">GB/T 2888-2008 </w:t>
            </w:r>
            <w:r>
              <w:rPr>
                <w:sz w:val="24"/>
                <w:color w:val="000000"/>
              </w:rPr>
              <w:t>《风机和罗茨鼓风机噪声测量方法》</w:t>
            </w:r>
          </w:p>
          <w:p>
            <w:pPr>
              <w:pStyle w:val="null3"/>
            </w:pPr>
            <w:r>
              <w:rPr>
                <w:sz w:val="24"/>
                <w:color w:val="000000"/>
              </w:rPr>
              <w:t xml:space="preserve">JB/T 8689-2014 </w:t>
            </w:r>
            <w:r>
              <w:rPr>
                <w:sz w:val="24"/>
                <w:color w:val="000000"/>
              </w:rPr>
              <w:t>《通风机振动检测及其限值》</w:t>
            </w:r>
          </w:p>
          <w:p>
            <w:pPr>
              <w:pStyle w:val="null3"/>
            </w:pPr>
            <w:r>
              <w:rPr>
                <w:sz w:val="24"/>
                <w:color w:val="000000"/>
              </w:rPr>
              <w:t xml:space="preserve">JB/T 10563-2006 </w:t>
            </w:r>
            <w:r>
              <w:rPr>
                <w:sz w:val="24"/>
                <w:color w:val="000000"/>
              </w:rPr>
              <w:t>《一般用途离心通风机技术条件》</w:t>
            </w:r>
          </w:p>
          <w:p>
            <w:pPr>
              <w:pStyle w:val="null3"/>
            </w:pPr>
            <w:r>
              <w:rPr>
                <w:sz w:val="24"/>
                <w:color w:val="000000"/>
              </w:rPr>
              <w:t xml:space="preserve">JB/T 6445-2017 </w:t>
            </w:r>
            <w:r>
              <w:rPr>
                <w:sz w:val="24"/>
                <w:color w:val="000000"/>
              </w:rPr>
              <w:t>《通风机叶轮超速试验》</w:t>
            </w:r>
          </w:p>
          <w:p>
            <w:pPr>
              <w:pStyle w:val="null3"/>
            </w:pPr>
            <w:r>
              <w:rPr>
                <w:sz w:val="24"/>
                <w:color w:val="000000"/>
              </w:rPr>
              <w:t xml:space="preserve">JB/T 9101-2014 </w:t>
            </w:r>
            <w:r>
              <w:rPr>
                <w:sz w:val="24"/>
                <w:color w:val="000000"/>
              </w:rPr>
              <w:t>《通风机转子平衡》</w:t>
            </w:r>
          </w:p>
          <w:p>
            <w:pPr>
              <w:pStyle w:val="null3"/>
            </w:pPr>
            <w:r>
              <w:rPr>
                <w:sz w:val="24"/>
                <w:color w:val="000000"/>
              </w:rPr>
              <w:t>判定依据</w:t>
            </w:r>
          </w:p>
          <w:p>
            <w:pPr>
              <w:pStyle w:val="null3"/>
            </w:pPr>
            <w:r>
              <w:rPr>
                <w:sz w:val="24"/>
                <w:color w:val="000000"/>
              </w:rPr>
              <w:t xml:space="preserve">JB/T 8689-2014 </w:t>
            </w:r>
            <w:r>
              <w:rPr>
                <w:sz w:val="24"/>
                <w:color w:val="000000"/>
              </w:rPr>
              <w:t>《通风机振动检测及其限值》</w:t>
            </w:r>
          </w:p>
          <w:p>
            <w:pPr>
              <w:pStyle w:val="null3"/>
            </w:pPr>
            <w:r>
              <w:rPr>
                <w:sz w:val="24"/>
                <w:color w:val="000000"/>
              </w:rPr>
              <w:t xml:space="preserve">JB/T 10563-2006 </w:t>
            </w:r>
            <w:r>
              <w:rPr>
                <w:sz w:val="24"/>
                <w:color w:val="000000"/>
              </w:rPr>
              <w:t>《一般用途离心通风机技术条件》</w:t>
            </w:r>
          </w:p>
          <w:p>
            <w:pPr>
              <w:pStyle w:val="null3"/>
            </w:pPr>
            <w:r>
              <w:rPr>
                <w:sz w:val="24"/>
                <w:color w:val="000000"/>
              </w:rPr>
              <w:t xml:space="preserve">JB/T 8690-2014 </w:t>
            </w:r>
            <w:r>
              <w:rPr>
                <w:sz w:val="24"/>
                <w:color w:val="000000"/>
              </w:rPr>
              <w:t>《通风机 噪声限值》</w:t>
            </w:r>
          </w:p>
          <w:p>
            <w:pPr>
              <w:pStyle w:val="null3"/>
            </w:pPr>
            <w:r>
              <w:rPr>
                <w:sz w:val="24"/>
                <w:color w:val="000000"/>
              </w:rPr>
              <w:t xml:space="preserve">JB/T 6445-2017 </w:t>
            </w:r>
            <w:r>
              <w:rPr>
                <w:sz w:val="24"/>
                <w:color w:val="000000"/>
              </w:rPr>
              <w:t>《通风机叶轮超速试验》</w:t>
            </w:r>
          </w:p>
          <w:p>
            <w:pPr>
              <w:pStyle w:val="null3"/>
            </w:pPr>
            <w:r>
              <w:rPr>
                <w:sz w:val="24"/>
                <w:color w:val="000000"/>
              </w:rPr>
              <w:t xml:space="preserve">JB/T 9101-2014 </w:t>
            </w:r>
            <w:r>
              <w:rPr>
                <w:sz w:val="24"/>
                <w:color w:val="000000"/>
              </w:rPr>
              <w:t>《通风机转子平衡》</w:t>
            </w:r>
          </w:p>
          <w:p>
            <w:pPr>
              <w:pStyle w:val="null3"/>
            </w:pPr>
            <w:r>
              <w:rPr>
                <w:sz w:val="24"/>
                <w:color w:val="000000"/>
              </w:rPr>
              <w:t>按GB/T 1236-2017 《工业通风机 用标准化风道性能试验》在规定测试下所对应的流量全压偏差为±5%；</w:t>
            </w:r>
          </w:p>
          <w:p>
            <w:pPr>
              <w:pStyle w:val="null3"/>
            </w:pPr>
            <w:r>
              <w:rPr>
                <w:sz w:val="24"/>
                <w:color w:val="000000"/>
              </w:rPr>
              <w:t>按JB/T 8689-2014 规定应进行 30min 机械运转试验 转动件应无擦碰等异常现象振动速度有效值 mm/s ≤4.6；</w:t>
            </w:r>
          </w:p>
          <w:p>
            <w:pPr>
              <w:pStyle w:val="null3"/>
            </w:pPr>
            <w:r>
              <w:rPr>
                <w:sz w:val="24"/>
                <w:color w:val="000000"/>
              </w:rPr>
              <w:t>按JB/T 9101-2014 《通风机转子平衡》规定进行动平衡品质等级 G ≤2.5级 ；</w:t>
            </w:r>
          </w:p>
          <w:p>
            <w:pPr>
              <w:pStyle w:val="null3"/>
            </w:pPr>
            <w:r>
              <w:rPr>
                <w:sz w:val="24"/>
                <w:color w:val="000000"/>
              </w:rPr>
              <w:t>按GB/T 2888-2008 规定测试噪声(比 A 声级) dB ≤27；</w:t>
            </w:r>
          </w:p>
          <w:p>
            <w:pPr>
              <w:pStyle w:val="null3"/>
            </w:pPr>
            <w:r>
              <w:rPr>
                <w:sz w:val="24"/>
                <w:color w:val="000000"/>
              </w:rPr>
              <w:t>按JB/T 6445-2017 《通风机叶轮超速试验》规定进行叶轮超速试验 1.叶轮在规定最高工作转速的 150%转 速下运转，持续时间不少于 2min，试 验结果应符合以下规定： 焊缝、轮盘、轮盖、轮毂等不得 有裂纹，铆钉不得有松动或有裂 纹； 叶轮直径的尺寸变形量≤ 0.5/1000;  叶轮外径处叶片安装角不得超过 图样的规定； 符合以上要求后，叶轮在规定最高 工作转速的 150%转速下运行，持续时 间不少于 24h，试验结果应符合焊 缝、轮盘、轮盖、轮毂等不得有裂 纹，铆钉不得有松动或有裂纹；</w:t>
            </w:r>
          </w:p>
          <w:p>
            <w:pPr>
              <w:pStyle w:val="null3"/>
            </w:pPr>
            <w:r>
              <w:rPr>
                <w:sz w:val="24"/>
                <w:color w:val="000000"/>
              </w:rPr>
              <w:t>外观质量风机表面光滑，不得有气泡、裂缝及厚 度不均缺陷，涂层均匀、无剥落、划伤 等缺陷，轴承部位不得漏油，焊接处应 平整、无气孔、裂纹等缺陷，风机内外 表面应清洁，产品铭牌安装平整、牢固；</w:t>
            </w:r>
          </w:p>
          <w:p>
            <w:pPr>
              <w:pStyle w:val="null3"/>
            </w:pPr>
            <w:r>
              <w:rPr>
                <w:sz w:val="24"/>
                <w:color w:val="000000"/>
              </w:rPr>
              <w:t>按JB/T 10563-2006 《一般用途离心通风机技术条件》 规定装配要求</w:t>
            </w:r>
            <w:r>
              <w:rPr>
                <w:sz w:val="24"/>
                <w:color w:val="000000"/>
              </w:rPr>
              <w:t>：</w:t>
            </w:r>
            <w:r>
              <w:rPr>
                <w:sz w:val="24"/>
                <w:color w:val="000000"/>
              </w:rPr>
              <w:t>叶轮叶片应均匀分布，任意两相邻 叶片间的最大弦长偏差应不大于 3mm ； 叶轮和机壳的径向间隙应均匀。</w:t>
            </w:r>
          </w:p>
          <w:p>
            <w:pPr>
              <w:pStyle w:val="null3"/>
            </w:pPr>
            <w:r>
              <w:rPr>
                <w:sz w:val="24"/>
                <w:color w:val="000000"/>
              </w:rPr>
              <w:t>▲</w:t>
            </w:r>
            <w:r>
              <w:rPr>
                <w:sz w:val="24"/>
                <w:color w:val="000000"/>
              </w:rPr>
              <w:t>11.15</w:t>
            </w:r>
            <w:r>
              <w:rPr>
                <w:sz w:val="24"/>
                <w:color w:val="000000"/>
              </w:rPr>
              <w:t>、</w:t>
            </w:r>
            <w:r>
              <w:rPr>
                <w:sz w:val="24"/>
                <w:color w:val="000000"/>
              </w:rPr>
              <w:t>风机材质技术综合要求：验收时提供第三方检测机构或实验室出具的检测报告（报告需要带CMA或CNAS认证标志）</w:t>
            </w:r>
            <w:r>
              <w:rPr>
                <w:sz w:val="24"/>
                <w:color w:val="000000"/>
              </w:rPr>
              <w:t>（首次响应时提供承诺），或者首次响应时提供彩页、网页截图、技术白皮书、技术说明：</w:t>
            </w:r>
          </w:p>
          <w:p>
            <w:pPr>
              <w:pStyle w:val="null3"/>
            </w:pPr>
            <w:r>
              <w:rPr>
                <w:sz w:val="24"/>
                <w:color w:val="000000"/>
              </w:rPr>
              <w:t>材质要求为FRP玻材质（玻璃钢），风机叶轮，外壳采用乙烯基树脂制作，制作的工艺需要达到以下检测要求：</w:t>
            </w:r>
          </w:p>
          <w:p>
            <w:pPr>
              <w:pStyle w:val="null3"/>
            </w:pPr>
            <w:r>
              <w:rPr>
                <w:sz w:val="24"/>
                <w:color w:val="000000"/>
              </w:rPr>
              <w:t>检测项目：弯曲强度依据GB/T1449-2005，试验速度：2mm/min检测，符合平均值523Mpa，离散系数4.0%要求。</w:t>
            </w:r>
          </w:p>
          <w:p>
            <w:pPr>
              <w:pStyle w:val="null3"/>
            </w:pPr>
            <w:r>
              <w:rPr>
                <w:sz w:val="24"/>
                <w:color w:val="000000"/>
              </w:rPr>
              <w:t>检测项目：弯曲模量依据GB/T1449-2005，试验速度：2mm/min检测，符合平均值2.05×10</w:t>
            </w:r>
            <w:r>
              <w:rPr>
                <w:sz w:val="24"/>
                <w:color w:val="000000"/>
              </w:rPr>
              <w:t>⁴</w:t>
            </w:r>
            <w:r>
              <w:rPr>
                <w:sz w:val="24"/>
                <w:color w:val="000000"/>
              </w:rPr>
              <w:t>，离散系数</w:t>
            </w:r>
            <w:r>
              <w:rPr>
                <w:sz w:val="24"/>
                <w:color w:val="000000"/>
              </w:rPr>
              <w:t>2.3%</w:t>
            </w:r>
            <w:r>
              <w:rPr>
                <w:sz w:val="24"/>
                <w:color w:val="000000"/>
              </w:rPr>
              <w:t>要求。</w:t>
            </w:r>
          </w:p>
          <w:p>
            <w:pPr>
              <w:pStyle w:val="null3"/>
            </w:pPr>
            <w:r>
              <w:rPr>
                <w:sz w:val="24"/>
                <w:color w:val="000000"/>
              </w:rPr>
              <w:t>检测项目：树脂不可溶分含量依据GB/T2576-2005检测符合平均值98.6%，离散系数0.51%要求。</w:t>
            </w:r>
          </w:p>
          <w:p>
            <w:pPr>
              <w:pStyle w:val="null3"/>
            </w:pPr>
            <w:r>
              <w:rPr>
                <w:sz w:val="24"/>
                <w:color w:val="000000"/>
              </w:rPr>
              <w:t>检测项目：树脂含量依据GB/T2577-2005检测符合平均值38.1%，离散系数0.63%要求。</w:t>
            </w:r>
          </w:p>
          <w:p>
            <w:pPr>
              <w:pStyle w:val="null3"/>
            </w:pPr>
            <w:r>
              <w:rPr>
                <w:sz w:val="24"/>
                <w:color w:val="000000"/>
              </w:rPr>
              <w:t>检测项目：5%盐酸常温浸泡48h后弯曲强度依据GB/T3857-2017和GB/T1449-2005试验速度2mm/min检测，符合平均值444MPa，离散系数2.6%要求。</w:t>
            </w:r>
          </w:p>
          <w:p>
            <w:pPr>
              <w:pStyle w:val="null3"/>
            </w:pPr>
            <w:r>
              <w:rPr>
                <w:sz w:val="24"/>
                <w:color w:val="000000"/>
              </w:rPr>
              <w:t>检测项目：5%盐酸常温浸泡48h后弯曲强度保留率依据GB/T3857-2017和GB/T1449-2005试验速度2mm/min检测，符合平均值84.9%。</w:t>
            </w:r>
          </w:p>
          <w:p>
            <w:pPr>
              <w:pStyle w:val="null3"/>
            </w:pPr>
            <w:r>
              <w:rPr>
                <w:sz w:val="24"/>
                <w:color w:val="000000"/>
              </w:rPr>
              <w:t>备注：响应</w:t>
            </w:r>
            <w:r>
              <w:rPr>
                <w:sz w:val="24"/>
                <w:color w:val="000000"/>
              </w:rPr>
              <w:t>单位</w:t>
            </w:r>
            <w:r>
              <w:rPr>
                <w:sz w:val="24"/>
                <w:color w:val="000000"/>
              </w:rPr>
              <w:t>需提供</w:t>
            </w:r>
            <w:r>
              <w:rPr>
                <w:sz w:val="24"/>
                <w:color w:val="000000"/>
              </w:rPr>
              <w:t>相应的认证证书及</w:t>
            </w:r>
            <w:r>
              <w:rPr>
                <w:sz w:val="24"/>
                <w:color w:val="000000"/>
              </w:rPr>
              <w:t>其检测报告复印件和相关证明需加盖供应商公章，</w:t>
            </w:r>
            <w:r>
              <w:rPr>
                <w:sz w:val="24"/>
                <w:color w:val="000000"/>
              </w:rPr>
              <w:t>其中国节能产品认证，中国环境标志认证，防腐等级</w:t>
            </w:r>
            <w:r>
              <w:rPr>
                <w:sz w:val="24"/>
                <w:color w:val="000000"/>
              </w:rPr>
              <w:t>WF1</w:t>
            </w:r>
            <w:r>
              <w:rPr>
                <w:sz w:val="24"/>
                <w:color w:val="000000"/>
              </w:rPr>
              <w:t>认证，（防爆产品认证）</w:t>
            </w:r>
            <w:r>
              <w:rPr>
                <w:sz w:val="24"/>
                <w:color w:val="000000"/>
              </w:rPr>
              <w:t>CCC</w:t>
            </w:r>
            <w:r>
              <w:rPr>
                <w:sz w:val="24"/>
                <w:color w:val="000000"/>
              </w:rPr>
              <w:t>中国国家强制性产品认证</w:t>
            </w:r>
            <w:r>
              <w:rPr>
                <w:sz w:val="24"/>
                <w:color w:val="000000"/>
              </w:rPr>
              <w:t>应</w:t>
            </w:r>
            <w:r>
              <w:rPr>
                <w:sz w:val="24"/>
                <w:color w:val="000000"/>
              </w:rPr>
              <w:t>在国家市场监督管理总局全国认证认可信息公共平台（</w:t>
            </w:r>
            <w:r>
              <w:rPr>
                <w:sz w:val="24"/>
                <w:color w:val="000000"/>
              </w:rPr>
              <w:t>http://cx.cnca.cn/CertECloud/index/index/page</w:t>
            </w:r>
            <w:r>
              <w:rPr>
                <w:sz w:val="24"/>
                <w:color w:val="000000"/>
              </w:rPr>
              <w:t>）查询公告有效，否则视为无效认证</w:t>
            </w:r>
            <w:r>
              <w:rPr>
                <w:sz w:val="24"/>
                <w:color w:val="000000"/>
              </w:rPr>
              <w:t>：响应</w:t>
            </w:r>
            <w:r>
              <w:rPr>
                <w:sz w:val="24"/>
                <w:color w:val="000000"/>
              </w:rPr>
              <w:t>单位产品进场需提供生产厂家供货证明及产品系列检测报告及资质证明</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12</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过滤器</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12.1</w:t>
            </w:r>
            <w:r>
              <w:rPr>
                <w:sz w:val="21"/>
              </w:rPr>
              <w:t>、高效过滤器采用液槽密封设计，确保完美密封</w:t>
            </w:r>
          </w:p>
          <w:p>
            <w:pPr>
              <w:pStyle w:val="null3"/>
              <w:jc w:val="both"/>
            </w:pPr>
            <w:r>
              <w:rPr>
                <w:sz w:val="21"/>
              </w:rPr>
              <w:t>液槽胶密封设计，化学稳定性优异、耐腐蚀、防霉、不易滋生细菌且硬度适中即使反复拆装，经过一段时间的静置仍能保持良好的密封性。</w:t>
            </w:r>
          </w:p>
          <w:p>
            <w:pPr>
              <w:pStyle w:val="null3"/>
              <w:jc w:val="both"/>
            </w:pPr>
            <w:r>
              <w:rPr>
                <w:sz w:val="21"/>
              </w:rPr>
              <w:t>12.2</w:t>
            </w:r>
            <w:r>
              <w:rPr>
                <w:sz w:val="21"/>
              </w:rPr>
              <w:t>、严格选材，极低化学物质挥发</w:t>
            </w:r>
          </w:p>
          <w:p>
            <w:pPr>
              <w:pStyle w:val="null3"/>
              <w:jc w:val="both"/>
            </w:pPr>
            <w:r>
              <w:rPr>
                <w:sz w:val="21"/>
              </w:rPr>
              <w:t>所有部件均选用极低化学挥发性材料，满足常规洁净室以及空气过滤设备的要求。</w:t>
            </w:r>
          </w:p>
          <w:p>
            <w:pPr>
              <w:pStyle w:val="null3"/>
              <w:jc w:val="both"/>
            </w:pPr>
            <w:r>
              <w:rPr>
                <w:sz w:val="21"/>
              </w:rPr>
              <w:t>12.3</w:t>
            </w:r>
            <w:r>
              <w:rPr>
                <w:sz w:val="21"/>
              </w:rPr>
              <w:t>、结构紧凑，易于安装、更换</w:t>
            </w:r>
          </w:p>
          <w:p>
            <w:pPr>
              <w:pStyle w:val="null3"/>
              <w:jc w:val="both"/>
            </w:pPr>
            <w:r>
              <w:rPr>
                <w:sz w:val="21"/>
              </w:rPr>
              <w:t>的框架选用法兰型铝型材，采用无磷聚氨酷胶将热熔胶间隔好的防水阻燃玻纤滤芯密封，再辅以护面网、果冻胶等部件。结构紧凑，小而轻，易于安装、更换。</w:t>
            </w:r>
          </w:p>
          <w:p>
            <w:pPr>
              <w:pStyle w:val="null3"/>
              <w:jc w:val="both"/>
            </w:pPr>
            <w:r>
              <w:rPr>
                <w:sz w:val="21"/>
              </w:rPr>
              <w:t>12.4</w:t>
            </w:r>
            <w:r>
              <w:rPr>
                <w:sz w:val="21"/>
              </w:rPr>
              <w:t>、无隔板结构，低阻力，节能性好</w:t>
            </w:r>
          </w:p>
          <w:p>
            <w:pPr>
              <w:pStyle w:val="null3"/>
              <w:jc w:val="both"/>
            </w:pPr>
            <w:r>
              <w:rPr>
                <w:sz w:val="21"/>
              </w:rPr>
              <w:t>采用特殊设计的热熔胶来分隔高效过滤器滤纸，确保滤纸间具有相同的、合理的间距可充分利用滤纸，以达到风速均匀、阻力低的效果。</w:t>
            </w:r>
          </w:p>
          <w:p>
            <w:pPr>
              <w:pStyle w:val="null3"/>
              <w:ind w:left="-420" w:firstLine="420"/>
              <w:jc w:val="both"/>
            </w:pPr>
            <w:r>
              <w:rPr>
                <w:sz w:val="21"/>
              </w:rPr>
              <w:t>▲12.5、使用PMS激光粒子计数器、PSL测试粒子对过滤器使用MPPS(最易穿透粒径)方法进行效率测试，过滤器效率符合MPPS:≥99.995%。（验收时提供第三方检测机构或实验室出具的带CMA或CNAS标识的联机测试报告</w:t>
            </w:r>
            <w:r>
              <w:rPr>
                <w:sz w:val="21"/>
              </w:rPr>
              <w:t>（首次响应时提供承诺承诺），或者首次响应时提供彩页、网页截图、技术白皮书、技术说明</w:t>
            </w:r>
            <w:r>
              <w:rPr>
                <w:sz w:val="21"/>
              </w:rPr>
              <w:t>。</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13</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彩钢板</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13.1</w:t>
            </w:r>
            <w:r>
              <w:rPr>
                <w:sz w:val="21"/>
              </w:rPr>
              <w:t>、玻镁彩钢板的干缩率≤0.2%。（验收时提供第三方检测机构或实验室出具的带有CMA或CNAS标志的检测报告复印件并加盖响应供应商公章</w:t>
            </w:r>
            <w:r>
              <w:rPr>
                <w:sz w:val="21"/>
              </w:rPr>
              <w:t>（首次响应时提供承诺），或者首次响应时提供彩页、网页截图、技术白皮书、技术说明</w:t>
            </w:r>
            <w:r>
              <w:rPr>
                <w:sz w:val="21"/>
              </w:rPr>
              <w:t>。）</w:t>
            </w:r>
          </w:p>
          <w:p>
            <w:pPr>
              <w:pStyle w:val="null3"/>
              <w:jc w:val="both"/>
            </w:pPr>
            <w:r>
              <w:rPr>
                <w:sz w:val="21"/>
              </w:rPr>
              <w:t>13.2</w:t>
            </w:r>
            <w:r>
              <w:rPr>
                <w:sz w:val="21"/>
              </w:rPr>
              <w:t>、玻镁彩钢板：具有防火、防水、无味、无毒、不冻、不腐、不裂、不变、不燃、使用寿命长等性能，要求厚度≥50mm，上下两面净化，灰白(避免眩光)，覆膜钢板，上下两面各≥ 5mm 玻镁面板，芯材由 11条≥12mm 玻镁龙骨框架。</w:t>
            </w:r>
          </w:p>
          <w:p>
            <w:pPr>
              <w:pStyle w:val="null3"/>
              <w:jc w:val="both"/>
            </w:pPr>
            <w:r>
              <w:rPr>
                <w:sz w:val="21"/>
              </w:rPr>
              <w:t>13.3</w:t>
            </w:r>
            <w:r>
              <w:rPr>
                <w:sz w:val="21"/>
              </w:rPr>
              <w:t>、玻镁板氯离子含量≤0.017%（验收时提供第三方检测机构或实验室出具的带CMA或CNAS标识的检测报告复印件并加盖响应供应商公章</w:t>
            </w:r>
            <w:r>
              <w:rPr>
                <w:sz w:val="21"/>
              </w:rPr>
              <w:t>（首次响应时提供承诺），或者首次响应时提供彩页、网页截图、技术白皮书、技术说明</w:t>
            </w:r>
            <w:r>
              <w:rPr>
                <w:sz w:val="21"/>
              </w:rPr>
              <w:t>）。</w:t>
            </w:r>
          </w:p>
          <w:p>
            <w:pPr>
              <w:pStyle w:val="null3"/>
              <w:jc w:val="both"/>
            </w:pPr>
            <w:r>
              <w:rPr>
                <w:sz w:val="21"/>
              </w:rPr>
              <w:t>▲</w:t>
            </w:r>
            <w:r>
              <w:rPr>
                <w:sz w:val="21"/>
              </w:rPr>
              <w:t>13.4</w:t>
            </w:r>
            <w:r>
              <w:rPr>
                <w:sz w:val="21"/>
              </w:rPr>
              <w:t>、玻镁板不腐蚀钢板及铝合金。（验收时提供第三方检测机构或实验室出具的带有CMA或CNAS标志的检测报告复印件并加盖响应供应商公章</w:t>
            </w:r>
            <w:r>
              <w:rPr>
                <w:sz w:val="21"/>
              </w:rPr>
              <w:t>（首次响应时提供承诺），或者首次响应时提供彩页、网页截图、技术白皮书、技术说明</w:t>
            </w:r>
            <w:r>
              <w:rPr>
                <w:sz w:val="21"/>
              </w:rPr>
              <w:t>）</w:t>
            </w:r>
          </w:p>
          <w:p>
            <w:pPr>
              <w:pStyle w:val="null3"/>
              <w:jc w:val="both"/>
            </w:pPr>
            <w:r>
              <w:rPr>
                <w:sz w:val="21"/>
              </w:rPr>
              <w:t>13.5</w:t>
            </w:r>
            <w:r>
              <w:rPr>
                <w:sz w:val="21"/>
              </w:rPr>
              <w:t>、耐火极限不小于 60 分钟，验收时提供第三方检测机构或实验室出具的带CMA或CNAS标识的检测报告</w:t>
            </w:r>
            <w:r>
              <w:rPr>
                <w:sz w:val="21"/>
              </w:rPr>
              <w:t>（首次响应时提供承诺），或者首次响应时提供彩页、网页截图、技术白皮书、技术说明</w:t>
            </w:r>
          </w:p>
          <w:p>
            <w:pPr>
              <w:pStyle w:val="null3"/>
              <w:jc w:val="both"/>
            </w:pPr>
            <w:r>
              <w:rPr>
                <w:sz w:val="21"/>
              </w:rPr>
              <w:t>13.6</w:t>
            </w:r>
            <w:r>
              <w:rPr>
                <w:sz w:val="21"/>
              </w:rPr>
              <w:t>、常温抗折强度≥12.7Mpa（验收时提供第三方检测机构或实验室出具的带CMA或CNAS标识的检测报告复印件并加盖响应供应商公章</w:t>
            </w:r>
            <w:r>
              <w:rPr>
                <w:sz w:val="21"/>
              </w:rPr>
              <w:t>（首次响应时提供承诺），或者首次响应时提供彩页、网页截图、技术白皮书、技术说明</w:t>
            </w:r>
            <w:r>
              <w:rPr>
                <w:sz w:val="21"/>
              </w:rPr>
              <w:t>）。</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14</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气密门</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 xml:space="preserve">14.1 </w:t>
            </w:r>
            <w:r>
              <w:rPr>
                <w:sz w:val="21"/>
              </w:rPr>
              <w:t>门面板构造：≥1.0mm 镀锌钢板 +48.5mm 聚氨酯板+1.0mm 镀锌钢板或≥1.0mm镀锌钢+48mm防火铝蜂窝+1.镀烽钢板或1.0mm镀锌钢+48.5mm厚铝蜂窝+1.镀烽钢板。门框构造：镀锌钢板，厚度≥ 1.0mm。密封条：TPE 热塑性弹性体+ ≥50MM厚（5+5中空玻璃）双层钢化玻璃视窗。</w:t>
            </w:r>
          </w:p>
          <w:p>
            <w:pPr>
              <w:pStyle w:val="null3"/>
              <w:jc w:val="both"/>
            </w:pPr>
            <w:r>
              <w:rPr>
                <w:sz w:val="21"/>
              </w:rPr>
              <w:t>14.2</w:t>
            </w:r>
            <w:r>
              <w:rPr>
                <w:sz w:val="21"/>
              </w:rPr>
              <w:t>、隔声性能：Rw(C;Ctr)≤37(-2;-6)dB。（验收时提供第三方检测机构或实验室出具的带有CMA或CNAS标志的检测报告复印件并加盖响应供应商公章</w:t>
            </w:r>
            <w:r>
              <w:rPr>
                <w:sz w:val="21"/>
              </w:rPr>
              <w:t>（首次响应时提供承诺），或者首次响应时提供彩页、网页截图、技术白皮书、技术说明</w:t>
            </w:r>
            <w:r>
              <w:rPr>
                <w:sz w:val="21"/>
              </w:rPr>
              <w:t>）</w:t>
            </w:r>
          </w:p>
          <w:p>
            <w:pPr>
              <w:pStyle w:val="null3"/>
              <w:jc w:val="both"/>
            </w:pPr>
            <w:r>
              <w:rPr>
                <w:sz w:val="21"/>
              </w:rPr>
              <w:t>14.3</w:t>
            </w:r>
            <w:r>
              <w:rPr>
                <w:sz w:val="21"/>
              </w:rPr>
              <w:t>、气密性能：正负压≤8级，抗风压性能≤9级。（验收时提供国家认可的第三方检测机构或实验室出具的带有CMA或CNAS标志的检测报告复印件并加盖响应供应商公章</w:t>
            </w:r>
            <w:r>
              <w:rPr>
                <w:sz w:val="21"/>
              </w:rPr>
              <w:t>（首次响应时提供承诺），或者首次响应时提供彩页、网页截图、技术白皮书、技术说明</w:t>
            </w:r>
            <w:r>
              <w:rPr>
                <w:sz w:val="21"/>
              </w:rPr>
              <w:t>）</w:t>
            </w:r>
          </w:p>
          <w:p>
            <w:pPr>
              <w:pStyle w:val="null3"/>
              <w:jc w:val="both"/>
            </w:pPr>
            <w:r>
              <w:rPr>
                <w:sz w:val="21"/>
              </w:rPr>
              <w:t>14.4</w:t>
            </w:r>
            <w:r>
              <w:rPr>
                <w:sz w:val="21"/>
              </w:rPr>
              <w:t>、传热系数为 1.8W/(㎡ K)，保温性能等级为7级。（验收时提供第三方检测机构或实验室出具的带有CMA或CNAS标志的检测报告复印件并加盖响应供应商公章</w:t>
            </w:r>
            <w:r>
              <w:rPr>
                <w:sz w:val="21"/>
              </w:rPr>
              <w:t>（首次响应时提供承诺），或者首次响应时提供彩页、网页截图、技术白皮书、技术说明</w:t>
            </w:r>
            <w:r>
              <w:rPr>
                <w:sz w:val="21"/>
              </w:rPr>
              <w:t>）</w:t>
            </w:r>
          </w:p>
          <w:p>
            <w:pPr>
              <w:pStyle w:val="null3"/>
              <w:jc w:val="both"/>
            </w:pPr>
            <w:r>
              <w:rPr>
                <w:sz w:val="21"/>
              </w:rPr>
              <w:t>▲</w:t>
            </w:r>
            <w:r>
              <w:rPr>
                <w:sz w:val="21"/>
              </w:rPr>
              <w:t>14.5</w:t>
            </w:r>
            <w:r>
              <w:rPr>
                <w:sz w:val="21"/>
              </w:rPr>
              <w:t>、启闭力等级达到4级或以上；抗静扭曲性能达到国标5级或以上；耐软重物撞击性能达到国标5级或以上。（验收时提供第三方检测机构或实验室出具的带有CMA或CNAS标志的检测报告复印件并加盖响应供应商公章</w:t>
            </w:r>
            <w:r>
              <w:rPr>
                <w:sz w:val="21"/>
              </w:rPr>
              <w:t>（首次响应时提供承诺），或者首次响应时提供彩页、网页截图、技术白皮书、技术说明</w:t>
            </w:r>
            <w:r>
              <w:rPr>
                <w:sz w:val="21"/>
              </w:rPr>
              <w:t>）。</w:t>
            </w:r>
          </w:p>
          <w:p>
            <w:pPr>
              <w:pStyle w:val="null3"/>
              <w:jc w:val="both"/>
            </w:pPr>
            <w:r>
              <w:rPr>
                <w:sz w:val="21"/>
              </w:rPr>
              <w:t>14.6</w:t>
            </w:r>
            <w:r>
              <w:rPr>
                <w:sz w:val="21"/>
              </w:rPr>
              <w:t>、防火性能：耐火完整性》2.00h；耐火隔热性≥ 2.00h；</w:t>
            </w: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15</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传递窗</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both"/>
            </w:pPr>
            <w:r>
              <w:rPr>
                <w:sz w:val="21"/>
              </w:rPr>
              <w:t>15.1</w:t>
            </w:r>
            <w:r>
              <w:rPr>
                <w:sz w:val="21"/>
              </w:rPr>
              <w:t>、对外观检验、气密性、门互锁功能进行检测。（验收时提供第三方检测机构或实验室出具的带有CMA或CNAS标志的检测报告复印件并加盖响应供应商公章</w:t>
            </w:r>
            <w:r>
              <w:rPr>
                <w:sz w:val="21"/>
              </w:rPr>
              <w:t>（首次响应时提供承诺），或者首次响应时提供彩页、网页截图、技术白皮书、技术说明</w:t>
            </w:r>
            <w:r>
              <w:rPr>
                <w:sz w:val="21"/>
              </w:rPr>
              <w:t>）</w:t>
            </w:r>
          </w:p>
          <w:p>
            <w:pPr>
              <w:pStyle w:val="null3"/>
              <w:jc w:val="both"/>
            </w:pPr>
            <w:r>
              <w:rPr>
                <w:sz w:val="21"/>
              </w:rPr>
              <w:t>▲</w:t>
            </w:r>
            <w:r>
              <w:rPr>
                <w:sz w:val="21"/>
              </w:rPr>
              <w:t>15.2</w:t>
            </w:r>
            <w:r>
              <w:rPr>
                <w:sz w:val="21"/>
              </w:rPr>
              <w:t>、灭菌消毒性能值：符合《消毒技术规范》(卫生部 2002 年版)第二部分(2.1.5.5) 中对大肠杆菌、金黄色葡萄球菌、白色念珠菌的评价规定（杀灭对数值均≥3.00）。（验收时提供国家认可的第三方检测机构或实验室出具的带有CMA或CNAS标志的检测报告复印件并加盖响应供应商公章</w:t>
            </w:r>
            <w:r>
              <w:rPr>
                <w:sz w:val="21"/>
              </w:rPr>
              <w:t>（首次响应时提供承诺），或者首次响应时提供彩页、网页截图、技术白皮书、技术说明</w:t>
            </w:r>
            <w:r>
              <w:rPr>
                <w:sz w:val="21"/>
              </w:rPr>
              <w:t>）</w:t>
            </w:r>
          </w:p>
          <w:p>
            <w:pPr>
              <w:pStyle w:val="null3"/>
              <w:jc w:val="both"/>
            </w:pPr>
            <w:r>
              <w:rPr>
                <w:sz w:val="21"/>
              </w:rPr>
              <w:t>15.3</w:t>
            </w:r>
            <w:r>
              <w:rPr>
                <w:sz w:val="21"/>
              </w:rPr>
              <w:t>、产品品牌需提供 SGS 报告认证。</w:t>
            </w:r>
          </w:p>
          <w:p>
            <w:pPr>
              <w:pStyle w:val="null3"/>
              <w:jc w:val="both"/>
            </w:pPr>
          </w:p>
        </w:tc>
      </w:tr>
      <w:tr>
        <w:tc>
          <w:tcPr>
            <w:tcW w:type="dxa" w:w="2769"/>
            <w:tcBorders>
              <w:top w:val="none" w:color="000000" w:sz="4"/>
              <w:left w:val="singl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16</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center"/>
            </w:pPr>
            <w:r>
              <w:rPr>
                <w:sz w:val="21"/>
              </w:rPr>
              <w:t>不锈钢水龙头</w:t>
            </w:r>
          </w:p>
        </w:tc>
        <w:tc>
          <w:tcPr>
            <w:tcW w:type="dxa" w:w="2769"/>
            <w:tcBorders>
              <w:top w:val="none" w:color="000000" w:sz="4"/>
              <w:left w:val="none" w:color="000000" w:sz="4"/>
              <w:bottom w:val="single" w:color="000000" w:sz="4"/>
              <w:right w:val="single" w:color="000000" w:sz="4"/>
            </w:tcBorders>
            <w:shd w:fill="FFFFFF"/>
            <w:tcMar>
              <w:top w:type="dxa" w:w="0"/>
              <w:left w:type="dxa" w:w="0"/>
              <w:bottom w:type="dxa" w:w="0"/>
              <w:right w:type="dxa" w:w="0"/>
            </w:tcMar>
          </w:tcPr>
          <w:p>
            <w:pPr>
              <w:pStyle w:val="null3"/>
              <w:jc w:val="left"/>
            </w:pPr>
            <w:r>
              <w:rPr>
                <w:sz w:val="21"/>
              </w:rPr>
              <w:t>★属于《节能产品政府采购品目清单》范围中政府强制采购产品类别，响应供应商须在响应文件中提供： 该产品获得的由国家确定的认证机构出具的、处于有效期之内的节能产品认证证书（注：《节能产品政府采购品目清单》响应供应商可查询中国政府采购网，网址http://www.ccgp.gov.cn；）。</w:t>
            </w:r>
          </w:p>
        </w:tc>
      </w:tr>
    </w:tbl>
    <w:p>
      <w:pPr>
        <w:pStyle w:val="null3"/>
        <w:jc w:val="both"/>
      </w:pPr>
      <w:r>
        <w:rPr>
          <w:sz w:val="21"/>
        </w:rPr>
        <w:t>★供应商须承诺所投产品均符合国家强制性要求。（提供承诺，可参照“投标（响应）文件格式”中《承诺函》格式）。</w:t>
      </w:r>
    </w:p>
    <w:p>
      <w:pPr>
        <w:pStyle w:val="null3"/>
        <w:jc w:val="both"/>
      </w:pPr>
      <w:r>
        <w:rPr>
          <w:sz w:val="21"/>
        </w:rPr>
        <w:t>★凡列入《中华人民共和国实施强制性产品认证的产品目录》的产品，在验收时须出具CCC认证证书复印件（如实施自我声明程序的，则提供自我声明相关材料（提供在http://cx.cnca.cn/查询的产品的证书编号及查询结果截图）），并在产品外部施加认证标志作为验收依据之一。（提供承诺，可参照“投标（响应）文件格式”中《承诺函》格式）。</w:t>
      </w:r>
    </w:p>
    <w:p>
      <w:pPr>
        <w:pStyle w:val="null3"/>
      </w:pPr>
      <w:r>
        <w:rPr>
          <w:sz w:val="21"/>
          <w:b/>
        </w:rPr>
        <w:t>注：</w:t>
      </w:r>
      <w:r>
        <w:rPr>
          <w:sz w:val="21"/>
        </w:rPr>
        <w:t>带★号条款为不可偏离参数，</w:t>
      </w:r>
      <w:r>
        <w:rPr>
          <w:sz w:val="21"/>
        </w:rPr>
        <w:t>首次</w:t>
      </w:r>
      <w:r>
        <w:rPr>
          <w:sz w:val="21"/>
        </w:rPr>
        <w:t>响应文件未完全满足招标文件中带“★”号的条款和指标，或非实质性响应有重大偏离的，将导致投标无效。标注有“▲”的参数为重要评分项，负偏离可能会严重扣减技术商务分。</w:t>
      </w:r>
    </w:p>
    <w:p>
      <w:pPr>
        <w:pStyle w:val="null3"/>
        <w:jc w:val="both"/>
        <w:outlineLvl w:val="1"/>
      </w:pPr>
      <w:r>
        <w:rPr>
          <w:sz w:val="21"/>
          <w:b/>
        </w:rPr>
        <w:t>三、商务要求</w:t>
      </w:r>
    </w:p>
    <w:p>
      <w:pPr>
        <w:pStyle w:val="null3"/>
        <w:ind w:firstLine="420"/>
      </w:pPr>
      <w:r>
        <w:rPr>
          <w:sz w:val="24"/>
          <w:color w:val="000000"/>
        </w:rPr>
        <w:t>1</w:t>
      </w:r>
      <w:r>
        <w:rPr>
          <w:sz w:val="24"/>
          <w:color w:val="000000"/>
        </w:rPr>
        <w:t>、供货时间及地点：采购方指定交货地点</w:t>
      </w:r>
    </w:p>
    <w:p>
      <w:pPr>
        <w:pStyle w:val="null3"/>
        <w:ind w:firstLine="420"/>
      </w:pPr>
      <w:r>
        <w:rPr>
          <w:sz w:val="24"/>
          <w:color w:val="000000"/>
        </w:rPr>
        <w:t>（1）供货时间：合同签订生效之日起</w:t>
      </w:r>
      <w:r>
        <w:rPr>
          <w:sz w:val="24"/>
          <w:color w:val="000000"/>
        </w:rPr>
        <w:t>60</w:t>
      </w:r>
      <w:r>
        <w:rPr>
          <w:sz w:val="24"/>
          <w:color w:val="000000"/>
        </w:rPr>
        <w:t>日</w:t>
      </w:r>
      <w:r>
        <w:rPr>
          <w:sz w:val="24"/>
          <w:color w:val="000000"/>
        </w:rPr>
        <w:t>内完成供货、安装、调试及验收。</w:t>
      </w:r>
    </w:p>
    <w:p>
      <w:pPr>
        <w:pStyle w:val="null3"/>
        <w:ind w:firstLine="420"/>
      </w:pPr>
      <w:r>
        <w:rPr>
          <w:sz w:val="24"/>
          <w:color w:val="000000"/>
        </w:rPr>
        <w:t>（2）供货地点：采购人指定地点。</w:t>
      </w:r>
    </w:p>
    <w:p>
      <w:pPr>
        <w:pStyle w:val="null3"/>
        <w:ind w:firstLine="420"/>
      </w:pPr>
      <w:r>
        <w:rPr>
          <w:sz w:val="24"/>
          <w:color w:val="000000"/>
        </w:rPr>
        <w:t>2</w:t>
      </w:r>
      <w:r>
        <w:rPr>
          <w:sz w:val="24"/>
          <w:color w:val="000000"/>
        </w:rPr>
        <w:t>、验收及培训要求:</w:t>
      </w:r>
    </w:p>
    <w:p>
      <w:pPr>
        <w:pStyle w:val="null3"/>
        <w:ind w:firstLine="420"/>
        <w:jc w:val="both"/>
      </w:pPr>
      <w:r>
        <w:rPr>
          <w:sz w:val="21"/>
        </w:rPr>
        <w:t>（1）项目总体完成以后，成交人须向采购人提交项目验收申请，并给采购人提供详细的项目验收方案，由采购人组织验收。成交人应依照磋商文件的要求和响应文件的承诺，将设备安装并调试至正常运行的最佳状态。</w:t>
      </w:r>
    </w:p>
    <w:p>
      <w:pPr>
        <w:pStyle w:val="null3"/>
        <w:ind w:firstLine="420"/>
        <w:jc w:val="both"/>
      </w:pPr>
      <w:r>
        <w:rPr>
          <w:sz w:val="21"/>
        </w:rPr>
        <w:t>（2）成交人需为采购人工作人员提供必要的培训，确保该人员能够熟悉了解设备的操作使用以及简单的维护。</w:t>
      </w:r>
    </w:p>
    <w:p>
      <w:pPr>
        <w:pStyle w:val="null3"/>
        <w:ind w:firstLine="420"/>
        <w:jc w:val="both"/>
      </w:pPr>
      <w:r>
        <w:rPr>
          <w:sz w:val="21"/>
        </w:rPr>
        <w:t>3</w:t>
      </w:r>
      <w:r>
        <w:rPr>
          <w:sz w:val="21"/>
        </w:rPr>
        <w:t>、售后服务要求</w:t>
      </w:r>
    </w:p>
    <w:p>
      <w:pPr>
        <w:pStyle w:val="null3"/>
        <w:ind w:firstLine="420"/>
        <w:jc w:val="both"/>
      </w:pPr>
      <w:r>
        <w:rPr>
          <w:sz w:val="21"/>
        </w:rPr>
        <w:t>（1）自验收合格之日起，提供不少于3年的保修和保养服务（费用已包含在总报价中，不另收费）。</w:t>
      </w:r>
    </w:p>
    <w:p>
      <w:pPr>
        <w:pStyle w:val="null3"/>
        <w:ind w:firstLine="420"/>
        <w:jc w:val="both"/>
      </w:pPr>
      <w:r>
        <w:rPr>
          <w:sz w:val="21"/>
        </w:rPr>
        <w:t>（2）质量保修期在保修期内由于成交人的质量原因或非不可抗力因素（人为除外）引起的原因，均属成交人的保修范围，成交人需接到维修通知后24小时内响应，并在48小时内递交解决方案，负责维修或更换（费用已包含在总报价中，不另收费）。</w:t>
      </w:r>
    </w:p>
    <w:p>
      <w:pPr>
        <w:pStyle w:val="null3"/>
        <w:ind w:firstLine="420"/>
        <w:jc w:val="both"/>
      </w:pPr>
      <w:r>
        <w:rPr>
          <w:sz w:val="21"/>
        </w:rPr>
        <w:t>4</w:t>
      </w:r>
      <w:r>
        <w:rPr>
          <w:sz w:val="21"/>
        </w:rPr>
        <w:t>、付款方式</w:t>
      </w:r>
    </w:p>
    <w:p>
      <w:pPr>
        <w:pStyle w:val="null3"/>
        <w:ind w:firstLine="420"/>
        <w:jc w:val="both"/>
      </w:pPr>
      <w:r>
        <w:rPr>
          <w:sz w:val="21"/>
        </w:rPr>
        <w:t>（1）</w:t>
      </w:r>
      <w:r>
        <w:rPr>
          <w:sz w:val="21"/>
        </w:rPr>
        <w:t>合同签订并收到发票后五个工作日内，采购人按合同价（需扣除暂列金额后）的30% 作为预付款拨给供应商，工程完工并竣工验收合格后，在收到供应商发票后的10个工作日内，付至合同价(扣除暂列金)的85%。发包人自收到承包人结算书后的60个工作日内审查完毕，乙方应将全部施工合同、产值清单核对表及双方确认的《工程现场签证表》等文件作为结算书附件供甲方审查核对，经双方确认其结算结果后(如根据上级主管部门要求需要结算送审，则按上级部门审定结算价予以结算，以财政支付规定期限支付)，发包人在10个工作日内支付至该工程结算款的97％给承包人(含已付款)。该工程结算造价余下3%的工程款，自该工程验收合格的次日起自行转为该工程的质保金，工程质量保修期贰年满后，发包人及时组织复检并办理质保期终结手续，据实结算质保金，并实施“多退少补”。若经查验无质量问题可在10个工作日内一次性无息付清余款。</w:t>
      </w:r>
    </w:p>
    <w:p>
      <w:pPr>
        <w:pStyle w:val="null3"/>
        <w:jc w:val="both"/>
      </w:pPr>
      <w:r>
        <w:rPr>
          <w:sz w:val="21"/>
        </w:rPr>
        <w:t xml:space="preserve">    5</w:t>
      </w:r>
      <w:r>
        <w:rPr>
          <w:sz w:val="21"/>
        </w:rPr>
        <w:t>、其他要求</w:t>
      </w:r>
    </w:p>
    <w:p>
      <w:pPr>
        <w:pStyle w:val="null3"/>
        <w:ind w:firstLine="420"/>
      </w:pPr>
      <w:r>
        <w:rPr>
          <w:sz w:val="21"/>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p>
      <w:pPr>
        <w:pStyle w:val="null3"/>
        <w:ind w:firstLine="420"/>
      </w:pPr>
      <w:r>
        <w:rPr>
          <w:sz w:val="21"/>
        </w:rPr>
        <w:t>6</w:t>
      </w:r>
      <w:r>
        <w:rPr>
          <w:sz w:val="21"/>
        </w:rPr>
        <w:t>、</w:t>
      </w:r>
      <w:r>
        <w:rPr>
          <w:sz w:val="21"/>
        </w:rPr>
        <w:t>报价方式：根据采购人提供的项目工程量清单、施工图纸</w:t>
      </w:r>
      <w:r>
        <w:rPr>
          <w:sz w:val="21"/>
        </w:rPr>
        <w:t>(</w:t>
      </w:r>
      <w:r>
        <w:rPr>
          <w:sz w:val="21"/>
        </w:rPr>
        <w:t>如清单或图纸不准确，以现场实际情况并根据采购人要求为准</w:t>
      </w:r>
      <w:r>
        <w:rPr>
          <w:sz w:val="21"/>
        </w:rPr>
        <w:t>)</w:t>
      </w:r>
      <w:r>
        <w:rPr>
          <w:sz w:val="21"/>
        </w:rPr>
        <w:t>、使用材料说明及资料、工程性质工程特点，由</w:t>
      </w:r>
      <w:r>
        <w:rPr>
          <w:sz w:val="21"/>
        </w:rPr>
        <w:t>成交</w:t>
      </w:r>
      <w:r>
        <w:rPr>
          <w:sz w:val="21"/>
        </w:rPr>
        <w:t>人固定项目总价包干、图纸包干、措施费包干、材料包干包括且不限于包</w:t>
      </w:r>
      <w:r>
        <w:rPr>
          <w:sz w:val="21"/>
        </w:rPr>
        <w:t>(</w:t>
      </w:r>
      <w:r>
        <w:rPr>
          <w:sz w:val="21"/>
        </w:rPr>
        <w:t>向相关部门如国土部门或城管部门</w:t>
      </w:r>
      <w:r>
        <w:rPr>
          <w:sz w:val="21"/>
        </w:rPr>
        <w:t>)</w:t>
      </w:r>
      <w:r>
        <w:rPr>
          <w:sz w:val="21"/>
        </w:rPr>
        <w:t>报批或报备、包人工包材料、包机械、包质量、包工期、包安全、包通过采购人和相关政府部门的验收。</w:t>
      </w:r>
    </w:p>
    <w:p>
      <w:pPr>
        <w:pStyle w:val="null3"/>
        <w:ind w:left="315"/>
        <w:jc w:val="both"/>
      </w:pPr>
      <w:r>
        <w:rPr>
          <w:sz w:val="21"/>
        </w:rPr>
        <w:t>7</w:t>
      </w:r>
      <w:r>
        <w:rPr>
          <w:sz w:val="21"/>
        </w:rPr>
        <w:t>、质量标准：</w:t>
      </w:r>
    </w:p>
    <w:p>
      <w:pPr>
        <w:pStyle w:val="null3"/>
        <w:ind w:left="315"/>
        <w:jc w:val="both"/>
      </w:pPr>
      <w:r>
        <w:rPr>
          <w:sz w:val="21"/>
        </w:rPr>
        <w:t>（</w:t>
      </w:r>
      <w:r>
        <w:rPr>
          <w:sz w:val="21"/>
        </w:rPr>
        <w:t>1</w:t>
      </w:r>
      <w:r>
        <w:rPr>
          <w:sz w:val="21"/>
        </w:rPr>
        <w:t>）</w:t>
      </w:r>
      <w:r>
        <w:rPr>
          <w:sz w:val="21"/>
        </w:rPr>
        <w:t>质量标准：工程质量达到国家或行业质量检验评定的合格标准。</w:t>
      </w:r>
    </w:p>
    <w:p>
      <w:pPr>
        <w:pStyle w:val="null3"/>
        <w:ind w:left="315"/>
        <w:jc w:val="both"/>
      </w:pPr>
      <w:r>
        <w:rPr>
          <w:sz w:val="21"/>
        </w:rPr>
        <w:t>（</w:t>
      </w:r>
      <w:r>
        <w:rPr>
          <w:sz w:val="21"/>
        </w:rPr>
        <w:t>2</w:t>
      </w:r>
      <w:r>
        <w:rPr>
          <w:sz w:val="21"/>
        </w:rPr>
        <w:t>）</w:t>
      </w:r>
      <w:r>
        <w:rPr>
          <w:sz w:val="21"/>
        </w:rPr>
        <w:t>验收及交付要求：</w:t>
      </w:r>
    </w:p>
    <w:p>
      <w:pPr>
        <w:pStyle w:val="null3"/>
        <w:jc w:val="both"/>
      </w:pPr>
      <w:r>
        <w:rPr>
          <w:sz w:val="21"/>
        </w:rPr>
        <w:t>验收要求：图纸、文件、</w:t>
      </w:r>
      <w:r>
        <w:rPr>
          <w:sz w:val="21"/>
        </w:rPr>
        <w:t>第三方检测机构或实验室出具的带有CMA或CNAS标志的检测报告</w:t>
      </w:r>
      <w:r>
        <w:rPr>
          <w:sz w:val="21"/>
        </w:rPr>
        <w:t>齐全并有申请报告，采购人接到认可的报告后两周内答复确定全面验收的时间，通知各方到场进行验收。</w:t>
      </w:r>
    </w:p>
    <w:p>
      <w:pPr>
        <w:pStyle w:val="null3"/>
        <w:ind w:firstLine="420"/>
        <w:jc w:val="both"/>
      </w:pPr>
      <w:r>
        <w:rPr>
          <w:sz w:val="21"/>
        </w:rPr>
        <w:t>项目验收的标准执行国家相关验收规范，主要有：</w:t>
      </w:r>
    </w:p>
    <w:p>
      <w:pPr>
        <w:pStyle w:val="null3"/>
        <w:ind w:firstLine="420"/>
        <w:jc w:val="both"/>
      </w:pPr>
      <w:r>
        <w:rPr>
          <w:sz w:val="21"/>
        </w:rPr>
        <w:t>① GB19489-2008   《实验室生物安全通用要求》</w:t>
      </w:r>
    </w:p>
    <w:p>
      <w:pPr>
        <w:pStyle w:val="null3"/>
        <w:ind w:firstLine="420"/>
        <w:jc w:val="both"/>
      </w:pPr>
      <w:r>
        <w:rPr>
          <w:sz w:val="21"/>
        </w:rPr>
        <w:t>② GB50346-2011  《生物安全实验室建筑技术规范》</w:t>
      </w:r>
    </w:p>
    <w:p>
      <w:pPr>
        <w:pStyle w:val="null3"/>
        <w:ind w:firstLine="420"/>
        <w:jc w:val="both"/>
      </w:pPr>
      <w:r>
        <w:rPr>
          <w:sz w:val="21"/>
        </w:rPr>
        <w:t>③ NY/T1948-2010 《兽医实验室生物安全要求通则》</w:t>
      </w:r>
    </w:p>
    <w:p>
      <w:pPr>
        <w:pStyle w:val="null3"/>
        <w:ind w:firstLine="420"/>
        <w:jc w:val="both"/>
      </w:pPr>
      <w:r>
        <w:rPr>
          <w:sz w:val="21"/>
        </w:rPr>
        <w:t>④ GB50243-2016  《通风与空调工程施工质量验收规范》</w:t>
      </w:r>
    </w:p>
    <w:p>
      <w:pPr>
        <w:pStyle w:val="null3"/>
        <w:ind w:firstLine="420"/>
        <w:jc w:val="both"/>
      </w:pPr>
      <w:r>
        <w:rPr>
          <w:sz w:val="21"/>
        </w:rPr>
        <w:t>⑤ GB50210-2018  《建筑装饰装修工程质量验收标准》</w:t>
      </w:r>
    </w:p>
    <w:p>
      <w:pPr>
        <w:pStyle w:val="null3"/>
        <w:ind w:firstLine="420"/>
        <w:jc w:val="both"/>
      </w:pPr>
      <w:r>
        <w:rPr>
          <w:sz w:val="21"/>
        </w:rPr>
        <w:t>（</w:t>
      </w:r>
      <w:r>
        <w:rPr>
          <w:sz w:val="21"/>
        </w:rPr>
        <w:t>3</w:t>
      </w:r>
      <w:r>
        <w:rPr>
          <w:sz w:val="21"/>
        </w:rPr>
        <w:t>）本项目的全部技术指标，包括设备、材料、包装、运输、安装、调试、维修，全过程的各项目技术参数应符合或高于本磋商文件及国家建设部、国家发展计划委员会批准的相关规范中所制定的指标；应符合国家有关强制性标准、规范的规定以及其他有关标准、规范的要求。质量不符合设计要求或质量不合格者，采购人有权要求成交单位停工，返工费用由成交单位承担，完成时间不予顺延。</w:t>
      </w:r>
    </w:p>
    <w:p>
      <w:pPr>
        <w:pStyle w:val="null3"/>
        <w:jc w:val="both"/>
      </w:pPr>
      <w:r>
        <w:rPr>
          <w:sz w:val="21"/>
        </w:rPr>
        <w:t>附件1: (对于采购需求写明“提供承诺” 的条款，供应商可参照以下格式提供承诺)</w:t>
      </w:r>
    </w:p>
    <w:p>
      <w:pPr>
        <w:pStyle w:val="null3"/>
        <w:ind w:firstLine="640"/>
        <w:jc w:val="center"/>
      </w:pPr>
      <w:r>
        <w:rPr>
          <w:sz w:val="32"/>
        </w:rPr>
        <w:t>承诺函</w:t>
      </w:r>
    </w:p>
    <w:p>
      <w:pPr>
        <w:pStyle w:val="null3"/>
        <w:ind w:firstLine="640"/>
        <w:jc w:val="center"/>
      </w:pPr>
      <w:r>
        <w:rPr>
          <w:sz w:val="21"/>
        </w:rPr>
        <w:t xml:space="preserve">致： </w:t>
      </w:r>
      <w:r>
        <w:rPr>
          <w:sz w:val="21"/>
          <w:b/>
          <w:u w:val="single"/>
        </w:rPr>
        <w:t>采购人名称</w:t>
      </w:r>
    </w:p>
    <w:p>
      <w:pPr>
        <w:pStyle w:val="null3"/>
        <w:ind w:firstLine="420"/>
        <w:jc w:val="both"/>
      </w:pPr>
      <w:r>
        <w:rPr>
          <w:sz w:val="21"/>
        </w:rPr>
        <w:t>对于</w:t>
      </w:r>
      <w:r>
        <w:rPr>
          <w:sz w:val="21"/>
        </w:rPr>
        <w:t>项目（项目编号：         ）</w:t>
      </w:r>
      <w:r>
        <w:rPr>
          <w:sz w:val="21"/>
        </w:rPr>
        <w:t>，我方郑重承诺如下：</w:t>
      </w:r>
    </w:p>
    <w:p>
      <w:pPr>
        <w:pStyle w:val="null3"/>
        <w:ind w:firstLine="420"/>
        <w:jc w:val="both"/>
      </w:pPr>
      <w:r>
        <w:rPr>
          <w:sz w:val="21"/>
        </w:rPr>
        <w:t>如中标/成交，我方承诺严格落实采购文件以下条款：(建议复制采购文件相关条款原文)</w:t>
      </w:r>
    </w:p>
    <w:p>
      <w:pPr>
        <w:pStyle w:val="null3"/>
        <w:ind w:firstLine="405"/>
        <w:jc w:val="both"/>
      </w:pPr>
      <w:r>
        <w:rPr>
          <w:sz w:val="21"/>
        </w:rPr>
        <w:t>（一）星号条款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（二）三角号条款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（三）非星号、非三角号条款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特此承诺。</w:t>
      </w:r>
    </w:p>
    <w:p>
      <w:pPr>
        <w:pStyle w:val="null3"/>
        <w:ind w:firstLine="405"/>
        <w:jc w:val="both"/>
      </w:pPr>
      <w:r>
        <w:rPr>
          <w:sz w:val="21"/>
        </w:rPr>
        <w:t>供应商名称（盖章）：</w:t>
      </w:r>
    </w:p>
    <w:p>
      <w:pPr>
        <w:pStyle w:val="null3"/>
        <w:ind w:firstLine="3885"/>
        <w:jc w:val="both"/>
      </w:pPr>
      <w:r>
        <w:rPr>
          <w:sz w:val="21"/>
        </w:rPr>
        <w:t>日期：   年   月   日</w:t>
      </w:r>
    </w:p>
    <w:p>
      <w:pPr>
        <w:pStyle w:val="null3"/>
        <w:outlineLvl w:val="1"/>
      </w:pPr>
      <w:r>
        <w:rPr>
          <w:sz w:val="21"/>
          <w:b/>
        </w:rPr>
        <w:t>附件2：首次报价表</w:t>
      </w:r>
    </w:p>
    <w:p>
      <w:pPr>
        <w:pStyle w:val="null3"/>
        <w:jc w:val="both"/>
      </w:pPr>
      <w:r>
        <w:rPr>
          <w:sz w:val="21"/>
        </w:rPr>
        <w:t>采购项目名称：</w:t>
      </w:r>
    </w:p>
    <w:p>
      <w:pPr>
        <w:pStyle w:val="null3"/>
        <w:jc w:val="both"/>
      </w:pPr>
      <w:r>
        <w:rPr>
          <w:sz w:val="21"/>
        </w:rPr>
        <w:t>采购项目编号：</w:t>
      </w:r>
    </w:p>
    <w:tbl>
      <w:tblPr>
        <w:tblW w:w="0" w:type="auto"/>
        <w:tblBorders>
          <w:top w:val="none" w:color="000000" w:sz="4"/>
          <w:left w:val="none" w:color="000000" w:sz="4"/>
          <w:bottom w:val="none" w:color="000000" w:sz="4"/>
          <w:right w:val="none" w:color="000000" w:sz="4"/>
          <w:insideH w:val="none"/>
          <w:insideV w:val="none"/>
        </w:tblBorders>
      </w:tblPr>
      <w:tblGrid>
        <w:gridCol w:w="6636"/>
        <w:gridCol w:w="1684"/>
      </w:tblGrid>
      <w:tr>
        <w:tc>
          <w:tcPr>
            <w:tcW w:type="dxa" w:w="6636"/>
            <w:tcBorders>
              <w:top w:val="single" w:color="000000" w:sz="4"/>
              <w:left w:val="single" w:color="000000" w:sz="4"/>
              <w:bottom w:val="single" w:color="000000" w:sz="4"/>
              <w:right w:val="single" w:color="000000" w:sz="4"/>
            </w:tcBorders>
            <w:tcMar>
              <w:top w:type="dxa" w:w="0"/>
              <w:left w:type="dxa" w:w="60"/>
              <w:bottom w:type="dxa" w:w="0"/>
              <w:right w:type="dxa" w:w="60"/>
            </w:tcMar>
          </w:tcPr>
          <w:p>
            <w:pPr>
              <w:pStyle w:val="null3"/>
              <w:jc w:val="center"/>
            </w:pPr>
            <w:r>
              <w:rPr>
                <w:sz w:val="21"/>
                <w:b/>
              </w:rPr>
              <w:t>总报价（元）</w:t>
            </w:r>
          </w:p>
        </w:tc>
        <w:tc>
          <w:tcPr>
            <w:tcW w:type="dxa" w:w="1684"/>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b/>
              </w:rPr>
              <w:t>备注</w:t>
            </w:r>
          </w:p>
        </w:tc>
      </w:tr>
      <w:tr>
        <w:tc>
          <w:tcPr>
            <w:tcW w:type="dxa" w:w="663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大写：人民币</w:t>
            </w:r>
          </w:p>
        </w:tc>
        <w:tc>
          <w:tcPr>
            <w:tcW w:type="dxa" w:w="1684"/>
            <w:vMerge w:val="restart"/>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b/>
              </w:rPr>
              <w:t>本报价已包规费、税费等工程量清单中的所有费用</w:t>
            </w:r>
          </w:p>
        </w:tc>
      </w:tr>
      <w:tr>
        <w:tc>
          <w:tcPr>
            <w:tcW w:type="dxa" w:w="663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小写：￥</w:t>
            </w:r>
          </w:p>
        </w:tc>
        <w:tc>
          <w:tcPr>
            <w:tcW w:type="dxa" w:w="1684"/>
            <w:vMerge/>
            <w:tcBorders>
              <w:top w:val="none" w:color="000000" w:sz="4"/>
              <w:left w:val="none" w:color="000000" w:sz="4"/>
              <w:bottom w:val="single" w:color="000000" w:sz="4"/>
              <w:right w:val="single" w:color="000000" w:sz="4"/>
            </w:tcBorders>
          </w:tcPr>
          <w:p/>
        </w:tc>
      </w:tr>
      <w:tr>
        <w:tc>
          <w:tcPr>
            <w:tcW w:type="dxa" w:w="8320"/>
            <w:gridSpan w:val="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其中：固定报价部分如下</w:t>
            </w:r>
          </w:p>
        </w:tc>
      </w:tr>
      <w:tr>
        <w:tc>
          <w:tcPr>
            <w:tcW w:type="dxa" w:w="6636"/>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rPr>
              <w:t>绿色施工安全防护措施费：</w:t>
            </w:r>
            <w:r>
              <w:rPr>
                <w:sz w:val="21"/>
                <w:b/>
                <w:u w:val="single"/>
              </w:rPr>
              <w:t xml:space="preserve">      </w:t>
            </w:r>
            <w:r>
              <w:rPr>
                <w:sz w:val="21"/>
                <w:b/>
              </w:rPr>
              <w:t>元；</w:t>
            </w:r>
          </w:p>
          <w:p>
            <w:pPr>
              <w:pStyle w:val="null3"/>
              <w:jc w:val="both"/>
            </w:pPr>
            <w:r>
              <w:rPr>
                <w:sz w:val="21"/>
              </w:rPr>
              <w:t>暂列金：</w:t>
            </w:r>
            <w:r>
              <w:rPr>
                <w:sz w:val="21"/>
                <w:b/>
                <w:u w:val="single"/>
              </w:rPr>
              <w:t xml:space="preserve">      </w:t>
            </w:r>
            <w:r>
              <w:rPr>
                <w:sz w:val="21"/>
                <w:b/>
              </w:rPr>
              <w:t>元。</w:t>
            </w:r>
          </w:p>
        </w:tc>
        <w:tc>
          <w:tcPr>
            <w:tcW w:type="dxa" w:w="1684"/>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rPr>
              <w:t>此处与工程量清单内容一致，最终报价不作变化</w:t>
            </w:r>
          </w:p>
        </w:tc>
      </w:tr>
    </w:tbl>
    <w:p>
      <w:pPr>
        <w:pStyle w:val="null3"/>
        <w:ind w:left="705"/>
        <w:jc w:val="both"/>
      </w:pPr>
      <w:r>
        <w:rPr>
          <w:sz w:val="21"/>
        </w:rPr>
        <w:t>注：1.此表总报价是所有需采购人支付的金额总数，包括《用户需求书》要求的全部内容及采购代理费用。</w:t>
      </w:r>
    </w:p>
    <w:p>
      <w:pPr>
        <w:pStyle w:val="null3"/>
        <w:ind w:left="705"/>
        <w:jc w:val="both"/>
      </w:pPr>
      <w:r>
        <w:rPr>
          <w:sz w:val="21"/>
        </w:rPr>
        <w:t>2.</w:t>
      </w:r>
      <w:r>
        <w:rPr>
          <w:sz w:val="21"/>
        </w:rPr>
        <w:t>总报价中必须包含购置、安装、运输保险、装卸、培训辅导、质保期售后服务、全额含税发票、雇员费用、合同实施过程中应预见和不可预见费用等。所有价格均应予人民币报价，金额单位为元。</w:t>
      </w:r>
    </w:p>
    <w:p>
      <w:pPr>
        <w:pStyle w:val="null3"/>
        <w:ind w:left="705"/>
        <w:jc w:val="both"/>
      </w:pPr>
      <w:r>
        <w:rPr>
          <w:sz w:val="21"/>
        </w:rPr>
        <w:t>3.</w:t>
      </w:r>
      <w:r>
        <w:rPr>
          <w:sz w:val="21"/>
          <w:b/>
        </w:rPr>
        <w:t>温馨提示：</w:t>
      </w:r>
      <w:r>
        <w:rPr>
          <w:sz w:val="21"/>
        </w:rPr>
        <w:t>中文大写金额用汉字，如壹、贰、叁、肆、伍、陆、柒、捌、玖、拾、佰、仟、万、亿、元、角、分、零、整（正）等。</w:t>
      </w:r>
    </w:p>
    <w:p>
      <w:pPr>
        <w:pStyle w:val="null3"/>
        <w:jc w:val="both"/>
      </w:pPr>
      <w:r>
        <w:rPr>
          <w:sz w:val="21"/>
        </w:rPr>
        <w:t>报价供应商名称（盖章）：</w:t>
      </w:r>
    </w:p>
    <w:p>
      <w:pPr>
        <w:pStyle w:val="null3"/>
        <w:ind w:left="705"/>
        <w:jc w:val="both"/>
      </w:pPr>
      <w:r>
        <w:rPr>
          <w:sz w:val="21"/>
        </w:rPr>
        <w:t>日期：   年   月   日</w:t>
      </w:r>
    </w:p>
    <w:p>
      <w:pPr>
        <w:pStyle w:val="null3"/>
        <w:ind w:firstLine="420"/>
        <w:jc w:val="both"/>
      </w:pPr>
      <w:r>
        <w:rPr/>
        <w:t xml:space="preserve"> </w:t>
      </w:r>
    </w:p>
    <w:p>
      <w:pPr>
        <w:pStyle w:val="null3"/>
        <w:ind w:left="705"/>
        <w:jc w:val="both"/>
      </w:pPr>
      <w:r>
        <w:rPr/>
        <w:t xml:space="preserve"> </w:t>
      </w:r>
    </w:p>
    <w:p>
      <w:pPr>
        <w:pStyle w:val="null3"/>
        <w:ind w:firstLine="420"/>
        <w:jc w:val="both"/>
      </w:pPr>
      <w:r>
        <w:rPr/>
        <w:t>采购包1（仲恺农业工程学院动科院专业教学实验室建设）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合同签订生效之日起60日内完成供货、安装、调试及验收。</w:t>
            </w:r>
          </w:p>
        </w:tc>
      </w:tr>
      <w:tr>
        <w:tc>
          <w:tcPr>
            <w:tcW w:type="dxa" w:w="4153"/>
          </w:tcPr>
          <w:p>
            <w:pPr>
              <w:pStyle w:val="null3"/>
            </w:pPr>
            <w:r>
              <w:rPr/>
              <w:t>标的提供的地点</w:t>
            </w:r>
          </w:p>
        </w:tc>
        <w:tc>
          <w:tcPr>
            <w:tcW w:type="dxa" w:w="4153"/>
          </w:tcPr>
          <w:p>
            <w:pPr>
              <w:pStyle w:val="null3"/>
            </w:pPr>
            <w:r>
              <w:rPr/>
              <w:t>仲恺农业工程学院（采购人指定地点）</w:t>
            </w:r>
          </w:p>
        </w:tc>
      </w:tr>
      <w:tr/>
      <w:tr/>
      <w:tr>
        <w:tc>
          <w:tcPr>
            <w:tcW w:type="dxa" w:w="4153"/>
          </w:tcPr>
          <w:p>
            <w:pPr>
              <w:pStyle w:val="null3"/>
            </w:pPr>
            <w:r>
              <w:rPr/>
              <w:t>付款方式</w:t>
            </w:r>
          </w:p>
        </w:tc>
        <w:tc>
          <w:tcPr>
            <w:tcW w:type="dxa" w:w="4153"/>
          </w:tcPr>
          <w:p>
            <w:pPr>
              <w:pStyle w:val="null3"/>
            </w:pPr>
            <w:r>
              <w:rPr/>
              <w:t>第1期为(预付款)：支付比例30%，合同签订并收到发票后五个工作日内，采购人按合同价（需扣除暂列金额后）的30% 作为预付款拨给供应商。。</w:t>
            </w:r>
          </w:p>
          <w:p>
            <w:pPr>
              <w:pStyle w:val="null3"/>
            </w:pPr>
            <w:r>
              <w:rPr/>
              <w:t>第2期为(进度款)：支付比例55%，工程完工并竣工验收合格后，在收到供应商发票后的10个工作日内，付至合同价(扣除暂列金)的85%。。</w:t>
            </w:r>
          </w:p>
          <w:p>
            <w:pPr>
              <w:pStyle w:val="null3"/>
            </w:pPr>
            <w:r>
              <w:rPr/>
              <w:t>第3期为(进度款)：支付比例12%，发包人自收到承包人结算书后的60个工作日内审查完毕，乙方应将全部施工合同、产值清单核对表及双方确认的《工程现场签证表》等文件作为结算书附件供甲方审查核对，经双方确认其结算结果后(如根据上级主管部门要求需要结算送审，则按上级部门审定结算价予以结算，以财政支付规定期限支付)，发包人在10个工作日内支付至该工程结算款的97％给承包人(含已付款)。。</w:t>
            </w:r>
          </w:p>
          <w:p>
            <w:pPr>
              <w:pStyle w:val="null3"/>
            </w:pPr>
            <w:r>
              <w:rPr/>
              <w:t>第4期为(尾款)：支付比例3%，该工程结算造价余下3%的工程款，自该工程验收合格的次日起自行转为该工程的质保金，工程质量保修期贰年满后，发包人及时组织复检并办理质保期终结手续，据实结算质保金，并实施“多退少补”。若经查验无质量问题可在10个工作日内一次性无息付清余款。。</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1期：具体要求详见用户需求书。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装修工程</w:t>
            </w:r>
          </w:p>
        </w:tc>
        <w:tc>
          <w:tcPr>
            <w:tcW w:type="dxa" w:w="933"/>
          </w:tcPr>
          <w:p>
            <w:pPr>
              <w:pStyle w:val="null3"/>
              <w:jc w:val="left"/>
            </w:pPr>
            <w:r>
              <w:rPr/>
              <w:t>动科院专业教学实验室建设</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1,410,000.00</w:t>
            </w:r>
          </w:p>
        </w:tc>
        <w:tc>
          <w:tcPr>
            <w:tcW w:type="dxa" w:w="933"/>
          </w:tcPr>
          <w:p>
            <w:pPr>
              <w:pStyle w:val="null3"/>
              <w:jc w:val="right"/>
            </w:pPr>
            <w:r>
              <w:rPr/>
              <w:t>1,410,000.00</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动科院专业教学实验室建设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（以下★号条款摘自需求内容，具体内容以完整需求部分为准）</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rPr>
              <w:t>★本项目</w:t>
            </w:r>
            <w:r>
              <w:rPr>
                <w:sz w:val="21"/>
              </w:rPr>
              <w:t>不允许分包。如供应商在投标/响应文件中未出现《分包协议意向书》，则视为未采取分包。</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★其中：绿色防护施工安全防护措施费14736.58元、暂列金95026.92元，</w:t>
            </w:r>
            <w:r>
              <w:rPr>
                <w:sz w:val="21"/>
                <w:b/>
              </w:rPr>
              <w:t>不按此固定价报价的为无效报价</w:t>
            </w:r>
            <w:r>
              <w:rPr>
                <w:sz w:val="21"/>
              </w:rPr>
              <w:t>。</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边台、中央台和角柜（定制）：</w:t>
            </w:r>
            <w:r>
              <w:rPr>
                <w:sz w:val="21"/>
              </w:rPr>
              <w:t>★</w:t>
            </w:r>
            <w:r>
              <w:rPr>
                <w:sz w:val="21"/>
              </w:rPr>
              <w:t>3)</w:t>
            </w:r>
            <w:r>
              <w:rPr>
                <w:sz w:val="21"/>
              </w:rPr>
              <w:t>按照GB 18580-2017进行检测，甲醛检测数值≤0.124 mg/m³。为了保证产品质量，验收时需提供相对应的第三方检测机构或实验室出具的具有CMA或CNAS标识的检测报告（首次响应时提供承诺），或者首次响应时提供彩页、网页截图、技术白皮书、技术说明。</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rPr>
              <w:t>通风柜（带小水池）（定制）：</w:t>
            </w:r>
            <w:r>
              <w:rPr>
                <w:sz w:val="21"/>
              </w:rPr>
              <w:t>★</w:t>
            </w:r>
            <w:r>
              <w:rPr>
                <w:sz w:val="21"/>
              </w:rPr>
              <w:t>6</w:t>
            </w:r>
            <w:r>
              <w:rPr>
                <w:sz w:val="21"/>
              </w:rPr>
              <w:t>）放射性：陶瓷台面放射性核素符合GB6566-2010标准中A类装修装饰材料。验收时提供第三方检测机构或实验室出具的具有CMA或CNAS标识的符合上述参数的检测报告（首次响应时提供承诺），或者首次响应时提供彩页、网页截图、技术白皮书、技术说明。</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PP</w:t>
            </w:r>
            <w:r>
              <w:rPr>
                <w:sz w:val="21"/>
              </w:rPr>
              <w:t>水盆：</w:t>
            </w:r>
            <w:r>
              <w:rPr>
                <w:sz w:val="21"/>
                <w:b/>
              </w:rPr>
              <w:t>★</w:t>
            </w:r>
            <w:r>
              <w:rPr>
                <w:sz w:val="21"/>
                <w:b/>
              </w:rPr>
              <w:t>5.7</w:t>
            </w:r>
            <w:r>
              <w:rPr>
                <w:sz w:val="21"/>
                <w:b/>
              </w:rPr>
              <w:t>、耐腐蚀性试验：依据GB/T11547-2008标准，99%苯、77%硫酸与70%硝酸的混合物(等体积比例)、99%乙酸、42%氢氟酸、1%硝酸银、98%硫酸、饱和氢氧化钠溶液等16种试剂，分别浸泡，无明显变化。（验收时提供第三方检测机构或实验室出具的带有CMA或CNAS章的检测报告（首次响应时提供承诺），或者首次响应时提供彩页、网页截图、技术白皮书、技术说明)</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PP</w:t>
            </w:r>
            <w:r>
              <w:rPr>
                <w:sz w:val="21"/>
              </w:rPr>
              <w:t>水盆：</w:t>
            </w:r>
            <w:r>
              <w:rPr>
                <w:sz w:val="21"/>
              </w:rPr>
              <w:t>★</w:t>
            </w:r>
            <w:r>
              <w:rPr>
                <w:sz w:val="21"/>
              </w:rPr>
              <w:t>5.8</w:t>
            </w:r>
            <w:r>
              <w:rPr>
                <w:sz w:val="21"/>
              </w:rPr>
              <w:t>、耐污染性能：依据GB/T 17657-2022标准，检测项目包含48%氢溴酸、50%氟硼酸、氢氧化铵、冰醋酸、丙酮、碘、单宁酸、碘酸钾、次氯酸钠、二硫化碳、甘油、高碘酸钾、酚酞、二氯甲烷等60种有机、无机试剂，检验结果为5级。验收时提供第三方检测机构或实验室出具的带有CMA或CNAS章的检测报告</w:t>
            </w:r>
            <w:r>
              <w:rPr>
                <w:sz w:val="21"/>
              </w:rPr>
              <w:t>（首次响应时提供承诺），或者首次响应时提供彩页、网页截图、技术白皮书、技术说明</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1"/>
              </w:rPr>
              <w:t>三口龙头：</w:t>
            </w:r>
            <w:r>
              <w:rPr>
                <w:sz w:val="21"/>
              </w:rPr>
              <w:t>★6.1、采用加厚的国标65铜挤压铜管，螺纹密封的螺纹精度应符合GB/T7306.1或GB/T7306.2的规定，非螺纹密封的螺纹精度应符合GB/T7307的规定，按GB/T7307的外螺纹应不低于B级精度</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1"/>
              </w:rPr>
              <w:t>三口龙头：</w:t>
            </w:r>
            <w:r>
              <w:rPr>
                <w:sz w:val="21"/>
              </w:rPr>
              <w:t>★6.8、实验室化验水龙头需提供</w:t>
            </w:r>
            <w:r>
              <w:rPr>
                <w:sz w:val="21"/>
              </w:rPr>
              <w:t>国家确定的认证机构出具的、</w:t>
            </w:r>
            <w:r>
              <w:rPr>
                <w:sz w:val="21"/>
              </w:rPr>
              <w:t>处于有效期之内</w:t>
            </w:r>
            <w:r>
              <w:rPr>
                <w:sz w:val="21"/>
              </w:rPr>
              <w:t>中国节水产品认证证书</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1"/>
              </w:rPr>
              <w:t>LED</w:t>
            </w:r>
            <w:r>
              <w:rPr>
                <w:sz w:val="21"/>
              </w:rPr>
              <w:t>洁净灯：</w:t>
            </w:r>
            <w:r>
              <w:rPr>
                <w:sz w:val="21"/>
              </w:rPr>
              <w:t>★</w:t>
            </w:r>
            <w:r>
              <w:rPr>
                <w:sz w:val="21"/>
              </w:rPr>
              <w:t>8.25</w:t>
            </w:r>
            <w:r>
              <w:rPr>
                <w:sz w:val="21"/>
              </w:rPr>
              <w:t>、  LED洁净灯需提供国家确定的认证机构出具的、</w:t>
            </w:r>
            <w:r>
              <w:rPr>
                <w:sz w:val="21"/>
              </w:rPr>
              <w:t>处于有效期之内</w:t>
            </w:r>
            <w:r>
              <w:rPr>
                <w:sz w:val="21"/>
              </w:rPr>
              <w:t>中国节能认证证书</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1"/>
              </w:rPr>
              <w:t>LED</w:t>
            </w:r>
            <w:r>
              <w:rPr>
                <w:sz w:val="21"/>
              </w:rPr>
              <w:t>洁净灯：</w:t>
            </w:r>
            <w:r>
              <w:rPr>
                <w:sz w:val="21"/>
              </w:rPr>
              <w:t>★</w:t>
            </w:r>
            <w:r>
              <w:rPr>
                <w:sz w:val="21"/>
              </w:rPr>
              <w:t>8.27</w:t>
            </w:r>
            <w:r>
              <w:rPr>
                <w:sz w:val="21"/>
              </w:rPr>
              <w:t>、洁净灯依据：GB7000.1-2015《灯具第1部分:一般要求与试验》、GB24461-2009《洁净室用灯技术要求》检测标准，对标记、结果（无光生物危害）、爬电距离和电气间隙、外部接线和内部接线、防触电保护、耐久性试验和热试验、防尘防固体异物和防水、绝缘电阻和电气强度进行检测（验收时提供第三方检测机构或实验室出具的带有CMA或CNAS标志的检测报告复印件并加盖响应供应商公章</w:t>
            </w:r>
            <w:r>
              <w:rPr>
                <w:sz w:val="21"/>
              </w:rPr>
              <w:t>（首次响应时提供承诺），或者首次响应时提供彩页、网页截图、技术白皮书、技术说明</w:t>
            </w:r>
            <w:r>
              <w:rPr>
                <w:sz w:val="21"/>
              </w:rPr>
              <w:t>）</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rPr>
              <w:t>地板胶：</w:t>
            </w:r>
            <w:r>
              <w:rPr>
                <w:sz w:val="21"/>
              </w:rPr>
              <w:t>★10.11、有害物质限量：可溶性铅和镉和氯乙烯符合国标GB18586-2001标准，挥发物符合国标，值为≤1.4g/m2（验收时须提供第三方或实验室出具的带CMA或CNAS标识的检测报告复印件并加盖供应商公章（首次响应时提供承诺），或者首次响应时提供彩页、网页截图、技术白皮书、技术说明）</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1"/>
              </w:rPr>
              <w:t>防腐风机：</w:t>
            </w:r>
            <w:r>
              <w:rPr>
                <w:sz w:val="21"/>
              </w:rPr>
              <w:t>★11.12、配套电机：电机需符合GB_18613-2012 电动机能效限定值及能效等级中所规定的IE3能效标准以上，电源380V、3相、50HZ、IP55、F级绝缘、B级温升考核</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1"/>
              </w:rPr>
              <w:t>防腐风机：</w:t>
            </w:r>
          </w:p>
          <w:p>
            <w:pPr>
              <w:pStyle w:val="null3"/>
            </w:pPr>
            <w:r>
              <w:rPr/>
              <w:t>★</w:t>
            </w:r>
            <w:r>
              <w:rPr/>
              <w:t>11.14</w:t>
            </w:r>
            <w:r>
              <w:rPr/>
              <w:t>、</w:t>
            </w:r>
            <w:r>
              <w:rPr/>
              <w:t>风机性能要求：验收时必须提供第三方检测机构或实验室出具的检测报告（报告需要带CMA及CNAS认证标志）</w:t>
            </w:r>
            <w:r>
              <w:rPr/>
              <w:t>（首次响应时提供承诺），或者首次响应时提供彩页、网页截图、技术白皮书、技术说明：</w:t>
            </w:r>
          </w:p>
          <w:p>
            <w:pPr>
              <w:pStyle w:val="null3"/>
            </w:pPr>
            <w:r>
              <w:rPr/>
              <w:t>检测要求如下：</w:t>
            </w:r>
          </w:p>
          <w:p>
            <w:pPr>
              <w:pStyle w:val="null3"/>
            </w:pPr>
            <w:r>
              <w:rPr/>
              <w:t>检测依据GB/T 1236-2017 《工业通风机 用标准化风道性能试验》</w:t>
            </w:r>
          </w:p>
          <w:p>
            <w:pPr>
              <w:pStyle w:val="null3"/>
            </w:pPr>
            <w:r>
              <w:rPr/>
              <w:t xml:space="preserve">GB/T 2888-2008 </w:t>
            </w:r>
            <w:r>
              <w:rPr/>
              <w:t>《风机和罗茨鼓风机噪声测量方法》</w:t>
            </w:r>
          </w:p>
          <w:p>
            <w:pPr>
              <w:pStyle w:val="null3"/>
            </w:pPr>
            <w:r>
              <w:rPr/>
              <w:t xml:space="preserve">JB/T 8689-2014 </w:t>
            </w:r>
            <w:r>
              <w:rPr/>
              <w:t>《通风机振动检测及其限值》</w:t>
            </w:r>
          </w:p>
          <w:p>
            <w:pPr>
              <w:pStyle w:val="null3"/>
            </w:pPr>
            <w:r>
              <w:rPr/>
              <w:t xml:space="preserve">JB/T 10563-2006 </w:t>
            </w:r>
            <w:r>
              <w:rPr/>
              <w:t>《一般用途离心通风机技术条件》</w:t>
            </w:r>
          </w:p>
          <w:p>
            <w:pPr>
              <w:pStyle w:val="null3"/>
            </w:pPr>
            <w:r>
              <w:rPr/>
              <w:t xml:space="preserve">JB/T 6445-2017 </w:t>
            </w:r>
            <w:r>
              <w:rPr/>
              <w:t>《通风机叶轮超速试验》</w:t>
            </w:r>
          </w:p>
          <w:p>
            <w:pPr>
              <w:pStyle w:val="null3"/>
            </w:pPr>
            <w:r>
              <w:rPr/>
              <w:t xml:space="preserve">JB/T 9101-2014 </w:t>
            </w:r>
            <w:r>
              <w:rPr/>
              <w:t>《通风机转子平衡》</w:t>
            </w:r>
          </w:p>
          <w:p>
            <w:pPr>
              <w:pStyle w:val="null3"/>
            </w:pPr>
            <w:r>
              <w:rPr/>
              <w:t>判定依据</w:t>
            </w:r>
          </w:p>
          <w:p>
            <w:pPr>
              <w:pStyle w:val="null3"/>
            </w:pPr>
            <w:r>
              <w:rPr/>
              <w:t xml:space="preserve">JB/T 8689-2014 </w:t>
            </w:r>
            <w:r>
              <w:rPr/>
              <w:t>《通风机振动检测及其限值》</w:t>
            </w:r>
          </w:p>
          <w:p>
            <w:pPr>
              <w:pStyle w:val="null3"/>
            </w:pPr>
            <w:r>
              <w:rPr/>
              <w:t xml:space="preserve">JB/T 10563-2006 </w:t>
            </w:r>
            <w:r>
              <w:rPr/>
              <w:t>《一般用途离心通风机技术条件》</w:t>
            </w:r>
          </w:p>
          <w:p>
            <w:pPr>
              <w:pStyle w:val="null3"/>
            </w:pPr>
            <w:r>
              <w:rPr/>
              <w:t xml:space="preserve">JB/T 8690-2014 </w:t>
            </w:r>
            <w:r>
              <w:rPr/>
              <w:t>《通风机 噪声限值》</w:t>
            </w:r>
          </w:p>
          <w:p>
            <w:pPr>
              <w:pStyle w:val="null3"/>
            </w:pPr>
            <w:r>
              <w:rPr/>
              <w:t xml:space="preserve">JB/T 6445-2017 </w:t>
            </w:r>
            <w:r>
              <w:rPr/>
              <w:t>《通风机叶轮超速试验》</w:t>
            </w:r>
          </w:p>
          <w:p>
            <w:pPr>
              <w:pStyle w:val="null3"/>
            </w:pPr>
            <w:r>
              <w:rPr/>
              <w:t xml:space="preserve">JB/T 9101-2014 </w:t>
            </w:r>
            <w:r>
              <w:rPr/>
              <w:t>《通风机转子平衡》</w:t>
            </w:r>
          </w:p>
          <w:p>
            <w:pPr>
              <w:pStyle w:val="null3"/>
            </w:pPr>
            <w:r>
              <w:rPr/>
              <w:t>按GB/T 1236-2017 《工业通风机 用标准化风道性能试验》在规定测试下所对应的流量全压偏差为±5%；</w:t>
            </w:r>
          </w:p>
          <w:p>
            <w:pPr>
              <w:pStyle w:val="null3"/>
            </w:pPr>
            <w:r>
              <w:rPr/>
              <w:t>按JB/T 8689-2014 规定应进行 30min 机械运转试验 转动件应无擦碰等异常现象振动速度有效值 mm/s ≤4.6；</w:t>
            </w:r>
          </w:p>
          <w:p>
            <w:pPr>
              <w:pStyle w:val="null3"/>
            </w:pPr>
            <w:r>
              <w:rPr/>
              <w:t>按JB/T 9101-2014 《通风机转子平衡》规定进行动平衡品质等级 G ≤2.5级 ；</w:t>
            </w:r>
          </w:p>
          <w:p>
            <w:pPr>
              <w:pStyle w:val="null3"/>
            </w:pPr>
            <w:r>
              <w:rPr/>
              <w:t>按GB/T 2888-2008 规定测试噪声(比 A 声级) dB ≤27；</w:t>
            </w:r>
          </w:p>
          <w:p>
            <w:pPr>
              <w:pStyle w:val="null3"/>
            </w:pPr>
            <w:r>
              <w:rPr/>
              <w:t>按JB/T 6445-2017 《通风机叶轮超速试验》规定进行叶轮超速试验 1.叶轮在规定最高工作转速的 150%转 速下运转，持续时间不少于 2min，试 验结果应符合以下规定： 焊缝、轮盘、轮盖、轮毂等不得 有裂纹，铆钉不得有松动或有裂 纹； 叶轮直径的尺寸变形量≤ 0.5/1000;  叶轮外径处叶片安装角不得超过 图样的规定； 符合以上要求后，叶轮在规定最高 工作转速的 150%转速下运行，持续时 间不少于 24h，试验结果应符合焊 缝、轮盘、轮盖、轮毂等不得有裂 纹，铆钉不得有松动或有裂纹；</w:t>
            </w:r>
          </w:p>
          <w:p>
            <w:pPr>
              <w:pStyle w:val="null3"/>
            </w:pPr>
            <w:r>
              <w:rPr/>
              <w:t>外观质量风机表面光滑，不得有气泡、裂缝及厚 度不均缺陷，涂层均匀、无剥落、划伤 等缺陷，轴承部位不得漏油，焊接处应 平整、无气孔、裂纹等缺陷，风机内外 表面应清洁，产品铭牌安装平整、牢固；</w:t>
            </w:r>
          </w:p>
          <w:p>
            <w:pPr>
              <w:pStyle w:val="null3"/>
            </w:pPr>
            <w:r>
              <w:rPr>
                <w:sz w:val="21"/>
              </w:rPr>
              <w:t>按JB/T 10563-2006 《一般用途离心通风机技术条件》 规定装配要求</w:t>
            </w:r>
            <w:r>
              <w:rPr>
                <w:sz w:val="21"/>
              </w:rPr>
              <w:t>：</w:t>
            </w:r>
            <w:r>
              <w:rPr>
                <w:sz w:val="21"/>
              </w:rPr>
              <w:t>叶轮叶片应均匀分布，任意两相邻 叶片间的最大弦长偏差应不大于 3mm ； 叶轮和机壳的径向间隙应均匀。</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1"/>
              </w:rPr>
              <w:t>不锈钢水龙头：</w:t>
            </w:r>
            <w:r>
              <w:rPr>
                <w:sz w:val="21"/>
              </w:rPr>
              <w:t>★属于《节能产品政府采购品目清单》范围中政府强制采购产品类别，响应供应商须在响应文件中提供： 该产品获得的由国家确定的认证机构出具的、处于有效期之内的节能产品认证证书（注：《节能产品政府采购品目清单》响应供应商可查询中国政府采购网，网址http://www.ccgp.gov.cn；）。</w:t>
            </w:r>
          </w:p>
        </w:tc>
      </w:tr>
      <w:tr>
        <w:tc>
          <w:tcPr>
            <w:tcW w:type="dxa" w:w="2076"/>
          </w:tcPr>
          <w:p>
            <w:pPr>
              <w:pStyle w:val="null3"/>
            </w:pPr>
            <w:r>
              <w:rPr/>
              <w:t>★</w:t>
            </w:r>
          </w:p>
        </w:tc>
        <w:tc>
          <w:tcPr>
            <w:tcW w:type="dxa" w:w="415"/>
          </w:tcPr>
          <w:p>
            <w:pPr>
              <w:pStyle w:val="null3"/>
            </w:pPr>
            <w:r>
              <w:rPr/>
              <w:t>16</w:t>
            </w:r>
          </w:p>
        </w:tc>
        <w:tc>
          <w:tcPr>
            <w:tcW w:type="dxa" w:w="5814"/>
          </w:tcPr>
          <w:p>
            <w:pPr>
              <w:pStyle w:val="null3"/>
              <w:jc w:val="both"/>
            </w:pPr>
            <w:r>
              <w:rPr>
                <w:sz w:val="21"/>
              </w:rPr>
              <w:t>★供应商须承诺所投产品均符合国家强制性要求。（提供承诺，可参照“投标（响应）文件格式”中《承诺函》格式）。</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sz w:val="21"/>
              </w:rPr>
              <w:t>★凡列入《中华人民共和国实施强制性产品认证的产品目录》的产品，在验收时须出具CCC认证证书复印件（如实施自我声明程序的，则提供自我声明相关材料（提供在http://cx.cnca.cn/查询的产品的证书编号及查询结果截图）），并在产品外部施加认证标志作为验收依据之一。（提供承诺，可参照“投标（响应）文件格式”中《承诺函》格式）。</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sz w:val="21"/>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仲恺农业工程学院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采购机构代理服务收费标准：详见委托代理协议。</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广东省政府采购中心</w:t>
      </w:r>
      <w:r>
        <w:rPr/>
        <w:t>代收。具体操作要求详见</w:t>
      </w:r>
      <w:r>
        <w:rPr/>
        <w:t>广东省政府采购中心</w:t>
      </w:r>
      <w:r>
        <w:rPr/>
        <w:t>有关指引，递交事宜请自行咨询</w:t>
      </w:r>
      <w:r>
        <w:rPr/>
        <w:t>广东省政府采购中心</w:t>
      </w:r>
      <w:r>
        <w:rPr/>
        <w:t>；请各供应商在响应文件递交截止时间前按须知前附表规定的金额递交至</w:t>
      </w:r>
      <w:r>
        <w:rPr/>
        <w:t>广东省政府采购中心</w:t>
      </w:r>
      <w:r>
        <w:rPr/>
        <w:t>，到账情况以开启时</w:t>
      </w:r>
      <w:r>
        <w:rPr/>
        <w:t>广东省政府采购中心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广州市越秀区越华路112号珠江国际大厦3楼广东省政府采购中心质管科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仲恺农业工程学院动科院专业教学实验室建设)：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广东省政府采购中心</w:t>
      </w:r>
      <w:r>
        <w:rPr/>
        <w:t>统一对外发布。</w:t>
      </w:r>
    </w:p>
    <w:p>
      <w:pPr>
        <w:pStyle w:val="null3"/>
        <w:ind w:firstLine="480"/>
      </w:pPr>
      <w:r>
        <w:rPr/>
        <w:t>（2）对</w:t>
      </w:r>
      <w:r>
        <w:rPr/>
        <w:t>广东省政府采购中心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采购包1（仲恺农业工程学院动科院专业教学实验室建设）：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采购包1（仲恺农业工程学院动科院专业教学实验室建设）：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供应商必须具有良好的商业信誉和健全的财务会计制度（提供以下2种证明材料之一：1. 2023或2024年度经会计师事务所审计的财务状况报告；2. 同时提供①基本开户行出具的资信证明，②《基本存款账号信息》或《开户许可证》。）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建筑装修装饰工程专业承包资质</w:t>
            </w:r>
          </w:p>
        </w:tc>
        <w:tc>
          <w:tcPr>
            <w:tcW w:type="dxa" w:w="4238"/>
          </w:tcPr>
          <w:p>
            <w:pPr>
              <w:pStyle w:val="null3"/>
            </w:pPr>
            <w:r>
              <w:rPr/>
              <w:t>供应商必须具有有效期内的建筑装修装饰工程专业承包资质。首次响应文件提供证书复印件。</w:t>
            </w:r>
          </w:p>
        </w:tc>
      </w:tr>
      <w:tr>
        <w:tc>
          <w:tcPr>
            <w:tcW w:type="dxa" w:w="890"/>
          </w:tcPr>
          <w:p>
            <w:pPr>
              <w:pStyle w:val="null3"/>
            </w:pPr>
            <w:r>
              <w:rPr/>
              <w:t>9</w:t>
            </w:r>
          </w:p>
        </w:tc>
        <w:tc>
          <w:tcPr>
            <w:tcW w:type="dxa" w:w="3178"/>
          </w:tcPr>
          <w:p>
            <w:pPr>
              <w:pStyle w:val="null3"/>
            </w:pPr>
            <w:r>
              <w:rPr/>
              <w:t>安全生产许可证</w:t>
            </w:r>
          </w:p>
        </w:tc>
        <w:tc>
          <w:tcPr>
            <w:tcW w:type="dxa" w:w="4238"/>
          </w:tcPr>
          <w:p>
            <w:pPr>
              <w:pStyle w:val="null3"/>
            </w:pPr>
            <w:r>
              <w:rPr/>
              <w:t>供应商必须具有建设行政主管部门颁发的安全生产许可证，首次响应文件提供证书复印件。</w:t>
            </w:r>
          </w:p>
        </w:tc>
      </w:tr>
      <w:tr>
        <w:tc>
          <w:tcPr>
            <w:tcW w:type="dxa" w:w="890"/>
          </w:tcPr>
          <w:p>
            <w:pPr>
              <w:pStyle w:val="null3"/>
            </w:pPr>
            <w:r>
              <w:rPr/>
              <w:t>10</w:t>
            </w:r>
          </w:p>
        </w:tc>
        <w:tc>
          <w:tcPr>
            <w:tcW w:type="dxa" w:w="3178"/>
          </w:tcPr>
          <w:p>
            <w:pPr>
              <w:pStyle w:val="null3"/>
            </w:pPr>
            <w:r>
              <w:rPr/>
              <w:t>项目负责人</w:t>
            </w:r>
          </w:p>
        </w:tc>
        <w:tc>
          <w:tcPr>
            <w:tcW w:type="dxa" w:w="4238"/>
          </w:tcPr>
          <w:p>
            <w:pPr>
              <w:pStyle w:val="null3"/>
            </w:pPr>
            <w:r>
              <w:rPr/>
              <w:t>供应商拟担任本工程项目负责人的人员, 首次响应文件提供以下证书复印件: 项目负责人应具备建筑工程专业二级（或以上）注册建造师执业资格，并持有项目负责人安全生产考核合格证（B类）或能够提供建筑施工企业管理人员安全生产考核信息系统安全生产管理人员证书信息的打印页； 注1：建造师的专业及等级标准按《注册建造师执业管理办法（试行）》及《注册建造师执业工程规模标准（试行）》。 注2：项目负责人不得同时在其他在建工程项目担任项目负责人。（首次响应文件提供承诺函）</w:t>
            </w:r>
          </w:p>
        </w:tc>
      </w:tr>
      <w:tr>
        <w:tc>
          <w:tcPr>
            <w:tcW w:type="dxa" w:w="890"/>
          </w:tcPr>
          <w:p>
            <w:pPr>
              <w:pStyle w:val="null3"/>
            </w:pPr>
            <w:r>
              <w:rPr/>
              <w:t>11</w:t>
            </w:r>
          </w:p>
        </w:tc>
        <w:tc>
          <w:tcPr>
            <w:tcW w:type="dxa" w:w="3178"/>
          </w:tcPr>
          <w:p>
            <w:pPr>
              <w:pStyle w:val="null3"/>
            </w:pPr>
            <w:r>
              <w:rPr/>
              <w:t>专职安全员</w:t>
            </w:r>
          </w:p>
        </w:tc>
        <w:tc>
          <w:tcPr>
            <w:tcW w:type="dxa" w:w="4238"/>
          </w:tcPr>
          <w:p>
            <w:pPr>
              <w:pStyle w:val="null3"/>
            </w:pPr>
            <w:r>
              <w:rPr/>
              <w:t>专职安全员须具有在有效期内的安全生产考核合格证(C类)或建筑施工企业专职安全生产管理人员安全生产考核合格证(综合类C3)，提供证书复印件。 项目负责人在任职期间不得担任专职安全员，项目专职安全员在任职期间也不得担任项目负责人，项目负责人和安全员不为同一人。首次响应文件提供承诺函。</w:t>
            </w:r>
          </w:p>
        </w:tc>
      </w:tr>
      <w:tr>
        <w:tc>
          <w:tcPr>
            <w:tcW w:type="dxa" w:w="890"/>
          </w:tcPr>
          <w:p>
            <w:pPr>
              <w:pStyle w:val="null3"/>
            </w:pPr>
            <w:r>
              <w:rPr/>
              <w:t>12</w:t>
            </w:r>
          </w:p>
        </w:tc>
        <w:tc>
          <w:tcPr>
            <w:tcW w:type="dxa" w:w="3178"/>
          </w:tcPr>
          <w:p>
            <w:pPr>
              <w:pStyle w:val="null3"/>
            </w:pPr>
            <w:r>
              <w:rPr/>
              <w:t>已获取本项目采购文件</w:t>
            </w:r>
          </w:p>
        </w:tc>
        <w:tc>
          <w:tcPr>
            <w:tcW w:type="dxa" w:w="4238"/>
          </w:tcPr>
          <w:p>
            <w:pPr>
              <w:pStyle w:val="null3"/>
            </w:pPr>
            <w:r>
              <w:rPr/>
              <w:t>已获取本项目采购文件。</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本项目属于专门面向中小企业采购的项目。报价人须符合本项目采购标的对应行业（建筑业）的政策划分标准的中小企业。监狱企业、残疾人福利单位视同小型、微型企业。 注：中小企业以供应商填写的《中小企业声明函（工程）》（见报价格式）为判定标准，残疾人福利性单位以供应商填写的《残疾人福利性单位声明函》（见报价格式）为判定标准，监狱企业须供应商提供由省级以上监狱管理局、戒毒管理局（含新疆生产建设兵团）出具的属于监狱企业的证明文件，否则不予认定。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 《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pPr>
        <w:pStyle w:val="null3"/>
        <w:ind w:firstLine="480"/>
      </w:pPr>
      <w:r>
        <w:rPr/>
        <w:t>表二符合性审查表：</w:t>
      </w:r>
    </w:p>
    <w:p>
      <w:pPr>
        <w:pStyle w:val="null3"/>
      </w:pPr>
      <w:r>
        <w:rPr/>
        <w:t>采购包1（仲恺农业工程学院动科院专业教学实验室建设）：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法定代表人/负责人资格证明书及授权委托书（如为法定代表人/负责人代表单位投标（响应）的，则为法定代表人/负责人资格证明书），按对应格式文件签署、盖章。</w:t>
            </w:r>
          </w:p>
        </w:tc>
      </w:tr>
      <w:tr>
        <w:tc>
          <w:tcPr>
            <w:tcW w:type="dxa" w:w="890"/>
          </w:tcPr>
          <w:p>
            <w:pPr>
              <w:pStyle w:val="null3"/>
            </w:pPr>
            <w:r>
              <w:rPr/>
              <w:t>2</w:t>
            </w:r>
          </w:p>
        </w:tc>
        <w:tc>
          <w:tcPr>
            <w:tcW w:type="dxa" w:w="3178"/>
          </w:tcPr>
          <w:p>
            <w:pPr>
              <w:pStyle w:val="null3"/>
            </w:pPr>
            <w:r>
              <w:rPr/>
              <w:t>“★”号条款</w:t>
            </w:r>
          </w:p>
        </w:tc>
        <w:tc>
          <w:tcPr>
            <w:tcW w:type="dxa" w:w="4238"/>
          </w:tcPr>
          <w:p>
            <w:pPr>
              <w:pStyle w:val="null3"/>
            </w:pPr>
            <w:r>
              <w:rPr/>
              <w:t>“★”号条款满足磋商文件要求。</w:t>
            </w:r>
          </w:p>
        </w:tc>
      </w:tr>
      <w:tr>
        <w:tc>
          <w:tcPr>
            <w:tcW w:type="dxa" w:w="890"/>
          </w:tcPr>
          <w:p>
            <w:pPr>
              <w:pStyle w:val="null3"/>
            </w:pPr>
            <w:r>
              <w:rPr/>
              <w:t>3</w:t>
            </w:r>
          </w:p>
        </w:tc>
        <w:tc>
          <w:tcPr>
            <w:tcW w:type="dxa" w:w="3178"/>
          </w:tcPr>
          <w:p>
            <w:pPr>
              <w:pStyle w:val="null3"/>
            </w:pPr>
            <w:r>
              <w:rPr/>
              <w:t>提交响应承诺函</w:t>
            </w:r>
          </w:p>
        </w:tc>
        <w:tc>
          <w:tcPr>
            <w:tcW w:type="dxa" w:w="4238"/>
          </w:tcPr>
          <w:p>
            <w:pPr>
              <w:pStyle w:val="null3"/>
            </w:pPr>
            <w:r>
              <w:rPr/>
              <w:t>提交响应承诺函。响应承诺函按规定格式填写，内容完整。</w:t>
            </w:r>
          </w:p>
        </w:tc>
      </w:tr>
      <w:tr>
        <w:tc>
          <w:tcPr>
            <w:tcW w:type="dxa" w:w="890"/>
          </w:tcPr>
          <w:p>
            <w:pPr>
              <w:pStyle w:val="null3"/>
            </w:pPr>
            <w:r>
              <w:rPr/>
              <w:t>4</w:t>
            </w:r>
          </w:p>
        </w:tc>
        <w:tc>
          <w:tcPr>
            <w:tcW w:type="dxa" w:w="3178"/>
          </w:tcPr>
          <w:p>
            <w:pPr>
              <w:pStyle w:val="null3"/>
            </w:pPr>
            <w:r>
              <w:rPr/>
              <w:t>报价有效期</w:t>
            </w:r>
          </w:p>
        </w:tc>
        <w:tc>
          <w:tcPr>
            <w:tcW w:type="dxa" w:w="4238"/>
          </w:tcPr>
          <w:p>
            <w:pPr>
              <w:pStyle w:val="null3"/>
            </w:pPr>
            <w:r>
              <w:rPr/>
              <w:t>报价有效期为报价截止日起90天。</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如报价出现修正，报价人按采购文件规定书面确认。</w:t>
            </w:r>
          </w:p>
        </w:tc>
      </w:tr>
      <w:tr>
        <w:tc>
          <w:tcPr>
            <w:tcW w:type="dxa" w:w="890"/>
          </w:tcPr>
          <w:p>
            <w:pPr>
              <w:pStyle w:val="null3"/>
            </w:pPr>
            <w:r>
              <w:rPr/>
              <w:t>6</w:t>
            </w:r>
          </w:p>
        </w:tc>
        <w:tc>
          <w:tcPr>
            <w:tcW w:type="dxa" w:w="3178"/>
          </w:tcPr>
          <w:p>
            <w:pPr>
              <w:pStyle w:val="null3"/>
            </w:pPr>
            <w:r>
              <w:rPr/>
              <w:t>最终报价总金额是固定价且是唯一的</w:t>
            </w:r>
          </w:p>
        </w:tc>
        <w:tc>
          <w:tcPr>
            <w:tcW w:type="dxa" w:w="4238"/>
          </w:tcPr>
          <w:p>
            <w:pPr>
              <w:pStyle w:val="null3"/>
            </w:pPr>
            <w:r>
              <w:rPr/>
              <w:t>最终报价总金额是固定价且是唯一的，最终总报价不能超过本项目采购预算价。绿色施工安全防护措施费、暂列金按需求固定价报价。</w:t>
            </w:r>
          </w:p>
        </w:tc>
      </w:tr>
      <w:tr>
        <w:tc>
          <w:tcPr>
            <w:tcW w:type="dxa" w:w="890"/>
          </w:tcPr>
          <w:p>
            <w:pPr>
              <w:pStyle w:val="null3"/>
            </w:pPr>
            <w:r>
              <w:rPr/>
              <w:t>7</w:t>
            </w:r>
          </w:p>
        </w:tc>
        <w:tc>
          <w:tcPr>
            <w:tcW w:type="dxa" w:w="3178"/>
          </w:tcPr>
          <w:p>
            <w:pPr>
              <w:pStyle w:val="null3"/>
            </w:pPr>
            <w:r>
              <w:rPr/>
              <w:t>未以联合体形式投标</w:t>
            </w:r>
          </w:p>
        </w:tc>
        <w:tc>
          <w:tcPr>
            <w:tcW w:type="dxa" w:w="4238"/>
          </w:tcPr>
          <w:p>
            <w:pPr>
              <w:pStyle w:val="null3"/>
            </w:pPr>
            <w:r>
              <w:rPr/>
              <w:t>未以联合体形式投标。</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磋商小组认为供应商的报价明显低于其他通过符合性审查供应商的报价，有可能影响产品质量或者不能诚信履约的，将要求其在评标现场合理的时间内提供书面说明，必要时提交相关证明材料；报价人应能证明其报价合理性。 注：本项审查在最终报价后进行</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采购包1(仲恺农业工程学院动科院专业教学实验室建设):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技术响应情况1 (15.0分)</w:t>
            </w:r>
          </w:p>
        </w:tc>
        <w:tc>
          <w:tcPr>
            <w:tcW w:type="dxa" w:w="5076"/>
          </w:tcPr>
          <w:p>
            <w:pPr>
              <w:pStyle w:val="null3"/>
              <w:jc w:val="left"/>
            </w:pPr>
            <w:r>
              <w:rPr/>
              <w:t>考查有效供应商在工程技术要求中重要技术参数响应情况，“▲”为重要技术参数，共有15项，重要技术参数响应，每满足一条得1分，最高得分15分。 各项参数中如需求有要求提供证明材料的，投标人须提供相应证明材料，否则对应不得分。如采购需求中无明确证明材料的，参数响应情况以《技术和服务要求响应表》为准。</w:t>
            </w:r>
          </w:p>
        </w:tc>
      </w:tr>
      <w:tr>
        <w:tc>
          <w:tcPr>
            <w:tcW w:type="dxa" w:w="922"/>
            <w:gridSpan w:val="2"/>
            <w:vMerge/>
          </w:tcPr>
          <w:p/>
        </w:tc>
        <w:tc>
          <w:tcPr>
            <w:tcW w:type="dxa" w:w="2307"/>
          </w:tcPr>
          <w:p>
            <w:pPr>
              <w:pStyle w:val="null3"/>
              <w:jc w:val="left"/>
            </w:pPr>
            <w:r>
              <w:rPr/>
              <w:t>技术响应情况2 (30.0分)</w:t>
            </w:r>
          </w:p>
        </w:tc>
        <w:tc>
          <w:tcPr>
            <w:tcW w:type="dxa" w:w="5076"/>
          </w:tcPr>
          <w:p>
            <w:pPr>
              <w:pStyle w:val="null3"/>
              <w:jc w:val="left"/>
            </w:pPr>
            <w:r>
              <w:rPr/>
              <w:t>产品主要技术参数清单（用户需求书“（一）技术要求”中“1、新增设备需求”）中（序号1-15）每一项产品（内容）的“技术参数及要求（重要）”列，非“▲”及非“★”号条款完全满足时，该对应产品（内容）得2分，15项产品（内容）合计最高得30分。 各项参数中如需求有要求提供证明材料的，投标人须提供相应证明材料，否则对应不得分。如采购需求中无明确证明材料的，参数响应情况以《技术和服务要求响应表》为准。</w:t>
            </w:r>
          </w:p>
        </w:tc>
      </w:tr>
      <w:tr>
        <w:tc>
          <w:tcPr>
            <w:tcW w:type="dxa" w:w="922"/>
            <w:gridSpan w:val="2"/>
            <w:vMerge/>
          </w:tcPr>
          <w:p/>
        </w:tc>
        <w:tc>
          <w:tcPr>
            <w:tcW w:type="dxa" w:w="2307"/>
          </w:tcPr>
          <w:p>
            <w:pPr>
              <w:pStyle w:val="null3"/>
              <w:jc w:val="left"/>
            </w:pPr>
            <w:r>
              <w:rPr/>
              <w:t>项目实施方案 (3.0分)</w:t>
            </w:r>
          </w:p>
        </w:tc>
        <w:tc>
          <w:tcPr>
            <w:tcW w:type="dxa" w:w="5076"/>
          </w:tcPr>
          <w:p>
            <w:pPr>
              <w:pStyle w:val="null3"/>
              <w:jc w:val="left"/>
            </w:pPr>
            <w:r>
              <w:rPr/>
              <w:t>供应商提供明确、具体、针对性强、可行性强的项目实施方案： 方案完全满足且优于采购需求，得3分； 方案完全满足采购需求，得2分； 方案不能完全满足采购需求，得1分； 不提供方案不得分。</w:t>
            </w:r>
          </w:p>
        </w:tc>
      </w:tr>
      <w:tr>
        <w:tc>
          <w:tcPr>
            <w:tcW w:type="dxa" w:w="922"/>
            <w:gridSpan w:val="2"/>
            <w:vMerge/>
          </w:tcPr>
          <w:p/>
        </w:tc>
        <w:tc>
          <w:tcPr>
            <w:tcW w:type="dxa" w:w="2307"/>
          </w:tcPr>
          <w:p>
            <w:pPr>
              <w:pStyle w:val="null3"/>
              <w:jc w:val="left"/>
            </w:pPr>
            <w:r>
              <w:rPr/>
              <w:t>节能环保产品 (2.0分)</w:t>
            </w:r>
          </w:p>
        </w:tc>
        <w:tc>
          <w:tcPr>
            <w:tcW w:type="dxa" w:w="5076"/>
          </w:tcPr>
          <w:p>
            <w:pPr>
              <w:pStyle w:val="null3"/>
              <w:jc w:val="left"/>
            </w:pPr>
            <w:r>
              <w:rPr/>
              <w:t>投标人(供应商)提供所响应产品每有一项属于“节能产品政府采购品目清单”优先采购范围(即非标注星号的产品)的或“环境标志产品政府采购品目清单“范围的得1分，本项最高得分2分。 注:1、提供国家确定的认证机构出具的有效的节能（节水）产品或环境标志产品认证证书(复印件加盖供应商公章)。 2、供应商在《关于印发环境标志产品政府采购品目清单的通知》(财库(2019)18号)、《关于印发节能产品政府采购品目清单的通知义财库(2019)19 号)中可以查到对应的清单目录。如后续有更新的则以更新后的文件为准.3、上述节能产品包括节水产品。</w:t>
            </w:r>
          </w:p>
        </w:tc>
      </w:tr>
      <w:tr>
        <w:tc>
          <w:tcPr>
            <w:tcW w:type="dxa" w:w="922"/>
            <w:gridSpan w:val="2"/>
            <w:vMerge w:val="restart"/>
          </w:tcPr>
          <w:p>
            <w:pPr>
              <w:pStyle w:val="null3"/>
              <w:jc w:val="center"/>
            </w:pPr>
            <w:r>
              <w:rPr/>
              <w:t>商务部分</w:t>
            </w:r>
          </w:p>
        </w:tc>
        <w:tc>
          <w:tcPr>
            <w:tcW w:type="dxa" w:w="2307"/>
          </w:tcPr>
          <w:p>
            <w:pPr>
              <w:pStyle w:val="null3"/>
              <w:jc w:val="left"/>
            </w:pPr>
            <w:r>
              <w:rPr/>
              <w:t>认证体系 (6.0分)</w:t>
            </w:r>
          </w:p>
        </w:tc>
        <w:tc>
          <w:tcPr>
            <w:tcW w:type="dxa" w:w="5076"/>
          </w:tcPr>
          <w:p>
            <w:pPr>
              <w:pStyle w:val="null3"/>
              <w:jc w:val="left"/>
            </w:pPr>
            <w:r>
              <w:rPr/>
              <w:t>供应商具有质量管理体系认证（认证范围与建筑工程相关），提供得6分，满分得6分。 提供证书复印件，并须同时提供在“全国认证认可信息公共服务平台”对体系证书的信息查询截图作为评审依据，已失效或撤销或暂停的不得分。上述证书如因成立时间不足三个月的原因未能获得的，可对应得分。</w:t>
            </w:r>
          </w:p>
        </w:tc>
      </w:tr>
      <w:tr>
        <w:tc>
          <w:tcPr>
            <w:tcW w:type="dxa" w:w="922"/>
            <w:gridSpan w:val="2"/>
            <w:vMerge/>
          </w:tcPr>
          <w:p/>
        </w:tc>
        <w:tc>
          <w:tcPr>
            <w:tcW w:type="dxa" w:w="2307"/>
          </w:tcPr>
          <w:p>
            <w:pPr>
              <w:pStyle w:val="null3"/>
              <w:jc w:val="left"/>
            </w:pPr>
            <w:r>
              <w:rPr/>
              <w:t>业绩经验 (10.0分)</w:t>
            </w:r>
          </w:p>
        </w:tc>
        <w:tc>
          <w:tcPr>
            <w:tcW w:type="dxa" w:w="5076"/>
          </w:tcPr>
          <w:p>
            <w:pPr>
              <w:pStyle w:val="null3"/>
              <w:jc w:val="left"/>
            </w:pPr>
            <w:r>
              <w:rPr/>
              <w:t>自2021年1月1日至今（以合同签订时间为准）, 供应商完成的装修工程或改造工程类项目情况。每完成1个项目业绩得2分，满分10分。 注：须提供装修工程或改造类项目合同及对应的竣工验收报告（盖甲方或甲方使用部门章）复印件，并加盖供应商公章，不提供不得分。</w:t>
            </w:r>
          </w:p>
        </w:tc>
      </w:tr>
      <w:tr>
        <w:tc>
          <w:tcPr>
            <w:tcW w:type="dxa" w:w="922"/>
            <w:gridSpan w:val="2"/>
            <w:vMerge/>
          </w:tcPr>
          <w:p/>
        </w:tc>
        <w:tc>
          <w:tcPr>
            <w:tcW w:type="dxa" w:w="2307"/>
          </w:tcPr>
          <w:p>
            <w:pPr>
              <w:pStyle w:val="null3"/>
              <w:jc w:val="left"/>
            </w:pPr>
            <w:r>
              <w:rPr/>
              <w:t>业绩评价 (10.0分)</w:t>
            </w:r>
          </w:p>
        </w:tc>
        <w:tc>
          <w:tcPr>
            <w:tcW w:type="dxa" w:w="5076"/>
          </w:tcPr>
          <w:p>
            <w:pPr>
              <w:pStyle w:val="null3"/>
              <w:jc w:val="left"/>
            </w:pPr>
            <w:r>
              <w:rPr/>
              <w:t>根据供应商在上述提供的有效业绩项目中，获得项目用户考核正面评价（优秀、优良、良好、满意或相当于正面评价）且评价文件须体现评价单位及联系方式（如评价文件无体现的，则供应商须另外提供评价单位及联系方式）。每提供一份得2分，最高得10分。 注：供应商应提供业主服务评价文件扫描件（上面需有合同甲方或甲方项目主管部门的印章）并加盖投标人公章，不提供不得分。</w:t>
            </w:r>
          </w:p>
        </w:tc>
      </w:tr>
      <w:tr>
        <w:tc>
          <w:tcPr>
            <w:tcW w:type="dxa" w:w="922"/>
            <w:gridSpan w:val="2"/>
            <w:vMerge/>
          </w:tcPr>
          <w:p/>
        </w:tc>
        <w:tc>
          <w:tcPr>
            <w:tcW w:type="dxa" w:w="2307"/>
          </w:tcPr>
          <w:p>
            <w:pPr>
              <w:pStyle w:val="null3"/>
              <w:jc w:val="left"/>
            </w:pPr>
            <w:r>
              <w:rPr/>
              <w:t>售后服务 (4.0分)</w:t>
            </w:r>
          </w:p>
        </w:tc>
        <w:tc>
          <w:tcPr>
            <w:tcW w:type="dxa" w:w="5076"/>
          </w:tcPr>
          <w:p>
            <w:pPr>
              <w:pStyle w:val="null3"/>
              <w:jc w:val="left"/>
            </w:pPr>
            <w:r>
              <w:rPr/>
              <w:t>根据投标人在满足基本要求的情况下制定的售后服务方案，包括但不限于：售后服务时间、响应时间、到场时间、故障解决时间、保修维修时间、培训计划等情况进行评审： 方案完全满足且优于采购需求，得4分； 方案完全满足采购需求，得2分； 方案不能完全满足采购需求，得1分； 不提供方案不得分。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（合同文本格式仅供参考，双方在签订合同时可根据招标文件内容作相应修改）</w:t>
      </w:r>
    </w:p>
    <w:p>
      <w:pPr>
        <w:pStyle w:val="null3"/>
        <w:jc w:val="center"/>
      </w:pPr>
      <w:r>
        <w:rPr>
          <w:sz w:val="68"/>
        </w:rPr>
        <w:t>建筑工程施工合同</w:t>
      </w:r>
    </w:p>
    <w:p>
      <w:pPr>
        <w:pStyle w:val="null3"/>
        <w:jc w:val="both"/>
      </w:pPr>
      <w:r>
        <w:rPr>
          <w:sz w:val="31"/>
        </w:rPr>
        <w:t>工</w:t>
      </w:r>
      <w:r>
        <w:rPr>
          <w:sz w:val="31"/>
        </w:rPr>
        <w:t>程名称：</w:t>
      </w:r>
      <w:r>
        <w:rPr>
          <w:sz w:val="31"/>
          <w:u w:val="single"/>
        </w:rPr>
        <w:t>动物科技学院专业实验室建设工程项目</w:t>
      </w:r>
    </w:p>
    <w:p>
      <w:pPr>
        <w:pStyle w:val="null3"/>
        <w:ind w:firstLine="921"/>
        <w:jc w:val="left"/>
      </w:pPr>
      <w:r>
        <w:rPr>
          <w:sz w:val="31"/>
        </w:rPr>
        <w:t>发</w:t>
      </w:r>
      <w:r>
        <w:rPr>
          <w:sz w:val="31"/>
        </w:rPr>
        <w:t xml:space="preserve"> 包 方： </w:t>
      </w:r>
      <w:r>
        <w:rPr>
          <w:sz w:val="31"/>
        </w:rPr>
        <w:t>仲</w:t>
      </w:r>
      <w:r>
        <w:rPr>
          <w:sz w:val="31"/>
        </w:rPr>
        <w:t>恺农业工程学院</w:t>
      </w:r>
    </w:p>
    <w:p>
      <w:pPr>
        <w:pStyle w:val="null3"/>
        <w:ind w:firstLine="921"/>
        <w:jc w:val="left"/>
      </w:pPr>
      <w:r>
        <w:rPr>
          <w:sz w:val="31"/>
        </w:rPr>
        <w:t>承</w:t>
      </w:r>
      <w:r>
        <w:rPr>
          <w:sz w:val="31"/>
        </w:rPr>
        <w:t xml:space="preserve"> 包 方</w:t>
      </w:r>
      <w:r>
        <w:rPr>
          <w:sz w:val="31"/>
        </w:rPr>
        <w:t>：</w:t>
      </w:r>
    </w:p>
    <w:p>
      <w:pPr>
        <w:pStyle w:val="null3"/>
        <w:ind w:firstLine="930"/>
        <w:jc w:val="left"/>
      </w:pPr>
      <w:r>
        <w:rPr>
          <w:sz w:val="31"/>
        </w:rPr>
        <w:t>合同编号</w:t>
      </w:r>
      <w:r>
        <w:rPr>
          <w:sz w:val="31"/>
        </w:rPr>
        <w:t>：ZKJJ-2025-</w:t>
      </w:r>
    </w:p>
    <w:p>
      <w:pPr>
        <w:pStyle w:val="null3"/>
        <w:ind w:firstLine="930"/>
        <w:jc w:val="left"/>
      </w:pPr>
      <w:r>
        <w:rPr>
          <w:sz w:val="31"/>
        </w:rPr>
        <w:t>签订日期</w:t>
      </w:r>
      <w:r>
        <w:rPr>
          <w:sz w:val="31"/>
        </w:rPr>
        <w:t>：       年   月   日</w:t>
      </w:r>
    </w:p>
    <w:p>
      <w:pPr>
        <w:pStyle w:val="null3"/>
        <w:jc w:val="left"/>
      </w:pPr>
      <w:r>
        <w:rPr>
          <w:sz w:val="21"/>
        </w:rPr>
        <w:t xml:space="preserve"> </w:t>
      </w:r>
    </w:p>
    <w:p>
      <w:pPr>
        <w:pStyle w:val="null3"/>
        <w:jc w:val="left"/>
      </w:pPr>
      <w:r>
        <w:rPr>
          <w:sz w:val="35"/>
        </w:rPr>
        <w:t>建</w:t>
      </w:r>
      <w:r>
        <w:rPr>
          <w:sz w:val="35"/>
        </w:rPr>
        <w:t>筑工程施工合同</w:t>
      </w:r>
    </w:p>
    <w:p>
      <w:pPr>
        <w:pStyle w:val="null3"/>
        <w:jc w:val="both"/>
      </w:pPr>
      <w:r>
        <w:rPr>
          <w:sz w:val="24"/>
        </w:rPr>
        <w:t xml:space="preserve">甲方 (发包人) ： </w:t>
      </w:r>
      <w:r>
        <w:rPr>
          <w:sz w:val="24"/>
          <w:u w:val="single"/>
        </w:rPr>
        <w:t>仲恺农业工程学院</w:t>
      </w:r>
    </w:p>
    <w:p>
      <w:pPr>
        <w:pStyle w:val="null3"/>
        <w:jc w:val="both"/>
      </w:pPr>
      <w:r>
        <w:rPr>
          <w:sz w:val="24"/>
        </w:rPr>
        <w:t>乙方 (承包人) ：</w:t>
      </w:r>
    </w:p>
    <w:p>
      <w:pPr>
        <w:pStyle w:val="null3"/>
        <w:ind w:firstLine="480"/>
        <w:jc w:val="both"/>
      </w:pPr>
      <w:r>
        <w:rPr>
          <w:sz w:val="24"/>
        </w:rPr>
        <w:t>按照《中华人民共和国民法典》和《中华人民共和国建筑法》的规定，结合本工程具体情况，双方达成如下协议。</w:t>
      </w:r>
    </w:p>
    <w:p>
      <w:pPr>
        <w:pStyle w:val="null3"/>
        <w:jc w:val="both"/>
      </w:pPr>
      <w:r>
        <w:rPr>
          <w:sz w:val="24"/>
          <w:b/>
        </w:rPr>
        <w:t>第一条 工程概况</w:t>
      </w:r>
    </w:p>
    <w:p>
      <w:pPr>
        <w:pStyle w:val="null3"/>
        <w:ind w:left="2400"/>
        <w:jc w:val="both"/>
      </w:pPr>
      <w:r>
        <w:rPr>
          <w:sz w:val="24"/>
        </w:rPr>
        <w:t>1.1</w:t>
      </w:r>
      <w:r>
        <w:rPr>
          <w:sz w:val="24"/>
        </w:rPr>
        <w:t>工程名称：动物科技学院专业实验室建设项目。</w:t>
      </w:r>
    </w:p>
    <w:p>
      <w:pPr>
        <w:pStyle w:val="null3"/>
        <w:ind w:firstLine="480"/>
        <w:jc w:val="both"/>
      </w:pPr>
      <w:r>
        <w:rPr>
          <w:sz w:val="24"/>
        </w:rPr>
        <w:t>1.2</w:t>
      </w:r>
      <w:r>
        <w:rPr>
          <w:sz w:val="24"/>
        </w:rPr>
        <w:t>工程地点：仲恺农业工程学院白云校区生命科学大楼B座</w:t>
      </w:r>
    </w:p>
    <w:p>
      <w:pPr>
        <w:pStyle w:val="null3"/>
        <w:ind w:firstLine="491"/>
        <w:jc w:val="both"/>
      </w:pPr>
      <w:r>
        <w:rPr>
          <w:sz w:val="24"/>
        </w:rPr>
        <w:t>1.3</w:t>
      </w:r>
      <w:r>
        <w:rPr>
          <w:sz w:val="24"/>
        </w:rPr>
        <w:t>承包范围：（具体以施工图设计文件及招标工程量清单为准）</w:t>
      </w:r>
    </w:p>
    <w:p>
      <w:pPr>
        <w:pStyle w:val="null3"/>
        <w:ind w:firstLine="491"/>
        <w:jc w:val="both"/>
      </w:pPr>
      <w:r>
        <w:rPr>
          <w:sz w:val="24"/>
        </w:rPr>
        <w:t>1.4</w:t>
      </w:r>
      <w:r>
        <w:rPr>
          <w:sz w:val="24"/>
        </w:rPr>
        <w:t>承包方式：由乙方包工、包料、包质量、包工期、包安全、包文明施工，达到验收规范标准，不准转包。合同总价包干（不含暂列金）。</w:t>
      </w:r>
    </w:p>
    <w:p>
      <w:pPr>
        <w:pStyle w:val="null3"/>
        <w:ind w:firstLine="480"/>
        <w:jc w:val="both"/>
      </w:pPr>
      <w:r>
        <w:rPr>
          <w:sz w:val="24"/>
        </w:rPr>
        <w:t>1.5</w:t>
      </w:r>
      <w:r>
        <w:rPr>
          <w:sz w:val="24"/>
        </w:rPr>
        <w:t>工期：本工程拟定_____年</w:t>
      </w:r>
      <w:r>
        <w:rPr>
          <w:sz w:val="24"/>
          <w:u w:val="single"/>
        </w:rPr>
        <w:t xml:space="preserve">    </w:t>
      </w:r>
      <w:r>
        <w:rPr>
          <w:sz w:val="24"/>
        </w:rPr>
        <w:t>月</w:t>
      </w:r>
      <w:r>
        <w:rPr>
          <w:sz w:val="24"/>
          <w:u w:val="single"/>
        </w:rPr>
        <w:t xml:space="preserve">    </w:t>
      </w:r>
      <w:r>
        <w:rPr>
          <w:sz w:val="24"/>
        </w:rPr>
        <w:t>日开工，于_____年</w:t>
      </w:r>
      <w:r>
        <w:rPr>
          <w:sz w:val="24"/>
          <w:u w:val="single"/>
        </w:rPr>
        <w:t xml:space="preserve">    </w:t>
      </w:r>
      <w:r>
        <w:rPr>
          <w:sz w:val="24"/>
        </w:rPr>
        <w:t>月</w:t>
      </w:r>
      <w:r>
        <w:rPr>
          <w:sz w:val="24"/>
          <w:b/>
          <w:u w:val="single"/>
        </w:rPr>
        <w:t xml:space="preserve">   </w:t>
      </w:r>
      <w:r>
        <w:rPr>
          <w:sz w:val="24"/>
          <w:b/>
        </w:rPr>
        <w:t xml:space="preserve"> </w:t>
      </w:r>
      <w:r>
        <w:rPr>
          <w:sz w:val="24"/>
        </w:rPr>
        <w:t>日竣工，具体以开工报告批准日期为准。合同工期总日历天数</w:t>
      </w:r>
      <w:r>
        <w:rPr>
          <w:sz w:val="24"/>
          <w:u w:val="single"/>
        </w:rPr>
        <w:t xml:space="preserve">   60   </w:t>
      </w:r>
      <w:r>
        <w:rPr>
          <w:sz w:val="24"/>
        </w:rPr>
        <w:t>天。</w:t>
      </w:r>
    </w:p>
    <w:p>
      <w:pPr>
        <w:pStyle w:val="null3"/>
        <w:ind w:firstLine="480"/>
        <w:jc w:val="both"/>
      </w:pPr>
      <w:r>
        <w:rPr>
          <w:sz w:val="24"/>
        </w:rPr>
        <w:t>1.6</w:t>
      </w:r>
      <w:r>
        <w:rPr>
          <w:sz w:val="24"/>
        </w:rPr>
        <w:t>工程质量：严格按施工图进行施工，按照有关设计文件、技术标准、规范和合同规定施工，验收标准按国家颁发的《建筑工程施工质量验收统一标准》  (GB50300-2013)执行，达到合格标准。</w:t>
      </w:r>
    </w:p>
    <w:p>
      <w:pPr>
        <w:pStyle w:val="null3"/>
        <w:ind w:firstLine="480"/>
        <w:jc w:val="both"/>
      </w:pPr>
      <w:r>
        <w:rPr>
          <w:sz w:val="24"/>
        </w:rPr>
        <w:t>1.7</w:t>
      </w:r>
      <w:r>
        <w:rPr>
          <w:sz w:val="24"/>
        </w:rPr>
        <w:t>合同价款（人民币）</w:t>
      </w:r>
      <w:r>
        <w:rPr>
          <w:sz w:val="24"/>
          <w:u w:val="single"/>
        </w:rPr>
        <w:t xml:space="preserve">                     </w:t>
      </w:r>
      <w:r>
        <w:rPr>
          <w:sz w:val="24"/>
        </w:rPr>
        <w:t>。</w:t>
      </w:r>
    </w:p>
    <w:p>
      <w:pPr>
        <w:pStyle w:val="null3"/>
        <w:ind w:firstLine="480"/>
        <w:jc w:val="both"/>
      </w:pPr>
      <w:r>
        <w:rPr>
          <w:sz w:val="24"/>
        </w:rPr>
        <w:t>(</w:t>
      </w:r>
      <w:r>
        <w:rPr>
          <w:sz w:val="24"/>
        </w:rPr>
        <w:t>小写)：</w:t>
      </w:r>
      <w:r>
        <w:rPr>
          <w:sz w:val="24"/>
          <w:u w:val="single"/>
        </w:rPr>
        <w:t>¥                元。</w:t>
      </w:r>
    </w:p>
    <w:p>
      <w:pPr>
        <w:pStyle w:val="null3"/>
        <w:ind w:firstLine="480"/>
        <w:jc w:val="both"/>
      </w:pPr>
      <w:r>
        <w:rPr>
          <w:sz w:val="24"/>
          <w:u w:val="single"/>
        </w:rPr>
        <w:t>其中：绿色施工安全防护措施费       元、暂列金         元。</w:t>
      </w:r>
    </w:p>
    <w:p>
      <w:pPr>
        <w:pStyle w:val="null3"/>
        <w:jc w:val="both"/>
      </w:pPr>
      <w:r>
        <w:rPr>
          <w:sz w:val="24"/>
          <w:b/>
        </w:rPr>
        <w:t>第二条 发包人工作</w:t>
      </w:r>
    </w:p>
    <w:p>
      <w:pPr>
        <w:pStyle w:val="null3"/>
        <w:ind w:firstLine="480"/>
        <w:jc w:val="both"/>
      </w:pPr>
      <w:r>
        <w:rPr>
          <w:sz w:val="24"/>
        </w:rPr>
        <w:t xml:space="preserve">2.1 </w:t>
      </w:r>
      <w:r>
        <w:rPr>
          <w:sz w:val="24"/>
        </w:rPr>
        <w:t>向承包人提供施工场所附近所需的水、电接驳点，并说明使用注意事项。</w:t>
      </w:r>
    </w:p>
    <w:p>
      <w:pPr>
        <w:pStyle w:val="null3"/>
        <w:ind w:firstLine="480"/>
        <w:jc w:val="both"/>
      </w:pPr>
      <w:r>
        <w:rPr>
          <w:sz w:val="24"/>
        </w:rPr>
        <w:t xml:space="preserve">2.2 </w:t>
      </w:r>
      <w:r>
        <w:rPr>
          <w:sz w:val="24"/>
        </w:rPr>
        <w:t>指派</w:t>
      </w:r>
      <w:r>
        <w:rPr>
          <w:sz w:val="24"/>
          <w:u w:val="single"/>
        </w:rPr>
        <w:t xml:space="preserve">   刘文俊  </w:t>
      </w:r>
      <w:r>
        <w:rPr>
          <w:sz w:val="24"/>
        </w:rPr>
        <w:t>，为发包人驻工地代表，负责合同履行。对工程质量、进度进行监督检查，办理验收、变更、登记手续和其他事宜。</w:t>
      </w:r>
    </w:p>
    <w:p>
      <w:pPr>
        <w:pStyle w:val="null3"/>
        <w:ind w:firstLine="480"/>
        <w:jc w:val="both"/>
      </w:pPr>
      <w:r>
        <w:rPr>
          <w:sz w:val="24"/>
        </w:rPr>
        <w:t xml:space="preserve">2.3 </w:t>
      </w:r>
      <w:r>
        <w:rPr>
          <w:sz w:val="24"/>
        </w:rPr>
        <w:t>如确实需要拆改原建筑物结构或设备管线，负责到有关部门办理相应审批手续。</w:t>
      </w:r>
    </w:p>
    <w:p>
      <w:pPr>
        <w:pStyle w:val="null3"/>
        <w:ind w:firstLine="435"/>
        <w:jc w:val="both"/>
      </w:pPr>
      <w:r>
        <w:rPr>
          <w:sz w:val="24"/>
          <w:b/>
        </w:rPr>
        <w:t>第三条 承包人工作</w:t>
      </w:r>
    </w:p>
    <w:p>
      <w:pPr>
        <w:pStyle w:val="null3"/>
        <w:ind w:firstLine="480"/>
        <w:jc w:val="both"/>
      </w:pPr>
      <w:r>
        <w:rPr>
          <w:sz w:val="24"/>
        </w:rPr>
        <w:t xml:space="preserve">3.1 </w:t>
      </w:r>
      <w:r>
        <w:rPr>
          <w:sz w:val="24"/>
        </w:rPr>
        <w:t>参加发包人组织的现场交底，拟定施工方案和进度计划交发包人审定。</w:t>
      </w:r>
    </w:p>
    <w:p>
      <w:pPr>
        <w:pStyle w:val="null3"/>
        <w:ind w:firstLine="480"/>
        <w:jc w:val="both"/>
      </w:pPr>
      <w:r>
        <w:rPr>
          <w:sz w:val="24"/>
        </w:rPr>
        <w:t xml:space="preserve">3.2 </w:t>
      </w:r>
      <w:r>
        <w:rPr>
          <w:sz w:val="24"/>
        </w:rPr>
        <w:t>指派</w:t>
      </w:r>
      <w:r>
        <w:rPr>
          <w:sz w:val="24"/>
          <w:u w:val="single"/>
        </w:rPr>
        <w:t xml:space="preserve">         </w:t>
      </w:r>
      <w:r>
        <w:rPr>
          <w:sz w:val="24"/>
        </w:rPr>
        <w:t>，为承包人驻工地代表，负责合同履行。按要求组织施工，保质、保量、按期完成施工任务，解决由承包人负责的各项事宜。</w:t>
      </w:r>
    </w:p>
    <w:p>
      <w:pPr>
        <w:pStyle w:val="null3"/>
        <w:ind w:firstLine="480"/>
        <w:jc w:val="both"/>
      </w:pPr>
      <w:r>
        <w:rPr>
          <w:sz w:val="24"/>
        </w:rPr>
        <w:t xml:space="preserve">3.3 </w:t>
      </w:r>
      <w:r>
        <w:rPr>
          <w:sz w:val="24"/>
        </w:rPr>
        <w:t>严格执行施工规范、安排操作规程、防火安全规定、环境保护规定。严格按照图像或作法说明进行施工，做好各项质量检查记录。参加竣工验收，编制</w:t>
      </w:r>
    </w:p>
    <w:p>
      <w:pPr>
        <w:pStyle w:val="null3"/>
        <w:jc w:val="both"/>
      </w:pPr>
      <w:r>
        <w:rPr>
          <w:sz w:val="24"/>
        </w:rPr>
        <w:t>工程结算。</w:t>
      </w:r>
    </w:p>
    <w:p>
      <w:pPr>
        <w:pStyle w:val="null3"/>
        <w:ind w:firstLine="480"/>
        <w:jc w:val="both"/>
      </w:pPr>
      <w:r>
        <w:rPr>
          <w:sz w:val="24"/>
        </w:rPr>
        <w:t xml:space="preserve">3.4 </w:t>
      </w:r>
      <w:r>
        <w:rPr>
          <w:sz w:val="24"/>
        </w:rPr>
        <w:t>遵守国家或地方政府及有关部门对施工现场管理的规定，妥善保护好施工现场周围建筑物、设备管线、古树名木不受损坏。承包人原因造成损坏的，承包人承担相应费用。做好施工现场保卫和垃圾消纳等工作，处理好由于施工带来的扰民问题及与周围单位(住户)的关系。</w:t>
      </w:r>
    </w:p>
    <w:p>
      <w:pPr>
        <w:pStyle w:val="null3"/>
        <w:ind w:firstLine="480"/>
        <w:jc w:val="both"/>
      </w:pPr>
      <w:r>
        <w:rPr>
          <w:sz w:val="24"/>
        </w:rPr>
        <w:t xml:space="preserve">3.5 </w:t>
      </w:r>
      <w:r>
        <w:rPr>
          <w:sz w:val="24"/>
        </w:rPr>
        <w:t>施工中未经发包人同意或有关部门批准，不得随意拆改原建筑物结构及各种设备管线。</w:t>
      </w:r>
    </w:p>
    <w:p>
      <w:pPr>
        <w:pStyle w:val="null3"/>
        <w:ind w:firstLine="480"/>
        <w:jc w:val="both"/>
      </w:pPr>
      <w:r>
        <w:rPr>
          <w:sz w:val="24"/>
        </w:rPr>
        <w:t xml:space="preserve">3.6 </w:t>
      </w:r>
      <w:r>
        <w:rPr>
          <w:sz w:val="24"/>
        </w:rPr>
        <w:t>承包人确保其自身具有从事建筑装修装饰工程资质，资质等级符合本次施工的要求。</w:t>
      </w:r>
    </w:p>
    <w:p>
      <w:pPr>
        <w:pStyle w:val="null3"/>
        <w:ind w:firstLine="480"/>
        <w:jc w:val="both"/>
      </w:pPr>
      <w:r>
        <w:rPr>
          <w:sz w:val="24"/>
        </w:rPr>
        <w:t xml:space="preserve">3.7 </w:t>
      </w:r>
      <w:r>
        <w:rPr>
          <w:sz w:val="24"/>
        </w:rPr>
        <w:t>根据工程需要，承包人提供和维修白天或夜间施工使用的照明、围栏设</w:t>
      </w:r>
    </w:p>
    <w:p>
      <w:pPr>
        <w:pStyle w:val="null3"/>
        <w:jc w:val="both"/>
      </w:pPr>
      <w:r>
        <w:rPr>
          <w:sz w:val="24"/>
        </w:rPr>
        <w:t>施，并负责安全保卫。若承包人未履行上述义务造成工程、财产、人身损害等，</w:t>
      </w:r>
    </w:p>
    <w:p>
      <w:pPr>
        <w:pStyle w:val="null3"/>
        <w:jc w:val="both"/>
      </w:pPr>
      <w:r>
        <w:rPr>
          <w:sz w:val="24"/>
        </w:rPr>
        <w:t>由承包人承担责任及因此所发生的一切费用。</w:t>
      </w:r>
    </w:p>
    <w:p>
      <w:pPr>
        <w:pStyle w:val="null3"/>
        <w:ind w:firstLine="480"/>
        <w:jc w:val="both"/>
      </w:pPr>
      <w:r>
        <w:rPr>
          <w:sz w:val="24"/>
        </w:rPr>
        <w:t xml:space="preserve">3.8 </w:t>
      </w:r>
      <w:r>
        <w:rPr>
          <w:sz w:val="24"/>
        </w:rPr>
        <w:t>遵守政府有关主管部门和我校对施工场地交通、施工噪音以及环境保护和安全生产等的管理规定，按工程所在地政府主管部门的规定办理并承担由此发生的费用。</w:t>
      </w:r>
    </w:p>
    <w:p>
      <w:pPr>
        <w:pStyle w:val="null3"/>
        <w:ind w:firstLine="480"/>
        <w:jc w:val="both"/>
      </w:pPr>
      <w:r>
        <w:rPr>
          <w:sz w:val="24"/>
        </w:rPr>
        <w:t xml:space="preserve">3.9 </w:t>
      </w:r>
      <w:r>
        <w:rPr>
          <w:sz w:val="24"/>
        </w:rPr>
        <w:t>承包人应按照法律规定进行施工，开工前做好安全技术交底工作，施工过程中做好各项安全防护措施，施工现场的一切安全责任由承包人承担。</w:t>
      </w:r>
    </w:p>
    <w:p>
      <w:pPr>
        <w:pStyle w:val="null3"/>
        <w:ind w:firstLine="435"/>
        <w:jc w:val="both"/>
      </w:pPr>
      <w:r>
        <w:rPr>
          <w:sz w:val="24"/>
          <w:b/>
        </w:rPr>
        <w:t>第四条 关于工期的约定</w:t>
      </w:r>
    </w:p>
    <w:p>
      <w:pPr>
        <w:pStyle w:val="null3"/>
        <w:ind w:firstLine="480"/>
        <w:jc w:val="both"/>
      </w:pPr>
      <w:r>
        <w:rPr>
          <w:sz w:val="24"/>
        </w:rPr>
        <w:t xml:space="preserve">4.1 </w:t>
      </w:r>
      <w:r>
        <w:rPr>
          <w:sz w:val="24"/>
        </w:rPr>
        <w:t>因发包人未按约定完成工作，影响工期，工期顺延。承包人不收取停、窝工费，并自愿放弃向发包人索赔的权利。</w:t>
      </w:r>
    </w:p>
    <w:p>
      <w:pPr>
        <w:pStyle w:val="null3"/>
        <w:ind w:firstLine="480"/>
        <w:jc w:val="both"/>
      </w:pPr>
      <w:r>
        <w:rPr>
          <w:sz w:val="24"/>
        </w:rPr>
        <w:t xml:space="preserve">4.2 </w:t>
      </w:r>
      <w:r>
        <w:rPr>
          <w:sz w:val="24"/>
        </w:rPr>
        <w:t>因承包人责任，不能按期开工或中途无故停工，影响工期，工期不顺延。</w:t>
      </w:r>
    </w:p>
    <w:p>
      <w:pPr>
        <w:pStyle w:val="null3"/>
        <w:ind w:firstLine="480"/>
        <w:jc w:val="both"/>
      </w:pPr>
      <w:r>
        <w:rPr>
          <w:sz w:val="24"/>
        </w:rPr>
        <w:t xml:space="preserve">4.3 </w:t>
      </w:r>
      <w:r>
        <w:rPr>
          <w:sz w:val="24"/>
        </w:rPr>
        <w:t>因设计变更或非承包人原因造成的停电、停水、停气及不可抗力因素影响导致停工8小时以上(一周内累计计算)，工期相应顺延。</w:t>
      </w:r>
    </w:p>
    <w:p>
      <w:pPr>
        <w:pStyle w:val="null3"/>
        <w:ind w:firstLine="480"/>
        <w:jc w:val="both"/>
      </w:pPr>
      <w:r>
        <w:rPr>
          <w:sz w:val="24"/>
        </w:rPr>
        <w:t xml:space="preserve">4.4 </w:t>
      </w:r>
      <w:r>
        <w:rPr>
          <w:sz w:val="24"/>
        </w:rPr>
        <w:t>因不可抗力因素或非承包人原因造成的误工、停工的，工期相应顺延。</w:t>
      </w:r>
    </w:p>
    <w:p>
      <w:pPr>
        <w:pStyle w:val="null3"/>
        <w:ind w:firstLine="480"/>
        <w:jc w:val="both"/>
      </w:pPr>
      <w:r>
        <w:rPr>
          <w:sz w:val="24"/>
        </w:rPr>
        <w:t xml:space="preserve">4.5 </w:t>
      </w:r>
      <w:r>
        <w:rPr>
          <w:sz w:val="24"/>
        </w:rPr>
        <w:t>异常恶劣的气候条件发包人和承包人同意以下情形视为异常恶劣的气候条件：</w:t>
      </w:r>
    </w:p>
    <w:p>
      <w:pPr>
        <w:pStyle w:val="null3"/>
        <w:ind w:firstLine="480"/>
        <w:jc w:val="both"/>
      </w:pPr>
      <w:r>
        <w:rPr>
          <w:sz w:val="24"/>
        </w:rPr>
        <w:t>(1)</w:t>
      </w:r>
      <w:r>
        <w:rPr>
          <w:sz w:val="24"/>
        </w:rPr>
        <w:t>台风蓝色预警信号：24小时内可能或者已经受热带气旋影响，沿海或者陆地平均风力达6级以上，或者阵风8级以上并可能持续；</w:t>
      </w:r>
    </w:p>
    <w:p>
      <w:pPr>
        <w:pStyle w:val="null3"/>
        <w:ind w:firstLine="480"/>
        <w:jc w:val="both"/>
      </w:pPr>
      <w:r>
        <w:rPr>
          <w:sz w:val="24"/>
        </w:rPr>
        <w:t>(2)</w:t>
      </w:r>
      <w:r>
        <w:rPr>
          <w:sz w:val="24"/>
        </w:rPr>
        <w:t>台风黄色预警信号：24小时内可能或者已经受热带气旋影响，沿海或者陆地平均风力达8级以上，或者阵风10级以上并可能持续；</w:t>
      </w:r>
    </w:p>
    <w:p>
      <w:pPr>
        <w:pStyle w:val="null3"/>
        <w:ind w:firstLine="480"/>
        <w:jc w:val="both"/>
      </w:pPr>
      <w:r>
        <w:rPr>
          <w:sz w:val="24"/>
        </w:rPr>
        <w:t>(3)</w:t>
      </w:r>
      <w:r>
        <w:rPr>
          <w:sz w:val="24"/>
        </w:rPr>
        <w:t>台风橙色预警信号：12小时内可能或者已经受热带气旋影响，沿海或者陆地平均风力达10级以上，或者阵风12级以上并可能持续；</w:t>
      </w:r>
    </w:p>
    <w:p>
      <w:pPr>
        <w:pStyle w:val="null3"/>
        <w:ind w:firstLine="480"/>
        <w:jc w:val="both"/>
      </w:pPr>
      <w:r>
        <w:rPr>
          <w:sz w:val="24"/>
        </w:rPr>
        <w:t>(4)</w:t>
      </w:r>
      <w:r>
        <w:rPr>
          <w:sz w:val="24"/>
        </w:rPr>
        <w:t>台风红色预警信号：6小时内可能或者已经受热带气旋影响，沿海或者</w:t>
      </w:r>
    </w:p>
    <w:p>
      <w:pPr>
        <w:pStyle w:val="null3"/>
        <w:ind w:firstLine="480"/>
        <w:jc w:val="both"/>
      </w:pPr>
      <w:r>
        <w:rPr>
          <w:sz w:val="24"/>
        </w:rPr>
        <w:t>(5)</w:t>
      </w:r>
      <w:r>
        <w:rPr>
          <w:sz w:val="24"/>
        </w:rPr>
        <w:t>陆地平均风力达12级以上，或者阵风达14级以上并可能持续。</w:t>
      </w:r>
    </w:p>
    <w:p>
      <w:pPr>
        <w:pStyle w:val="null3"/>
        <w:ind w:firstLine="480"/>
        <w:jc w:val="both"/>
      </w:pPr>
      <w:r>
        <w:rPr>
          <w:sz w:val="24"/>
        </w:rPr>
        <w:t>施工现场发生上述异常恶劣气候条件停止后的48小时内，承包人提出延长工期的申请，并取得发包人的书面同意，工期予以顺延。未在规定时间内提出或未取得发包人书面同意的，工期不予顺延。因异常恶劣气候条件产生的损失，由承包人承担。</w:t>
      </w:r>
    </w:p>
    <w:p>
      <w:pPr>
        <w:pStyle w:val="null3"/>
        <w:ind w:firstLine="435"/>
        <w:jc w:val="both"/>
      </w:pPr>
      <w:r>
        <w:rPr>
          <w:sz w:val="24"/>
          <w:b/>
        </w:rPr>
        <w:t>第五条 关于工程质量及验收的约定</w:t>
      </w:r>
    </w:p>
    <w:p>
      <w:pPr>
        <w:pStyle w:val="null3"/>
        <w:ind w:firstLine="480"/>
        <w:jc w:val="both"/>
      </w:pPr>
      <w:r>
        <w:rPr>
          <w:sz w:val="24"/>
        </w:rPr>
        <w:t xml:space="preserve">5.1 </w:t>
      </w:r>
      <w:r>
        <w:rPr>
          <w:sz w:val="24"/>
        </w:rPr>
        <w:t>本工程以施工图纸、作法说明、设计变更和《建筑装饰装修工程质量验</w:t>
      </w:r>
    </w:p>
    <w:p>
      <w:pPr>
        <w:pStyle w:val="null3"/>
        <w:jc w:val="both"/>
      </w:pPr>
      <w:r>
        <w:rPr>
          <w:sz w:val="24"/>
        </w:rPr>
        <w:t>收标准》(GB50210-2018)、《建筑工程施工质量验收统一标准》(GB50300-2013)</w:t>
      </w:r>
    </w:p>
    <w:p>
      <w:pPr>
        <w:pStyle w:val="null3"/>
        <w:jc w:val="both"/>
      </w:pPr>
      <w:r>
        <w:rPr>
          <w:sz w:val="24"/>
        </w:rPr>
        <w:t>等国家制订的施工及验收规范为质量评定验收标准。</w:t>
      </w:r>
    </w:p>
    <w:p>
      <w:pPr>
        <w:pStyle w:val="null3"/>
        <w:ind w:firstLine="480"/>
        <w:jc w:val="both"/>
      </w:pPr>
      <w:r>
        <w:rPr>
          <w:sz w:val="24"/>
        </w:rPr>
        <w:t xml:space="preserve">5.2 </w:t>
      </w:r>
      <w:r>
        <w:rPr>
          <w:sz w:val="24"/>
        </w:rPr>
        <w:t>发包人、承包人双方应及时办理隐蔽工程和中间工程及主要材料的检查与验收手续。承包人应提前通知发包人参加隐蔽工程和中间工程验收。若发包人要求复验时，承包人应按要求办理复验。若复验合格，发包人应承担复验费用，由此造成停工，工期顺延；若复验不合格，其复验及返</w:t>
      </w:r>
    </w:p>
    <w:p>
      <w:pPr>
        <w:pStyle w:val="null3"/>
        <w:jc w:val="both"/>
      </w:pPr>
      <w:r>
        <w:rPr>
          <w:sz w:val="24"/>
        </w:rPr>
        <w:t>工费用由承包人承担，工期不予顺延。</w:t>
      </w:r>
    </w:p>
    <w:p>
      <w:pPr>
        <w:pStyle w:val="null3"/>
        <w:ind w:firstLine="480"/>
        <w:jc w:val="both"/>
      </w:pPr>
      <w:r>
        <w:rPr>
          <w:sz w:val="24"/>
        </w:rPr>
        <w:t xml:space="preserve">5.3 </w:t>
      </w:r>
      <w:r>
        <w:rPr>
          <w:sz w:val="24"/>
        </w:rPr>
        <w:t>由于发包人提供的材料、设备质量不合格而影响工程质量，其返工费用由发包人承担，工期顺延。</w:t>
      </w:r>
    </w:p>
    <w:p>
      <w:pPr>
        <w:pStyle w:val="null3"/>
        <w:ind w:firstLine="480"/>
        <w:jc w:val="both"/>
      </w:pPr>
      <w:r>
        <w:rPr>
          <w:sz w:val="24"/>
        </w:rPr>
        <w:t xml:space="preserve">5.4 </w:t>
      </w:r>
      <w:r>
        <w:rPr>
          <w:sz w:val="24"/>
        </w:rPr>
        <w:t>工程竣工后，承包人应通知发包人验收，发包人自接到书面验收通知7个工作日内组织验收，并办理验收、移交手续。如发包人在规定时间内未能组织验收，需及时通知承包人，另定验收日期，如顺利通过验收，竣工日期以接到承包人书面验收通知的日期为准。若验收不合格，承包人需在发包人限定时间内修改后重新申请验收，并由承包人承担由此而产生的费用，工期不予顺延，竣工日期以最后验收合格的日期为准。</w:t>
      </w:r>
    </w:p>
    <w:p>
      <w:pPr>
        <w:pStyle w:val="null3"/>
        <w:ind w:firstLine="480"/>
        <w:jc w:val="both"/>
      </w:pPr>
      <w:r>
        <w:rPr>
          <w:sz w:val="24"/>
        </w:rPr>
        <w:t xml:space="preserve">5.5 </w:t>
      </w:r>
      <w:r>
        <w:rPr>
          <w:sz w:val="24"/>
        </w:rPr>
        <w:t>因承包人的原因致使建设工程质量不符合约定的，发包人有权请求承包人在合理期限内无偿修理或者返工、改建。经过修理或者返工、改建后，造成逾期交付的，承包人应当承担违约责任。因承包人的原因致使建设工程在合理使用期限内造成人身损害和财产损失的，承包人应当承担赔偿责任。具体违约责任参照本合同第八条约定。</w:t>
      </w:r>
    </w:p>
    <w:p>
      <w:pPr>
        <w:pStyle w:val="null3"/>
        <w:ind w:firstLine="435"/>
        <w:jc w:val="both"/>
      </w:pPr>
      <w:r>
        <w:rPr>
          <w:sz w:val="24"/>
          <w:b/>
        </w:rPr>
        <w:t>第六条 关于工程款支付及工程结算的约定</w:t>
      </w:r>
    </w:p>
    <w:p>
      <w:pPr>
        <w:pStyle w:val="null3"/>
        <w:ind w:firstLine="480"/>
        <w:jc w:val="both"/>
      </w:pPr>
      <w:r>
        <w:rPr>
          <w:sz w:val="24"/>
        </w:rPr>
        <w:t xml:space="preserve">6.1 </w:t>
      </w:r>
      <w:r>
        <w:rPr>
          <w:sz w:val="24"/>
        </w:rPr>
        <w:t>工程款支付办法：合同签订后五个工作日内，采购人按合同价（需扣除暂列金额后）的30% 作为预付款拨给供应商，工程完工并竣工验收合格后，在收到发票后的10个工作日内，付至合同价(扣除暂列金)的85%。发包人自收到承包人结算书后的60个工作日内审查完毕，乙方应将全部施工合同、产值清单核对表及双方确认的《工程现场签证表》等文件作为结算书附件供甲方审查核对，经双方确认其结算结果后(如根据上级主管部门要求需要结算送审，则按上级部门审定结算价予以结算，以财政支付规定期限支付)，发包人在10个工作日内支付至该工程结算款的97％给承包人(含已付款)。该工程结算造价余下3%的工程款，自该工程验收合格的次日起自行转为该工程的质保金，工程质量保修期贰年满后，发包人及时组织复检并办理质保期终结手续，据实结算质保金，并实施“多退少补”。若经查验无质量问题可在10个工作日内一次性无息付清余款。</w:t>
      </w:r>
    </w:p>
    <w:p>
      <w:pPr>
        <w:pStyle w:val="null3"/>
        <w:ind w:firstLine="480"/>
        <w:jc w:val="both"/>
      </w:pPr>
      <w:r>
        <w:rPr>
          <w:sz w:val="24"/>
        </w:rPr>
        <w:t>发包人支付工程款的同时，承包人须提供相应数额的建筑业税务发票。否则，承包方同意发包方暂扣应付工程款的10%，至承包方在当年内或12月内提供发票后再支付其暂扣部分。</w:t>
      </w:r>
    </w:p>
    <w:p>
      <w:pPr>
        <w:pStyle w:val="null3"/>
        <w:ind w:firstLine="480"/>
        <w:jc w:val="both"/>
      </w:pPr>
      <w:r>
        <w:rPr>
          <w:sz w:val="24"/>
        </w:rPr>
        <w:t>6.2</w:t>
      </w:r>
      <w:r>
        <w:rPr>
          <w:sz w:val="24"/>
        </w:rPr>
        <w:t>竣工结算办法：</w:t>
      </w:r>
      <w:r>
        <w:rPr>
          <w:sz w:val="24"/>
          <w:u w:val="single"/>
        </w:rPr>
        <w:t>按图纸施工、工程量清单以合同总价包干（不含暂列金），不因工程量增减、工程变更签证等而改变，结算不作调整。</w:t>
      </w:r>
      <w:r>
        <w:rPr>
          <w:sz w:val="24"/>
        </w:rPr>
        <w:t>若招标人提出增减的工程可作调整。调整办法如下：</w:t>
      </w:r>
    </w:p>
    <w:p>
      <w:pPr>
        <w:pStyle w:val="null3"/>
        <w:ind w:firstLine="480"/>
        <w:jc w:val="both"/>
      </w:pPr>
      <w:r>
        <w:rPr>
          <w:sz w:val="24"/>
        </w:rPr>
        <w:t>(1)</w:t>
      </w:r>
      <w:r>
        <w:rPr>
          <w:sz w:val="24"/>
        </w:rPr>
        <w:t>综合单价计算  ①调整的项目综合单价相应于中标施工单位报价的综合</w:t>
      </w:r>
    </w:p>
    <w:p>
      <w:pPr>
        <w:pStyle w:val="null3"/>
        <w:jc w:val="both"/>
      </w:pPr>
      <w:r>
        <w:rPr>
          <w:sz w:val="24"/>
        </w:rPr>
        <w:t>单价，按中标人清单中的综合单价进行结算；②若调整的项目仅与中标施工单位报价的综合单价的部分材料变更的，更换变更材料价，其他不变；③若没有可取或可参照综合单价的，则执行2018年《广东省房屋建筑与装饰工程定额》《广东省通用安装工程定额》及《广东省市政工程综合定额》子目单价、当期建设工程造价信息和相关计费标准，并按中标价与最高限价下浮比率进行下浮。</w:t>
      </w:r>
    </w:p>
    <w:p>
      <w:pPr>
        <w:pStyle w:val="null3"/>
        <w:ind w:firstLine="480"/>
        <w:jc w:val="both"/>
      </w:pPr>
      <w:r>
        <w:rPr>
          <w:sz w:val="24"/>
        </w:rPr>
        <w:t>(2)</w:t>
      </w:r>
      <w:r>
        <w:rPr>
          <w:sz w:val="24"/>
        </w:rPr>
        <w:t>工程计量  发包人提出增减的工程按实计量。施工图纸内工程按实计量。</w:t>
      </w:r>
    </w:p>
    <w:p>
      <w:pPr>
        <w:pStyle w:val="null3"/>
        <w:ind w:firstLine="480"/>
        <w:jc w:val="both"/>
      </w:pPr>
      <w:r>
        <w:rPr>
          <w:sz w:val="24"/>
        </w:rPr>
        <w:t>(3)</w:t>
      </w:r>
      <w:r>
        <w:rPr>
          <w:sz w:val="24"/>
        </w:rPr>
        <w:t>材料价格确定</w:t>
      </w:r>
    </w:p>
    <w:p>
      <w:pPr>
        <w:pStyle w:val="null3"/>
        <w:ind w:firstLine="480"/>
        <w:jc w:val="both"/>
      </w:pPr>
      <w:r>
        <w:rPr>
          <w:sz w:val="24"/>
        </w:rPr>
        <w:t>①工程量清单报价中已有适用的材料价格，按已有的价格执行；</w:t>
      </w:r>
    </w:p>
    <w:p>
      <w:pPr>
        <w:pStyle w:val="null3"/>
        <w:ind w:firstLine="480"/>
        <w:jc w:val="both"/>
      </w:pPr>
      <w:r>
        <w:rPr>
          <w:sz w:val="24"/>
        </w:rPr>
        <w:t>②若工程量清单报价中没有适用的材料价格，执行新增单价项目招标当季项目所在地发布的《建设工程常用材料综合价格》的或招标当季广州市建设工程造价管理站发布《广州地区建设工程常用材料综合价格》；</w:t>
      </w:r>
    </w:p>
    <w:p>
      <w:pPr>
        <w:pStyle w:val="null3"/>
        <w:ind w:firstLine="480"/>
        <w:jc w:val="both"/>
      </w:pPr>
      <w:r>
        <w:rPr>
          <w:sz w:val="24"/>
        </w:rPr>
        <w:t>③项目所在地发布的《建设工程常用材料综合价格》或广州市建设工程造价管理站发布《广州地区建设工程常用材料综合价格》没有的，按新增单价项目开始施工当季的项目所在地的《建设工程材料(设备)厂商价格信息》或广州市建设工程造价管理站发布《广州地区建设工程材料(设备)厂商价格信息》进行相应下浮，其中：土建、市政材料下浮5%，建筑装修材料下浮15%，机电安装材料下浮15%，园林绿化材料下浮15%；若《厂商价格信息》中的材料价有区间值的，取低值计算；选用品牌与使用品牌不一致时，按低值取定。</w:t>
      </w:r>
    </w:p>
    <w:p>
      <w:pPr>
        <w:pStyle w:val="null3"/>
        <w:ind w:firstLine="480"/>
        <w:jc w:val="both"/>
      </w:pPr>
      <w:r>
        <w:rPr>
          <w:sz w:val="24"/>
          <w:b/>
        </w:rPr>
        <w:t>第七条 有关安全生产防火的约定</w:t>
      </w:r>
    </w:p>
    <w:p>
      <w:pPr>
        <w:pStyle w:val="null3"/>
        <w:ind w:firstLine="480"/>
        <w:jc w:val="both"/>
      </w:pPr>
      <w:r>
        <w:rPr>
          <w:sz w:val="24"/>
        </w:rPr>
        <w:t>7.1</w:t>
      </w:r>
      <w:r>
        <w:rPr>
          <w:sz w:val="24"/>
        </w:rPr>
        <w:t>承包人提供的施工图纸或作法说明，应符合《中华人民共和民法典》和其他有关的防火设计规范。</w:t>
      </w:r>
    </w:p>
    <w:p>
      <w:pPr>
        <w:pStyle w:val="null3"/>
        <w:ind w:firstLine="480"/>
        <w:jc w:val="both"/>
      </w:pPr>
      <w:r>
        <w:rPr>
          <w:sz w:val="24"/>
        </w:rPr>
        <w:t xml:space="preserve">7.2 </w:t>
      </w:r>
      <w:r>
        <w:rPr>
          <w:sz w:val="24"/>
        </w:rPr>
        <w:t>承包人在施工期间应严格遵守《中华人民共和国安全生产法》《建筑施工安全检查标准》《建设工程安全生产管理条例》《中华人民共和国消防法》和其它相关的法规、规范。</w:t>
      </w:r>
    </w:p>
    <w:p>
      <w:pPr>
        <w:pStyle w:val="null3"/>
        <w:ind w:firstLine="480"/>
        <w:jc w:val="both"/>
      </w:pPr>
      <w:r>
        <w:rPr>
          <w:sz w:val="24"/>
          <w:b/>
        </w:rPr>
        <w:t>第八条 奖励和违约责任</w:t>
      </w:r>
    </w:p>
    <w:p>
      <w:pPr>
        <w:pStyle w:val="null3"/>
        <w:ind w:firstLine="480"/>
        <w:jc w:val="both"/>
      </w:pPr>
      <w:r>
        <w:rPr>
          <w:sz w:val="24"/>
        </w:rPr>
        <w:t>由于发包人原因导致延期开工或中途停工的，工期顺延。由承包人原因造成工期延误的,每延误一天罚款500元，最高罚款不超过50000元。逾期30天以上，发包人有权单方面解除合同，并追究承包人违约赔偿责任，同时要求承包人承担由此给发包人造成的各项损失，包括但不限于发包人因承包人违约行为而支出的赔偿金、律师费、诉讼费、保全费、差旅费等。</w:t>
      </w:r>
    </w:p>
    <w:p>
      <w:pPr>
        <w:pStyle w:val="null3"/>
        <w:ind w:firstLine="480"/>
        <w:jc w:val="both"/>
      </w:pPr>
      <w:r>
        <w:rPr>
          <w:sz w:val="24"/>
          <w:b/>
        </w:rPr>
        <w:t>第九条 争议或纠纷处理</w:t>
      </w:r>
    </w:p>
    <w:p>
      <w:pPr>
        <w:pStyle w:val="null3"/>
        <w:ind w:firstLine="480"/>
        <w:jc w:val="both"/>
      </w:pPr>
      <w:r>
        <w:rPr>
          <w:sz w:val="24"/>
        </w:rPr>
        <w:t>9.1</w:t>
      </w:r>
      <w:r>
        <w:rPr>
          <w:sz w:val="24"/>
        </w:rPr>
        <w:t>本合同在履行期间，双方发生争议时，在不影响工程进度的前提下，双方可采用协商解决或请有关部门进行调解。</w:t>
      </w:r>
    </w:p>
    <w:p>
      <w:pPr>
        <w:pStyle w:val="null3"/>
        <w:ind w:firstLine="480"/>
        <w:jc w:val="both"/>
      </w:pPr>
      <w:r>
        <w:rPr>
          <w:sz w:val="24"/>
        </w:rPr>
        <w:t xml:space="preserve">9.2  </w:t>
      </w:r>
      <w:r>
        <w:rPr>
          <w:sz w:val="24"/>
        </w:rPr>
        <w:t>当事人不愿通过协商、调解解决或者协商、调解不成时，本合同在执行中发生的争议双方同意向</w:t>
      </w:r>
      <w:r>
        <w:rPr>
          <w:sz w:val="24"/>
          <w:u w:val="single"/>
        </w:rPr>
        <w:t xml:space="preserve">  工程所在地  </w:t>
      </w:r>
      <w:r>
        <w:rPr>
          <w:sz w:val="24"/>
        </w:rPr>
        <w:t>人民法院起诉。</w:t>
      </w:r>
    </w:p>
    <w:p>
      <w:pPr>
        <w:pStyle w:val="null3"/>
        <w:ind w:firstLine="480"/>
        <w:jc w:val="both"/>
      </w:pPr>
      <w:r>
        <w:rPr>
          <w:sz w:val="24"/>
        </w:rPr>
        <w:t xml:space="preserve">9.3  </w:t>
      </w:r>
      <w:r>
        <w:rPr>
          <w:sz w:val="24"/>
        </w:rPr>
        <w:t>争议期间，乙方应继续履行合同中非争议部分的约定，不得停止施工。</w:t>
      </w:r>
    </w:p>
    <w:p>
      <w:pPr>
        <w:pStyle w:val="null3"/>
        <w:ind w:firstLine="480"/>
        <w:jc w:val="both"/>
      </w:pPr>
      <w:r>
        <w:rPr>
          <w:sz w:val="24"/>
          <w:b/>
        </w:rPr>
        <w:t>第十条 其它约定</w:t>
      </w:r>
    </w:p>
    <w:p>
      <w:pPr>
        <w:pStyle w:val="null3"/>
        <w:ind w:firstLine="480"/>
        <w:jc w:val="both"/>
      </w:pPr>
      <w:r>
        <w:rPr>
          <w:sz w:val="24"/>
        </w:rPr>
        <w:t xml:space="preserve">10.1 </w:t>
      </w:r>
      <w:r>
        <w:rPr>
          <w:sz w:val="24"/>
        </w:rPr>
        <w:t>如有图纸变更和超出预算淸单项目的工程，发包人另行签证确认，按实际发生量计算造价补给承包人工程款。</w:t>
      </w:r>
    </w:p>
    <w:p>
      <w:pPr>
        <w:pStyle w:val="null3"/>
        <w:ind w:firstLine="480"/>
        <w:jc w:val="both"/>
      </w:pPr>
      <w:r>
        <w:rPr>
          <w:sz w:val="24"/>
        </w:rPr>
        <w:t xml:space="preserve">10.2 </w:t>
      </w:r>
      <w:r>
        <w:rPr>
          <w:sz w:val="24"/>
        </w:rPr>
        <w:t>承包人将建设工程转包、违法分包的，发包人可以解除合同，且承包人需承担因此造成的所有损失，包括所有直接和间接损失。承包人擅自将承包的工程转包、违法分包的，对期间的安全责任以及因转包工程或违法分包的工程不符合规定的质量标准造成的损失，与实际施工人承担连带赔偿责任。</w:t>
      </w:r>
    </w:p>
    <w:p>
      <w:pPr>
        <w:pStyle w:val="null3"/>
        <w:ind w:firstLine="480"/>
        <w:jc w:val="both"/>
      </w:pPr>
      <w:r>
        <w:rPr>
          <w:sz w:val="24"/>
          <w:b/>
        </w:rPr>
        <w:t>第十一条 附则</w:t>
      </w:r>
    </w:p>
    <w:p>
      <w:pPr>
        <w:pStyle w:val="null3"/>
        <w:ind w:firstLine="480"/>
        <w:jc w:val="both"/>
      </w:pPr>
      <w:r>
        <w:rPr>
          <w:sz w:val="24"/>
        </w:rPr>
        <w:t xml:space="preserve">11.1 </w:t>
      </w:r>
      <w:r>
        <w:rPr>
          <w:sz w:val="24"/>
        </w:rPr>
        <w:t>本工程需要进行保修或保险时，应另订协议。</w:t>
      </w:r>
    </w:p>
    <w:p>
      <w:pPr>
        <w:pStyle w:val="null3"/>
        <w:ind w:firstLine="480"/>
        <w:jc w:val="both"/>
      </w:pPr>
      <w:r>
        <w:rPr>
          <w:sz w:val="24"/>
        </w:rPr>
        <w:t xml:space="preserve">11.2 </w:t>
      </w:r>
      <w:r>
        <w:rPr>
          <w:sz w:val="24"/>
        </w:rPr>
        <w:t>本合同一式</w:t>
      </w:r>
      <w:r>
        <w:rPr>
          <w:sz w:val="24"/>
          <w:u w:val="single"/>
        </w:rPr>
        <w:t xml:space="preserve"> 伍 </w:t>
      </w:r>
      <w:r>
        <w:rPr>
          <w:sz w:val="24"/>
        </w:rPr>
        <w:t>份，甲方执</w:t>
      </w:r>
      <w:r>
        <w:rPr>
          <w:sz w:val="24"/>
          <w:u w:val="single"/>
        </w:rPr>
        <w:t xml:space="preserve"> 叁 </w:t>
      </w:r>
      <w:r>
        <w:rPr>
          <w:sz w:val="24"/>
        </w:rPr>
        <w:t>份，乙方执</w:t>
      </w:r>
      <w:r>
        <w:rPr>
          <w:sz w:val="24"/>
          <w:u w:val="single"/>
        </w:rPr>
        <w:t xml:space="preserve"> 贰 </w:t>
      </w:r>
      <w:r>
        <w:rPr>
          <w:sz w:val="24"/>
        </w:rPr>
        <w:t>份。</w:t>
      </w:r>
    </w:p>
    <w:p>
      <w:pPr>
        <w:pStyle w:val="null3"/>
        <w:ind w:firstLine="480"/>
        <w:jc w:val="both"/>
      </w:pPr>
      <w:r>
        <w:rPr>
          <w:sz w:val="24"/>
        </w:rPr>
        <w:t xml:space="preserve">11.3 </w:t>
      </w:r>
      <w:r>
        <w:rPr>
          <w:sz w:val="24"/>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无论是否为各方人员签收或拒绝签收或查无此人、已迁址等，均在寄出、发出或者投邮后即视为送达；以电子邮件方式通知的，电子邮件到达收件人服务器即视为送达。 并在合同首部列明各方地址，指定联系人、电话、邮箱。</w:t>
      </w:r>
    </w:p>
    <w:p>
      <w:pPr>
        <w:pStyle w:val="null3"/>
        <w:ind w:firstLine="480"/>
        <w:jc w:val="both"/>
      </w:pPr>
      <w:r>
        <w:rPr>
          <w:sz w:val="24"/>
        </w:rPr>
        <w:t xml:space="preserve">11.4 </w:t>
      </w:r>
      <w:r>
        <w:rPr>
          <w:sz w:val="24"/>
        </w:rPr>
        <w:t>本合同自双方签字盖章之日起生效，履行完成后自动终止。</w:t>
      </w:r>
    </w:p>
    <w:p>
      <w:pPr>
        <w:pStyle w:val="null3"/>
        <w:jc w:val="both"/>
      </w:pPr>
      <w:r>
        <w:rPr>
          <w:sz w:val="24"/>
        </w:rPr>
        <w:t>发</w:t>
      </w:r>
      <w:r>
        <w:rPr>
          <w:sz w:val="21"/>
        </w:rPr>
        <w:t xml:space="preserve">  </w:t>
      </w:r>
      <w:r>
        <w:rPr>
          <w:sz w:val="24"/>
        </w:rPr>
        <w:t>包</w:t>
      </w:r>
      <w:r>
        <w:rPr>
          <w:sz w:val="21"/>
        </w:rPr>
        <w:t xml:space="preserve">  </w:t>
      </w:r>
      <w:r>
        <w:rPr>
          <w:sz w:val="24"/>
        </w:rPr>
        <w:t>人：仲恺农业工程学院</w:t>
      </w:r>
      <w:r>
        <w:rPr>
          <w:sz w:val="21"/>
        </w:rPr>
        <w:t xml:space="preserve"> </w:t>
      </w:r>
    </w:p>
    <w:p>
      <w:pPr>
        <w:pStyle w:val="null3"/>
        <w:jc w:val="both"/>
      </w:pPr>
      <w:r>
        <w:rPr>
          <w:sz w:val="21"/>
        </w:rPr>
        <w:t xml:space="preserve"> </w:t>
      </w:r>
    </w:p>
    <w:p>
      <w:pPr>
        <w:pStyle w:val="null3"/>
        <w:jc w:val="both"/>
      </w:pPr>
      <w:r>
        <w:rPr>
          <w:sz w:val="24"/>
        </w:rPr>
        <w:t>法定代表人：</w:t>
      </w:r>
      <w:r>
        <w:rPr>
          <w:sz w:val="21"/>
        </w:rPr>
        <w:t xml:space="preserve">    </w:t>
      </w:r>
    </w:p>
    <w:p>
      <w:pPr>
        <w:pStyle w:val="null3"/>
        <w:jc w:val="both"/>
      </w:pPr>
      <w:r>
        <w:rPr>
          <w:sz w:val="21"/>
        </w:rPr>
        <w:t xml:space="preserve"> </w:t>
      </w:r>
    </w:p>
    <w:p>
      <w:pPr>
        <w:pStyle w:val="null3"/>
        <w:jc w:val="both"/>
      </w:pPr>
      <w:r>
        <w:rPr>
          <w:sz w:val="24"/>
        </w:rPr>
        <w:t>代表人签字：</w:t>
      </w:r>
    </w:p>
    <w:p>
      <w:pPr>
        <w:pStyle w:val="null3"/>
        <w:jc w:val="both"/>
      </w:pPr>
      <w:r>
        <w:rPr>
          <w:sz w:val="24"/>
        </w:rPr>
        <w:t>签约日期：</w:t>
      </w:r>
      <w:r>
        <w:rPr>
          <w:sz w:val="21"/>
        </w:rPr>
        <w:t xml:space="preserve">         </w:t>
      </w:r>
    </w:p>
    <w:p>
      <w:pPr>
        <w:pStyle w:val="null3"/>
        <w:jc w:val="both"/>
      </w:pPr>
      <w:r>
        <w:rPr>
          <w:sz w:val="24"/>
        </w:rPr>
        <w:t>承</w:t>
      </w:r>
      <w:r>
        <w:rPr>
          <w:sz w:val="21"/>
        </w:rPr>
        <w:t xml:space="preserve">  </w:t>
      </w:r>
      <w:r>
        <w:rPr>
          <w:sz w:val="24"/>
        </w:rPr>
        <w:t>包</w:t>
      </w:r>
      <w:r>
        <w:rPr>
          <w:sz w:val="21"/>
        </w:rPr>
        <w:t xml:space="preserve">  </w:t>
      </w:r>
      <w:r>
        <w:rPr>
          <w:sz w:val="24"/>
        </w:rPr>
        <w:t>人：</w:t>
      </w:r>
    </w:p>
    <w:p>
      <w:pPr>
        <w:pStyle w:val="null3"/>
        <w:jc w:val="left"/>
      </w:pPr>
      <w:r>
        <w:rPr>
          <w:sz w:val="24"/>
        </w:rPr>
        <w:t>法定代表人：</w:t>
      </w:r>
    </w:p>
    <w:p>
      <w:pPr>
        <w:pStyle w:val="null3"/>
        <w:jc w:val="both"/>
      </w:pPr>
      <w:r>
        <w:rPr>
          <w:sz w:val="24"/>
        </w:rPr>
        <w:t>代表人签字：</w:t>
      </w:r>
    </w:p>
    <w:p>
      <w:pPr>
        <w:pStyle w:val="null3"/>
        <w:jc w:val="both"/>
      </w:pPr>
      <w:r>
        <w:rPr>
          <w:sz w:val="24"/>
        </w:rPr>
        <w:t>签约日期：</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440001-2025-01897</w:t>
      </w:r>
    </w:p>
    <w:p>
      <w:pPr>
        <w:pStyle w:val="null3"/>
        <w:jc w:val="center"/>
        <w:outlineLvl w:val="3"/>
      </w:pPr>
      <w:r>
        <w:rPr>
          <w:sz w:val="24"/>
          <w:b/>
        </w:rPr>
        <w:t>采购项目编号：</w:t>
      </w:r>
      <w:r>
        <w:rPr>
          <w:sz w:val="24"/>
          <w:b/>
        </w:rPr>
        <w:t>GPCGD251156GC005J</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广东省政府采购中心</w:t>
      </w:r>
    </w:p>
    <w:p>
      <w:pPr>
        <w:pStyle w:val="null3"/>
        <w:ind w:firstLine="480"/>
      </w:pPr>
      <w:r>
        <w:rPr/>
        <w:t xml:space="preserve"> 你方组织的</w:t>
      </w:r>
      <w:r>
        <w:rPr>
          <w:u w:val="single"/>
        </w:rPr>
        <w:t>“</w:t>
      </w:r>
      <w:r>
        <w:rPr>
          <w:u w:val="single"/>
        </w:rPr>
        <w:t>仲恺农业工程学院动物科技学院专业实验室建设项目(二次)</w:t>
      </w:r>
      <w:r>
        <w:rPr>
          <w:u w:val="single"/>
        </w:rPr>
        <w:t>”</w:t>
      </w:r>
      <w:r>
        <w:rPr/>
        <w:t>项目的竞争性磋商[采购项目编号为：</w:t>
      </w:r>
      <w:r>
        <w:rPr>
          <w:u w:val="single"/>
        </w:rPr>
        <w:t>GPCGD251156GC005J</w:t>
      </w:r>
      <w:r>
        <w:rPr/>
        <w:t>]，我方愿参与响应。</w:t>
      </w:r>
    </w:p>
    <w:p>
      <w:pPr>
        <w:pStyle w:val="null3"/>
        <w:ind w:firstLine="480"/>
      </w:pPr>
      <w:r>
        <w:rPr/>
        <w:t>我方确认收到贵方提供的</w:t>
      </w:r>
      <w:r>
        <w:rPr>
          <w:u w:val="single"/>
        </w:rPr>
        <w:t>“</w:t>
      </w:r>
      <w:r>
        <w:rPr>
          <w:u w:val="single"/>
        </w:rPr>
        <w:t>仲恺农业工程学院动物科技学院专业实验室建设项目(二次)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仲恺农业工程学院动物科技学院专业实验室建设项目(二次)</w:t>
      </w:r>
      <w:r>
        <w:rPr/>
        <w:t>”项目采购[采购项目编号为</w:t>
      </w:r>
      <w:r>
        <w:rPr/>
        <w:t>GPCGD251156GC005J</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仲恺农业工程学院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广东省政府采购中心</w:t>
      </w:r>
    </w:p>
    <w:p>
      <w:pPr>
        <w:pStyle w:val="null3"/>
        <w:ind w:firstLine="480"/>
      </w:pPr>
      <w:r>
        <w:rPr/>
        <w:t>我单位参加贵公司组织的</w:t>
      </w:r>
      <w:r>
        <w:rPr/>
        <w:t>仲恺农业工程学院动物科技学院专业实验室建设项目(二次)</w:t>
      </w:r>
      <w:r>
        <w:rPr/>
        <w:t>（采购项目编号：</w:t>
      </w:r>
      <w:r>
        <w:rPr/>
        <w:t>GPCGD251156GC005J</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仲恺农业工程学院动物科技学院专业实验室建设项目(二次)</w:t>
      </w:r>
      <w:r>
        <w:rPr/>
        <w:t>”项目（采购项目编号：</w:t>
      </w:r>
      <w:r>
        <w:rPr/>
        <w:t>GPCGD251156GC005J</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