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440101-2024-23198</w:t>
      </w:r>
    </w:p>
    <w:p>
      <w:pPr>
        <w:pStyle w:val="null3"/>
        <w:jc w:val="center"/>
        <w:outlineLvl w:val="3"/>
      </w:pPr>
      <w:r>
        <w:rPr>
          <w:sz w:val="24"/>
          <w:b/>
        </w:rPr>
        <w:t>采购项目编号：</w:t>
      </w:r>
      <w:r>
        <w:rPr>
          <w:sz w:val="24"/>
          <w:b/>
        </w:rPr>
        <w:t>CC2024-5050</w:t>
      </w:r>
    </w:p>
    <w:p>
      <w:pPr>
        <w:pStyle w:val="null3"/>
        <w:jc w:val="center"/>
        <w:outlineLvl w:val="3"/>
      </w:pPr>
      <w:r>
        <w:rPr>
          <w:sz w:val="24"/>
          <w:b/>
        </w:rPr>
        <w:t>项目名称：</w:t>
      </w:r>
      <w:r>
        <w:rPr>
          <w:sz w:val="24"/>
          <w:b/>
        </w:rPr>
        <w:t>广州大学2024年网络空间安全中央实验室网络靶场扩容建设项目</w:t>
      </w:r>
    </w:p>
    <w:p>
      <w:pPr>
        <w:pStyle w:val="null3"/>
        <w:jc w:val="center"/>
        <w:outlineLvl w:val="3"/>
      </w:pPr>
      <w:r>
        <w:rPr>
          <w:sz w:val="24"/>
          <w:b/>
        </w:rPr>
        <w:t>采购人：</w:t>
      </w:r>
      <w:r>
        <w:rPr>
          <w:sz w:val="24"/>
          <w:b/>
        </w:rPr>
        <w:t>广州大学</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广州市政府采购中心</w:t>
      </w:r>
      <w:r>
        <w:rPr/>
        <w:t>受</w:t>
      </w:r>
      <w:r>
        <w:rPr/>
        <w:t>广州大学</w:t>
      </w:r>
      <w:r>
        <w:rPr/>
        <w:t>的委托，采用</w:t>
      </w:r>
      <w:r>
        <w:rPr/>
        <w:t>竞争性磋商</w:t>
      </w:r>
      <w:r>
        <w:rPr/>
        <w:t>方式组织采购</w:t>
      </w:r>
      <w:r>
        <w:rPr/>
        <w:t>广州大学2024年网络空间安全中央实验室网络靶场扩容建设项目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广州大学2024年网络空间安全中央实验室网络靶场扩容建设项目</w:t>
      </w:r>
    </w:p>
    <w:p>
      <w:pPr>
        <w:pStyle w:val="null3"/>
        <w:ind w:firstLine="480"/>
      </w:pPr>
      <w:r>
        <w:rPr/>
        <w:t>采购计划编号：</w:t>
      </w:r>
      <w:r>
        <w:rPr/>
        <w:t>440101-2024-23198</w:t>
      </w:r>
    </w:p>
    <w:p>
      <w:pPr>
        <w:pStyle w:val="null3"/>
        <w:ind w:firstLine="480"/>
      </w:pPr>
      <w:r>
        <w:rPr/>
        <w:t>采购项目编号：</w:t>
      </w:r>
      <w:r>
        <w:rPr/>
        <w:t>CC2024-5050</w:t>
      </w:r>
    </w:p>
    <w:p>
      <w:pPr>
        <w:pStyle w:val="null3"/>
        <w:ind w:firstLine="480"/>
      </w:pPr>
      <w:r>
        <w:rPr/>
        <w:t>采购方式：</w:t>
      </w:r>
      <w:r>
        <w:rPr/>
        <w:t>竞争性磋商</w:t>
      </w:r>
    </w:p>
    <w:p>
      <w:pPr>
        <w:pStyle w:val="null3"/>
        <w:ind w:firstLine="480"/>
      </w:pPr>
      <w:r>
        <w:rPr/>
        <w:t>预算金额：</w:t>
      </w:r>
      <w:r>
        <w:rPr/>
        <w:t>3,279,700.00</w:t>
      </w:r>
      <w:r>
        <w:rPr/>
        <w:t>元</w:t>
      </w:r>
    </w:p>
    <w:p>
      <w:pPr>
        <w:pStyle w:val="null3"/>
        <w:outlineLvl w:val="3"/>
      </w:pPr>
      <w:r>
        <w:rPr>
          <w:sz w:val="24"/>
          <w:b/>
        </w:rPr>
        <w:t>2.项目内容及需求情况（采购项目技术规格、参数及要求）</w:t>
      </w:r>
    </w:p>
    <w:p>
      <w:pPr>
        <w:pStyle w:val="null3"/>
      </w:pPr>
      <w:r>
        <w:rPr/>
        <w:t>采购包1(广州大学2024年网络空间安全中央实验室网络靶场扩容建设项目):</w:t>
      </w:r>
    </w:p>
    <w:p>
      <w:pPr>
        <w:pStyle w:val="null3"/>
      </w:pPr>
      <w:r>
        <w:rPr/>
        <w:t>采购包预算金额：3,279,700.00元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硬件集成实施服务</w:t>
            </w:r>
          </w:p>
        </w:tc>
        <w:tc>
          <w:tcPr>
            <w:tcW w:type="dxa" w:w="2136"/>
          </w:tcPr>
          <w:p>
            <w:pPr>
              <w:pStyle w:val="null3"/>
            </w:pPr>
            <w:r>
              <w:rPr/>
              <w:t>网络靶场扩容建设</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合同履行期限：在合同签订之日起25个日历天内</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w:t>
      </w:r>
    </w:p>
    <w:p>
      <w:pPr>
        <w:pStyle w:val="null3"/>
        <w:outlineLvl w:val="3"/>
      </w:pPr>
      <w:r>
        <w:rPr>
          <w:sz w:val="24"/>
          <w:b/>
        </w:rPr>
        <w:t>2.落实政府采购政策需满足的资格要求：</w:t>
      </w:r>
    </w:p>
    <w:p>
      <w:pPr>
        <w:pStyle w:val="null3"/>
        <w:jc w:val="left"/>
      </w:pPr>
      <w:r>
        <w:rPr/>
        <w:t>采购包1（广州大学2024年网络空间安全中央实验室网络靶场扩容建设项目）：</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采购包1（广州大学2024年网络空间安全中央实验室网络靶场扩容建设项目）：</w:t>
      </w:r>
    </w:p>
    <w:p>
      <w:pPr>
        <w:pStyle w:val="null3"/>
      </w:pPr>
      <w:r>
        <w:rPr/>
        <w:t>1)1.本项目不接受联合体响应。 2.供应商未被列入“信用中国”网站中“记录失信被执行人或重大税收违法案件当事人名单或政府采购严重违法失信行为”的记录名单；不处于“中国政府采购网”中“政府采购严重违法失信行为信息记录”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3.供应商必须符合法律、行政法规规定的其他条件：依据《响应承诺函》。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广州大学</w:t>
      </w:r>
    </w:p>
    <w:p>
      <w:pPr>
        <w:pStyle w:val="null3"/>
        <w:ind w:firstLine="480"/>
      </w:pPr>
      <w:r>
        <w:rPr/>
        <w:t>地址：</w:t>
      </w:r>
      <w:r>
        <w:rPr/>
        <w:t>广东省广州市番禺区广州大学城外环西路230号</w:t>
      </w:r>
    </w:p>
    <w:p>
      <w:pPr>
        <w:pStyle w:val="null3"/>
        <w:ind w:firstLine="480"/>
      </w:pPr>
      <w:r>
        <w:rPr/>
        <w:t>联系方式：</w:t>
      </w:r>
      <w:r>
        <w:rPr/>
        <w:t>020-39341375</w:t>
      </w:r>
    </w:p>
    <w:p>
      <w:pPr>
        <w:pStyle w:val="null3"/>
        <w:outlineLvl w:val="3"/>
      </w:pPr>
      <w:r>
        <w:rPr>
          <w:sz w:val="24"/>
          <w:b/>
        </w:rPr>
        <w:t>2.采购代理机构信息</w:t>
      </w:r>
    </w:p>
    <w:p>
      <w:pPr>
        <w:pStyle w:val="null3"/>
        <w:ind w:firstLine="480"/>
      </w:pPr>
      <w:r>
        <w:rPr/>
        <w:t>名称：</w:t>
      </w:r>
      <w:r>
        <w:rPr/>
        <w:t>广州市政府采购中心</w:t>
      </w:r>
    </w:p>
    <w:p>
      <w:pPr>
        <w:pStyle w:val="null3"/>
        <w:ind w:firstLine="480"/>
      </w:pPr>
      <w:r>
        <w:rPr/>
        <w:t xml:space="preserve"> 地址：</w:t>
      </w:r>
      <w:r>
        <w:rPr/>
        <w:t>广东省广州市天河区天润路333号</w:t>
      </w:r>
    </w:p>
    <w:p>
      <w:pPr>
        <w:pStyle w:val="null3"/>
        <w:ind w:firstLine="480"/>
      </w:pPr>
      <w:r>
        <w:rPr/>
        <w:t xml:space="preserve"> 联系方式：</w:t>
      </w:r>
      <w:r>
        <w:rPr/>
        <w:t>28866273、28866163</w:t>
      </w:r>
    </w:p>
    <w:p>
      <w:pPr>
        <w:pStyle w:val="null3"/>
        <w:outlineLvl w:val="3"/>
      </w:pPr>
      <w:r>
        <w:rPr>
          <w:sz w:val="24"/>
          <w:b/>
        </w:rPr>
        <w:t xml:space="preserve"> 3.项目联系方式</w:t>
      </w:r>
    </w:p>
    <w:p>
      <w:pPr>
        <w:pStyle w:val="null3"/>
        <w:ind w:firstLine="480"/>
      </w:pPr>
      <w:r>
        <w:rPr/>
        <w:t xml:space="preserve"> 项目联系人：</w:t>
      </w:r>
      <w:r>
        <w:rPr/>
        <w:t>卢婧茹（采购文件咨询）、何晓蕾（质疑受理）</w:t>
      </w:r>
    </w:p>
    <w:p>
      <w:pPr>
        <w:pStyle w:val="null3"/>
        <w:ind w:firstLine="480"/>
      </w:pPr>
      <w:r>
        <w:rPr/>
        <w:t xml:space="preserve"> 电话：</w:t>
      </w:r>
      <w:r>
        <w:rPr/>
        <w:t>28866273、28866163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详见采购需求</w:t>
      </w:r>
    </w:p>
    <w:p>
      <w:pPr>
        <w:pStyle w:val="null3"/>
      </w:pPr>
      <w:r>
        <w:rPr/>
        <w:t>采购包1（广州大学2024年网络空间安全中央实验室网络靶场扩容建设项目）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在合同签订之日起25个日历天内，将所有设备交付到采购人指定地点；所供货物交齐后，5个日历天内安装调试完毕、交付使用、培训并验收合格。</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1期：支付比例100%,详见采购需求</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硬件集成实施服务</w:t>
            </w:r>
          </w:p>
        </w:tc>
        <w:tc>
          <w:tcPr>
            <w:tcW w:type="dxa" w:w="933"/>
          </w:tcPr>
          <w:p>
            <w:pPr>
              <w:pStyle w:val="null3"/>
              <w:jc w:val="left"/>
            </w:pPr>
            <w:r>
              <w:rPr/>
              <w:t>网络靶场扩容建设</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3,279,700.00</w:t>
            </w:r>
          </w:p>
        </w:tc>
        <w:tc>
          <w:tcPr>
            <w:tcW w:type="dxa" w:w="933"/>
          </w:tcPr>
          <w:p>
            <w:pPr>
              <w:pStyle w:val="null3"/>
              <w:jc w:val="right"/>
            </w:pPr>
            <w:r>
              <w:rPr/>
              <w:t>3,279,700.00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网络靶场扩容建设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1.不论报价的结果如何，供应商应承担所有与编写和提交响应文件有关的费用。2.采购人委托成交供应商支付公共资源交易服务费，其报价中须包含公共资源交易服务费。由成交供应商支付公共资源交易服务费后，采购人、成交供应商方可下载打印电子《成交通知书》。3.成交供应商可选用以下两种方式支付公共资源交易服务费：（1）现场支付：成交供应商携现金前往市政府采购中心大厅西侧建设银行天润路支行交款，交款后前往财务专窗办理支付确认。（2）汇款支付：成交供应商将公共资源交易服务费转账（汇款）至公共资源交易服务费结算账户（如下所示）后，到账后凭转账（汇款）凭证前往市政府采购中心一楼大厅44号财务专窗办理支付确认或使用公共资源交易服务费转账凭证上传确认系统进行支付确认。公共资源交易服务费结算账户信息：收款单位：广州市政府采购中心，开户银行：中国建设银行广州天润路支行，账号：44050158340409202288（注：公共资源交易服务费增值税电子发票待成交供应商支付公共资源交易服务费并确认后，向成交供应商的经办人手机号推送电子发票用于报账。使用汇款支付过程中，请在摘要或用途中注明项目编号交易服务费，例如：CC2022-0001交易服务费。当交易服务费到账的银行回单中单位名称、应缴交易服务费金额、成交项目编号三项信息匹配都一致时，系统会自动进行支付确认。）4.公共资源交易服务费以采购额按差额定率累进法计算。详见《广州市政府采购中心关于代理采购类项目公共资源交易服务费收费标准的通知》（http://www.gzggzy.cn/jtgg/874864.jhtml）（注：本项目为纳入集中采购目录的项目，采购额为成交金额。）</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由采购人负责对成交供应商的履约行为进行评价，采购人在合同备案后可通过广东政府采购智慧云平台-诚信管理-评价管理进行评价。评价结果会影响供应商的综合信用得分。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、广州交易集团有限公司（http://www.gzggzy.cn）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、广州交易集团有限公司（http://www.gzggzy.cn）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广州市天河区天润路333号3楼广州市政府采购中心质量监督部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大学2024年网络空间安全中央实验室网络靶场扩容建设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广州市政府采购中心</w:t>
      </w:r>
      <w:r>
        <w:rPr/>
        <w:t>统一对外发布。</w:t>
      </w:r>
    </w:p>
    <w:p>
      <w:pPr>
        <w:pStyle w:val="null3"/>
        <w:ind w:firstLine="480"/>
      </w:pPr>
      <w:r>
        <w:rPr/>
        <w:t>（2）对</w:t>
      </w:r>
      <w:r>
        <w:rPr/>
        <w:t>广州市政府采购中心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采购包1（广州大学2024年网络空间安全中央实验室网络靶场扩容建设项目）：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采购包1（广州大学2024年网络空间安全中央实验室网络靶场扩容建设项目）：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1.本项目不接受联合体响应。 2.供应商未被列入“信用中国”网站中“记录失信被执行人或重大税收违法案件当事人名单或政府采购严重违法失信行为”的记录名单；不处于“中国政府采购网”中“政府采购严重违法失信行为信息记录”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3.供应商必须符合法律、行政法规规定的其他条件：依据《响应承诺函》。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采购包1（广州大学2024年网络空间安全中央实验室网络靶场扩容建设项目）：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1.报价确定且不高于预算金额；如磋商小组没有对磋商文件作实质性变动增加新的需求，最后报价不得高于首次报价。2.有盖章、签署要求的格式文件已按要求盖章、签署。 3.响应文件完全满足磋商文件中带★号的条款和指标（审查《实质性响应一览表》）。 4.未发现属无效响应的其他情形。以下为属无效响应的其他情形：（1）法定代表人或单位负责人为同一个人或者存在直接控股、管理关系的不同供应商，同时参加本项目或同一采购包报价的。（2）供应商为本项目提供整体设计、规范编制或者项目管理、监理、检测等服务的。（3）评审期间，磋商供应商没有按要求提交澄清、说明、补正或改变了响应文件的实质性内容的（磋商文件第四章“三、评审程序”中“7.其他无效响应的情形”第（1）点的规定与此处规定不一致，以此处规定为准）。（4）磋商供应商对采购人、采购代理机构、磋商小组及其工作人员施加影响，有碍政府采购公平、公正的。（5）磋商小组认为，磋商供应商的最后报价明显低于其他合格供应商的最后报价，有可能影响项目质量或者不能诚信履约的，应当要求其在评审现场合理时间内提供书面说明，必要时提供相关证明材料；磋商供应商不能证明其报价合理性的，磋商小组应当将其作为无效响应处理。（6）法律、法规和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采购包1(广州大学2024年网络空间安全中央实验室网络靶场扩容建设项目):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重要指标响应 (40.0分)</w:t>
            </w:r>
          </w:p>
        </w:tc>
        <w:tc>
          <w:tcPr>
            <w:tcW w:type="dxa" w:w="5076"/>
          </w:tcPr>
          <w:p>
            <w:pPr>
              <w:pStyle w:val="null3"/>
              <w:jc w:val="left"/>
            </w:pPr>
            <w:r>
              <w:rPr/>
              <w:t>根据采购需求指标的满足程度进行评价，评审委员会以响应文件响应情况进行打分：▲重要技术指标，标“▲”的为重要条款共40项，每满足一项得1分，满分40分。（注：1.采购需求中要求提供产品的功能截图、检测报告等证明须提供佐证，否则视为该指标不响应；2.技术参数须逐条响应，列清楚每一条参数的偏离情况，不按要求响应的，视为该设备所有参数指标不响应；3. 未要求提供功能截图、检测报告等证明或佐证的，以《技术和服务要求响应表》响应为准）</w:t>
            </w:r>
          </w:p>
        </w:tc>
      </w:tr>
      <w:tr>
        <w:tc>
          <w:tcPr>
            <w:tcW w:type="dxa" w:w="922"/>
            <w:gridSpan w:val="2"/>
            <w:vMerge/>
          </w:tcPr>
          <w:p/>
        </w:tc>
        <w:tc>
          <w:tcPr>
            <w:tcW w:type="dxa" w:w="2307"/>
          </w:tcPr>
          <w:p>
            <w:pPr>
              <w:pStyle w:val="null3"/>
              <w:jc w:val="left"/>
            </w:pPr>
            <w:r>
              <w:rPr/>
              <w:t>其他指标响应 (5.0分)</w:t>
            </w:r>
          </w:p>
        </w:tc>
        <w:tc>
          <w:tcPr>
            <w:tcW w:type="dxa" w:w="5076"/>
          </w:tcPr>
          <w:p>
            <w:pPr>
              <w:pStyle w:val="null3"/>
              <w:jc w:val="left"/>
            </w:pPr>
            <w:r>
              <w:rPr/>
              <w:t>考查投标人投标产品对一般技术参数的响应程度。本项目共37类产品，即37类产品参数。根据招标文件采购需求中所列对应设备的技术参数要求，逐条参数进行评审，以《技术和服务要求响应表》的“是否偏离”作为评审依据”。所投技术产品，参数中非“★”、非“▲”以及非演示内容的一般条款的全部内容响应情况，每全部满足一个产品的所有一般技术参数，该产品得 0.14分(如有一项(或以上)参数负偏离，则对应产品不得分)，最高得5分(本项目共有 37 个产品)。（注：1.采购需求中要求提供产品的功能截图、检测报告等证明须提供佐证，否则视为该指标不响应；2.技术参数须逐条响应，列清楚每一条参数的偏离情况，不按要求响应的，视为该设备所有参数指标不响应）</w:t>
            </w:r>
          </w:p>
        </w:tc>
      </w:tr>
      <w:tr>
        <w:tc>
          <w:tcPr>
            <w:tcW w:type="dxa" w:w="922"/>
            <w:gridSpan w:val="2"/>
            <w:vMerge/>
          </w:tcPr>
          <w:p/>
        </w:tc>
        <w:tc>
          <w:tcPr>
            <w:tcW w:type="dxa" w:w="2307"/>
          </w:tcPr>
          <w:p>
            <w:pPr>
              <w:pStyle w:val="null3"/>
              <w:jc w:val="left"/>
            </w:pPr>
            <w:r>
              <w:rPr/>
              <w:t>本项目整体技术方案A (2.0分)</w:t>
            </w:r>
          </w:p>
        </w:tc>
        <w:tc>
          <w:tcPr>
            <w:tcW w:type="dxa" w:w="5076"/>
          </w:tcPr>
          <w:p>
            <w:pPr>
              <w:pStyle w:val="null3"/>
              <w:jc w:val="left"/>
            </w:pPr>
            <w:r>
              <w:rPr/>
              <w:t>根据投标人针对本项目制定的总体技术方案进行综合评分：能提供总体技术方案，结合施工现场空间布局设计和声音工程效果，得2分；未提供或提供不全的本项与下列“本项目整体技术方案B”均不得分</w:t>
            </w:r>
          </w:p>
        </w:tc>
      </w:tr>
      <w:tr>
        <w:tc>
          <w:tcPr>
            <w:tcW w:type="dxa" w:w="922"/>
            <w:gridSpan w:val="2"/>
            <w:vMerge/>
          </w:tcPr>
          <w:p/>
        </w:tc>
        <w:tc>
          <w:tcPr>
            <w:tcW w:type="dxa" w:w="2307"/>
          </w:tcPr>
          <w:p>
            <w:pPr>
              <w:pStyle w:val="null3"/>
              <w:jc w:val="left"/>
            </w:pPr>
            <w:r>
              <w:rPr/>
              <w:t>本项目整体技术方案B (3.0分)</w:t>
            </w:r>
          </w:p>
        </w:tc>
        <w:tc>
          <w:tcPr>
            <w:tcW w:type="dxa" w:w="5076"/>
          </w:tcPr>
          <w:p>
            <w:pPr>
              <w:pStyle w:val="null3"/>
              <w:jc w:val="left"/>
            </w:pPr>
            <w:r>
              <w:rPr/>
              <w:t>总体技术方案能同时包括项目实施方案、质量保障方案、调试验收方案等内容的，能优于采购需求的得3分；能完全满足的得1.5分，不满足购需求或其他的，不得分。</w:t>
            </w:r>
          </w:p>
        </w:tc>
      </w:tr>
      <w:tr>
        <w:tc>
          <w:tcPr>
            <w:tcW w:type="dxa" w:w="922"/>
            <w:gridSpan w:val="2"/>
            <w:vMerge/>
          </w:tcPr>
          <w:p/>
        </w:tc>
        <w:tc>
          <w:tcPr>
            <w:tcW w:type="dxa" w:w="2307"/>
          </w:tcPr>
          <w:p>
            <w:pPr>
              <w:pStyle w:val="null3"/>
              <w:jc w:val="left"/>
            </w:pPr>
            <w:r>
              <w:rPr/>
              <w:t>售后服务方案A (2.0分)</w:t>
            </w:r>
          </w:p>
        </w:tc>
        <w:tc>
          <w:tcPr>
            <w:tcW w:type="dxa" w:w="5076"/>
          </w:tcPr>
          <w:p>
            <w:pPr>
              <w:pStyle w:val="null3"/>
              <w:jc w:val="left"/>
            </w:pPr>
            <w:r>
              <w:rPr/>
              <w:t>根据投标人针对本项目制定的售后服务方案进行综合评分：能提供售后服务方案，得2分；未提供或提供不全的本项与下列“售后服务方案B”均不得分。</w:t>
            </w:r>
          </w:p>
        </w:tc>
      </w:tr>
      <w:tr>
        <w:tc>
          <w:tcPr>
            <w:tcW w:type="dxa" w:w="922"/>
            <w:gridSpan w:val="2"/>
            <w:vMerge/>
          </w:tcPr>
          <w:p/>
        </w:tc>
        <w:tc>
          <w:tcPr>
            <w:tcW w:type="dxa" w:w="2307"/>
          </w:tcPr>
          <w:p>
            <w:pPr>
              <w:pStyle w:val="null3"/>
              <w:jc w:val="left"/>
            </w:pPr>
            <w:r>
              <w:rPr/>
              <w:t>售后服务方案B (2.0分)</w:t>
            </w:r>
          </w:p>
        </w:tc>
        <w:tc>
          <w:tcPr>
            <w:tcW w:type="dxa" w:w="5076"/>
          </w:tcPr>
          <w:p>
            <w:pPr>
              <w:pStyle w:val="null3"/>
              <w:jc w:val="left"/>
            </w:pPr>
            <w:r>
              <w:rPr/>
              <w:t>售后服务方案能同时包括项目技术支持、售后服务、培训要求等内容的，能优于采购需求的得2分；能完全满足的得1分，不满足采购需求或其他的，不得分。</w:t>
            </w:r>
          </w:p>
        </w:tc>
      </w:tr>
      <w:tr>
        <w:tc>
          <w:tcPr>
            <w:tcW w:type="dxa" w:w="922"/>
            <w:gridSpan w:val="2"/>
            <w:vMerge/>
          </w:tcPr>
          <w:p/>
        </w:tc>
        <w:tc>
          <w:tcPr>
            <w:tcW w:type="dxa" w:w="2307"/>
          </w:tcPr>
          <w:p>
            <w:pPr>
              <w:pStyle w:val="null3"/>
              <w:jc w:val="left"/>
            </w:pPr>
            <w:r>
              <w:rPr/>
              <w:t>原型演示 (15.0分)</w:t>
            </w:r>
          </w:p>
        </w:tc>
        <w:tc>
          <w:tcPr>
            <w:tcW w:type="dxa" w:w="5076"/>
          </w:tcPr>
          <w:p>
            <w:pPr>
              <w:pStyle w:val="null3"/>
              <w:jc w:val="left"/>
            </w:pPr>
            <w:r>
              <w:rPr/>
              <w:t>供应商需现场对本次投标的产品功能演示进行考核，要求以下功能须进行原型现场演示（演示软硬件环境由供应商自行准备），系统演示采用PPT、录屏文件、录像文件、动画等非真实程序方式演示的，不得分。 本项演示总分15分，共12条小项，每小项演示过程完全满足或优于采购需求则得1.25分。 内容为： （一）靶场-WEB应用防火墙原型演示内容： 1. 支持智能识别攻击者，对发起攻击的IP进行自动阻塞，禁止其进行访问。可配置阻塞时间. 2. 对于同一台WAF设备，支持切换运行模式，运行模式包括：单机、节点机、中心机。当切换为中心机时，即具备集中管理能力。 （二）靶场-堡垒机原型演示内容： 1. 支持标准化对接CAS、JWT、SAML2、OAuth2单点登录认证，且支持配置是否自动创建堡垒机中不存在用户。 2. 具备自动化编排能力，通过编排动作流的方式，对目标资产进行定时或周期性的自动化运维。动作流可包括：上传文件、执行命令、下载文件等。动作流会按设定好的顺序进行执行，对于常见的运维工作，如升级、巡检等，均可通过此能力快速执行。 （三）靶场-漏洞扫描原型演示内容： 支持VPN代理扫描，可在产品界面添加代理网络配置，实现公有云、隔离网等特殊网络环境下的漏洞扫描。 （四）靶场-靶场节点防御平台原型演示内容： 1. 支持主机在线时长监控查询，显示终端在线累积时长、离线累积时长、最近下线时间、总时长等信息。 2. 内嵌2000+检测模型，覆盖ATT&amp;CK矩阵的12种攻击战术及131种攻击技术，在多维分析模型的能力下，实现对海量终端安全事件的分析，针对入侵行为进行秒级告警。 （五）导控-态势研判云桌面系统原型演示内容： 1. 终端需支持不少于1个SIM SLOT（外部可灵活拆卸、扩容）； 2. 支持师生在屏幕广播期间发送弹幕进行双向互动，教师可将学生发送的弹幕进行置顶和引用，针对恶意弹幕教师可进行删除，在弹幕成员管理中可查看当前接入的所有学生以及发言状态，教师可将学生进行弹幕禁言及解禁操作，师生双方可发送指定表情进行更便捷的信息互动。退出屏幕广播后，教师可查看当前课程的所有弹幕记录。 （六）管理-云桌面检查与审计装置原型演示内容： 1. 支持检查Internet Explorer、Chrome、Firefox等浏览器上网记录、Cookie记录。 2. 查看主机上已经启动的可能有风险的服务程序，包括：如Task Scheduler、Print Spooler、Remote Registry等服务。 3. 具有快速扫描，深度扫描，自定义扫描功能；具有自定义扫描功能，支持文件类型、优先级、扫描策略等用户自定义。</w:t>
            </w:r>
          </w:p>
        </w:tc>
      </w:tr>
      <w:tr>
        <w:tc>
          <w:tcPr>
            <w:tcW w:type="dxa" w:w="922"/>
            <w:gridSpan w:val="2"/>
            <w:vMerge/>
          </w:tcPr>
          <w:p/>
        </w:tc>
        <w:tc>
          <w:tcPr>
            <w:tcW w:type="dxa" w:w="2307"/>
          </w:tcPr>
          <w:p>
            <w:pPr>
              <w:pStyle w:val="null3"/>
              <w:jc w:val="left"/>
            </w:pPr>
            <w:r>
              <w:rPr/>
              <w:t>对优先采购产品类别的评审优惠 (1.0分)</w:t>
            </w:r>
          </w:p>
        </w:tc>
        <w:tc>
          <w:tcPr>
            <w:tcW w:type="dxa" w:w="5076"/>
          </w:tcPr>
          <w:p>
            <w:pPr>
              <w:pStyle w:val="null3"/>
              <w:jc w:val="left"/>
            </w:pPr>
            <w:r>
              <w:rPr/>
              <w:t>每提供一份环境标志产品认证证书，得0.5分，最高得1分。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拟投入项目经理人员情况 (5.0分)</w:t>
            </w:r>
          </w:p>
        </w:tc>
        <w:tc>
          <w:tcPr>
            <w:tcW w:type="dxa" w:w="5076"/>
          </w:tcPr>
          <w:p>
            <w:pPr>
              <w:pStyle w:val="null3"/>
              <w:jc w:val="left"/>
            </w:pPr>
            <w:r>
              <w:rPr/>
              <w:t>拟投入本项目的项目经理1名，需具备以下证书：1、本科学历，得2分,不提供不得分。；2、具有“计算机技术与软件专业技术资格（水平）考试”的系统集成项目管理工程师证书，得3分，不提供不得分；注：须提供以上证书扫描件或标注“人力资源和社会保障部人事考试中心提供査询结果”字样的证明材料及项目经理在供应商服务的外部证明材料扫描件，如投标截止日之前六个月以内任意月份的参加社会保险的《投保单》或《社会保险参保人员证明》等。无提供的不得分。</w:t>
            </w:r>
          </w:p>
        </w:tc>
      </w:tr>
      <w:tr>
        <w:tc>
          <w:tcPr>
            <w:tcW w:type="dxa" w:w="922"/>
            <w:gridSpan w:val="2"/>
            <w:vMerge/>
          </w:tcPr>
          <w:p/>
        </w:tc>
        <w:tc>
          <w:tcPr>
            <w:tcW w:type="dxa" w:w="2307"/>
          </w:tcPr>
          <w:p>
            <w:pPr>
              <w:pStyle w:val="null3"/>
              <w:jc w:val="left"/>
            </w:pPr>
            <w:r>
              <w:rPr/>
              <w:t>拟投入本项目技术人员情况（项目经理除外） (4.0分)</w:t>
            </w:r>
          </w:p>
        </w:tc>
        <w:tc>
          <w:tcPr>
            <w:tcW w:type="dxa" w:w="5076"/>
          </w:tcPr>
          <w:p>
            <w:pPr>
              <w:pStyle w:val="null3"/>
              <w:jc w:val="left"/>
            </w:pPr>
            <w:r>
              <w:rPr/>
              <w:t>拟投入本项目的技术人员，需具备以下证书 1、具有“计算机技术与软件专业技术资格（水平）考试”的系统集成项目管理工程师证书 ，得2分，不提供不得分。 2、具有“计算机技术与软件专业技术资格（水平）考试”的网络工程师，得2分，不提供不得分。同一人拥有两项证书得分不累计。注：须提供以上证书扫描件或标注“人力资源和社会保障部人事考试中心提供査询结果”字样的证明材料及项目技术负责人在供应商服务的外部证明材料扫描件，如投标截止日之前六个月以内任意月份的参加社会保险的《投保单》或《社会保险参保人员证明》等。无提供的不得分。</w:t>
            </w:r>
          </w:p>
        </w:tc>
      </w:tr>
      <w:tr>
        <w:tc>
          <w:tcPr>
            <w:tcW w:type="dxa" w:w="922"/>
            <w:gridSpan w:val="2"/>
            <w:vMerge/>
          </w:tcPr>
          <w:p/>
        </w:tc>
        <w:tc>
          <w:tcPr>
            <w:tcW w:type="dxa" w:w="2307"/>
          </w:tcPr>
          <w:p>
            <w:pPr>
              <w:pStyle w:val="null3"/>
              <w:jc w:val="left"/>
            </w:pPr>
            <w:r>
              <w:rPr/>
              <w:t>供应商具有的管理体系认证情况 (2.0分)</w:t>
            </w:r>
          </w:p>
        </w:tc>
        <w:tc>
          <w:tcPr>
            <w:tcW w:type="dxa" w:w="5076"/>
          </w:tcPr>
          <w:p>
            <w:pPr>
              <w:pStyle w:val="null3"/>
              <w:jc w:val="left"/>
            </w:pPr>
            <w:r>
              <w:rPr/>
              <w:t>供应商具有质量管理体系认证证书的得1分；供应商具有环境管理体系认证证书的得0.5分；供应商具有职业健康安全管理体系认证证书的得0.5分。注：提供有效期内的证书扫描件，体系认证证书需提供在“全国认证认可信息公共服务平台”的信息查询截图，已失效或撤销的不得分</w:t>
            </w:r>
          </w:p>
        </w:tc>
      </w:tr>
      <w:tr>
        <w:tc>
          <w:tcPr>
            <w:tcW w:type="dxa" w:w="922"/>
            <w:gridSpan w:val="2"/>
            <w:vMerge/>
          </w:tcPr>
          <w:p/>
        </w:tc>
        <w:tc>
          <w:tcPr>
            <w:tcW w:type="dxa" w:w="2307"/>
          </w:tcPr>
          <w:p>
            <w:pPr>
              <w:pStyle w:val="null3"/>
              <w:jc w:val="left"/>
            </w:pPr>
            <w:r>
              <w:rPr/>
              <w:t>供应商在2021年以来具有同类项目经验，以合同关键页扫描件为准。（分公司投标的，总公司（总所）及其下属分支机构的业绩可纳入评审） (3.0分)</w:t>
            </w:r>
          </w:p>
        </w:tc>
        <w:tc>
          <w:tcPr>
            <w:tcW w:type="dxa" w:w="5076"/>
          </w:tcPr>
          <w:p>
            <w:pPr>
              <w:pStyle w:val="null3"/>
              <w:jc w:val="left"/>
            </w:pPr>
            <w:r>
              <w:rPr/>
              <w:t>提供2021年以来同时具有网络安全和信息安全类的项目经验，提供合同关键页扫描件（包括项目名称，甲乙双方名称，甲乙双方盖章，合同签订时间）。每提供一个得0.5分，最高3分。（请供应商严格按照要求提交相关证明材料，两类经验需要在同一个项目中体现，不提供不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供应商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详见合同附件</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440101-2024-23198</w:t>
      </w:r>
    </w:p>
    <w:p>
      <w:pPr>
        <w:pStyle w:val="null3"/>
        <w:jc w:val="center"/>
        <w:outlineLvl w:val="3"/>
      </w:pPr>
      <w:r>
        <w:rPr>
          <w:sz w:val="24"/>
          <w:b/>
        </w:rPr>
        <w:t>采购项目编号：</w:t>
      </w:r>
      <w:r>
        <w:rPr>
          <w:sz w:val="24"/>
          <w:b/>
        </w:rPr>
        <w:t>CC2024-5050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广州市政府采购中心</w:t>
      </w:r>
    </w:p>
    <w:p>
      <w:pPr>
        <w:pStyle w:val="null3"/>
        <w:ind w:firstLine="480"/>
      </w:pPr>
      <w:r>
        <w:rPr/>
        <w:t xml:space="preserve"> 你方组织的</w:t>
      </w:r>
      <w:r>
        <w:rPr>
          <w:u w:val="single"/>
        </w:rPr>
        <w:t>“</w:t>
      </w:r>
      <w:r>
        <w:rPr>
          <w:u w:val="single"/>
        </w:rPr>
        <w:t>广州大学2024年网络空间安全中央实验室网络靶场扩容建设项目</w:t>
      </w:r>
      <w:r>
        <w:rPr>
          <w:u w:val="single"/>
        </w:rPr>
        <w:t>”</w:t>
      </w:r>
      <w:r>
        <w:rPr/>
        <w:t>项目的竞争性磋商[采购项目编号为：</w:t>
      </w:r>
      <w:r>
        <w:rPr>
          <w:u w:val="single"/>
        </w:rPr>
        <w:t>CC2024-5050</w:t>
      </w:r>
      <w:r>
        <w:rPr/>
        <w:t>]，我方愿参与响应。</w:t>
      </w:r>
    </w:p>
    <w:p>
      <w:pPr>
        <w:pStyle w:val="null3"/>
        <w:ind w:firstLine="480"/>
      </w:pPr>
      <w:r>
        <w:rPr/>
        <w:t>我方确认收到贵方提供的</w:t>
      </w:r>
      <w:r>
        <w:rPr>
          <w:u w:val="single"/>
        </w:rPr>
        <w:t>“</w:t>
      </w:r>
      <w:r>
        <w:rPr>
          <w:u w:val="single"/>
        </w:rPr>
        <w:t>广州大学2024年网络空间安全中央实验室网络靶场扩容建设项目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广州大学2024年网络空间安全中央实验室网络靶场扩容建设项目</w:t>
      </w:r>
      <w:r>
        <w:rPr/>
        <w:t>”项目采购[采购项目编号为</w:t>
      </w:r>
      <w:r>
        <w:rPr/>
        <w:t>CC2024-5050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广州市政府采购中心</w:t>
      </w:r>
    </w:p>
    <w:p>
      <w:pPr>
        <w:pStyle w:val="null3"/>
        <w:ind w:firstLine="480"/>
      </w:pPr>
      <w:r>
        <w:rPr/>
        <w:t>我单位参加贵公司组织的</w:t>
      </w:r>
      <w:r>
        <w:rPr/>
        <w:t>广州大学2024年网络空间安全中央实验室网络靶场扩容建设项目</w:t>
      </w:r>
      <w:r>
        <w:rPr/>
        <w:t>（采购项目编号：</w:t>
      </w:r>
      <w:r>
        <w:rPr/>
        <w:t>CC2024-5050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