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版本号：N513424202500004620250627002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医疗废物处置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N5134242025000046</w:t>
      </w:r>
    </w:p>
    <w:p>
      <w:pPr>
        <w:pStyle w:val="null3"/>
        <w:jc w:val="left"/>
        <w:outlineLvl w:val="2"/>
      </w:pPr>
      <w:r>
        <w:rPr>
          <w:rFonts w:ascii="仿宋_GB2312" w:hAnsi="仿宋_GB2312" w:cs="仿宋_GB2312" w:eastAsia="仿宋_GB2312"/>
          <w:sz w:val="28"/>
          <w:b/>
        </w:rPr>
        <w:t>德昌县人民医院</w:t>
      </w:r>
    </w:p>
    <w:p>
      <w:pPr>
        <w:pStyle w:val="null3"/>
        <w:jc w:val="center"/>
        <w:outlineLvl w:val="2"/>
      </w:pPr>
      <w:r>
        <w:rPr>
          <w:rFonts w:ascii="仿宋_GB2312" w:hAnsi="仿宋_GB2312" w:cs="仿宋_GB2312" w:eastAsia="仿宋_GB2312"/>
          <w:sz w:val="28"/>
          <w:b/>
        </w:rPr>
        <w:t>四川全诚招标代理有限公司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四川全诚招标代理有限公司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德昌县人民医院</w:t>
      </w:r>
      <w:r>
        <w:rPr>
          <w:rFonts w:ascii="仿宋_GB2312" w:hAnsi="仿宋_GB2312" w:cs="仿宋_GB2312" w:eastAsia="仿宋_GB2312"/>
        </w:rPr>
        <w:t xml:space="preserve"> 委托，拟对 </w:t>
      </w:r>
      <w:r>
        <w:rPr>
          <w:rFonts w:ascii="仿宋_GB2312" w:hAnsi="仿宋_GB2312" w:cs="仿宋_GB2312" w:eastAsia="仿宋_GB2312"/>
        </w:rPr>
        <w:t>医疗废物处置</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凉山彝族自治州德昌县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N5134242025000046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医疗废物处置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本项目为医疗废物处置服务采购项目，拟采购一家供应商提供相关服务。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有效期内的《危险废物经营许可证》或《危险废物经营许可证》，核准经营危险废物类别中须包含医疗废物HW01中(841-001-01“感染性废物”、841-002-01“损伤性废物”）。（描述：供应商须具有有效期内的《危险废物经营许可证》或《危险废物经营许可证》，核准经营危险废物类别中须包含医疗废物HW01中(841-001-01“感染性废物”、841-002-01“损伤性废物”）。提供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德昌县人民医院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德州街道南坛北路1号（德昌县人民医院新院区）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陶春华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0834-5287481</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四川全诚招标代理有限公司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西昌市大巷口下街50号（西美尚品德育楼8楼）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0834-8220508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采购包1：388,000.00元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代理服务费收费标准：根据《四川省政府采购营商环境指标提升专项行动工作方案》中“成本+合理利润”原则计取，以成交金额为基准，金额为成交金额×2%，不足6000元的，按6000元收取。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德昌县人民医院</w:t>
      </w:r>
      <w:r>
        <w:rPr>
          <w:rFonts w:ascii="仿宋_GB2312" w:hAnsi="仿宋_GB2312" w:cs="仿宋_GB2312" w:eastAsia="仿宋_GB2312"/>
        </w:rPr>
        <w:t xml:space="preserve"> 和 </w:t>
      </w:r>
      <w:r>
        <w:rPr>
          <w:rFonts w:ascii="仿宋_GB2312" w:hAnsi="仿宋_GB2312" w:cs="仿宋_GB2312" w:eastAsia="仿宋_GB2312"/>
        </w:rPr>
        <w:t>四川全诚招标代理有限公司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德昌县人民医院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四川全诚招标代理有限公司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三、供应商应当及时查看更正公告、更正信息，并根据更正公告、更正信息要求，下载更正后的谈判文件，进行响应文件编制。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三、成交供应商完全遵守《中华人民共和国劳动合同法》有关规定和《中华人民共和国妇女权益保障法》中关于“劳动和社会保障权益”的有关要求。</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供应商履约满6个月</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供应商履约完成</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按采购文件、响应文件及合同要求的内容执行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按采购文件、响应文件及合同要求的内容执行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德昌县人民医院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四川全诚招标代理有限公司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四川全诚招标代理有限公司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联系电话：0834-8220508</w:t>
      </w:r>
    </w:p>
    <w:p>
      <w:pPr>
        <w:pStyle w:val="null3"/>
        <w:jc w:val="left"/>
      </w:pPr>
      <w:r>
        <w:rPr>
          <w:rFonts w:ascii="仿宋_GB2312" w:hAnsi="仿宋_GB2312" w:cs="仿宋_GB2312" w:eastAsia="仿宋_GB2312"/>
        </w:rPr>
        <w:t>地址：西昌市大巷口下街50号（西美尚品德育楼8楼）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（一）对可以质疑的谈判文件提出质疑的，为收到谈判文件之日或者谈判文件公告期限届满之日；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财政部门联系方式详见四川政府采购网-下载专区-政府采购供应商投诉书范本-政府采购供应商投诉书范本及受理投诉联系方式。正文</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388,000.00</w:t>
      </w:r>
    </w:p>
    <w:p>
      <w:pPr>
        <w:pStyle w:val="null3"/>
        <w:jc w:val="left"/>
      </w:pPr>
      <w:r>
        <w:rPr>
          <w:rFonts w:ascii="仿宋_GB2312" w:hAnsi="仿宋_GB2312" w:cs="仿宋_GB2312" w:eastAsia="仿宋_GB2312"/>
        </w:rPr>
        <w:t>采购包最高限价（元）: 388,000.00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医疗废物处置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388,000.00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医疗废物处置</w:t>
            </w:r>
          </w:p>
        </w:tc>
        <w:tc>
          <w:tcPr>
            <w:tcW w:type="dxa" w:w="1138"/>
          </w:tcPr>
          <w:p>
            <w:pPr>
              <w:pStyle w:val="null3"/>
              <w:jc w:val="center"/>
            </w:pPr>
            <w:r>
              <w:rPr>
                <w:rFonts w:ascii="仿宋_GB2312" w:hAnsi="仿宋_GB2312" w:cs="仿宋_GB2312" w:eastAsia="仿宋_GB2312"/>
              </w:rPr>
              <w:t>1.00（年）</w:t>
            </w:r>
          </w:p>
        </w:tc>
        <w:tc>
          <w:tcPr>
            <w:tcW w:type="dxa" w:w="1365"/>
          </w:tcPr>
          <w:p>
            <w:pPr>
              <w:pStyle w:val="null3"/>
              <w:jc w:val="center"/>
            </w:pPr>
            <w:r>
              <w:rPr>
                <w:rFonts w:ascii="仿宋_GB2312" w:hAnsi="仿宋_GB2312" w:cs="仿宋_GB2312" w:eastAsia="仿宋_GB2312"/>
              </w:rPr>
              <w:t>388,000.00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标的名称：医疗废物处置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20"/>
              <w:jc w:val="left"/>
            </w:pPr>
            <w:r>
              <w:rPr>
                <w:rFonts w:ascii="仿宋_GB2312" w:hAnsi="仿宋_GB2312" w:cs="仿宋_GB2312" w:eastAsia="仿宋_GB2312"/>
                <w:sz w:val="24"/>
              </w:rPr>
              <w:t>（一）项目范围及内容</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4"/>
              </w:rPr>
              <w:t>医疗废弃物处置委托运行处置单位负责对德昌县人民医院医疗废物进行转运、处理。供应商需提供转运、处理相应资质。</w:t>
            </w:r>
            <w:r>
              <w:rPr>
                <w:rFonts w:ascii="仿宋_GB2312" w:hAnsi="仿宋_GB2312" w:cs="仿宋_GB2312" w:eastAsia="仿宋_GB2312"/>
                <w:sz w:val="24"/>
              </w:rPr>
              <w:t>（供应商自有需提供：</w:t>
            </w:r>
            <w:r>
              <w:rPr>
                <w:rFonts w:ascii="仿宋_GB2312" w:hAnsi="仿宋_GB2312" w:cs="仿宋_GB2312" w:eastAsia="仿宋_GB2312"/>
                <w:sz w:val="24"/>
              </w:rPr>
              <w:t>①</w:t>
            </w:r>
            <w:r>
              <w:rPr>
                <w:rFonts w:ascii="仿宋_GB2312" w:hAnsi="仿宋_GB2312" w:cs="仿宋_GB2312" w:eastAsia="仿宋_GB2312"/>
                <w:sz w:val="24"/>
              </w:rPr>
              <w:t>有效的道路运输经营许可证（经营范围包含：危险货物运输（医疗废物）类</w:t>
            </w:r>
            <w:r>
              <w:rPr>
                <w:rFonts w:ascii="仿宋_GB2312" w:hAnsi="仿宋_GB2312" w:cs="仿宋_GB2312" w:eastAsia="仿宋_GB2312"/>
                <w:sz w:val="24"/>
              </w:rPr>
              <w:t>。如与第三方合作需提供：</w:t>
            </w:r>
            <w:r>
              <w:rPr>
                <w:rFonts w:ascii="仿宋_GB2312" w:hAnsi="仿宋_GB2312" w:cs="仿宋_GB2312" w:eastAsia="仿宋_GB2312"/>
                <w:sz w:val="24"/>
              </w:rPr>
              <w:t>①</w:t>
            </w:r>
            <w:r>
              <w:rPr>
                <w:rFonts w:ascii="仿宋_GB2312" w:hAnsi="仿宋_GB2312" w:cs="仿宋_GB2312" w:eastAsia="仿宋_GB2312"/>
                <w:sz w:val="24"/>
              </w:rPr>
              <w:t>第三方</w:t>
            </w:r>
            <w:r>
              <w:rPr>
                <w:rFonts w:ascii="仿宋_GB2312" w:hAnsi="仿宋_GB2312" w:cs="仿宋_GB2312" w:eastAsia="仿宋_GB2312"/>
                <w:sz w:val="24"/>
              </w:rPr>
              <w:t>有效的道路运输经营许可证（经营范围包含：危险货物运输（医疗废物）类；</w:t>
            </w:r>
            <w:r>
              <w:rPr>
                <w:rFonts w:ascii="仿宋_GB2312" w:hAnsi="仿宋_GB2312" w:cs="仿宋_GB2312" w:eastAsia="仿宋_GB2312"/>
                <w:sz w:val="24"/>
              </w:rPr>
              <w:t>②</w:t>
            </w:r>
            <w:r>
              <w:rPr>
                <w:rFonts w:ascii="仿宋_GB2312" w:hAnsi="仿宋_GB2312" w:cs="仿宋_GB2312" w:eastAsia="仿宋_GB2312"/>
                <w:sz w:val="24"/>
              </w:rPr>
              <w:t>在合同期内的合作合同；</w:t>
            </w:r>
            <w:r>
              <w:rPr>
                <w:rFonts w:ascii="仿宋_GB2312" w:hAnsi="仿宋_GB2312" w:cs="仿宋_GB2312" w:eastAsia="仿宋_GB2312"/>
                <w:sz w:val="24"/>
              </w:rPr>
              <w:t>③</w:t>
            </w:r>
            <w:r>
              <w:rPr>
                <w:rFonts w:ascii="仿宋_GB2312" w:hAnsi="仿宋_GB2312" w:cs="仿宋_GB2312" w:eastAsia="仿宋_GB2312"/>
                <w:sz w:val="24"/>
              </w:rPr>
              <w:t>近一年内任意月份的支付证明）</w:t>
            </w:r>
          </w:p>
          <w:p>
            <w:pPr>
              <w:pStyle w:val="null3"/>
              <w:ind w:firstLine="420"/>
              <w:jc w:val="left"/>
            </w:pPr>
            <w:r>
              <w:rPr>
                <w:rFonts w:ascii="仿宋_GB2312" w:hAnsi="仿宋_GB2312" w:cs="仿宋_GB2312" w:eastAsia="仿宋_GB2312"/>
                <w:sz w:val="24"/>
              </w:rPr>
              <w:t>①负责德昌县人民医院医疗废物处理中心的医疗垃圾处理工作。</w:t>
            </w:r>
          </w:p>
          <w:p>
            <w:pPr>
              <w:pStyle w:val="null3"/>
              <w:ind w:firstLine="420"/>
              <w:jc w:val="left"/>
            </w:pPr>
            <w:r>
              <w:rPr>
                <w:rFonts w:ascii="仿宋_GB2312" w:hAnsi="仿宋_GB2312" w:cs="仿宋_GB2312" w:eastAsia="仿宋_GB2312"/>
                <w:sz w:val="24"/>
              </w:rPr>
              <w:t>②负责使用本医疗废物处置中心的现有设备，对到医废中心收集运输的医疗垃圾进行规范处理，备注：西林瓶等医疗废物包含在转运处置范围内。</w:t>
            </w:r>
          </w:p>
          <w:p>
            <w:pPr>
              <w:pStyle w:val="null3"/>
              <w:ind w:firstLine="420"/>
              <w:jc w:val="left"/>
            </w:pPr>
            <w:r>
              <w:rPr>
                <w:rFonts w:ascii="仿宋_GB2312" w:hAnsi="仿宋_GB2312" w:cs="仿宋_GB2312" w:eastAsia="仿宋_GB2312"/>
                <w:sz w:val="24"/>
              </w:rPr>
              <w:t>③负责对医疗处理设备的保养维护工作，并承担保养维护费用。</w:t>
            </w:r>
          </w:p>
          <w:p>
            <w:pPr>
              <w:pStyle w:val="null3"/>
              <w:ind w:firstLine="420"/>
              <w:jc w:val="left"/>
            </w:pPr>
            <w:r>
              <w:rPr>
                <w:rFonts w:ascii="仿宋_GB2312" w:hAnsi="仿宋_GB2312" w:cs="仿宋_GB2312" w:eastAsia="仿宋_GB2312"/>
                <w:sz w:val="24"/>
              </w:rPr>
              <w:t>④负责建立医疗废物处置操作规程，完善安全环境管理制度;</w:t>
            </w:r>
          </w:p>
          <w:p>
            <w:pPr>
              <w:pStyle w:val="null3"/>
              <w:ind w:firstLine="420"/>
              <w:jc w:val="left"/>
            </w:pPr>
            <w:r>
              <w:rPr>
                <w:rFonts w:ascii="仿宋_GB2312" w:hAnsi="仿宋_GB2312" w:cs="仿宋_GB2312" w:eastAsia="仿宋_GB2312"/>
                <w:sz w:val="24"/>
              </w:rPr>
              <w:t>⑤负责建立医疗废物处置应急处理制度。</w:t>
            </w:r>
          </w:p>
          <w:p>
            <w:pPr>
              <w:pStyle w:val="null3"/>
              <w:ind w:firstLine="420"/>
              <w:jc w:val="left"/>
            </w:pPr>
            <w:r>
              <w:rPr>
                <w:rFonts w:ascii="仿宋_GB2312" w:hAnsi="仿宋_GB2312" w:cs="仿宋_GB2312" w:eastAsia="仿宋_GB2312"/>
                <w:sz w:val="24"/>
              </w:rPr>
              <w:t>⑥负责运营期间环保相关事宜。</w:t>
            </w:r>
          </w:p>
          <w:p>
            <w:pPr>
              <w:pStyle w:val="null3"/>
              <w:ind w:firstLine="420"/>
              <w:jc w:val="left"/>
            </w:pPr>
            <w:r>
              <w:rPr>
                <w:rFonts w:ascii="仿宋_GB2312" w:hAnsi="仿宋_GB2312" w:cs="仿宋_GB2312" w:eastAsia="仿宋_GB2312"/>
                <w:sz w:val="24"/>
              </w:rPr>
              <w:t>（二）服务要求：</w:t>
            </w:r>
          </w:p>
          <w:p>
            <w:pPr>
              <w:pStyle w:val="null3"/>
              <w:ind w:firstLine="420"/>
              <w:jc w:val="left"/>
            </w:pPr>
            <w:r>
              <w:rPr>
                <w:rFonts w:ascii="仿宋_GB2312" w:hAnsi="仿宋_GB2312" w:cs="仿宋_GB2312" w:eastAsia="仿宋_GB2312"/>
                <w:sz w:val="24"/>
              </w:rPr>
              <w:t>1、质量要求</w:t>
            </w:r>
          </w:p>
          <w:p>
            <w:pPr>
              <w:pStyle w:val="null3"/>
              <w:ind w:firstLine="420"/>
              <w:jc w:val="left"/>
            </w:pPr>
            <w:r>
              <w:rPr>
                <w:rFonts w:ascii="仿宋_GB2312" w:hAnsi="仿宋_GB2312" w:cs="仿宋_GB2312" w:eastAsia="仿宋_GB2312"/>
                <w:sz w:val="24"/>
              </w:rPr>
              <w:t>1.1</w:t>
            </w:r>
            <w:r>
              <w:rPr>
                <w:rFonts w:ascii="仿宋_GB2312" w:hAnsi="仿宋_GB2312" w:cs="仿宋_GB2312" w:eastAsia="仿宋_GB2312"/>
                <w:sz w:val="24"/>
              </w:rPr>
              <w:t>采购文件</w:t>
            </w:r>
            <w:r>
              <w:rPr>
                <w:rFonts w:ascii="仿宋_GB2312" w:hAnsi="仿宋_GB2312" w:cs="仿宋_GB2312" w:eastAsia="仿宋_GB2312"/>
                <w:sz w:val="24"/>
              </w:rPr>
              <w:t>及供应商承诺的质量、技术和其他要求，符合国家相关的质量标准，能满足采购人的采购需求。</w:t>
            </w:r>
          </w:p>
          <w:p>
            <w:pPr>
              <w:pStyle w:val="null3"/>
              <w:ind w:firstLine="420"/>
              <w:jc w:val="left"/>
            </w:pPr>
            <w:r>
              <w:rPr>
                <w:rFonts w:ascii="仿宋_GB2312" w:hAnsi="仿宋_GB2312" w:cs="仿宋_GB2312" w:eastAsia="仿宋_GB2312"/>
                <w:sz w:val="24"/>
              </w:rPr>
              <w:t>2.服务要求</w:t>
            </w:r>
          </w:p>
          <w:p>
            <w:pPr>
              <w:pStyle w:val="null3"/>
              <w:ind w:firstLine="420"/>
              <w:jc w:val="left"/>
            </w:pPr>
            <w:r>
              <w:rPr>
                <w:rFonts w:ascii="仿宋_GB2312" w:hAnsi="仿宋_GB2312" w:cs="仿宋_GB2312" w:eastAsia="仿宋_GB2312"/>
                <w:sz w:val="24"/>
              </w:rPr>
              <w:t>2.1委托运行单位应建立必要的专业处置团队。</w:t>
            </w:r>
          </w:p>
          <w:p>
            <w:pPr>
              <w:pStyle w:val="null3"/>
              <w:ind w:firstLine="420"/>
              <w:jc w:val="left"/>
            </w:pPr>
            <w:r>
              <w:rPr>
                <w:rFonts w:ascii="仿宋_GB2312" w:hAnsi="仿宋_GB2312" w:cs="仿宋_GB2312" w:eastAsia="仿宋_GB2312"/>
                <w:sz w:val="24"/>
              </w:rPr>
              <w:t>2.2委托运行单位团队建设需包括管理人员、容器操作工、电工、机修、焊工、水处理人员等工种。</w:t>
            </w:r>
          </w:p>
          <w:p>
            <w:pPr>
              <w:pStyle w:val="null3"/>
              <w:ind w:firstLine="420"/>
              <w:jc w:val="left"/>
            </w:pPr>
            <w:r>
              <w:rPr>
                <w:rFonts w:ascii="仿宋_GB2312" w:hAnsi="仿宋_GB2312" w:cs="仿宋_GB2312" w:eastAsia="仿宋_GB2312"/>
                <w:sz w:val="24"/>
              </w:rPr>
              <w:t>3.委托运行单位能力要求</w:t>
            </w:r>
          </w:p>
          <w:p>
            <w:pPr>
              <w:pStyle w:val="null3"/>
              <w:ind w:firstLine="420"/>
              <w:jc w:val="left"/>
            </w:pPr>
            <w:r>
              <w:rPr>
                <w:rFonts w:ascii="仿宋_GB2312" w:hAnsi="仿宋_GB2312" w:cs="仿宋_GB2312" w:eastAsia="仿宋_GB2312"/>
                <w:sz w:val="24"/>
              </w:rPr>
              <w:t>3.1委托运行单位必须具备熟练操作高温蒸煮系统、蒸煮后破碎系统、受料及供料系统、自控系统等处理单元的能力;</w:t>
            </w:r>
          </w:p>
          <w:p>
            <w:pPr>
              <w:pStyle w:val="null3"/>
              <w:ind w:firstLine="420"/>
              <w:jc w:val="left"/>
            </w:pPr>
            <w:r>
              <w:rPr>
                <w:rFonts w:ascii="仿宋_GB2312" w:hAnsi="仿宋_GB2312" w:cs="仿宋_GB2312" w:eastAsia="仿宋_GB2312"/>
                <w:sz w:val="24"/>
              </w:rPr>
              <w:t>3.2 委托运行单位必须具备医废处理系统中的主机、锅炉、破碎机、VOC废气、运输机等主要设施设备维护保养的能力。</w:t>
            </w:r>
          </w:p>
          <w:p>
            <w:pPr>
              <w:pStyle w:val="null3"/>
              <w:ind w:firstLine="420"/>
              <w:jc w:val="left"/>
            </w:pPr>
            <w:r>
              <w:rPr>
                <w:rFonts w:ascii="仿宋_GB2312" w:hAnsi="仿宋_GB2312" w:cs="仿宋_GB2312" w:eastAsia="仿宋_GB2312"/>
                <w:sz w:val="24"/>
              </w:rPr>
              <w:t>4.医疗废物的交接</w:t>
            </w:r>
          </w:p>
          <w:p>
            <w:pPr>
              <w:pStyle w:val="null3"/>
              <w:ind w:firstLine="420"/>
              <w:jc w:val="left"/>
            </w:pPr>
            <w:r>
              <w:rPr>
                <w:rFonts w:ascii="仿宋_GB2312" w:hAnsi="仿宋_GB2312" w:cs="仿宋_GB2312" w:eastAsia="仿宋_GB2312"/>
                <w:sz w:val="24"/>
              </w:rPr>
              <w:t>4.1医疗废物运送人员在接收医疗废物时，应外观检查医疗卫生机构是否按规定进行包装、标识，并盛装于周转箱内，不得打开包装袋取出医疗废物。化学性医疗废物应由医疗卫生机构委托有经营资格的危险废物处置单位处置,未取得相应许可的处置单位医疗废物运送人员不得接收化学性医疗废物；</w:t>
            </w:r>
          </w:p>
          <w:p>
            <w:pPr>
              <w:pStyle w:val="null3"/>
              <w:ind w:firstLine="420"/>
              <w:jc w:val="left"/>
            </w:pPr>
            <w:r>
              <w:rPr>
                <w:rFonts w:ascii="仿宋_GB2312" w:hAnsi="仿宋_GB2312" w:cs="仿宋_GB2312" w:eastAsia="仿宋_GB2312"/>
                <w:sz w:val="24"/>
              </w:rPr>
              <w:t>4.2医疗卫生机构交予处置的废物采用危险废物转移联单管理；</w:t>
            </w:r>
          </w:p>
          <w:p>
            <w:pPr>
              <w:pStyle w:val="null3"/>
              <w:ind w:firstLine="420"/>
              <w:jc w:val="left"/>
            </w:pPr>
            <w:r>
              <w:rPr>
                <w:rFonts w:ascii="仿宋_GB2312" w:hAnsi="仿宋_GB2312" w:cs="仿宋_GB2312" w:eastAsia="仿宋_GB2312"/>
                <w:sz w:val="24"/>
              </w:rPr>
              <w:t>4.3每车每次运送的医疗废物采用《医疗废物运送登记卡》管理。</w:t>
            </w:r>
          </w:p>
          <w:p>
            <w:pPr>
              <w:pStyle w:val="null3"/>
              <w:ind w:firstLine="420"/>
              <w:jc w:val="left"/>
            </w:pPr>
            <w:r>
              <w:rPr>
                <w:rFonts w:ascii="仿宋_GB2312" w:hAnsi="仿宋_GB2312" w:cs="仿宋_GB2312" w:eastAsia="仿宋_GB2312"/>
                <w:sz w:val="24"/>
              </w:rPr>
              <w:t>4.4医疗废物处置单位应当填报医疗废物处置月报表，报当地环保主管部门。</w:t>
            </w:r>
          </w:p>
          <w:p>
            <w:pPr>
              <w:pStyle w:val="null3"/>
              <w:ind w:firstLine="420"/>
              <w:jc w:val="left"/>
            </w:pPr>
            <w:r>
              <w:rPr>
                <w:rFonts w:ascii="仿宋_GB2312" w:hAnsi="仿宋_GB2312" w:cs="仿宋_GB2312" w:eastAsia="仿宋_GB2312"/>
                <w:sz w:val="24"/>
              </w:rPr>
              <w:t>5.处理后的医疗垃圾运送</w:t>
            </w:r>
          </w:p>
          <w:p>
            <w:pPr>
              <w:pStyle w:val="null3"/>
              <w:ind w:firstLine="420"/>
              <w:jc w:val="left"/>
            </w:pPr>
            <w:r>
              <w:rPr>
                <w:rFonts w:ascii="仿宋_GB2312" w:hAnsi="仿宋_GB2312" w:cs="仿宋_GB2312" w:eastAsia="仿宋_GB2312"/>
                <w:sz w:val="24"/>
              </w:rPr>
              <w:t>5.1处理后的医疗垃圾运送应当使用专用车辆。车辆厢体应与驾驶室分离并密闭;严禁防止泄露，厢体应达到气密性要求，内壁光滑平整，易于清洗消毒;厢体材料防水、耐腐蚀;厢体底部防液体渗漏，并设清洗污水的排水收集装置。运送车辆应符合《医疗废物转运车技术要求》(GB19217) 。</w:t>
            </w:r>
          </w:p>
          <w:p>
            <w:pPr>
              <w:pStyle w:val="null3"/>
              <w:ind w:firstLine="420"/>
              <w:jc w:val="left"/>
            </w:pPr>
            <w:r>
              <w:rPr>
                <w:rFonts w:ascii="仿宋_GB2312" w:hAnsi="仿宋_GB2312" w:cs="仿宋_GB2312" w:eastAsia="仿宋_GB2312"/>
                <w:sz w:val="24"/>
              </w:rPr>
              <w:t>5.2医疗废物处置单位应当根据总体医疗废物处置方案，配备足够数量的</w:t>
            </w:r>
            <w:r>
              <w:rPr>
                <w:rFonts w:ascii="仿宋_GB2312" w:hAnsi="仿宋_GB2312" w:cs="仿宋_GB2312" w:eastAsia="仿宋_GB2312"/>
                <w:sz w:val="24"/>
              </w:rPr>
              <w:t>专用</w:t>
            </w:r>
            <w:r>
              <w:rPr>
                <w:rFonts w:ascii="仿宋_GB2312" w:hAnsi="仿宋_GB2312" w:cs="仿宋_GB2312" w:eastAsia="仿宋_GB2312"/>
                <w:sz w:val="24"/>
              </w:rPr>
              <w:t>运送车辆和备用应急车辆。医疗废物处置单位应为每辆运送车指定负责人，对处理后的医疗垃圾运送过程负责。</w:t>
            </w:r>
          </w:p>
          <w:p>
            <w:pPr>
              <w:pStyle w:val="null3"/>
              <w:ind w:firstLine="420"/>
              <w:jc w:val="left"/>
            </w:pPr>
            <w:r>
              <w:rPr>
                <w:rFonts w:ascii="仿宋_GB2312" w:hAnsi="仿宋_GB2312" w:cs="仿宋_GB2312" w:eastAsia="仿宋_GB2312"/>
                <w:sz w:val="24"/>
              </w:rPr>
              <w:t>5.3运送频次及范围:采用包干制全年不限次数，平均2天/次。</w:t>
            </w:r>
          </w:p>
          <w:p>
            <w:pPr>
              <w:pStyle w:val="null3"/>
              <w:ind w:firstLine="420"/>
              <w:jc w:val="left"/>
            </w:pPr>
            <w:r>
              <w:rPr>
                <w:rFonts w:ascii="仿宋_GB2312" w:hAnsi="仿宋_GB2312" w:cs="仿宋_GB2312" w:eastAsia="仿宋_GB2312"/>
                <w:sz w:val="24"/>
              </w:rPr>
              <w:t>5.4运送路线:设计专门运送路线避开人口密集区域和交通拥堵道路。</w:t>
            </w:r>
          </w:p>
          <w:p>
            <w:pPr>
              <w:pStyle w:val="null3"/>
              <w:ind w:firstLine="420"/>
              <w:jc w:val="left"/>
            </w:pPr>
            <w:r>
              <w:rPr>
                <w:rFonts w:ascii="仿宋_GB2312" w:hAnsi="仿宋_GB2312" w:cs="仿宋_GB2312" w:eastAsia="仿宋_GB2312"/>
                <w:sz w:val="24"/>
              </w:rPr>
              <w:t>5.5经包装的医疗废物应盛放于可重复使用的专用周转箱(桶)或一次性专用包装容器内。专用周转箱(桶)或一次性专用包装容器应符合《医疗废物专用包装物、容器标准和警示标识规定》。</w:t>
            </w:r>
          </w:p>
          <w:p>
            <w:pPr>
              <w:pStyle w:val="null3"/>
              <w:ind w:firstLine="420"/>
              <w:jc w:val="left"/>
            </w:pPr>
            <w:r>
              <w:rPr>
                <w:rFonts w:ascii="仿宋_GB2312" w:hAnsi="仿宋_GB2312" w:cs="仿宋_GB2312" w:eastAsia="仿宋_GB2312"/>
                <w:sz w:val="24"/>
              </w:rPr>
              <w:t>5.6医疗废物装卸载尽可能采用机械作业，将周转箱整齐地装入车内，尽量减少人工操作;如需手工操作应做好人员防护。</w:t>
            </w:r>
          </w:p>
          <w:p>
            <w:pPr>
              <w:pStyle w:val="null3"/>
              <w:ind w:firstLine="420"/>
              <w:jc w:val="left"/>
            </w:pPr>
            <w:r>
              <w:rPr>
                <w:rFonts w:ascii="仿宋_GB2312" w:hAnsi="仿宋_GB2312" w:cs="仿宋_GB2312" w:eastAsia="仿宋_GB2312"/>
                <w:sz w:val="24"/>
              </w:rPr>
              <w:t>5.7医疗废物处置单位必须设置医疗废物运送车辆清洗场所和污水收集消毒处理设施。</w:t>
            </w:r>
          </w:p>
          <w:p>
            <w:pPr>
              <w:pStyle w:val="null3"/>
              <w:ind w:firstLine="420"/>
              <w:jc w:val="left"/>
            </w:pPr>
            <w:r>
              <w:rPr>
                <w:rFonts w:ascii="仿宋_GB2312" w:hAnsi="仿宋_GB2312" w:cs="仿宋_GB2312" w:eastAsia="仿宋_GB2312"/>
                <w:sz w:val="24"/>
              </w:rPr>
              <w:t>5.8处理后的医疗垃圾运送车辆应至少2天清洗一次避免交叉感染，或当车厢内壁或(和)外表面被污染后，应立刻进行清洗。禁止在社会车辆清洗场所清洗医疗废物运送车辆。</w:t>
            </w:r>
          </w:p>
          <w:p>
            <w:pPr>
              <w:pStyle w:val="null3"/>
              <w:ind w:firstLine="420"/>
              <w:jc w:val="left"/>
            </w:pPr>
            <w:r>
              <w:rPr>
                <w:rFonts w:ascii="仿宋_GB2312" w:hAnsi="仿宋_GB2312" w:cs="仿宋_GB2312" w:eastAsia="仿宋_GB2312"/>
                <w:sz w:val="24"/>
              </w:rPr>
              <w:t>5.9清洗污水应收集入污水消毒处理设施，不可在不具备污水收集消毒处理条件时清洗内壁，禁止任意向环境排放清洗污水。车辆清洗晾干后方可再次投入使用。</w:t>
            </w:r>
          </w:p>
          <w:p>
            <w:pPr>
              <w:pStyle w:val="null3"/>
              <w:jc w:val="left"/>
            </w:pPr>
            <w:r>
              <w:rPr>
                <w:rFonts w:ascii="仿宋_GB2312" w:hAnsi="仿宋_GB2312" w:cs="仿宋_GB2312" w:eastAsia="仿宋_GB2312"/>
                <w:sz w:val="24"/>
              </w:rPr>
              <w:t xml:space="preserve">  6、医疗废物从采购人处与供应商交接签字后转运到指定集中暂存点直至最终处理完毕的过程中，所产生的一切风险、事故等责任由供应商自行承担。</w:t>
            </w:r>
            <w:r>
              <w:rPr>
                <w:rFonts w:ascii="仿宋_GB2312" w:hAnsi="仿宋_GB2312" w:cs="仿宋_GB2312" w:eastAsia="仿宋_GB2312"/>
                <w:sz w:val="24"/>
              </w:rPr>
              <w:t>（单独提供承诺函）</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德昌县人民医院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1、验收由采购人组织，供应商配合进行。 2、严格按照《财政部关于进一步加强政府采购需求和履约验收管理的指导意见》（财库〔2016〕205号）的要求进行。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1、履约满六个月后的15个工作日内，支付合同总款项的50%，达到付款条件起15日内，支付合同总金额的50.00%</w:t>
            </w:r>
          </w:p>
          <w:p>
            <w:pPr>
              <w:pStyle w:val="null3"/>
              <w:jc w:val="left"/>
            </w:pPr>
            <w:r>
              <w:rPr>
                <w:rFonts w:ascii="仿宋_GB2312" w:hAnsi="仿宋_GB2312" w:cs="仿宋_GB2312" w:eastAsia="仿宋_GB2312"/>
              </w:rPr>
              <w:t>2、剩余50%合同期满后15个工作日支付，达到付款条件起15日内，支付合同总金额的50.00%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1、乙方应按约定时间及时收运甲方的医疗废物，如因乙方收运不及时，对医疗废物的处置不达标等造成的医疗废物遗失或环境污染事件，概由乙方承担全部责任。 2、由于中标人原因造成合同不能履行或不能继续履行，且采购人有权追究其造成的一切损失和责任。 二、争议解决办法 （一）因提供的服务或交付的项目成果的质量问题发生争议，由质量技术监督部门或其指定的质量鉴定机构进行质量鉴定。服务及成果符合标准的，鉴定费由甲方承担；服务或成果不符合质量标准的，鉴定费由乙方承担。 （二）合同履行期间,若双方发生争议，可协商或由有关部门调解解决，协商或调解不成的，向甲方所在地人民法院起诉。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供应商需在项目电子化交易系统中按要求填写《投标（响应）函》完成承诺并进行电子签章。需提供：①供应商若为企业法人：提供“统一 社会信用代码营业执照” ；未换证的提供“营业 执照、税务登记证、组织机构代码证或三证合一的营业执照” ；②若为事业法人：提供“统一社 会信用代码法人登记证书” ；未换证的提交“事   业法人登记证书、组织机构代码证” ；③若为其  他组织：提供“对应主管部门颁发的准许执业证  明文件或营业执照” ；④若为自然人：提供“身份 证明材料”。</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需提供其他材料：2023或2024年度经审计的财务报告（包含审计报告和审计报告中所涉及的财务报表和报表附注）；2023或2024年度供应商完整的全套财务报表（应当包括资产负债表、利润表、现金流量表）；截至采购文件（资格预审申请文件）提交截止之日前一年内银行出具的资信证明；供应商注册时间截至采购文件（资格预审申请文件）提交截止之日前不足一年的，也可提供在相关主管部门备案的公司章程等证明材料。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供应商须具有有效期内的《危险废物经营许可证》或《危险废物经营许可证》，核准经营危险废物类别中须包含医疗废物HW01中(841-001-01“感染性废物”、841-002-01“损伤性废物”）。</w:t>
            </w:r>
          </w:p>
        </w:tc>
        <w:tc>
          <w:tcPr>
            <w:tcW w:type="dxa" w:w="3322"/>
          </w:tcPr>
          <w:p>
            <w:pPr>
              <w:pStyle w:val="null3"/>
              <w:jc w:val="left"/>
            </w:pPr>
            <w:r>
              <w:rPr>
                <w:rFonts w:ascii="仿宋_GB2312" w:hAnsi="仿宋_GB2312" w:cs="仿宋_GB2312" w:eastAsia="仿宋_GB2312"/>
              </w:rPr>
              <w:t>供应商须具有有效期内的《危险废物经营许可证》或《危险废物经营许可证》，核准经营危险废物类别中须包含医疗废物HW01中(841-001-01“感染性废物”、841-002-01“损伤性废物”）。提供证书复印件</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供应商应提交的相关证明材料,服务应答表,报价表,投标（响应）函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二、谈判小组所有成员集中与单一供应商对技术、服务、合同条款等内容分别进行一轮或多轮的谈判。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评审结束后，谈判小组应当进行复核，特别要对拟推荐为成交供应商的、报价最低的、响应文件被认定为无效的进行重点复核。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《谈判文件》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