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版本号：N510182202600005720260318001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2026-2027年彭州市城市市容秩序辅助管理服务项目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N5101822026000057</w:t>
      </w:r>
    </w:p>
    <w:p>
      <w:pPr>
        <w:pStyle w:val="null3"/>
        <w:jc w:val="left"/>
        <w:outlineLvl w:val="2"/>
      </w:pPr>
      <w:r>
        <w:rPr>
          <w:rFonts w:ascii="仿宋_GB2312" w:hAnsi="仿宋_GB2312" w:cs="仿宋_GB2312" w:eastAsia="仿宋_GB2312"/>
          <w:sz w:val="28"/>
          <w:b/>
        </w:rPr>
        <w:t>彭州市综合行政执法局</w:t>
      </w:r>
    </w:p>
    <w:p>
      <w:pPr>
        <w:pStyle w:val="null3"/>
        <w:jc w:val="center"/>
        <w:outlineLvl w:val="2"/>
      </w:pPr>
      <w:r>
        <w:rPr>
          <w:rFonts w:ascii="仿宋_GB2312" w:hAnsi="仿宋_GB2312" w:cs="仿宋_GB2312" w:eastAsia="仿宋_GB2312"/>
          <w:sz w:val="28"/>
          <w:b/>
        </w:rPr>
        <w:t>四川雄烽建设工程管理有限公司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四川雄烽建设工程管理有限公司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彭州市综合行政执法局</w:t>
      </w:r>
      <w:r>
        <w:rPr>
          <w:rFonts w:ascii="仿宋_GB2312" w:hAnsi="仿宋_GB2312" w:cs="仿宋_GB2312" w:eastAsia="仿宋_GB2312"/>
        </w:rPr>
        <w:t xml:space="preserve"> 委托，拟对 </w:t>
      </w:r>
      <w:r>
        <w:rPr>
          <w:rFonts w:ascii="仿宋_GB2312" w:hAnsi="仿宋_GB2312" w:cs="仿宋_GB2312" w:eastAsia="仿宋_GB2312"/>
        </w:rPr>
        <w:t>2026-2027年彭州市城市市容秩序辅助管理服务项目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成都市彭州市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N5101822026000057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2026-2027年彭州市城市市容秩序辅助管理服务项目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彭州市综合行政执法局拟采购1名投标人开展2026-2027年彭州市城市市容秩序辅助管理服务工作。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彭州市综合行政执法局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四川省成都市彭州市天彭街道四通西街38号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611930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028-83811176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四川雄烽建设工程管理有限公司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 xml:space="preserve"> 成都市锦江区三色路199号五冶大厦A2栋9楼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610011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028-86055792转8011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采购包1：4,128,600.00元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代理服务费收费标准：本次代理服务费按照成本加合理利润的原则向中标（成交）供应商收取代理服务费79840元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彭州市综合行政执法局</w:t>
      </w:r>
      <w:r>
        <w:rPr>
          <w:rFonts w:ascii="仿宋_GB2312" w:hAnsi="仿宋_GB2312" w:cs="仿宋_GB2312" w:eastAsia="仿宋_GB2312"/>
        </w:rPr>
        <w:t xml:space="preserve"> 和 </w:t>
      </w:r>
      <w:r>
        <w:rPr>
          <w:rFonts w:ascii="仿宋_GB2312" w:hAnsi="仿宋_GB2312" w:cs="仿宋_GB2312" w:eastAsia="仿宋_GB2312"/>
        </w:rPr>
        <w:t>四川雄烽建设工程管理有限公司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彭州市综合行政执法局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四川雄烽建设工程管理有限公司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一次性验收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技术、服务履约验收严格按照采购文件、响应文件及采购合同开展履约验收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商务履约验收内容严格按照采购文件、响应文件及采购合同开展履约验收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严格按照《财政部关于进一步加强政府采购需求和履约验收管理的指导意见》（财库〔2016〕205号）的要求组织验收。验收应以采购合同、采购及其补充文件、国家或行业相关标准为验收的主要依据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（1）验收相关事宜及法律责任：如出现供应商提供虚假材料谋取中标或达不到采购要求的，采购人有权拒绝验收，并按《中华人民共和国民法典》追究其相关法律责任。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彭州市综合行政执法局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四川雄烽建设工程管理有限公司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四川雄烽建设工程管理有限公司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 028-83811176</w:t>
      </w:r>
    </w:p>
    <w:p>
      <w:pPr>
        <w:pStyle w:val="null3"/>
        <w:jc w:val="left"/>
      </w:pPr>
      <w:r>
        <w:rPr>
          <w:rFonts w:ascii="仿宋_GB2312" w:hAnsi="仿宋_GB2312" w:cs="仿宋_GB2312" w:eastAsia="仿宋_GB2312"/>
        </w:rPr>
        <w:t>地址： 四川省成都市彭州市天彭街道四通西街38号</w:t>
      </w:r>
    </w:p>
    <w:p>
      <w:pPr>
        <w:pStyle w:val="null3"/>
        <w:jc w:val="left"/>
      </w:pPr>
      <w:r>
        <w:rPr>
          <w:rFonts w:ascii="仿宋_GB2312" w:hAnsi="仿宋_GB2312" w:cs="仿宋_GB2312" w:eastAsia="仿宋_GB2312"/>
        </w:rPr>
        <w:t>邮编：611930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联系电话：028-86055792转8011</w:t>
      </w:r>
    </w:p>
    <w:p>
      <w:pPr>
        <w:pStyle w:val="null3"/>
        <w:jc w:val="left"/>
      </w:pPr>
      <w:r>
        <w:rPr>
          <w:rFonts w:ascii="仿宋_GB2312" w:hAnsi="仿宋_GB2312" w:cs="仿宋_GB2312" w:eastAsia="仿宋_GB2312"/>
        </w:rPr>
        <w:t>地址：成都市锦江区三色路199号五冶大厦A2栋9楼</w:t>
      </w:r>
    </w:p>
    <w:p>
      <w:pPr>
        <w:pStyle w:val="null3"/>
        <w:jc w:val="left"/>
      </w:pPr>
      <w:r>
        <w:rPr>
          <w:rFonts w:ascii="仿宋_GB2312" w:hAnsi="仿宋_GB2312" w:cs="仿宋_GB2312" w:eastAsia="仿宋_GB2312"/>
        </w:rPr>
        <w:t>邮编：610011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4,128,600.00</w:t>
      </w:r>
    </w:p>
    <w:p>
      <w:pPr>
        <w:pStyle w:val="null3"/>
        <w:jc w:val="left"/>
      </w:pPr>
      <w:r>
        <w:rPr>
          <w:rFonts w:ascii="仿宋_GB2312" w:hAnsi="仿宋_GB2312" w:cs="仿宋_GB2312" w:eastAsia="仿宋_GB2312"/>
        </w:rPr>
        <w:t>采购包最高限价（元）: 4,128,600.00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C13040000 市容管理服务</w:t>
            </w:r>
          </w:p>
        </w:tc>
        <w:tc>
          <w:tcPr>
            <w:tcW w:type="dxa" w:w="821"/>
          </w:tcPr>
          <w:p>
            <w:pPr>
              <w:pStyle w:val="null3"/>
              <w:jc w:val="left"/>
            </w:pPr>
            <w:r>
              <w:rPr>
                <w:rFonts w:ascii="仿宋_GB2312" w:hAnsi="仿宋_GB2312" w:cs="仿宋_GB2312" w:eastAsia="仿宋_GB2312"/>
              </w:rPr>
              <w:t>2026-2027年彭州市城市市容秩序辅助管理服务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4,128,600.00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2026-2027年彭州市城市市容秩序辅助管理服务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4,128,600.00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标的名称：2026-2027年彭州市城市市容秩序辅助管理服务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ind w:left="105"/>
              <w:jc w:val="both"/>
            </w:pPr>
            <w:r>
              <w:rPr>
                <w:rFonts w:ascii="仿宋_GB2312" w:hAnsi="仿宋_GB2312" w:cs="仿宋_GB2312" w:eastAsia="仿宋_GB2312"/>
                <w:sz w:val="32"/>
              </w:rPr>
              <w:t>一、服务范围</w:t>
            </w:r>
          </w:p>
          <w:p>
            <w:pPr>
              <w:pStyle w:val="null3"/>
              <w:ind w:firstLine="640"/>
              <w:jc w:val="both"/>
            </w:pPr>
            <w:r>
              <w:rPr>
                <w:rFonts w:ascii="仿宋_GB2312" w:hAnsi="仿宋_GB2312" w:cs="仿宋_GB2312" w:eastAsia="仿宋_GB2312"/>
                <w:sz w:val="32"/>
              </w:rPr>
              <w:t>滨河北路（含）以南，牡丹大道北三段（含）以东，北三环路（含）至东三环路（含）一线以西，</w:t>
            </w:r>
            <w:r>
              <w:rPr>
                <w:rFonts w:ascii="仿宋_GB2312" w:hAnsi="仿宋_GB2312" w:cs="仿宋_GB2312" w:eastAsia="仿宋_GB2312"/>
                <w:sz w:val="32"/>
              </w:rPr>
              <w:t>和济路</w:t>
            </w:r>
            <w:r>
              <w:rPr>
                <w:rFonts w:ascii="仿宋_GB2312" w:hAnsi="仿宋_GB2312" w:cs="仿宋_GB2312" w:eastAsia="仿宋_GB2312"/>
                <w:sz w:val="32"/>
              </w:rPr>
              <w:t>二段</w:t>
            </w:r>
            <w:r>
              <w:rPr>
                <w:rFonts w:ascii="仿宋_GB2312" w:hAnsi="仿宋_GB2312" w:cs="仿宋_GB2312" w:eastAsia="仿宋_GB2312"/>
                <w:sz w:val="32"/>
              </w:rPr>
              <w:t>（含）至福兴大道（含）一线以西，</w:t>
            </w:r>
            <w:r>
              <w:rPr>
                <w:rFonts w:ascii="仿宋_GB2312" w:hAnsi="仿宋_GB2312" w:cs="仿宋_GB2312" w:eastAsia="仿宋_GB2312"/>
                <w:sz w:val="32"/>
              </w:rPr>
              <w:t>滨湖路（含）、协和路（含）至</w:t>
            </w:r>
            <w:r>
              <w:rPr>
                <w:rFonts w:ascii="仿宋_GB2312" w:hAnsi="仿宋_GB2312" w:cs="仿宋_GB2312" w:eastAsia="仿宋_GB2312"/>
                <w:sz w:val="32"/>
              </w:rPr>
              <w:t>青白江</w:t>
            </w:r>
            <w:r>
              <w:rPr>
                <w:rFonts w:ascii="仿宋_GB2312" w:hAnsi="仿宋_GB2312" w:cs="仿宋_GB2312" w:eastAsia="仿宋_GB2312"/>
                <w:sz w:val="32"/>
              </w:rPr>
              <w:t>一线以北，</w:t>
            </w:r>
            <w:r>
              <w:rPr>
                <w:rFonts w:ascii="仿宋_GB2312" w:hAnsi="仿宋_GB2312" w:cs="仿宋_GB2312" w:eastAsia="仿宋_GB2312"/>
                <w:sz w:val="32"/>
              </w:rPr>
              <w:t>新彭郫路（含）、南三环路（含）、西三环路（含）</w:t>
            </w:r>
            <w:r>
              <w:rPr>
                <w:rFonts w:ascii="仿宋_GB2312" w:hAnsi="仿宋_GB2312" w:cs="仿宋_GB2312" w:eastAsia="仿宋_GB2312"/>
                <w:sz w:val="32"/>
              </w:rPr>
              <w:t>至育才路（含）一线以东，天人西二路（含）以东，</w:t>
            </w:r>
            <w:r>
              <w:rPr>
                <w:rFonts w:ascii="仿宋_GB2312" w:hAnsi="仿宋_GB2312" w:cs="仿宋_GB2312" w:eastAsia="仿宋_GB2312"/>
                <w:sz w:val="32"/>
              </w:rPr>
              <w:t>安信路（含）至繁江南路（含）一线以南，</w:t>
            </w:r>
            <w:r>
              <w:rPr>
                <w:rFonts w:ascii="仿宋_GB2312" w:hAnsi="仿宋_GB2312" w:cs="仿宋_GB2312" w:eastAsia="仿宋_GB2312"/>
                <w:sz w:val="32"/>
              </w:rPr>
              <w:t>朝阳南路（</w:t>
            </w:r>
            <w:r>
              <w:rPr>
                <w:rFonts w:ascii="仿宋_GB2312" w:hAnsi="仿宋_GB2312" w:cs="仿宋_GB2312" w:eastAsia="仿宋_GB2312"/>
                <w:sz w:val="32"/>
              </w:rPr>
              <w:t>含</w:t>
            </w:r>
            <w:r>
              <w:rPr>
                <w:rFonts w:ascii="仿宋_GB2312" w:hAnsi="仿宋_GB2312" w:cs="仿宋_GB2312" w:eastAsia="仿宋_GB2312"/>
                <w:sz w:val="32"/>
              </w:rPr>
              <w:t>）、东大街（不含）、东北市街（含）、团结街（含）</w:t>
            </w:r>
            <w:r>
              <w:rPr>
                <w:rFonts w:ascii="仿宋_GB2312" w:hAnsi="仿宋_GB2312" w:cs="仿宋_GB2312" w:eastAsia="仿宋_GB2312"/>
                <w:sz w:val="32"/>
              </w:rPr>
              <w:t>至</w:t>
            </w:r>
            <w:r>
              <w:rPr>
                <w:rFonts w:ascii="仿宋_GB2312" w:hAnsi="仿宋_GB2312" w:cs="仿宋_GB2312" w:eastAsia="仿宋_GB2312"/>
                <w:sz w:val="32"/>
              </w:rPr>
              <w:t>朝阳北路（含）一线以东所包围区域</w:t>
            </w:r>
            <w:r>
              <w:rPr>
                <w:rFonts w:ascii="仿宋_GB2312" w:hAnsi="仿宋_GB2312" w:cs="仿宋_GB2312" w:eastAsia="仿宋_GB2312"/>
                <w:sz w:val="32"/>
              </w:rPr>
              <w:t>，面积约</w:t>
            </w:r>
            <w:r>
              <w:rPr>
                <w:rFonts w:ascii="仿宋_GB2312" w:hAnsi="仿宋_GB2312" w:cs="仿宋_GB2312" w:eastAsia="仿宋_GB2312"/>
                <w:sz w:val="32"/>
              </w:rPr>
              <w:t>19.3平方公里，市容秩序辅助管理服务涉及道路为201条，其中主干道49条、次要街道104条、背街小巷48条。依次为：</w:t>
            </w:r>
          </w:p>
          <w:p>
            <w:pPr>
              <w:pStyle w:val="null3"/>
              <w:ind w:firstLine="643"/>
              <w:jc w:val="both"/>
            </w:pPr>
            <w:r>
              <w:rPr>
                <w:rFonts w:ascii="仿宋_GB2312" w:hAnsi="仿宋_GB2312" w:cs="仿宋_GB2312" w:eastAsia="仿宋_GB2312"/>
                <w:sz w:val="32"/>
                <w:b/>
              </w:rPr>
              <w:t>主干道</w:t>
            </w:r>
            <w:r>
              <w:rPr>
                <w:rFonts w:ascii="仿宋_GB2312" w:hAnsi="仿宋_GB2312" w:cs="仿宋_GB2312" w:eastAsia="仿宋_GB2312"/>
                <w:sz w:val="32"/>
              </w:rPr>
              <w:t>：</w:t>
            </w:r>
            <w:r>
              <w:rPr>
                <w:rFonts w:ascii="仿宋_GB2312" w:hAnsi="仿宋_GB2312" w:cs="仿宋_GB2312" w:eastAsia="仿宋_GB2312"/>
                <w:sz w:val="32"/>
              </w:rPr>
              <w:t>牡丹大道北一段、牡丹大道北二段、牡丹大道北三段、牡丹大道中段、牡丹大道南段、北三环路三段、北三环路四段、东三环路一段、东三环路二段、东三环路三段、南三环路一段、南三环路二段、南三环路三段、西三环路一段、西三环路二段、朝阳北路、朝阳南路、朝阳中路、金彭中路、金彭东路、天府东路、协和路、清洋大街、环湖路一段、临湖路一段、连封北街、连封中街、连封南街、光明路、天彭大道、金彭故径街、柏江北路、柏江中路、柏江南路、贤清北路、贤清南路、护贤南路、护贤北路、西河东路、西河西路、天护东路、天护西路、老成彭路（出入城段）、彭郫路一段、彭郫路二段、育才路、天桂路（出入城段）、繁江南路、安信路，共计</w:t>
            </w:r>
            <w:r>
              <w:rPr>
                <w:rFonts w:ascii="仿宋_GB2312" w:hAnsi="仿宋_GB2312" w:cs="仿宋_GB2312" w:eastAsia="仿宋_GB2312"/>
                <w:sz w:val="32"/>
              </w:rPr>
              <w:t>49条。</w:t>
            </w:r>
          </w:p>
          <w:p>
            <w:pPr>
              <w:pStyle w:val="null3"/>
              <w:ind w:firstLine="643"/>
              <w:jc w:val="both"/>
            </w:pPr>
            <w:r>
              <w:rPr>
                <w:rFonts w:ascii="仿宋_GB2312" w:hAnsi="仿宋_GB2312" w:cs="仿宋_GB2312" w:eastAsia="仿宋_GB2312"/>
                <w:sz w:val="32"/>
                <w:b/>
              </w:rPr>
              <w:t>次要街道：</w:t>
            </w:r>
            <w:r>
              <w:rPr>
                <w:rFonts w:ascii="仿宋_GB2312" w:hAnsi="仿宋_GB2312" w:cs="仿宋_GB2312" w:eastAsia="仿宋_GB2312"/>
                <w:sz w:val="32"/>
              </w:rPr>
              <w:t>团结街、老马市街、红照壁北街、花园路、泰安北路、泰安路、牡丹西路、牡丹东路、国泰北路、三圣南路、三圣北路、回龙西路、回龙东路、金华西路一段、金华西路二段、金华东路、牡丹北路、调露寺西路、调露寺东路、牡丹北路东段、蟠龙南路、蟠龙西路、蟠龙东路、滨河北路、龙塔路、龙塔北路、九峰北路、九峰东路一段、九峰东路二段、玉垒西路、玉垒东路、蓥华西路、蓥华东路、瑞和路、景瑞路、景瑞东路、黄龙西路、黄龙东路、锦泰路、锦阳西路、锦阳西南路、锦阳西北路、锦阳中路、锦阳东路、红照壁南街、东北市街、东湖北街、东湖南街、东升街、国泰西路、国泰南路、牡丹西路南段、英烈路、东湖大</w:t>
            </w:r>
            <w:r>
              <w:rPr>
                <w:rFonts w:ascii="仿宋_GB2312" w:hAnsi="仿宋_GB2312" w:cs="仿宋_GB2312" w:eastAsia="仿宋_GB2312"/>
                <w:sz w:val="32"/>
              </w:rPr>
              <w:t>街、爱国南路、爱国北路、泰兴路、泰兴东路、长江路、五贤南路、长江东路、丹旗路一段、丹旗路二段、龙潭路、五贤路、护贤东一路、护贤东二路、护贤西一路、护贤西二路、龙腾大道、九江北路、九江南路、金光西路、金光中路、金光路、</w:t>
            </w:r>
            <w:r>
              <w:rPr>
                <w:rFonts w:ascii="仿宋_GB2312" w:hAnsi="仿宋_GB2312" w:cs="仿宋_GB2312" w:eastAsia="仿宋_GB2312"/>
                <w:sz w:val="32"/>
              </w:rPr>
              <w:t>滨湖路、连封北一街、连封北二街、清林街、清林西街、清林东街、广丹南路、广丹北路、广丹东路、长寿中路、长寿南路、万福北路、万福中路、万福南路、里泉西路、天人西二路、天人路、来寿路、天人东街、东河东路、健康大道、和济路一段、和济路二段、福兴大道、万护路、护北路、清白江西路、清白江北路、清白江东路，共计</w:t>
            </w:r>
            <w:r>
              <w:rPr>
                <w:rFonts w:ascii="仿宋_GB2312" w:hAnsi="仿宋_GB2312" w:cs="仿宋_GB2312" w:eastAsia="仿宋_GB2312"/>
                <w:sz w:val="32"/>
              </w:rPr>
              <w:t>104条。</w:t>
            </w:r>
          </w:p>
          <w:p>
            <w:pPr>
              <w:pStyle w:val="null3"/>
              <w:ind w:firstLine="643"/>
              <w:jc w:val="both"/>
            </w:pPr>
            <w:r>
              <w:rPr>
                <w:rFonts w:ascii="仿宋_GB2312" w:hAnsi="仿宋_GB2312" w:cs="仿宋_GB2312" w:eastAsia="仿宋_GB2312"/>
                <w:sz w:val="32"/>
                <w:b/>
              </w:rPr>
              <w:t>背街小巷：</w:t>
            </w:r>
            <w:r>
              <w:rPr>
                <w:rFonts w:ascii="仿宋_GB2312" w:hAnsi="仿宋_GB2312" w:cs="仿宋_GB2312" w:eastAsia="仿宋_GB2312"/>
                <w:sz w:val="32"/>
              </w:rPr>
              <w:t>团结巷、调露巷</w:t>
            </w:r>
            <w:r>
              <w:rPr>
                <w:rFonts w:ascii="仿宋_GB2312" w:hAnsi="仿宋_GB2312" w:cs="仿宋_GB2312" w:eastAsia="仿宋_GB2312"/>
                <w:sz w:val="32"/>
              </w:rPr>
              <w:t>、</w:t>
            </w:r>
            <w:r>
              <w:rPr>
                <w:rFonts w:ascii="仿宋_GB2312" w:hAnsi="仿宋_GB2312" w:cs="仿宋_GB2312" w:eastAsia="仿宋_GB2312"/>
                <w:sz w:val="32"/>
              </w:rPr>
              <w:t>康乐路、兴盛路、新一街、朝阳东巷、</w:t>
            </w:r>
            <w:r>
              <w:rPr>
                <w:rFonts w:ascii="仿宋_GB2312" w:hAnsi="仿宋_GB2312" w:cs="仿宋_GB2312" w:eastAsia="仿宋_GB2312"/>
                <w:sz w:val="32"/>
              </w:rPr>
              <w:t>龙腾六街、龙腾七街、兴盛一巷、</w:t>
            </w:r>
            <w:r>
              <w:rPr>
                <w:rFonts w:ascii="仿宋_GB2312" w:hAnsi="仿宋_GB2312" w:cs="仿宋_GB2312" w:eastAsia="仿宋_GB2312"/>
                <w:sz w:val="32"/>
              </w:rPr>
              <w:t>兴盛</w:t>
            </w:r>
            <w:r>
              <w:rPr>
                <w:rFonts w:ascii="仿宋_GB2312" w:hAnsi="仿宋_GB2312" w:cs="仿宋_GB2312" w:eastAsia="仿宋_GB2312"/>
                <w:sz w:val="32"/>
              </w:rPr>
              <w:t>二</w:t>
            </w:r>
            <w:r>
              <w:rPr>
                <w:rFonts w:ascii="仿宋_GB2312" w:hAnsi="仿宋_GB2312" w:cs="仿宋_GB2312" w:eastAsia="仿宋_GB2312"/>
                <w:sz w:val="32"/>
              </w:rPr>
              <w:t>巷、兴盛</w:t>
            </w:r>
            <w:r>
              <w:rPr>
                <w:rFonts w:ascii="仿宋_GB2312" w:hAnsi="仿宋_GB2312" w:cs="仿宋_GB2312" w:eastAsia="仿宋_GB2312"/>
                <w:sz w:val="32"/>
              </w:rPr>
              <w:t>三</w:t>
            </w:r>
            <w:r>
              <w:rPr>
                <w:rFonts w:ascii="仿宋_GB2312" w:hAnsi="仿宋_GB2312" w:cs="仿宋_GB2312" w:eastAsia="仿宋_GB2312"/>
                <w:sz w:val="32"/>
              </w:rPr>
              <w:t>巷、兴盛</w:t>
            </w:r>
            <w:r>
              <w:rPr>
                <w:rFonts w:ascii="仿宋_GB2312" w:hAnsi="仿宋_GB2312" w:cs="仿宋_GB2312" w:eastAsia="仿宋_GB2312"/>
                <w:sz w:val="32"/>
              </w:rPr>
              <w:t>四</w:t>
            </w:r>
            <w:r>
              <w:rPr>
                <w:rFonts w:ascii="仿宋_GB2312" w:hAnsi="仿宋_GB2312" w:cs="仿宋_GB2312" w:eastAsia="仿宋_GB2312"/>
                <w:sz w:val="32"/>
              </w:rPr>
              <w:t>巷、兴盛五巷、东湖西</w:t>
            </w:r>
            <w:r>
              <w:rPr>
                <w:rFonts w:ascii="仿宋_GB2312" w:hAnsi="仿宋_GB2312" w:cs="仿宋_GB2312" w:eastAsia="仿宋_GB2312"/>
                <w:sz w:val="32"/>
              </w:rPr>
              <w:t>一</w:t>
            </w:r>
            <w:r>
              <w:rPr>
                <w:rFonts w:ascii="仿宋_GB2312" w:hAnsi="仿宋_GB2312" w:cs="仿宋_GB2312" w:eastAsia="仿宋_GB2312"/>
                <w:sz w:val="32"/>
              </w:rPr>
              <w:t>巷</w:t>
            </w:r>
            <w:r>
              <w:rPr>
                <w:rFonts w:ascii="仿宋_GB2312" w:hAnsi="仿宋_GB2312" w:cs="仿宋_GB2312" w:eastAsia="仿宋_GB2312"/>
                <w:sz w:val="32"/>
              </w:rPr>
              <w:t>、</w:t>
            </w:r>
            <w:r>
              <w:rPr>
                <w:rFonts w:ascii="仿宋_GB2312" w:hAnsi="仿宋_GB2312" w:cs="仿宋_GB2312" w:eastAsia="仿宋_GB2312"/>
                <w:sz w:val="32"/>
              </w:rPr>
              <w:t>东湖西</w:t>
            </w:r>
            <w:r>
              <w:rPr>
                <w:rFonts w:ascii="仿宋_GB2312" w:hAnsi="仿宋_GB2312" w:cs="仿宋_GB2312" w:eastAsia="仿宋_GB2312"/>
                <w:sz w:val="32"/>
              </w:rPr>
              <w:t>二</w:t>
            </w:r>
            <w:r>
              <w:rPr>
                <w:rFonts w:ascii="仿宋_GB2312" w:hAnsi="仿宋_GB2312" w:cs="仿宋_GB2312" w:eastAsia="仿宋_GB2312"/>
                <w:sz w:val="32"/>
              </w:rPr>
              <w:t>巷</w:t>
            </w:r>
            <w:r>
              <w:rPr>
                <w:rFonts w:ascii="仿宋_GB2312" w:hAnsi="仿宋_GB2312" w:cs="仿宋_GB2312" w:eastAsia="仿宋_GB2312"/>
                <w:sz w:val="32"/>
              </w:rPr>
              <w:t>、</w:t>
            </w:r>
            <w:r>
              <w:rPr>
                <w:rFonts w:ascii="仿宋_GB2312" w:hAnsi="仿宋_GB2312" w:cs="仿宋_GB2312" w:eastAsia="仿宋_GB2312"/>
                <w:sz w:val="32"/>
              </w:rPr>
              <w:t>东湖</w:t>
            </w:r>
            <w:r>
              <w:rPr>
                <w:rFonts w:ascii="仿宋_GB2312" w:hAnsi="仿宋_GB2312" w:cs="仿宋_GB2312" w:eastAsia="仿宋_GB2312"/>
                <w:sz w:val="32"/>
              </w:rPr>
              <w:t>东一</w:t>
            </w:r>
            <w:r>
              <w:rPr>
                <w:rFonts w:ascii="仿宋_GB2312" w:hAnsi="仿宋_GB2312" w:cs="仿宋_GB2312" w:eastAsia="仿宋_GB2312"/>
                <w:sz w:val="32"/>
              </w:rPr>
              <w:t>巷</w:t>
            </w:r>
            <w:r>
              <w:rPr>
                <w:rFonts w:ascii="仿宋_GB2312" w:hAnsi="仿宋_GB2312" w:cs="仿宋_GB2312" w:eastAsia="仿宋_GB2312"/>
                <w:sz w:val="32"/>
              </w:rPr>
              <w:t>、</w:t>
            </w:r>
            <w:r>
              <w:rPr>
                <w:rFonts w:ascii="仿宋_GB2312" w:hAnsi="仿宋_GB2312" w:cs="仿宋_GB2312" w:eastAsia="仿宋_GB2312"/>
                <w:sz w:val="32"/>
              </w:rPr>
              <w:t>东湖</w:t>
            </w:r>
            <w:r>
              <w:rPr>
                <w:rFonts w:ascii="仿宋_GB2312" w:hAnsi="仿宋_GB2312" w:cs="仿宋_GB2312" w:eastAsia="仿宋_GB2312"/>
                <w:sz w:val="32"/>
              </w:rPr>
              <w:t>东二</w:t>
            </w:r>
            <w:r>
              <w:rPr>
                <w:rFonts w:ascii="仿宋_GB2312" w:hAnsi="仿宋_GB2312" w:cs="仿宋_GB2312" w:eastAsia="仿宋_GB2312"/>
                <w:sz w:val="32"/>
              </w:rPr>
              <w:t>巷</w:t>
            </w:r>
            <w:r>
              <w:rPr>
                <w:rFonts w:ascii="仿宋_GB2312" w:hAnsi="仿宋_GB2312" w:cs="仿宋_GB2312" w:eastAsia="仿宋_GB2312"/>
                <w:sz w:val="32"/>
              </w:rPr>
              <w:t>、</w:t>
            </w:r>
            <w:r>
              <w:rPr>
                <w:rFonts w:ascii="仿宋_GB2312" w:hAnsi="仿宋_GB2312" w:cs="仿宋_GB2312" w:eastAsia="仿宋_GB2312"/>
                <w:sz w:val="32"/>
              </w:rPr>
              <w:t>四方街、</w:t>
            </w:r>
            <w:r>
              <w:rPr>
                <w:rFonts w:ascii="仿宋_GB2312" w:hAnsi="仿宋_GB2312" w:cs="仿宋_GB2312" w:eastAsia="仿宋_GB2312"/>
                <w:sz w:val="32"/>
              </w:rPr>
              <w:t>繁兴路、</w:t>
            </w:r>
            <w:r>
              <w:rPr>
                <w:rFonts w:ascii="仿宋_GB2312" w:hAnsi="仿宋_GB2312" w:cs="仿宋_GB2312" w:eastAsia="仿宋_GB2312"/>
                <w:sz w:val="32"/>
              </w:rPr>
              <w:t>花龙北路、花龙南路、花龙</w:t>
            </w:r>
            <w:r>
              <w:rPr>
                <w:rFonts w:ascii="仿宋_GB2312" w:hAnsi="仿宋_GB2312" w:cs="仿宋_GB2312" w:eastAsia="仿宋_GB2312"/>
                <w:sz w:val="32"/>
              </w:rPr>
              <w:t>东</w:t>
            </w:r>
            <w:r>
              <w:rPr>
                <w:rFonts w:ascii="仿宋_GB2312" w:hAnsi="仿宋_GB2312" w:cs="仿宋_GB2312" w:eastAsia="仿宋_GB2312"/>
                <w:sz w:val="32"/>
              </w:rPr>
              <w:t>路、花龙</w:t>
            </w:r>
            <w:r>
              <w:rPr>
                <w:rFonts w:ascii="仿宋_GB2312" w:hAnsi="仿宋_GB2312" w:cs="仿宋_GB2312" w:eastAsia="仿宋_GB2312"/>
                <w:sz w:val="32"/>
              </w:rPr>
              <w:t>西</w:t>
            </w:r>
            <w:r>
              <w:rPr>
                <w:rFonts w:ascii="仿宋_GB2312" w:hAnsi="仿宋_GB2312" w:cs="仿宋_GB2312" w:eastAsia="仿宋_GB2312"/>
                <w:sz w:val="32"/>
              </w:rPr>
              <w:t>路、</w:t>
            </w:r>
            <w:r>
              <w:rPr>
                <w:rFonts w:ascii="仿宋_GB2312" w:hAnsi="仿宋_GB2312" w:cs="仿宋_GB2312" w:eastAsia="仿宋_GB2312"/>
                <w:sz w:val="32"/>
              </w:rPr>
              <w:t>龙潭西路、天人东一巷、天人东二巷、天人东三巷、天人东四巷、天人南二巷</w:t>
            </w:r>
            <w:r>
              <w:rPr>
                <w:rFonts w:ascii="仿宋_GB2312" w:hAnsi="仿宋_GB2312" w:cs="仿宋_GB2312" w:eastAsia="仿宋_GB2312"/>
                <w:sz w:val="32"/>
              </w:rPr>
              <w:t>、</w:t>
            </w:r>
            <w:r>
              <w:rPr>
                <w:rFonts w:ascii="仿宋_GB2312" w:hAnsi="仿宋_GB2312" w:cs="仿宋_GB2312" w:eastAsia="仿宋_GB2312"/>
                <w:sz w:val="32"/>
              </w:rPr>
              <w:t>银厂沟南路、大龙潭南路、双龙路南一巷、双龙路南二巷、双龙路南三巷、双龙路南四巷、</w:t>
            </w:r>
            <w:r>
              <w:rPr>
                <w:rFonts w:ascii="仿宋_GB2312" w:hAnsi="仿宋_GB2312" w:cs="仿宋_GB2312" w:eastAsia="仿宋_GB2312"/>
                <w:sz w:val="32"/>
              </w:rPr>
              <w:t>利民西路、利民东路、健康西路、健康东路</w:t>
            </w:r>
            <w:r>
              <w:rPr>
                <w:rFonts w:ascii="仿宋_GB2312" w:hAnsi="仿宋_GB2312" w:cs="仿宋_GB2312" w:eastAsia="仿宋_GB2312"/>
                <w:sz w:val="32"/>
              </w:rPr>
              <w:t>、金光东一巷、金光东二巷、金光东三巷、金光东四巷、金光东五巷、金光西一巷、金光西二巷、金光西三巷、金光西四巷，</w:t>
            </w:r>
            <w:r>
              <w:rPr>
                <w:rFonts w:ascii="仿宋_GB2312" w:hAnsi="仿宋_GB2312" w:cs="仿宋_GB2312" w:eastAsia="仿宋_GB2312"/>
                <w:sz w:val="32"/>
              </w:rPr>
              <w:t>共计</w:t>
            </w:r>
            <w:r>
              <w:rPr>
                <w:rFonts w:ascii="仿宋_GB2312" w:hAnsi="仿宋_GB2312" w:cs="仿宋_GB2312" w:eastAsia="仿宋_GB2312"/>
                <w:sz w:val="32"/>
              </w:rPr>
              <w:t>48</w:t>
            </w:r>
            <w:r>
              <w:rPr>
                <w:rFonts w:ascii="仿宋_GB2312" w:hAnsi="仿宋_GB2312" w:cs="仿宋_GB2312" w:eastAsia="仿宋_GB2312"/>
                <w:sz w:val="32"/>
              </w:rPr>
              <w:t>条。</w:t>
            </w:r>
          </w:p>
          <w:p>
            <w:pPr>
              <w:pStyle w:val="null3"/>
              <w:ind w:left="105" w:firstLine="640"/>
              <w:jc w:val="both"/>
            </w:pPr>
            <w:r>
              <w:rPr>
                <w:rFonts w:ascii="仿宋_GB2312" w:hAnsi="仿宋_GB2312" w:cs="仿宋_GB2312" w:eastAsia="仿宋_GB2312"/>
                <w:sz w:val="32"/>
              </w:rPr>
              <w:t>二、服务内容</w:t>
            </w:r>
          </w:p>
          <w:p>
            <w:pPr>
              <w:pStyle w:val="null3"/>
              <w:ind w:firstLine="640"/>
              <w:jc w:val="both"/>
            </w:pPr>
            <w:r>
              <w:rPr>
                <w:rFonts w:ascii="仿宋_GB2312" w:hAnsi="仿宋_GB2312" w:cs="仿宋_GB2312" w:eastAsia="仿宋_GB2312"/>
                <w:sz w:val="32"/>
              </w:rPr>
              <w:t>对彭州市城市市容秩序辅助管理服务内</w:t>
            </w:r>
            <w:r>
              <w:rPr>
                <w:rFonts w:ascii="仿宋_GB2312" w:hAnsi="仿宋_GB2312" w:cs="仿宋_GB2312" w:eastAsia="仿宋_GB2312"/>
                <w:sz w:val="32"/>
              </w:rPr>
              <w:t>（含：道路的车行道、人行道、工地出入口、临街建筑物立面）违反城市管理相关法律法规、规章制度及相关通告等单位、企业和个人履行告知、劝阻、巡查、报告等辅助性管理服务工作。</w:t>
            </w:r>
          </w:p>
          <w:p>
            <w:pPr>
              <w:pStyle w:val="null3"/>
              <w:ind w:firstLine="640"/>
              <w:jc w:val="both"/>
            </w:pPr>
            <w:r>
              <w:rPr>
                <w:rFonts w:ascii="仿宋_GB2312" w:hAnsi="仿宋_GB2312" w:cs="仿宋_GB2312" w:eastAsia="仿宋_GB2312"/>
                <w:sz w:val="32"/>
              </w:rPr>
              <w:t>1.开展市容秩序管理相关法律法规宣传，收集商家（店铺）提出的合理诉求并及时上报</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2.协助城管执法人员处理投诉、维稳、应急处突、执法取证等工作。</w:t>
            </w:r>
          </w:p>
          <w:p>
            <w:pPr>
              <w:pStyle w:val="null3"/>
              <w:ind w:firstLine="640"/>
              <w:jc w:val="both"/>
            </w:pPr>
            <w:r>
              <w:rPr>
                <w:rFonts w:ascii="仿宋_GB2312" w:hAnsi="仿宋_GB2312" w:cs="仿宋_GB2312" w:eastAsia="仿宋_GB2312"/>
                <w:sz w:val="32"/>
              </w:rPr>
              <w:t>3.发现临街商场、商店餐馆等超出门窗、外墙摆卖物品或者进行其他经营活动，立即劝导处置，并做好记录。</w:t>
            </w:r>
          </w:p>
          <w:p>
            <w:pPr>
              <w:pStyle w:val="null3"/>
              <w:ind w:firstLine="640"/>
              <w:jc w:val="both"/>
            </w:pPr>
            <w:r>
              <w:rPr>
                <w:rFonts w:ascii="仿宋_GB2312" w:hAnsi="仿宋_GB2312" w:cs="仿宋_GB2312" w:eastAsia="仿宋_GB2312"/>
                <w:sz w:val="32"/>
              </w:rPr>
              <w:t>4.发现占用城市道路、广场、桥梁、街道游园及其他公共场所，设置市场、摊点，堆物、作业、搭建设施，开展宣传、经营或娱乐活动等行为，及时劝导处置，并做好记录。</w:t>
            </w:r>
          </w:p>
          <w:p>
            <w:pPr>
              <w:pStyle w:val="null3"/>
              <w:ind w:firstLine="640"/>
              <w:jc w:val="both"/>
            </w:pPr>
            <w:r>
              <w:rPr>
                <w:rFonts w:ascii="仿宋_GB2312" w:hAnsi="仿宋_GB2312" w:cs="仿宋_GB2312" w:eastAsia="仿宋_GB2312"/>
                <w:sz w:val="32"/>
              </w:rPr>
              <w:t>5.发现流动商贩沿街售卖的行为，立即进行劝导处置并做好记录。</w:t>
            </w:r>
          </w:p>
          <w:p>
            <w:pPr>
              <w:pStyle w:val="null3"/>
              <w:ind w:firstLine="640"/>
              <w:jc w:val="both"/>
            </w:pPr>
            <w:r>
              <w:rPr>
                <w:rFonts w:ascii="仿宋_GB2312" w:hAnsi="仿宋_GB2312" w:cs="仿宋_GB2312" w:eastAsia="仿宋_GB2312"/>
                <w:sz w:val="32"/>
              </w:rPr>
              <w:t>6.发现擅自在城市建（构）筑物立面、门窗、门柱、桥梁、护栏、电（灯）杆、树木、路面、围挡及其他设施或者户外公共场所悬挂、张贴、刻画、喷涂、散发、设置宣传品、标语等行为，立即劝导当事人改正或者清理，并做好记录。</w:t>
            </w:r>
          </w:p>
          <w:p>
            <w:pPr>
              <w:pStyle w:val="null3"/>
              <w:ind w:firstLine="640"/>
              <w:jc w:val="both"/>
            </w:pPr>
            <w:r>
              <w:rPr>
                <w:rFonts w:ascii="仿宋_GB2312" w:hAnsi="仿宋_GB2312" w:cs="仿宋_GB2312" w:eastAsia="仿宋_GB2312"/>
                <w:sz w:val="32"/>
              </w:rPr>
              <w:t>7.发现未经许可设置招牌和户外广告的行为，立即制止并及时上报。</w:t>
            </w:r>
          </w:p>
          <w:p>
            <w:pPr>
              <w:pStyle w:val="null3"/>
              <w:ind w:firstLine="640"/>
              <w:jc w:val="both"/>
            </w:pPr>
            <w:r>
              <w:rPr>
                <w:rFonts w:ascii="仿宋_GB2312" w:hAnsi="仿宋_GB2312" w:cs="仿宋_GB2312" w:eastAsia="仿宋_GB2312"/>
                <w:sz w:val="32"/>
              </w:rPr>
              <w:t>8.发现张贴牛皮癣广告的行为，及时固定证据并立即上报。</w:t>
            </w:r>
          </w:p>
          <w:p>
            <w:pPr>
              <w:pStyle w:val="null3"/>
              <w:ind w:firstLine="640"/>
              <w:jc w:val="both"/>
            </w:pPr>
            <w:r>
              <w:rPr>
                <w:rFonts w:ascii="仿宋_GB2312" w:hAnsi="仿宋_GB2312" w:cs="仿宋_GB2312" w:eastAsia="仿宋_GB2312"/>
                <w:sz w:val="32"/>
              </w:rPr>
              <w:t>9.发现未经许可擅自挖掘道路、在路灯上设置设施等破坏市政设施的行为，立即固定证据，制止并及时上</w:t>
            </w:r>
            <w:r>
              <w:rPr>
                <w:rFonts w:ascii="仿宋_GB2312" w:hAnsi="仿宋_GB2312" w:cs="仿宋_GB2312" w:eastAsia="仿宋_GB2312"/>
                <w:sz w:val="32"/>
              </w:rPr>
              <w:t>报</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10.发现路面污染或装修店铺处置建筑垃圾未实施袋装化收集的行为，应立即固定证据并及时上报。</w:t>
            </w:r>
          </w:p>
          <w:p>
            <w:pPr>
              <w:pStyle w:val="null3"/>
              <w:ind w:firstLine="640"/>
              <w:jc w:val="both"/>
            </w:pPr>
            <w:r>
              <w:rPr>
                <w:rFonts w:ascii="仿宋_GB2312" w:hAnsi="仿宋_GB2312" w:cs="仿宋_GB2312" w:eastAsia="仿宋_GB2312"/>
                <w:sz w:val="32"/>
              </w:rPr>
              <w:t>11.发现向街面倾倒、排放污水及其他废弃物，或将餐厨垃圾排入雨水管道、污水管道、沟渠、河道、公共厕所及生活垃圾收集设施的行为，立即固定证据并及时上报。</w:t>
            </w:r>
          </w:p>
          <w:p>
            <w:pPr>
              <w:pStyle w:val="null3"/>
              <w:ind w:firstLine="640"/>
              <w:jc w:val="both"/>
            </w:pPr>
            <w:r>
              <w:rPr>
                <w:rFonts w:ascii="仿宋_GB2312" w:hAnsi="仿宋_GB2312" w:cs="仿宋_GB2312" w:eastAsia="仿宋_GB2312"/>
                <w:sz w:val="32"/>
              </w:rPr>
              <w:t>12.对焚烧垃圾、落叶的行为进行劝导并及时制止。</w:t>
            </w:r>
          </w:p>
          <w:p>
            <w:pPr>
              <w:pStyle w:val="null3"/>
              <w:ind w:firstLine="640"/>
              <w:jc w:val="both"/>
            </w:pPr>
            <w:r>
              <w:rPr>
                <w:rFonts w:ascii="仿宋_GB2312" w:hAnsi="仿宋_GB2312" w:cs="仿宋_GB2312" w:eastAsia="仿宋_GB2312"/>
                <w:sz w:val="32"/>
              </w:rPr>
              <w:t>13.对摆放在店铺外的落地招牌、灯箱等行为进行劝导并教育规范，做好记录。</w:t>
            </w:r>
          </w:p>
          <w:p>
            <w:pPr>
              <w:pStyle w:val="null3"/>
              <w:ind w:firstLine="640"/>
              <w:jc w:val="both"/>
            </w:pPr>
            <w:r>
              <w:rPr>
                <w:rFonts w:ascii="仿宋_GB2312" w:hAnsi="仿宋_GB2312" w:cs="仿宋_GB2312" w:eastAsia="仿宋_GB2312"/>
                <w:sz w:val="32"/>
              </w:rPr>
              <w:t>14.发现在城市道路、桥梁、护栏、路牌、电线杆、树木、绿篱等设施上晾晒、吊挂衣物和其他物品的行为，立即制止并清(处）理。</w:t>
            </w:r>
          </w:p>
          <w:p>
            <w:pPr>
              <w:pStyle w:val="null3"/>
              <w:ind w:firstLine="640"/>
              <w:jc w:val="both"/>
            </w:pPr>
            <w:r>
              <w:rPr>
                <w:rFonts w:ascii="仿宋_GB2312" w:hAnsi="仿宋_GB2312" w:cs="仿宋_GB2312" w:eastAsia="仿宋_GB2312"/>
                <w:sz w:val="32"/>
              </w:rPr>
              <w:t>15.对非机动车乱停乱放的行为及时进行劝导并教育规范，做到集中定点有序停放。</w:t>
            </w:r>
          </w:p>
          <w:p>
            <w:pPr>
              <w:pStyle w:val="null3"/>
              <w:ind w:firstLine="640"/>
              <w:jc w:val="both"/>
            </w:pPr>
            <w:r>
              <w:rPr>
                <w:rFonts w:ascii="仿宋_GB2312" w:hAnsi="仿宋_GB2312" w:cs="仿宋_GB2312" w:eastAsia="仿宋_GB2312"/>
                <w:sz w:val="32"/>
              </w:rPr>
              <w:t>16.对规划设置的临时摊区进行巡查，劝导经营者将摊位摆放整齐有序，保持周边环境干净卫生。</w:t>
            </w:r>
          </w:p>
          <w:p>
            <w:pPr>
              <w:pStyle w:val="null3"/>
              <w:ind w:firstLine="640"/>
              <w:jc w:val="both"/>
            </w:pPr>
            <w:r>
              <w:rPr>
                <w:rFonts w:ascii="仿宋_GB2312" w:hAnsi="仿宋_GB2312" w:cs="仿宋_GB2312" w:eastAsia="仿宋_GB2312"/>
                <w:sz w:val="32"/>
              </w:rPr>
              <w:t>17.对露天烧烤进行巡查，劝导摊主入店经营，使用清洁能源（不得使用炭烤），做好记录。</w:t>
            </w:r>
          </w:p>
          <w:p>
            <w:pPr>
              <w:pStyle w:val="null3"/>
              <w:ind w:firstLine="640"/>
              <w:jc w:val="both"/>
            </w:pPr>
            <w:r>
              <w:rPr>
                <w:rFonts w:ascii="仿宋_GB2312" w:hAnsi="仿宋_GB2312" w:cs="仿宋_GB2312" w:eastAsia="仿宋_GB2312"/>
                <w:sz w:val="32"/>
                <w:color w:val="000000"/>
              </w:rPr>
              <w:t>18.服务区域内，对数字化城管案件进行处理。</w:t>
            </w:r>
          </w:p>
          <w:p>
            <w:pPr>
              <w:pStyle w:val="null3"/>
              <w:jc w:val="both"/>
            </w:pPr>
            <w:r>
              <w:rPr>
                <w:rFonts w:ascii="仿宋_GB2312" w:hAnsi="仿宋_GB2312" w:cs="仿宋_GB2312" w:eastAsia="仿宋_GB2312"/>
                <w:sz w:val="32"/>
                <w:color w:val="000000"/>
              </w:rPr>
              <w:t>19.做好服务区域内辅助管理的其他城市管理工作。</w:t>
            </w:r>
          </w:p>
          <w:p>
            <w:pPr>
              <w:pStyle w:val="null3"/>
              <w:ind w:firstLine="640"/>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firstLine="640"/>
              <w:jc w:val="both"/>
            </w:pPr>
            <w:r>
              <w:rPr>
                <w:rFonts w:ascii="仿宋_GB2312" w:hAnsi="仿宋_GB2312" w:cs="仿宋_GB2312" w:eastAsia="仿宋_GB2312"/>
                <w:sz w:val="32"/>
              </w:rPr>
              <w:t>三、人员要求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彭州市城市市容秩序辅助管理服务配备辅助管理服务人员不少于</w:t>
            </w:r>
            <w:r>
              <w:rPr>
                <w:rFonts w:ascii="仿宋_GB2312" w:hAnsi="仿宋_GB2312" w:cs="仿宋_GB2312" w:eastAsia="仿宋_GB2312"/>
                <w:sz w:val="32"/>
              </w:rPr>
              <w:t>70人。</w:t>
            </w:r>
          </w:p>
          <w:p>
            <w:pPr>
              <w:pStyle w:val="null3"/>
              <w:ind w:firstLine="640"/>
              <w:jc w:val="both"/>
            </w:pPr>
            <w:r>
              <w:rPr>
                <w:rFonts w:ascii="仿宋_GB2312" w:hAnsi="仿宋_GB2312" w:cs="仿宋_GB2312" w:eastAsia="仿宋_GB2312"/>
                <w:sz w:val="32"/>
              </w:rPr>
              <w:t>具体如下：牡丹北路、金彭东路、金彭中路、牡丹西路、牡丹东路、调露巷、国泰北路，配备不少于</w:t>
            </w:r>
            <w:r>
              <w:rPr>
                <w:rFonts w:ascii="仿宋_GB2312" w:hAnsi="仿宋_GB2312" w:cs="仿宋_GB2312" w:eastAsia="仿宋_GB2312"/>
                <w:sz w:val="32"/>
              </w:rPr>
              <w:t>6人。</w:t>
            </w:r>
          </w:p>
          <w:p>
            <w:pPr>
              <w:pStyle w:val="null3"/>
              <w:ind w:firstLine="640"/>
              <w:jc w:val="both"/>
            </w:pPr>
            <w:r>
              <w:rPr>
                <w:rFonts w:ascii="仿宋_GB2312" w:hAnsi="仿宋_GB2312" w:cs="仿宋_GB2312" w:eastAsia="仿宋_GB2312"/>
                <w:sz w:val="32"/>
              </w:rPr>
              <w:t>金华西路一段、金华西路二段、三圣北路、三圣南路、回龙西路、龙塔路、蟠龙西路、泰安北路、黄龙西路、滨河北路、牡丹大道北一段、牡丹大道北二段、朝阳北路，配备不少于</w:t>
            </w:r>
            <w:r>
              <w:rPr>
                <w:rFonts w:ascii="仿宋_GB2312" w:hAnsi="仿宋_GB2312" w:cs="仿宋_GB2312" w:eastAsia="仿宋_GB2312"/>
                <w:sz w:val="32"/>
              </w:rPr>
              <w:t>8人。</w:t>
            </w:r>
          </w:p>
          <w:p>
            <w:pPr>
              <w:pStyle w:val="null3"/>
              <w:ind w:firstLine="640"/>
              <w:jc w:val="both"/>
            </w:pPr>
            <w:r>
              <w:rPr>
                <w:rFonts w:ascii="仿宋_GB2312" w:hAnsi="仿宋_GB2312" w:cs="仿宋_GB2312" w:eastAsia="仿宋_GB2312"/>
                <w:sz w:val="32"/>
              </w:rPr>
              <w:t>团结街、红照壁北街、老马市街、泰安路、花园路、团结巷、朝阳中路，配备不少于</w:t>
            </w:r>
            <w:r>
              <w:rPr>
                <w:rFonts w:ascii="仿宋_GB2312" w:hAnsi="仿宋_GB2312" w:cs="仿宋_GB2312" w:eastAsia="仿宋_GB2312"/>
                <w:sz w:val="32"/>
              </w:rPr>
              <w:t>4人。</w:t>
            </w:r>
          </w:p>
          <w:p>
            <w:pPr>
              <w:pStyle w:val="null3"/>
              <w:ind w:firstLine="640"/>
              <w:jc w:val="both"/>
            </w:pPr>
            <w:r>
              <w:rPr>
                <w:rFonts w:ascii="仿宋_GB2312" w:hAnsi="仿宋_GB2312" w:cs="仿宋_GB2312" w:eastAsia="仿宋_GB2312"/>
                <w:sz w:val="32"/>
              </w:rPr>
              <w:t>牡丹北路东段、调露寺西路、调露寺东路、金华东路、回龙东路、蟠龙南路、蟠龙东路、瑞和路、九峰东路二段、蓥华西路、蓥华东路、北三环路四段、东三环路一段，配备不少于</w:t>
            </w:r>
            <w:r>
              <w:rPr>
                <w:rFonts w:ascii="仿宋_GB2312" w:hAnsi="仿宋_GB2312" w:cs="仿宋_GB2312" w:eastAsia="仿宋_GB2312"/>
                <w:sz w:val="32"/>
              </w:rPr>
              <w:t>6人。</w:t>
            </w:r>
          </w:p>
          <w:p>
            <w:pPr>
              <w:pStyle w:val="null3"/>
              <w:ind w:firstLine="640"/>
              <w:jc w:val="both"/>
            </w:pPr>
            <w:r>
              <w:rPr>
                <w:rFonts w:ascii="仿宋_GB2312" w:hAnsi="仿宋_GB2312" w:cs="仿宋_GB2312" w:eastAsia="仿宋_GB2312"/>
                <w:sz w:val="32"/>
              </w:rPr>
              <w:t>玉垒西路、玉垒东路、九峰北路、九峰东路一段、黄龙东路、龙塔北路、景瑞路、景瑞东路，配备不少于</w:t>
            </w:r>
            <w:r>
              <w:rPr>
                <w:rFonts w:ascii="仿宋_GB2312" w:hAnsi="仿宋_GB2312" w:cs="仿宋_GB2312" w:eastAsia="仿宋_GB2312"/>
                <w:sz w:val="32"/>
              </w:rPr>
              <w:t>4人。</w:t>
            </w:r>
          </w:p>
          <w:p>
            <w:pPr>
              <w:pStyle w:val="null3"/>
              <w:ind w:firstLine="640"/>
              <w:jc w:val="both"/>
            </w:pPr>
            <w:r>
              <w:rPr>
                <w:rFonts w:ascii="仿宋_GB2312" w:hAnsi="仿宋_GB2312" w:cs="仿宋_GB2312" w:eastAsia="仿宋_GB2312"/>
                <w:sz w:val="32"/>
              </w:rPr>
              <w:t>锦泰路、锦阳西路、锦阳西南路、锦阳西北路、锦阳中路、锦阳东路、北三环路三段、牡丹大道北三段，配备不少于</w:t>
            </w:r>
            <w:r>
              <w:rPr>
                <w:rFonts w:ascii="仿宋_GB2312" w:hAnsi="仿宋_GB2312" w:cs="仿宋_GB2312" w:eastAsia="仿宋_GB2312"/>
                <w:sz w:val="32"/>
              </w:rPr>
              <w:t>4人。</w:t>
            </w:r>
          </w:p>
          <w:p>
            <w:pPr>
              <w:pStyle w:val="null3"/>
              <w:ind w:firstLine="640"/>
              <w:jc w:val="both"/>
            </w:pPr>
            <w:r>
              <w:rPr>
                <w:rFonts w:ascii="仿宋_GB2312" w:hAnsi="仿宋_GB2312" w:cs="仿宋_GB2312" w:eastAsia="仿宋_GB2312"/>
                <w:sz w:val="32"/>
              </w:rPr>
              <w:t>红照壁南街、东北市街、东升街、新一街，配备不少于</w:t>
            </w:r>
            <w:r>
              <w:rPr>
                <w:rFonts w:ascii="仿宋_GB2312" w:hAnsi="仿宋_GB2312" w:cs="仿宋_GB2312" w:eastAsia="仿宋_GB2312"/>
                <w:sz w:val="32"/>
              </w:rPr>
              <w:t>2人。</w:t>
            </w:r>
          </w:p>
          <w:p>
            <w:pPr>
              <w:pStyle w:val="null3"/>
              <w:ind w:firstLine="640"/>
              <w:jc w:val="both"/>
            </w:pPr>
            <w:r>
              <w:rPr>
                <w:rFonts w:ascii="仿宋_GB2312" w:hAnsi="仿宋_GB2312" w:cs="仿宋_GB2312" w:eastAsia="仿宋_GB2312"/>
                <w:sz w:val="32"/>
              </w:rPr>
              <w:t>国泰西路、国泰南路、牡丹西路南段、东湖北街、朝阳东巷、东湖大街、东湖东一巷、东湖东二巷，配备不少于</w:t>
            </w:r>
            <w:r>
              <w:rPr>
                <w:rFonts w:ascii="仿宋_GB2312" w:hAnsi="仿宋_GB2312" w:cs="仿宋_GB2312" w:eastAsia="仿宋_GB2312"/>
                <w:sz w:val="32"/>
              </w:rPr>
              <w:t>4人。</w:t>
            </w:r>
          </w:p>
          <w:p>
            <w:pPr>
              <w:pStyle w:val="null3"/>
              <w:ind w:firstLine="640"/>
              <w:jc w:val="both"/>
            </w:pPr>
            <w:r>
              <w:rPr>
                <w:rFonts w:ascii="仿宋_GB2312" w:hAnsi="仿宋_GB2312" w:cs="仿宋_GB2312" w:eastAsia="仿宋_GB2312"/>
                <w:sz w:val="32"/>
              </w:rPr>
              <w:t>天府东路、兴盛路、英烈路、康乐路、东湖南街、兴盛一巷、兴盛二巷、兴盛三巷、兴盛四巷、兴盛五巷、东湖西一巷、东湖西二巷，配备不少于</w:t>
            </w:r>
            <w:r>
              <w:rPr>
                <w:rFonts w:ascii="仿宋_GB2312" w:hAnsi="仿宋_GB2312" w:cs="仿宋_GB2312" w:eastAsia="仿宋_GB2312"/>
                <w:sz w:val="32"/>
              </w:rPr>
              <w:t>4人。</w:t>
            </w:r>
          </w:p>
          <w:p>
            <w:pPr>
              <w:pStyle w:val="null3"/>
              <w:ind w:firstLine="640"/>
              <w:jc w:val="both"/>
            </w:pPr>
            <w:r>
              <w:rPr>
                <w:rFonts w:ascii="仿宋_GB2312" w:hAnsi="仿宋_GB2312" w:cs="仿宋_GB2312" w:eastAsia="仿宋_GB2312"/>
                <w:sz w:val="32"/>
              </w:rPr>
              <w:t>爱国南路、爱国北路、泰兴路、泰兴东路，配备不少于</w:t>
            </w:r>
            <w:r>
              <w:rPr>
                <w:rFonts w:ascii="仿宋_GB2312" w:hAnsi="仿宋_GB2312" w:cs="仿宋_GB2312" w:eastAsia="仿宋_GB2312"/>
                <w:sz w:val="32"/>
              </w:rPr>
              <w:t>2人。</w:t>
            </w:r>
          </w:p>
          <w:p>
            <w:pPr>
              <w:pStyle w:val="null3"/>
              <w:ind w:firstLine="640"/>
              <w:jc w:val="both"/>
            </w:pPr>
            <w:r>
              <w:rPr>
                <w:rFonts w:ascii="仿宋_GB2312" w:hAnsi="仿宋_GB2312" w:cs="仿宋_GB2312" w:eastAsia="仿宋_GB2312"/>
                <w:sz w:val="32"/>
              </w:rPr>
              <w:t>牡丹大道中段、</w:t>
            </w:r>
            <w:r>
              <w:rPr>
                <w:rFonts w:ascii="仿宋_GB2312" w:hAnsi="仿宋_GB2312" w:cs="仿宋_GB2312" w:eastAsia="仿宋_GB2312"/>
                <w:sz w:val="32"/>
              </w:rPr>
              <w:t>朝阳南路、</w:t>
            </w:r>
            <w:r>
              <w:rPr>
                <w:rFonts w:ascii="仿宋_GB2312" w:hAnsi="仿宋_GB2312" w:cs="仿宋_GB2312" w:eastAsia="仿宋_GB2312"/>
                <w:sz w:val="32"/>
              </w:rPr>
              <w:t>长江路、长江东路、四方街、双龙路南一巷、双龙路南二巷、双龙路南三巷、双龙路南四巷，配备不少于</w:t>
            </w:r>
            <w:r>
              <w:rPr>
                <w:rFonts w:ascii="仿宋_GB2312" w:hAnsi="仿宋_GB2312" w:cs="仿宋_GB2312" w:eastAsia="仿宋_GB2312"/>
                <w:sz w:val="32"/>
              </w:rPr>
              <w:t>3人。</w:t>
            </w:r>
          </w:p>
          <w:p>
            <w:pPr>
              <w:pStyle w:val="null3"/>
              <w:ind w:firstLine="640"/>
              <w:jc w:val="both"/>
            </w:pPr>
            <w:r>
              <w:rPr>
                <w:rFonts w:ascii="仿宋_GB2312" w:hAnsi="仿宋_GB2312" w:cs="仿宋_GB2312" w:eastAsia="仿宋_GB2312"/>
                <w:sz w:val="32"/>
              </w:rPr>
              <w:t>贤清北路、贤清南路、护贤南路、护贤北路、东河东路、龙腾大道、龙腾六街、龙腾七街、西河东路、牡丹大道南段、天护东路、天护西路、东三环路三段、老成彭路</w:t>
            </w:r>
            <w:r>
              <w:rPr>
                <w:rFonts w:ascii="仿宋_GB2312" w:hAnsi="仿宋_GB2312" w:cs="仿宋_GB2312" w:eastAsia="仿宋_GB2312"/>
                <w:sz w:val="32"/>
              </w:rPr>
              <w:t>（出入城段）</w:t>
            </w:r>
            <w:r>
              <w:rPr>
                <w:rFonts w:ascii="仿宋_GB2312" w:hAnsi="仿宋_GB2312" w:cs="仿宋_GB2312" w:eastAsia="仿宋_GB2312"/>
                <w:sz w:val="32"/>
              </w:rPr>
              <w:t>、五贤路、五贤南路、护贤东一路、</w:t>
            </w:r>
            <w:r>
              <w:rPr>
                <w:rFonts w:ascii="仿宋_GB2312" w:hAnsi="仿宋_GB2312" w:cs="仿宋_GB2312" w:eastAsia="仿宋_GB2312"/>
                <w:sz w:val="32"/>
              </w:rPr>
              <w:t>护贤东二路、</w:t>
            </w:r>
            <w:r>
              <w:rPr>
                <w:rFonts w:ascii="仿宋_GB2312" w:hAnsi="仿宋_GB2312" w:cs="仿宋_GB2312" w:eastAsia="仿宋_GB2312"/>
                <w:sz w:val="32"/>
              </w:rPr>
              <w:t>护贤西一路、</w:t>
            </w:r>
            <w:r>
              <w:rPr>
                <w:rFonts w:ascii="仿宋_GB2312" w:hAnsi="仿宋_GB2312" w:cs="仿宋_GB2312" w:eastAsia="仿宋_GB2312"/>
                <w:sz w:val="32"/>
              </w:rPr>
              <w:t>护贤西二路、</w:t>
            </w:r>
            <w:r>
              <w:rPr>
                <w:rFonts w:ascii="仿宋_GB2312" w:hAnsi="仿宋_GB2312" w:cs="仿宋_GB2312" w:eastAsia="仿宋_GB2312"/>
                <w:sz w:val="32"/>
              </w:rPr>
              <w:t>和济路一段、和济路二段、福兴大道、万护路、</w:t>
            </w:r>
            <w:r>
              <w:rPr>
                <w:rFonts w:ascii="仿宋_GB2312" w:hAnsi="仿宋_GB2312" w:cs="仿宋_GB2312" w:eastAsia="仿宋_GB2312"/>
                <w:sz w:val="32"/>
              </w:rPr>
              <w:t>护北路、银厂沟南路，</w:t>
            </w:r>
            <w:r>
              <w:rPr>
                <w:rFonts w:ascii="仿宋_GB2312" w:hAnsi="仿宋_GB2312" w:cs="仿宋_GB2312" w:eastAsia="仿宋_GB2312"/>
                <w:sz w:val="32"/>
              </w:rPr>
              <w:t>配备不少于</w:t>
            </w:r>
            <w:r>
              <w:rPr>
                <w:rFonts w:ascii="仿宋_GB2312" w:hAnsi="仿宋_GB2312" w:cs="仿宋_GB2312" w:eastAsia="仿宋_GB2312"/>
                <w:sz w:val="32"/>
              </w:rPr>
              <w:t>6人。</w:t>
            </w:r>
          </w:p>
          <w:p>
            <w:pPr>
              <w:pStyle w:val="null3"/>
              <w:ind w:firstLine="640"/>
              <w:jc w:val="both"/>
            </w:pPr>
            <w:r>
              <w:rPr>
                <w:rFonts w:ascii="仿宋_GB2312" w:hAnsi="仿宋_GB2312" w:cs="仿宋_GB2312" w:eastAsia="仿宋_GB2312"/>
                <w:sz w:val="32"/>
              </w:rPr>
              <w:t>清白江西路、清白江东路、清白江北路、光明路、天彭大道、金彭故径街、柏江北路、柏江中路、柏江南路、九江北路、九江南路、金光西路、金光中路、金光路、金光东一巷、金光东二巷、金光东三巷、金光东四巷、金光东五巷、金光西一巷、金光西二巷、金光西三巷、金光西四巷，配备不少于</w:t>
            </w:r>
            <w:r>
              <w:rPr>
                <w:rFonts w:ascii="仿宋_GB2312" w:hAnsi="仿宋_GB2312" w:cs="仿宋_GB2312" w:eastAsia="仿宋_GB2312"/>
                <w:sz w:val="32"/>
              </w:rPr>
              <w:t>4人。</w:t>
            </w:r>
          </w:p>
          <w:p>
            <w:pPr>
              <w:pStyle w:val="null3"/>
              <w:ind w:firstLine="640"/>
              <w:jc w:val="both"/>
            </w:pPr>
            <w:r>
              <w:rPr>
                <w:rFonts w:ascii="仿宋_GB2312" w:hAnsi="仿宋_GB2312" w:cs="仿宋_GB2312" w:eastAsia="仿宋_GB2312"/>
                <w:sz w:val="32"/>
              </w:rPr>
              <w:t>协和路、清洋大街、环湖路一段、临湖路一段、连封北街、连封中街、连封南街、南三环路一段、南三环路二段、南三环路三段、滨湖路、连封北一街、连封北二街、清林西街、清林东街、清林街，配备不少于</w:t>
            </w:r>
            <w:r>
              <w:rPr>
                <w:rFonts w:ascii="仿宋_GB2312" w:hAnsi="仿宋_GB2312" w:cs="仿宋_GB2312" w:eastAsia="仿宋_GB2312"/>
                <w:sz w:val="32"/>
              </w:rPr>
              <w:t>4人。</w:t>
            </w:r>
          </w:p>
          <w:p>
            <w:pPr>
              <w:pStyle w:val="null3"/>
              <w:ind w:firstLine="640"/>
              <w:jc w:val="both"/>
            </w:pPr>
            <w:r>
              <w:rPr>
                <w:rFonts w:ascii="仿宋_GB2312" w:hAnsi="仿宋_GB2312" w:cs="仿宋_GB2312" w:eastAsia="仿宋_GB2312"/>
                <w:sz w:val="32"/>
              </w:rPr>
              <w:t>彭郫路一段、彭郫路二段、西河西路、育才路、天桂路</w:t>
            </w:r>
            <w:r>
              <w:rPr>
                <w:rFonts w:ascii="仿宋_GB2312" w:hAnsi="仿宋_GB2312" w:cs="仿宋_GB2312" w:eastAsia="仿宋_GB2312"/>
                <w:sz w:val="32"/>
              </w:rPr>
              <w:t>（出入城段）</w:t>
            </w:r>
            <w:r>
              <w:rPr>
                <w:rFonts w:ascii="仿宋_GB2312" w:hAnsi="仿宋_GB2312" w:cs="仿宋_GB2312" w:eastAsia="仿宋_GB2312"/>
                <w:sz w:val="32"/>
              </w:rPr>
              <w:t>、广丹南路、广丹北路、广丹东路、长寿中路、长寿南路、万福北路、万福中路、万福南路、里泉西路、健康大道、利民西路、利民东路、健康西路、健康东路，配备不少于</w:t>
            </w:r>
            <w:r>
              <w:rPr>
                <w:rFonts w:ascii="仿宋_GB2312" w:hAnsi="仿宋_GB2312" w:cs="仿宋_GB2312" w:eastAsia="仿宋_GB2312"/>
                <w:sz w:val="32"/>
              </w:rPr>
              <w:t>3人。</w:t>
            </w:r>
          </w:p>
          <w:p>
            <w:pPr>
              <w:pStyle w:val="null3"/>
              <w:ind w:firstLine="640"/>
              <w:jc w:val="both"/>
            </w:pPr>
            <w:r>
              <w:rPr>
                <w:rFonts w:ascii="仿宋_GB2312" w:hAnsi="仿宋_GB2312" w:cs="仿宋_GB2312" w:eastAsia="仿宋_GB2312"/>
                <w:sz w:val="32"/>
              </w:rPr>
              <w:t>繁江南路、安信路、繁兴路、天人西二路、天人路、来寿路、天人东街、天人东一巷、天人东二巷、天人东三巷、天人东四巷、天人南二巷，配备不少于</w:t>
            </w:r>
            <w:r>
              <w:rPr>
                <w:rFonts w:ascii="仿宋_GB2312" w:hAnsi="仿宋_GB2312" w:cs="仿宋_GB2312" w:eastAsia="仿宋_GB2312"/>
                <w:sz w:val="32"/>
              </w:rPr>
              <w:t>2人。</w:t>
            </w:r>
          </w:p>
          <w:p>
            <w:pPr>
              <w:pStyle w:val="null3"/>
              <w:ind w:firstLine="640"/>
              <w:jc w:val="both"/>
            </w:pPr>
            <w:r>
              <w:rPr>
                <w:rFonts w:ascii="仿宋_GB2312" w:hAnsi="仿宋_GB2312" w:cs="仿宋_GB2312" w:eastAsia="仿宋_GB2312"/>
                <w:sz w:val="32"/>
              </w:rPr>
              <w:t>花龙北路、花龙南路、花龙东路、花龙西路、</w:t>
            </w:r>
            <w:r>
              <w:rPr>
                <w:rFonts w:ascii="仿宋_GB2312" w:hAnsi="仿宋_GB2312" w:cs="仿宋_GB2312" w:eastAsia="仿宋_GB2312"/>
                <w:sz w:val="32"/>
              </w:rPr>
              <w:t>丹旗路一段、丹旗路</w:t>
            </w:r>
            <w:r>
              <w:rPr>
                <w:rFonts w:ascii="仿宋_GB2312" w:hAnsi="仿宋_GB2312" w:cs="仿宋_GB2312" w:eastAsia="仿宋_GB2312"/>
                <w:sz w:val="32"/>
              </w:rPr>
              <w:t>二段、龙潭路、龙潭西路、大龙潭南路、东三环路二段、</w:t>
            </w:r>
            <w:r>
              <w:rPr>
                <w:rFonts w:ascii="仿宋_GB2312" w:hAnsi="仿宋_GB2312" w:cs="仿宋_GB2312" w:eastAsia="仿宋_GB2312"/>
                <w:sz w:val="32"/>
              </w:rPr>
              <w:t>西三环路一段、西三环路二段</w:t>
            </w:r>
            <w:r>
              <w:rPr>
                <w:rFonts w:ascii="仿宋_GB2312" w:hAnsi="仿宋_GB2312" w:cs="仿宋_GB2312" w:eastAsia="仿宋_GB2312"/>
                <w:sz w:val="32"/>
              </w:rPr>
              <w:t>等，配备不少于</w:t>
            </w:r>
            <w:r>
              <w:rPr>
                <w:rFonts w:ascii="仿宋_GB2312" w:hAnsi="仿宋_GB2312" w:cs="仿宋_GB2312" w:eastAsia="仿宋_GB2312"/>
                <w:sz w:val="32"/>
              </w:rPr>
              <w:t>4人（机动巡查覆盖）。</w:t>
            </w:r>
          </w:p>
          <w:p>
            <w:pPr>
              <w:pStyle w:val="null3"/>
              <w:ind w:firstLine="640"/>
              <w:jc w:val="both"/>
            </w:pPr>
            <w:r>
              <w:rPr>
                <w:rFonts w:ascii="仿宋_GB2312" w:hAnsi="仿宋_GB2312" w:cs="仿宋_GB2312" w:eastAsia="仿宋_GB2312"/>
                <w:sz w:val="32"/>
              </w:rPr>
              <w:t>2、根据成都市城市管理委员会关于印发《成都市城市管理协管人员管理办法》</w:t>
            </w:r>
            <w:r>
              <w:rPr>
                <w:rFonts w:ascii="仿宋_GB2312" w:hAnsi="仿宋_GB2312" w:cs="仿宋_GB2312" w:eastAsia="仿宋_GB2312"/>
                <w:sz w:val="32"/>
              </w:rPr>
              <w:t>配备的所有服务人员具有高中及以上文化程度，</w:t>
            </w:r>
            <w:r>
              <w:rPr>
                <w:rFonts w:ascii="仿宋_GB2312" w:hAnsi="仿宋_GB2312" w:cs="仿宋_GB2312" w:eastAsia="仿宋_GB2312"/>
                <w:sz w:val="32"/>
              </w:rPr>
              <w:t>具备履行职责的身心条件和相应的知识技能</w:t>
            </w:r>
            <w:r>
              <w:rPr>
                <w:rFonts w:ascii="仿宋_GB2312" w:hAnsi="仿宋_GB2312" w:cs="仿宋_GB2312" w:eastAsia="仿宋_GB2312"/>
                <w:sz w:val="32"/>
              </w:rPr>
              <w:t>；</w:t>
            </w:r>
            <w:r>
              <w:rPr>
                <w:rFonts w:ascii="仿宋_GB2312" w:hAnsi="仿宋_GB2312" w:cs="仿宋_GB2312" w:eastAsia="仿宋_GB2312"/>
                <w:sz w:val="32"/>
              </w:rPr>
              <w:t>具有较好的语言和沟通能力；</w:t>
            </w:r>
            <w:r>
              <w:rPr>
                <w:rFonts w:ascii="仿宋_GB2312" w:hAnsi="仿宋_GB2312" w:cs="仿宋_GB2312" w:eastAsia="仿宋_GB2312"/>
                <w:sz w:val="32"/>
              </w:rPr>
              <w:t>年满</w:t>
            </w:r>
            <w:r>
              <w:rPr>
                <w:rFonts w:ascii="仿宋_GB2312" w:hAnsi="仿宋_GB2312" w:cs="仿宋_GB2312" w:eastAsia="仿宋_GB2312"/>
                <w:sz w:val="32"/>
              </w:rPr>
              <w:t>18 周岁，不超过 45 周岁。投标人若中标后投入本项目服务人员在履约过程中未经采购人同意不得更换。确需更换的，必须向采购人提交书面申请，且确保替代人员符合本项目工作人员条件要求，经采购人同意后，方可更换。</w:t>
            </w:r>
            <w:r>
              <w:rPr>
                <w:rFonts w:ascii="仿宋_GB2312" w:hAnsi="仿宋_GB2312" w:cs="仿宋_GB2312" w:eastAsia="仿宋_GB2312"/>
                <w:sz w:val="32"/>
                <w:b/>
              </w:rPr>
              <w:t>（提供承诺函格式自拟，加盖投标人公章）</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所有</w:t>
            </w:r>
            <w:r>
              <w:rPr>
                <w:rFonts w:ascii="仿宋_GB2312" w:hAnsi="仿宋_GB2312" w:cs="仿宋_GB2312" w:eastAsia="仿宋_GB2312"/>
                <w:sz w:val="32"/>
              </w:rPr>
              <w:t>服务</w:t>
            </w:r>
            <w:r>
              <w:rPr>
                <w:rFonts w:ascii="仿宋_GB2312" w:hAnsi="仿宋_GB2312" w:cs="仿宋_GB2312" w:eastAsia="仿宋_GB2312"/>
                <w:sz w:val="32"/>
              </w:rPr>
              <w:t>人员无犯罪史，无纹身，</w:t>
            </w:r>
            <w:r>
              <w:rPr>
                <w:rFonts w:ascii="仿宋_GB2312" w:hAnsi="仿宋_GB2312" w:cs="仿宋_GB2312" w:eastAsia="仿宋_GB2312"/>
                <w:sz w:val="32"/>
              </w:rPr>
              <w:t>身体健康，投标人承诺若取得中标资格，则在签订合同前向采购人提交所有服务人员近</w:t>
            </w:r>
            <w:r>
              <w:rPr>
                <w:rFonts w:ascii="仿宋_GB2312" w:hAnsi="仿宋_GB2312" w:cs="仿宋_GB2312" w:eastAsia="仿宋_GB2312"/>
                <w:sz w:val="32"/>
              </w:rPr>
              <w:t>6个月内正规医疗机构个人体检报告</w:t>
            </w:r>
            <w:r>
              <w:rPr>
                <w:rFonts w:ascii="仿宋_GB2312" w:hAnsi="仿宋_GB2312" w:cs="仿宋_GB2312" w:eastAsia="仿宋_GB2312"/>
                <w:sz w:val="32"/>
              </w:rPr>
              <w:t>（含尿检）（</w:t>
            </w:r>
            <w:r>
              <w:rPr>
                <w:rFonts w:ascii="仿宋_GB2312" w:hAnsi="仿宋_GB2312" w:cs="仿宋_GB2312" w:eastAsia="仿宋_GB2312"/>
                <w:sz w:val="32"/>
                <w:b/>
              </w:rPr>
              <w:t>提供承诺函格式自拟，加盖投标人公章）</w:t>
            </w:r>
          </w:p>
          <w:p>
            <w:pPr>
              <w:pStyle w:val="null3"/>
              <w:ind w:firstLine="640"/>
              <w:jc w:val="both"/>
            </w:pPr>
            <w:r>
              <w:rPr>
                <w:rFonts w:ascii="仿宋_GB2312" w:hAnsi="仿宋_GB2312" w:cs="仿宋_GB2312" w:eastAsia="仿宋_GB2312"/>
                <w:sz w:val="32"/>
              </w:rPr>
              <w:t>4、提供服务人员中至少8名服务人员具有C1驾驶证，提供服务人员有效期内的机动车驾驶证复印件。</w:t>
            </w:r>
          </w:p>
          <w:p>
            <w:pPr>
              <w:pStyle w:val="null3"/>
              <w:ind w:firstLine="80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服务人员管理要求</w:t>
            </w:r>
          </w:p>
          <w:p>
            <w:pPr>
              <w:pStyle w:val="null3"/>
              <w:ind w:firstLine="482"/>
              <w:jc w:val="both"/>
            </w:pPr>
            <w:r>
              <w:rPr>
                <w:rFonts w:ascii="仿宋_GB2312" w:hAnsi="仿宋_GB2312" w:cs="仿宋_GB2312" w:eastAsia="仿宋_GB2312"/>
                <w:sz w:val="32"/>
              </w:rPr>
              <w:t>（1）投标人自行招聘服务人员，签订劳动合同，按时支付工资、福利、依法购买法律法规规定的各类保险（含意外险），承担所有服务人员的管理责任。</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2）拟投入本项目的人员上岗前应经过专业的业务培训。投标人作为管理主体，负责服务人员的日常教育和管理，定期组织服务人员开展思想政治、法律知识、业务技能、行风行纪的等培训，切实提高职业道德水平、业务素质和责任意识。定期开展突发爆炸、火灾事件的应急处理培训。</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3）加强城市辅助管理服务队伍建设，统一着装，自觉接受市民监督，积极开展各种辅助性管理活动。</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4）派出足够数量的服务人员实施城市管理辅助工作，并在合同签订前将人员名单、片区划分、值守变动情况等相关资料报采购人备案，自觉接受采购人的监管。</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5）对服务人员的工作效能进行监督检查，建立服务人员奖惩机制，提升服务水平，保证工作质量。</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6）负责责任区域内城市辅助管理服务工作，及时将工作情况报采购人备案，接受采购人及上级部门的监督检查。</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7）因工作需要配备的交通、通信以及取证的设备设施，由中标人自行解决，不得使用与城管执法有关的标识字样。</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8）严格遵守各项法律法规，杜绝违法事件发生，严格遵守采购人相关管理制度，严格落实各项工作要求。</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9）负责组织辅助管理服务人员以守点、巡查劝导、教育规范、报告等方式，对辅助管理服务区域内违反城市管理规定的各类行为进行处置，不得实施行政处罚及采取行政强制措施。</w:t>
            </w:r>
          </w:p>
          <w:p>
            <w:pPr>
              <w:pStyle w:val="null3"/>
              <w:ind w:firstLine="482"/>
              <w:jc w:val="both"/>
            </w:pPr>
            <w:r>
              <w:rPr>
                <w:rFonts w:ascii="仿宋_GB2312" w:hAnsi="仿宋_GB2312" w:cs="仿宋_GB2312" w:eastAsia="仿宋_GB2312"/>
                <w:sz w:val="32"/>
              </w:rPr>
              <w:t>（</w:t>
            </w:r>
            <w:r>
              <w:rPr>
                <w:rFonts w:ascii="仿宋_GB2312" w:hAnsi="仿宋_GB2312" w:cs="仿宋_GB2312" w:eastAsia="仿宋_GB2312"/>
                <w:sz w:val="32"/>
              </w:rPr>
              <w:t>10）投标人须服从采购人的调动，从事维稳保障、应急处突等工作。</w:t>
            </w:r>
          </w:p>
          <w:p>
            <w:pPr>
              <w:pStyle w:val="null3"/>
              <w:jc w:val="both"/>
            </w:pPr>
            <w:r>
              <w:rPr>
                <w:rFonts w:ascii="仿宋_GB2312" w:hAnsi="仿宋_GB2312" w:cs="仿宋_GB2312" w:eastAsia="仿宋_GB2312"/>
                <w:sz w:val="32"/>
              </w:rPr>
              <w:t>（</w:t>
            </w:r>
            <w:r>
              <w:rPr>
                <w:rFonts w:ascii="仿宋_GB2312" w:hAnsi="仿宋_GB2312" w:cs="仿宋_GB2312" w:eastAsia="仿宋_GB2312"/>
                <w:sz w:val="32"/>
              </w:rPr>
              <w:t>11）服务时间：每天8:00-22:00,采购人可根据实际情况进行调整，投标人根据服务时间和服务内容制定详细的人员巡逻监督地点和时间工作安排。</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firstLine="482"/>
              <w:jc w:val="both"/>
            </w:pPr>
            <w:r>
              <w:rPr>
                <w:rFonts w:ascii="仿宋_GB2312" w:hAnsi="仿宋_GB2312" w:cs="仿宋_GB2312" w:eastAsia="仿宋_GB2312"/>
                <w:sz w:val="32"/>
              </w:rPr>
              <w:t>四、设施设备要求</w:t>
            </w:r>
          </w:p>
          <w:p>
            <w:pPr>
              <w:pStyle w:val="null3"/>
              <w:ind w:firstLine="640"/>
              <w:jc w:val="both"/>
            </w:pPr>
            <w:r>
              <w:rPr>
                <w:rFonts w:ascii="仿宋_GB2312" w:hAnsi="仿宋_GB2312" w:cs="仿宋_GB2312" w:eastAsia="仿宋_GB2312"/>
                <w:sz w:val="32"/>
              </w:rPr>
              <w:t>每名服务人员配备不同季节制服、帽子、鞋子至少</w:t>
            </w:r>
            <w:r>
              <w:rPr>
                <w:rFonts w:ascii="仿宋_GB2312" w:hAnsi="仿宋_GB2312" w:cs="仿宋_GB2312" w:eastAsia="仿宋_GB2312"/>
                <w:sz w:val="32"/>
              </w:rPr>
              <w:t>1套，反光背心2套，肩闪1套，制式腰带(含制式水壶)1套。其他装备:两轮电瓶车19辆、执法记录仪18台、对讲机18台、四轮电动车1辆，拟投入的本项目设施设备费用均由供应商承担。</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firstLine="640"/>
              <w:jc w:val="both"/>
            </w:pPr>
            <w:r>
              <w:rPr>
                <w:rFonts w:ascii="仿宋_GB2312" w:hAnsi="仿宋_GB2312" w:cs="仿宋_GB2312" w:eastAsia="仿宋_GB2312"/>
                <w:sz w:val="32"/>
              </w:rPr>
              <w:t>五、其他要求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采购人按月根据《彭州市综合行政执法局市容秩序辅助管理服务考核标准和细则》对中标人进行考核，根据考核结果支付当月费用，具体考核标准和细则详见招标文件附件。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二年，合同一年一签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彭州市主城区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1.彭州市综合行政执法局 2.验收组织形式：成立专门的项目验收组，邀请服务对象进行一次性验收，验收合格后由双方共同签署验收表。 3.履约验收时间：供应商提出验收申请之日起，达到验收条件起 10 日内，验收合同总金额的 100%。 4.验收组织方式：自行验收 5.履约验收程序：一次性验收 6.技术、服务履约验收内容：技术、服务履约验收严格按照采购文件、响应文件及采购合同开展履约验收7.商务履约验收内容：商务履约验收内容严格按照采购文件、响应文件及采购合同开展履约验收 8.履约验收标准：严格按照《财政部关于进一步加强政府采购需求和履约验收管理的指导意见》（财库〔2016〕205号）的要求组织验收。验收应以采购合同、采购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2、中标人出具符合采购人要求的增值税普通发票，采购人审核合格后按月支付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3、中标人出具符合采购人要求的增值税普通发票，采购人审核合格后按月支付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4、中标人出具符合采购人要求的增值税普通发票，采购人审核合格后按月支付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5、中标人出具符合采购人要求的增值税普通发票，采购人审核合格后按月支付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6、中标人出具符合采购人要求的增值税普通发票，采购人审核合格后按月支付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7、中标人出具符合采购人要求的增值税普通发票，采购人审核合格后按月支付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8、中标人出具符合采购人要求的增值税普通发票，采购人审核合格后按月支付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9、中标人出具符合采购人要求的增值税普通发票，采购人审核合格后按月支付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10、中标人出具符合采购人要求的增值税普通发票，采购人审核合格后按月支付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11、中标人出具符合采购人要求的增值税普通发票，采购人审核合格后按月支付 ，达到付款条件起10日内，支付合同总金额的8.33%</w:t>
            </w:r>
          </w:p>
          <w:p>
            <w:pPr>
              <w:pStyle w:val="null3"/>
              <w:jc w:val="left"/>
            </w:pPr>
            <w:r>
              <w:rPr>
                <w:rFonts w:ascii="仿宋_GB2312" w:hAnsi="仿宋_GB2312" w:cs="仿宋_GB2312" w:eastAsia="仿宋_GB2312"/>
              </w:rPr>
              <w:t>12、中标人出具符合采购人要求的增值税普通发票，采购人审核合格后按月支付 ，达到付款条件起10日内，支付合同总金额的8.37%</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 ②若为事业法人：提供“统一社会信用代码法人登记证书”； ③若为其他组织：提供“对应主管部门颁发的准许执业证明文件或营业执照”； ④若为自然人：提供“身份证明材料”。以上均提供复印件。供应商需在使用投标(响应)客户端编制响应文件时，按要求填写《投标（响应）函》完成承诺且补充其他相关证明材料，并进行电子签章。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招标文件的实质性要求</w:t>
            </w:r>
          </w:p>
        </w:tc>
        <w:tc>
          <w:tcPr>
            <w:tcW w:type="dxa" w:w="3322"/>
          </w:tcPr>
          <w:p>
            <w:pPr>
              <w:pStyle w:val="null3"/>
              <w:jc w:val="left"/>
            </w:pPr>
            <w:r>
              <w:rPr>
                <w:rFonts w:ascii="仿宋_GB2312" w:hAnsi="仿宋_GB2312" w:cs="仿宋_GB2312" w:eastAsia="仿宋_GB2312"/>
              </w:rPr>
              <w:t>供应商需实质性响应。如涉及需要提供承诺函的格式 自拟</w:t>
            </w:r>
          </w:p>
        </w:tc>
        <w:tc>
          <w:tcPr>
            <w:tcW w:type="dxa" w:w="1661"/>
          </w:tcPr>
          <w:p>
            <w:pPr>
              <w:pStyle w:val="null3"/>
              <w:jc w:val="left"/>
            </w:pPr>
            <w:r>
              <w:rPr>
                <w:rFonts w:ascii="仿宋_GB2312" w:hAnsi="仿宋_GB2312" w:cs="仿宋_GB2312" w:eastAsia="仿宋_GB2312"/>
              </w:rPr>
              <w:t>技术、服务要求应答表.docx,投标人应提交的相关证明材料,商务应答表.docx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项目需求分析</w:t>
            </w:r>
          </w:p>
        </w:tc>
        <w:tc>
          <w:tcPr>
            <w:tcW w:type="dxa" w:w="2575"/>
          </w:tcPr>
          <w:p>
            <w:pPr>
              <w:pStyle w:val="null3"/>
              <w:jc w:val="left"/>
            </w:pPr>
            <w:r>
              <w:rPr>
                <w:rFonts w:ascii="仿宋_GB2312" w:hAnsi="仿宋_GB2312" w:cs="仿宋_GB2312" w:eastAsia="仿宋_GB2312"/>
              </w:rPr>
              <w:t>投标人根据本项目的内容及要求编制项目需求分析①项目背景分析②项目重难点分析③项目重难点解决措施进行评审：投标人编制的项目需求分析包含上述内容且不存在内容缺陷的得12分； 每缺少一项内容扣4分；每有一处内容缺陷扣2分，扣完为止。 （说明：方案存在下列情形之一属于内容缺陷：或项目名称错误；或文字表述错误；或未针对本项目编制；或存在不适用项目实际情况的情形；或存在与采购情况无关的内容；或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项目需求分析.docx</w:t>
            </w:r>
          </w:p>
        </w:tc>
      </w:tr>
      <w:tr>
        <w:tc>
          <w:tcPr>
            <w:tcW w:type="dxa" w:w="831"/>
            <w:vMerge/>
          </w:tcP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投标人根据本项目的服务内容及要求编制项目管理方案：①项目管理机构图及工作职能组织运行图，②内部管理的职责分工③日常管理制度和考核办法。投标人编制的项目管理方案包含上述内容且不存在内容缺陷的得9分。每缺少一项内容扣3分；每有一处内容缺陷扣1.5分，扣完为止。 （说明：方案存在下列情形之一属于内容缺陷：或项目名称错误；或文字表述错误；或未针对本项目编制；或存在不适用项目实际情况的情形；或存在与采购情况无关的内容；或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项目管理方案.docx</w:t>
            </w:r>
          </w:p>
        </w:tc>
      </w:tr>
      <w:tr>
        <w:tc>
          <w:tcPr>
            <w:tcW w:type="dxa" w:w="831"/>
            <w:vMerge/>
          </w:tcPr>
          <w:p/>
        </w:tc>
        <w:tc>
          <w:tcPr>
            <w:tcW w:type="dxa" w:w="1661"/>
          </w:tcPr>
          <w:p>
            <w:pPr>
              <w:pStyle w:val="null3"/>
              <w:jc w:val="left"/>
            </w:pPr>
            <w:r>
              <w:rPr>
                <w:rFonts w:ascii="仿宋_GB2312" w:hAnsi="仿宋_GB2312" w:cs="仿宋_GB2312" w:eastAsia="仿宋_GB2312"/>
              </w:rPr>
              <w:t>市容秩序辅助管理服务方案</w:t>
            </w:r>
          </w:p>
        </w:tc>
        <w:tc>
          <w:tcPr>
            <w:tcW w:type="dxa" w:w="2575"/>
          </w:tcPr>
          <w:p>
            <w:pPr>
              <w:pStyle w:val="null3"/>
              <w:jc w:val="left"/>
            </w:pPr>
            <w:r>
              <w:rPr>
                <w:rFonts w:ascii="仿宋_GB2312" w:hAnsi="仿宋_GB2312" w:cs="仿宋_GB2312" w:eastAsia="仿宋_GB2312"/>
              </w:rPr>
              <w:t>投标人根据本项目的服务内容及要求编制市容秩序辅助管理服务方案：①市容秩序管理法律法规宣传方案②商家（店铺）合理诉求收集和上报方案③协助执法人员处理工作方案④巡逻监督时间地点安排方案。投标人编制的市容秩序辅助管理服务方案包含上述内容且不存在内容缺陷的得16分。每缺少一项内容扣4分；每有一处内容缺陷扣2分，扣完为止。 （说明：方案存在下列情形之一属于内容缺陷：或项目名称错误；或文字表述错误；或未针对本项目编制；或存在不适用项目实际情况的情形；或存在与采购情况无关的内容；或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市容秩序辅助管理服务方案.docx</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投标人根据本项目的服务内容及要求编制服务质量保障方案：①服务质量控制体系②服务质量检查的方法③投诉处理和及时整改方案。投标人编制的服务质量保障方案包含上述内容且不存在内容缺陷的得9分。每缺少一项内容扣3分；每有一处内容缺陷扣1.5分，扣完为止。 （说明：方案存在下列情形之一属于内容缺陷：或项目名称错误；或文字表述错误；或未针对本项目编制；或存在不适用项目实际情况的情形；或存在与采购情况无关的内容；或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服务质量保障方案.docx</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投标人根据本项目的服务内容及要求编制培训方案：①培训计划及内容②突发事件应急处理培训。投标人编制的培训方案包含上述内容且不存在内容缺陷的得4分。每缺少一项内容扣2分；每有一处内容缺陷扣1分，扣完为止。 （说明：方案存在下列情形之一属于内容缺陷：或项目名称错误；或文字表述错误；或未针对本项目编制；或存在不适用项目实际情况的情形；或存在与采购情况无关的内容；或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1.项目负责人（1人）：具有3年或以上类似项目管理从业经验的得3分；具有2(含) -3年(不含)类似项目管理从业经验的得2分；具有1(含)-2 年(不含)类似项目管理从业经验的得 1 分，1年以下不得分。此项最多得3分。（提供类似项目管理从业经验证明材料复印件加盖投标人公章） 2.投标人配备的服务人员中每有1人具有保安员证或复、退、转军人证书得1分，此项最多得28分。（提供证书复印件加盖投标人公章） 3.投标人配备的服务人员满足基本需求，每增加1人具有有效的C1机动车驾驶证得1分，本项最多得2分。（提供机动车驾驶证复印件加盖投标人公章） 注：以上人员不重复计分。</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至递交投标文件截止时间，投标人每具有1个类似业绩得2.5分，每增加一个业绩得2.5分，本项最多得5分。注：提供（中标）成交通知书（（中标）成交通知书以落款时间为准）或协议/合同复印件（协议/合同复印件以签订时间为准），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以满足招标文件要求有效的最低投标价为基准价，其价格分为满分，其他投标报价得分=(基准价／投标报价）*12</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详见附件：供应商业绩.docx</w:t>
      </w:r>
    </w:p>
    <w:p>
      <w:pPr>
        <w:pStyle w:val="null3"/>
        <w:ind w:firstLine="960"/>
        <w:jc w:val="left"/>
      </w:pPr>
      <w:r>
        <w:rPr>
          <w:rFonts w:ascii="仿宋_GB2312" w:hAnsi="仿宋_GB2312" w:cs="仿宋_GB2312" w:eastAsia="仿宋_GB2312"/>
        </w:rPr>
        <w:t>详见附件：人员配备.docx</w:t>
      </w:r>
    </w:p>
    <w:p>
      <w:pPr>
        <w:pStyle w:val="null3"/>
        <w:ind w:firstLine="960"/>
        <w:jc w:val="left"/>
      </w:pPr>
      <w:r>
        <w:rPr>
          <w:rFonts w:ascii="仿宋_GB2312" w:hAnsi="仿宋_GB2312" w:cs="仿宋_GB2312" w:eastAsia="仿宋_GB2312"/>
        </w:rPr>
        <w:t>详见附件：项目需求分析.docx</w:t>
      </w:r>
    </w:p>
    <w:p>
      <w:pPr>
        <w:pStyle w:val="null3"/>
        <w:ind w:firstLine="960"/>
        <w:jc w:val="left"/>
      </w:pPr>
      <w:r>
        <w:rPr>
          <w:rFonts w:ascii="仿宋_GB2312" w:hAnsi="仿宋_GB2312" w:cs="仿宋_GB2312" w:eastAsia="仿宋_GB2312"/>
        </w:rPr>
        <w:t>详见附件：项目管理方案.docx</w:t>
      </w:r>
    </w:p>
    <w:p>
      <w:pPr>
        <w:pStyle w:val="null3"/>
        <w:ind w:firstLine="960"/>
        <w:jc w:val="left"/>
      </w:pPr>
      <w:r>
        <w:rPr>
          <w:rFonts w:ascii="仿宋_GB2312" w:hAnsi="仿宋_GB2312" w:cs="仿宋_GB2312" w:eastAsia="仿宋_GB2312"/>
        </w:rPr>
        <w:t>详见附件：市容秩序辅助管理服务方案.docx</w:t>
      </w:r>
    </w:p>
    <w:p>
      <w:pPr>
        <w:pStyle w:val="null3"/>
        <w:ind w:firstLine="960"/>
        <w:jc w:val="left"/>
      </w:pPr>
      <w:r>
        <w:rPr>
          <w:rFonts w:ascii="仿宋_GB2312" w:hAnsi="仿宋_GB2312" w:cs="仿宋_GB2312" w:eastAsia="仿宋_GB2312"/>
        </w:rPr>
        <w:t>详见附件：服务质量保障方案.docx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详见附件：培训方案.docx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