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7F9EE5">
      <w:pPr>
        <w:pStyle w:val="4"/>
        <w:jc w:val="center"/>
        <w:outlineLvl w:val="1"/>
      </w:pPr>
      <w:r>
        <w:rPr>
          <w:rFonts w:ascii="仿宋_GB2312" w:hAnsi="仿宋_GB2312" w:eastAsia="仿宋_GB2312" w:cs="仿宋_GB2312"/>
          <w:b/>
          <w:sz w:val="36"/>
        </w:rPr>
        <w:t xml:space="preserve"> 技术、服务及其他要求</w:t>
      </w:r>
    </w:p>
    <w:p w14:paraId="65A7DFB7">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17808E8F">
      <w:pPr>
        <w:pStyle w:val="4"/>
        <w:jc w:val="left"/>
        <w:outlineLvl w:val="2"/>
      </w:pPr>
      <w:r>
        <w:rPr>
          <w:rFonts w:ascii="仿宋_GB2312" w:hAnsi="仿宋_GB2312" w:eastAsia="仿宋_GB2312" w:cs="仿宋_GB2312"/>
          <w:b/>
          <w:sz w:val="28"/>
        </w:rPr>
        <w:t>3.1.采购内容</w:t>
      </w:r>
    </w:p>
    <w:p w14:paraId="582B940E">
      <w:pPr>
        <w:pStyle w:val="4"/>
        <w:jc w:val="left"/>
      </w:pPr>
      <w:r>
        <w:rPr>
          <w:rFonts w:ascii="仿宋_GB2312" w:hAnsi="仿宋_GB2312" w:eastAsia="仿宋_GB2312" w:cs="仿宋_GB2312"/>
        </w:rPr>
        <w:t>采购包1：</w:t>
      </w:r>
    </w:p>
    <w:p w14:paraId="1B264E8A">
      <w:pPr>
        <w:pStyle w:val="4"/>
        <w:jc w:val="left"/>
      </w:pPr>
      <w:r>
        <w:rPr>
          <w:rFonts w:ascii="仿宋_GB2312" w:hAnsi="仿宋_GB2312" w:eastAsia="仿宋_GB2312" w:cs="仿宋_GB2312"/>
        </w:rPr>
        <w:t>采购包预算金额（元）: 1,000,000.00</w:t>
      </w:r>
    </w:p>
    <w:p w14:paraId="793DA614">
      <w:pPr>
        <w:pStyle w:val="4"/>
        <w:jc w:val="left"/>
      </w:pPr>
      <w:r>
        <w:rPr>
          <w:rFonts w:ascii="仿宋_GB2312" w:hAnsi="仿宋_GB2312" w:eastAsia="仿宋_GB2312" w:cs="仿宋_GB2312"/>
        </w:rPr>
        <w:t>采购包最高限价（元）: 1,000,000.00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14:paraId="7C1C79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AB843D5">
            <w:pPr>
              <w:pStyle w:val="4"/>
              <w:jc w:val="center"/>
            </w:pPr>
            <w:r>
              <w:rPr>
                <w:rFonts w:ascii="仿宋_GB2312" w:hAnsi="仿宋_GB2312" w:eastAsia="仿宋_GB2312" w:cs="仿宋_GB2312"/>
              </w:rPr>
              <w:t>序号</w:t>
            </w:r>
          </w:p>
        </w:tc>
        <w:tc>
          <w:tcPr>
            <w:tcW w:w="821" w:type="dxa"/>
          </w:tcPr>
          <w:p w14:paraId="026A73DE">
            <w:pPr>
              <w:pStyle w:val="4"/>
              <w:jc w:val="center"/>
            </w:pPr>
            <w:r>
              <w:rPr>
                <w:rFonts w:ascii="仿宋_GB2312" w:hAnsi="仿宋_GB2312" w:eastAsia="仿宋_GB2312" w:cs="仿宋_GB2312"/>
              </w:rPr>
              <w:t>采购品目名称</w:t>
            </w:r>
          </w:p>
        </w:tc>
        <w:tc>
          <w:tcPr>
            <w:tcW w:w="821" w:type="dxa"/>
          </w:tcPr>
          <w:p w14:paraId="7862C67B">
            <w:pPr>
              <w:pStyle w:val="4"/>
              <w:jc w:val="center"/>
            </w:pPr>
            <w:r>
              <w:rPr>
                <w:rFonts w:ascii="仿宋_GB2312" w:hAnsi="仿宋_GB2312" w:eastAsia="仿宋_GB2312" w:cs="仿宋_GB2312"/>
              </w:rPr>
              <w:t>标的名称</w:t>
            </w:r>
          </w:p>
        </w:tc>
        <w:tc>
          <w:tcPr>
            <w:tcW w:w="821" w:type="dxa"/>
          </w:tcPr>
          <w:p w14:paraId="60DF3AE7">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35F2BBE9">
            <w:pPr>
              <w:pStyle w:val="4"/>
              <w:jc w:val="center"/>
            </w:pPr>
            <w:r>
              <w:rPr>
                <w:rFonts w:ascii="仿宋_GB2312" w:hAnsi="仿宋_GB2312" w:eastAsia="仿宋_GB2312" w:cs="仿宋_GB2312"/>
              </w:rPr>
              <w:t>标的金额 （元）</w:t>
            </w:r>
          </w:p>
        </w:tc>
        <w:tc>
          <w:tcPr>
            <w:tcW w:w="821" w:type="dxa"/>
          </w:tcPr>
          <w:p w14:paraId="6E31CC1C">
            <w:pPr>
              <w:pStyle w:val="4"/>
              <w:jc w:val="center"/>
            </w:pPr>
            <w:r>
              <w:rPr>
                <w:rFonts w:ascii="仿宋_GB2312" w:hAnsi="仿宋_GB2312" w:eastAsia="仿宋_GB2312" w:cs="仿宋_GB2312"/>
              </w:rPr>
              <w:t>所属行业</w:t>
            </w:r>
          </w:p>
        </w:tc>
        <w:tc>
          <w:tcPr>
            <w:tcW w:w="821" w:type="dxa"/>
          </w:tcPr>
          <w:p w14:paraId="318E03C5">
            <w:pPr>
              <w:pStyle w:val="4"/>
              <w:jc w:val="center"/>
            </w:pPr>
            <w:r>
              <w:rPr>
                <w:rFonts w:ascii="仿宋_GB2312" w:hAnsi="仿宋_GB2312" w:eastAsia="仿宋_GB2312" w:cs="仿宋_GB2312"/>
              </w:rPr>
              <w:t>是否涉及核心产品</w:t>
            </w:r>
          </w:p>
        </w:tc>
        <w:tc>
          <w:tcPr>
            <w:tcW w:w="821" w:type="dxa"/>
          </w:tcPr>
          <w:p w14:paraId="75CAC60A">
            <w:pPr>
              <w:pStyle w:val="4"/>
              <w:jc w:val="center"/>
            </w:pPr>
            <w:r>
              <w:rPr>
                <w:rFonts w:ascii="仿宋_GB2312" w:hAnsi="仿宋_GB2312" w:eastAsia="仿宋_GB2312" w:cs="仿宋_GB2312"/>
              </w:rPr>
              <w:t>是否涉及采购进口产品</w:t>
            </w:r>
          </w:p>
        </w:tc>
        <w:tc>
          <w:tcPr>
            <w:tcW w:w="821" w:type="dxa"/>
          </w:tcPr>
          <w:p w14:paraId="43E38ABB">
            <w:pPr>
              <w:pStyle w:val="4"/>
              <w:jc w:val="center"/>
            </w:pPr>
            <w:r>
              <w:rPr>
                <w:rFonts w:ascii="仿宋_GB2312" w:hAnsi="仿宋_GB2312" w:eastAsia="仿宋_GB2312" w:cs="仿宋_GB2312"/>
              </w:rPr>
              <w:t>是否涉及强制采购节能产品</w:t>
            </w:r>
          </w:p>
        </w:tc>
        <w:tc>
          <w:tcPr>
            <w:tcW w:w="639" w:type="dxa"/>
          </w:tcPr>
          <w:p w14:paraId="1ACFD694">
            <w:pPr>
              <w:pStyle w:val="4"/>
              <w:jc w:val="center"/>
            </w:pPr>
            <w:r>
              <w:rPr>
                <w:rFonts w:ascii="仿宋_GB2312" w:hAnsi="仿宋_GB2312" w:eastAsia="仿宋_GB2312" w:cs="仿宋_GB2312"/>
              </w:rPr>
              <w:t>是否涉及优先采购节能产品</w:t>
            </w:r>
          </w:p>
        </w:tc>
        <w:tc>
          <w:tcPr>
            <w:tcW w:w="639" w:type="dxa"/>
          </w:tcPr>
          <w:p w14:paraId="40D66875">
            <w:pPr>
              <w:pStyle w:val="4"/>
              <w:jc w:val="center"/>
            </w:pPr>
            <w:r>
              <w:rPr>
                <w:rFonts w:ascii="仿宋_GB2312" w:hAnsi="仿宋_GB2312" w:eastAsia="仿宋_GB2312" w:cs="仿宋_GB2312"/>
              </w:rPr>
              <w:t>是否涉及优先采购环境标志产品</w:t>
            </w:r>
          </w:p>
        </w:tc>
      </w:tr>
      <w:tr w14:paraId="3696AC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1CCF4BF">
            <w:pPr>
              <w:pStyle w:val="4"/>
              <w:jc w:val="left"/>
            </w:pPr>
            <w:r>
              <w:rPr>
                <w:rFonts w:ascii="仿宋_GB2312" w:hAnsi="仿宋_GB2312" w:eastAsia="仿宋_GB2312" w:cs="仿宋_GB2312"/>
              </w:rPr>
              <w:t>1</w:t>
            </w:r>
          </w:p>
        </w:tc>
        <w:tc>
          <w:tcPr>
            <w:tcW w:w="821" w:type="dxa"/>
          </w:tcPr>
          <w:p w14:paraId="28F7195E">
            <w:pPr>
              <w:pStyle w:val="4"/>
              <w:jc w:val="left"/>
            </w:pPr>
            <w:r>
              <w:rPr>
                <w:rFonts w:ascii="仿宋_GB2312" w:hAnsi="仿宋_GB2312" w:eastAsia="仿宋_GB2312" w:cs="仿宋_GB2312"/>
              </w:rPr>
              <w:t>C99000000 其他服务</w:t>
            </w:r>
          </w:p>
        </w:tc>
        <w:tc>
          <w:tcPr>
            <w:tcW w:w="821" w:type="dxa"/>
          </w:tcPr>
          <w:p w14:paraId="7EEEA218">
            <w:pPr>
              <w:pStyle w:val="4"/>
              <w:jc w:val="left"/>
            </w:pPr>
            <w:r>
              <w:rPr>
                <w:rFonts w:ascii="仿宋_GB2312" w:hAnsi="仿宋_GB2312" w:eastAsia="仿宋_GB2312" w:cs="仿宋_GB2312"/>
              </w:rPr>
              <w:t>专业与标准建设及国际化应用推广服务</w:t>
            </w:r>
          </w:p>
        </w:tc>
        <w:tc>
          <w:tcPr>
            <w:tcW w:w="821" w:type="dxa"/>
          </w:tcPr>
          <w:p w14:paraId="6B2485DD">
            <w:pPr>
              <w:pStyle w:val="4"/>
              <w:jc w:val="right"/>
            </w:pPr>
            <w:r>
              <w:rPr>
                <w:rFonts w:ascii="仿宋_GB2312" w:hAnsi="仿宋_GB2312" w:eastAsia="仿宋_GB2312" w:cs="仿宋_GB2312"/>
              </w:rPr>
              <w:t>1.00（项）</w:t>
            </w:r>
          </w:p>
        </w:tc>
        <w:tc>
          <w:tcPr>
            <w:tcW w:w="821" w:type="dxa"/>
          </w:tcPr>
          <w:p w14:paraId="4D867C41">
            <w:pPr>
              <w:pStyle w:val="4"/>
              <w:jc w:val="right"/>
            </w:pPr>
            <w:r>
              <w:rPr>
                <w:rFonts w:ascii="仿宋_GB2312" w:hAnsi="仿宋_GB2312" w:eastAsia="仿宋_GB2312" w:cs="仿宋_GB2312"/>
              </w:rPr>
              <w:t>1,000,000.00</w:t>
            </w:r>
          </w:p>
        </w:tc>
        <w:tc>
          <w:tcPr>
            <w:tcW w:w="821" w:type="dxa"/>
          </w:tcPr>
          <w:p w14:paraId="4DF88A66">
            <w:pPr>
              <w:pStyle w:val="4"/>
              <w:jc w:val="left"/>
            </w:pPr>
            <w:r>
              <w:rPr>
                <w:rFonts w:ascii="仿宋_GB2312" w:hAnsi="仿宋_GB2312" w:eastAsia="仿宋_GB2312" w:cs="仿宋_GB2312"/>
              </w:rPr>
              <w:t>其他未列明行业</w:t>
            </w:r>
          </w:p>
        </w:tc>
        <w:tc>
          <w:tcPr>
            <w:tcW w:w="821" w:type="dxa"/>
          </w:tcPr>
          <w:p w14:paraId="4D19861B">
            <w:pPr>
              <w:pStyle w:val="4"/>
              <w:jc w:val="left"/>
            </w:pPr>
            <w:r>
              <w:rPr>
                <w:rFonts w:ascii="仿宋_GB2312" w:hAnsi="仿宋_GB2312" w:eastAsia="仿宋_GB2312" w:cs="仿宋_GB2312"/>
              </w:rPr>
              <w:t>否</w:t>
            </w:r>
          </w:p>
        </w:tc>
        <w:tc>
          <w:tcPr>
            <w:tcW w:w="821" w:type="dxa"/>
          </w:tcPr>
          <w:p w14:paraId="4AC6776E">
            <w:pPr>
              <w:pStyle w:val="4"/>
              <w:jc w:val="left"/>
            </w:pPr>
            <w:r>
              <w:rPr>
                <w:rFonts w:ascii="仿宋_GB2312" w:hAnsi="仿宋_GB2312" w:eastAsia="仿宋_GB2312" w:cs="仿宋_GB2312"/>
              </w:rPr>
              <w:t>否</w:t>
            </w:r>
          </w:p>
        </w:tc>
        <w:tc>
          <w:tcPr>
            <w:tcW w:w="821" w:type="dxa"/>
          </w:tcPr>
          <w:p w14:paraId="66771867">
            <w:pPr>
              <w:pStyle w:val="4"/>
              <w:jc w:val="left"/>
            </w:pPr>
            <w:r>
              <w:rPr>
                <w:rFonts w:ascii="仿宋_GB2312" w:hAnsi="仿宋_GB2312" w:eastAsia="仿宋_GB2312" w:cs="仿宋_GB2312"/>
              </w:rPr>
              <w:t>否</w:t>
            </w:r>
          </w:p>
        </w:tc>
        <w:tc>
          <w:tcPr>
            <w:tcW w:w="639" w:type="dxa"/>
          </w:tcPr>
          <w:p w14:paraId="3D14E262">
            <w:pPr>
              <w:pStyle w:val="4"/>
              <w:jc w:val="left"/>
            </w:pPr>
            <w:r>
              <w:rPr>
                <w:rFonts w:ascii="仿宋_GB2312" w:hAnsi="仿宋_GB2312" w:eastAsia="仿宋_GB2312" w:cs="仿宋_GB2312"/>
              </w:rPr>
              <w:t>否</w:t>
            </w:r>
          </w:p>
        </w:tc>
        <w:tc>
          <w:tcPr>
            <w:tcW w:w="639" w:type="dxa"/>
          </w:tcPr>
          <w:p w14:paraId="0EC1DDF5">
            <w:pPr>
              <w:pStyle w:val="4"/>
              <w:jc w:val="left"/>
            </w:pPr>
            <w:r>
              <w:rPr>
                <w:rFonts w:ascii="仿宋_GB2312" w:hAnsi="仿宋_GB2312" w:eastAsia="仿宋_GB2312" w:cs="仿宋_GB2312"/>
              </w:rPr>
              <w:t>否</w:t>
            </w:r>
          </w:p>
        </w:tc>
      </w:tr>
    </w:tbl>
    <w:p w14:paraId="023D0476">
      <w:pPr>
        <w:pStyle w:val="4"/>
        <w:jc w:val="left"/>
      </w:pPr>
      <w:r>
        <w:rPr>
          <w:rFonts w:ascii="仿宋_GB2312" w:hAnsi="仿宋_GB2312" w:eastAsia="仿宋_GB2312" w:cs="仿宋_GB2312"/>
        </w:rPr>
        <w:t>是否适用本国产品标准：否</w:t>
      </w:r>
    </w:p>
    <w:p w14:paraId="50D31AC7">
      <w:pPr>
        <w:pStyle w:val="4"/>
        <w:jc w:val="left"/>
        <w:outlineLvl w:val="3"/>
      </w:pPr>
      <w:r>
        <w:rPr>
          <w:rFonts w:ascii="仿宋_GB2312" w:hAnsi="仿宋_GB2312" w:eastAsia="仿宋_GB2312" w:cs="仿宋_GB2312"/>
          <w:b/>
          <w:sz w:val="24"/>
        </w:rPr>
        <w:t>报价要求</w:t>
      </w:r>
    </w:p>
    <w:p w14:paraId="7DD01CF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4CDE5E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27481BE">
            <w:pPr>
              <w:pStyle w:val="4"/>
              <w:jc w:val="center"/>
            </w:pPr>
            <w:r>
              <w:rPr>
                <w:rFonts w:ascii="仿宋_GB2312" w:hAnsi="仿宋_GB2312" w:eastAsia="仿宋_GB2312" w:cs="仿宋_GB2312"/>
              </w:rPr>
              <w:t>序号</w:t>
            </w:r>
          </w:p>
        </w:tc>
        <w:tc>
          <w:tcPr>
            <w:tcW w:w="1707" w:type="dxa"/>
          </w:tcPr>
          <w:p w14:paraId="2BE55C4A">
            <w:pPr>
              <w:pStyle w:val="4"/>
              <w:jc w:val="center"/>
            </w:pPr>
            <w:r>
              <w:rPr>
                <w:rFonts w:ascii="仿宋_GB2312" w:hAnsi="仿宋_GB2312" w:eastAsia="仿宋_GB2312" w:cs="仿宋_GB2312"/>
              </w:rPr>
              <w:t>报价内容</w:t>
            </w:r>
          </w:p>
        </w:tc>
        <w:tc>
          <w:tcPr>
            <w:tcW w:w="1138" w:type="dxa"/>
          </w:tcPr>
          <w:p w14:paraId="5737D2AD">
            <w:pPr>
              <w:pStyle w:val="4"/>
              <w:jc w:val="center"/>
            </w:pPr>
            <w:r>
              <w:rPr>
                <w:rFonts w:ascii="仿宋_GB2312" w:hAnsi="仿宋_GB2312" w:eastAsia="仿宋_GB2312" w:cs="仿宋_GB2312"/>
              </w:rPr>
              <w:t>数量（计量单位）</w:t>
            </w:r>
          </w:p>
        </w:tc>
        <w:tc>
          <w:tcPr>
            <w:tcW w:w="1365" w:type="dxa"/>
          </w:tcPr>
          <w:p w14:paraId="5DF94F64">
            <w:pPr>
              <w:pStyle w:val="4"/>
              <w:jc w:val="center"/>
            </w:pPr>
            <w:r>
              <w:rPr>
                <w:rFonts w:ascii="仿宋_GB2312" w:hAnsi="仿宋_GB2312" w:eastAsia="仿宋_GB2312" w:cs="仿宋_GB2312"/>
              </w:rPr>
              <w:t>最高限价</w:t>
            </w:r>
          </w:p>
        </w:tc>
        <w:tc>
          <w:tcPr>
            <w:tcW w:w="1138" w:type="dxa"/>
          </w:tcPr>
          <w:p w14:paraId="2B937579">
            <w:pPr>
              <w:pStyle w:val="4"/>
              <w:jc w:val="center"/>
            </w:pPr>
            <w:r>
              <w:rPr>
                <w:rFonts w:ascii="仿宋_GB2312" w:hAnsi="仿宋_GB2312" w:eastAsia="仿宋_GB2312" w:cs="仿宋_GB2312"/>
              </w:rPr>
              <w:t>价款形式</w:t>
            </w:r>
          </w:p>
        </w:tc>
        <w:tc>
          <w:tcPr>
            <w:tcW w:w="1934" w:type="dxa"/>
          </w:tcPr>
          <w:p w14:paraId="10592F83">
            <w:pPr>
              <w:pStyle w:val="4"/>
              <w:jc w:val="center"/>
            </w:pPr>
            <w:r>
              <w:rPr>
                <w:rFonts w:ascii="仿宋_GB2312" w:hAnsi="仿宋_GB2312" w:eastAsia="仿宋_GB2312" w:cs="仿宋_GB2312"/>
              </w:rPr>
              <w:t>报价说明</w:t>
            </w:r>
          </w:p>
        </w:tc>
      </w:tr>
      <w:tr w14:paraId="1AB064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E896052">
            <w:pPr>
              <w:pStyle w:val="4"/>
              <w:jc w:val="center"/>
            </w:pPr>
            <w:r>
              <w:rPr>
                <w:rFonts w:ascii="仿宋_GB2312" w:hAnsi="仿宋_GB2312" w:eastAsia="仿宋_GB2312" w:cs="仿宋_GB2312"/>
              </w:rPr>
              <w:t>1</w:t>
            </w:r>
          </w:p>
        </w:tc>
        <w:tc>
          <w:tcPr>
            <w:tcW w:w="1707" w:type="dxa"/>
          </w:tcPr>
          <w:p w14:paraId="2AEEDD8D">
            <w:pPr>
              <w:pStyle w:val="4"/>
              <w:jc w:val="center"/>
            </w:pPr>
            <w:r>
              <w:rPr>
                <w:rFonts w:ascii="仿宋_GB2312" w:hAnsi="仿宋_GB2312" w:eastAsia="仿宋_GB2312" w:cs="仿宋_GB2312"/>
              </w:rPr>
              <w:t>专业与标准建设及国际化应用推广服务</w:t>
            </w:r>
          </w:p>
        </w:tc>
        <w:tc>
          <w:tcPr>
            <w:tcW w:w="1138" w:type="dxa"/>
          </w:tcPr>
          <w:p w14:paraId="249B31D1">
            <w:pPr>
              <w:pStyle w:val="4"/>
              <w:jc w:val="center"/>
            </w:pPr>
            <w:r>
              <w:rPr>
                <w:rFonts w:ascii="仿宋_GB2312" w:hAnsi="仿宋_GB2312" w:eastAsia="仿宋_GB2312" w:cs="仿宋_GB2312"/>
              </w:rPr>
              <w:t>1.00（项）</w:t>
            </w:r>
          </w:p>
        </w:tc>
        <w:tc>
          <w:tcPr>
            <w:tcW w:w="1365" w:type="dxa"/>
          </w:tcPr>
          <w:p w14:paraId="5F48F6AD">
            <w:pPr>
              <w:pStyle w:val="4"/>
              <w:jc w:val="center"/>
            </w:pPr>
            <w:r>
              <w:rPr>
                <w:rFonts w:ascii="仿宋_GB2312" w:hAnsi="仿宋_GB2312" w:eastAsia="仿宋_GB2312" w:cs="仿宋_GB2312"/>
              </w:rPr>
              <w:t>1,000,000.00</w:t>
            </w:r>
          </w:p>
        </w:tc>
        <w:tc>
          <w:tcPr>
            <w:tcW w:w="1138" w:type="dxa"/>
          </w:tcPr>
          <w:p w14:paraId="63FEA447">
            <w:pPr>
              <w:pStyle w:val="4"/>
              <w:jc w:val="center"/>
            </w:pPr>
            <w:r>
              <w:rPr>
                <w:rFonts w:ascii="仿宋_GB2312" w:hAnsi="仿宋_GB2312" w:eastAsia="仿宋_GB2312" w:cs="仿宋_GB2312"/>
              </w:rPr>
              <w:t>总价</w:t>
            </w:r>
          </w:p>
        </w:tc>
        <w:tc>
          <w:tcPr>
            <w:tcW w:w="1934" w:type="dxa"/>
          </w:tcPr>
          <w:p w14:paraId="5DC23D89">
            <w:pPr>
              <w:pStyle w:val="4"/>
              <w:jc w:val="left"/>
            </w:pPr>
            <w:r>
              <w:rPr>
                <w:rFonts w:ascii="仿宋_GB2312" w:hAnsi="仿宋_GB2312" w:eastAsia="仿宋_GB2312" w:cs="仿宋_GB2312"/>
              </w:rPr>
              <w:t>无</w:t>
            </w:r>
          </w:p>
        </w:tc>
      </w:tr>
    </w:tbl>
    <w:p w14:paraId="47420FDC">
      <w:pPr>
        <w:pStyle w:val="4"/>
        <w:ind w:firstLine="480"/>
        <w:jc w:val="left"/>
      </w:pPr>
      <w:r>
        <w:rPr>
          <w:rFonts w:ascii="仿宋_GB2312" w:hAnsi="仿宋_GB2312" w:eastAsia="仿宋_GB2312" w:cs="仿宋_GB2312"/>
        </w:rPr>
        <w:t>★注：采购包涉及采购货物的，投标人响应产品应当明确品牌和规格型号并指向唯一产品，不能指向唯一产品的，应通过报价表唯一产品说明栏补充说明。</w:t>
      </w:r>
    </w:p>
    <w:p w14:paraId="2A41B800">
      <w:pPr>
        <w:pStyle w:val="4"/>
        <w:jc w:val="left"/>
      </w:pPr>
      <w:r>
        <w:rPr>
          <w:rFonts w:ascii="仿宋_GB2312" w:hAnsi="仿宋_GB2312" w:eastAsia="仿宋_GB2312" w:cs="仿宋_GB2312"/>
          <w:b/>
        </w:rPr>
        <w:t>本项目涉及核心产品：</w:t>
      </w:r>
    </w:p>
    <w:p w14:paraId="62535AC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C5913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4938D44">
            <w:pPr>
              <w:pStyle w:val="4"/>
              <w:jc w:val="center"/>
            </w:pPr>
            <w:r>
              <w:rPr>
                <w:rFonts w:ascii="仿宋_GB2312" w:hAnsi="仿宋_GB2312" w:eastAsia="仿宋_GB2312" w:cs="仿宋_GB2312"/>
              </w:rPr>
              <w:t>序号</w:t>
            </w:r>
          </w:p>
        </w:tc>
        <w:tc>
          <w:tcPr>
            <w:tcW w:w="2492" w:type="dxa"/>
          </w:tcPr>
          <w:p w14:paraId="6644313B">
            <w:pPr>
              <w:pStyle w:val="4"/>
              <w:jc w:val="center"/>
            </w:pPr>
            <w:r>
              <w:rPr>
                <w:rFonts w:ascii="仿宋_GB2312" w:hAnsi="仿宋_GB2312" w:eastAsia="仿宋_GB2312" w:cs="仿宋_GB2312"/>
              </w:rPr>
              <w:t>采购品目名称</w:t>
            </w:r>
          </w:p>
        </w:tc>
        <w:tc>
          <w:tcPr>
            <w:tcW w:w="2492" w:type="dxa"/>
          </w:tcPr>
          <w:p w14:paraId="4361A154">
            <w:pPr>
              <w:pStyle w:val="4"/>
              <w:jc w:val="center"/>
            </w:pPr>
            <w:r>
              <w:rPr>
                <w:rFonts w:ascii="仿宋_GB2312" w:hAnsi="仿宋_GB2312" w:eastAsia="仿宋_GB2312" w:cs="仿宋_GB2312"/>
              </w:rPr>
              <w:t>标的名称</w:t>
            </w:r>
          </w:p>
        </w:tc>
        <w:tc>
          <w:tcPr>
            <w:tcW w:w="2492" w:type="dxa"/>
          </w:tcPr>
          <w:p w14:paraId="6FE995FD">
            <w:pPr>
              <w:pStyle w:val="4"/>
              <w:jc w:val="center"/>
            </w:pPr>
            <w:r>
              <w:rPr>
                <w:rFonts w:ascii="仿宋_GB2312" w:hAnsi="仿宋_GB2312" w:eastAsia="仿宋_GB2312" w:cs="仿宋_GB2312"/>
              </w:rPr>
              <w:t>产品名称</w:t>
            </w:r>
          </w:p>
        </w:tc>
      </w:tr>
      <w:tr w14:paraId="0F68A9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F6BAA22">
            <w:pPr>
              <w:pStyle w:val="4"/>
              <w:jc w:val="center"/>
            </w:pPr>
            <w:r>
              <w:rPr>
                <w:rFonts w:ascii="仿宋_GB2312" w:hAnsi="仿宋_GB2312" w:eastAsia="仿宋_GB2312" w:cs="仿宋_GB2312"/>
              </w:rPr>
              <w:t>不涉及</w:t>
            </w:r>
          </w:p>
        </w:tc>
      </w:tr>
    </w:tbl>
    <w:p w14:paraId="372C0BA6">
      <w:pPr>
        <w:pStyle w:val="4"/>
        <w:ind w:firstLine="480"/>
        <w:jc w:val="left"/>
      </w:pPr>
      <w:r>
        <w:rPr>
          <w:rFonts w:ascii="仿宋_GB2312" w:hAnsi="仿宋_GB2312" w:eastAsia="仿宋_GB2312" w:cs="仿宋_GB2312"/>
        </w:rPr>
        <w:t>注：涉及核心产品的，具体评审规定见第五章。</w:t>
      </w:r>
    </w:p>
    <w:p w14:paraId="39970807">
      <w:pPr>
        <w:pStyle w:val="4"/>
        <w:jc w:val="left"/>
        <w:outlineLvl w:val="3"/>
      </w:pPr>
      <w:r>
        <w:rPr>
          <w:rFonts w:ascii="仿宋_GB2312" w:hAnsi="仿宋_GB2312" w:eastAsia="仿宋_GB2312" w:cs="仿宋_GB2312"/>
          <w:b/>
          <w:sz w:val="24"/>
        </w:rPr>
        <w:t>本项目涉及采购进口产品：</w:t>
      </w:r>
    </w:p>
    <w:p w14:paraId="0C9130A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90BE9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DF31150">
            <w:pPr>
              <w:pStyle w:val="4"/>
              <w:jc w:val="center"/>
            </w:pPr>
            <w:r>
              <w:rPr>
                <w:rFonts w:ascii="仿宋_GB2312" w:hAnsi="仿宋_GB2312" w:eastAsia="仿宋_GB2312" w:cs="仿宋_GB2312"/>
              </w:rPr>
              <w:t>序号</w:t>
            </w:r>
          </w:p>
        </w:tc>
        <w:tc>
          <w:tcPr>
            <w:tcW w:w="2492" w:type="dxa"/>
          </w:tcPr>
          <w:p w14:paraId="6965E3B0">
            <w:pPr>
              <w:pStyle w:val="4"/>
              <w:jc w:val="center"/>
            </w:pPr>
            <w:r>
              <w:rPr>
                <w:rFonts w:ascii="仿宋_GB2312" w:hAnsi="仿宋_GB2312" w:eastAsia="仿宋_GB2312" w:cs="仿宋_GB2312"/>
              </w:rPr>
              <w:t>采购品目名称</w:t>
            </w:r>
          </w:p>
        </w:tc>
        <w:tc>
          <w:tcPr>
            <w:tcW w:w="2492" w:type="dxa"/>
          </w:tcPr>
          <w:p w14:paraId="44DC92D7">
            <w:pPr>
              <w:pStyle w:val="4"/>
              <w:jc w:val="center"/>
            </w:pPr>
            <w:r>
              <w:rPr>
                <w:rFonts w:ascii="仿宋_GB2312" w:hAnsi="仿宋_GB2312" w:eastAsia="仿宋_GB2312" w:cs="仿宋_GB2312"/>
              </w:rPr>
              <w:t>标的名称</w:t>
            </w:r>
          </w:p>
        </w:tc>
        <w:tc>
          <w:tcPr>
            <w:tcW w:w="2492" w:type="dxa"/>
          </w:tcPr>
          <w:p w14:paraId="03BD062F">
            <w:pPr>
              <w:pStyle w:val="4"/>
              <w:jc w:val="center"/>
            </w:pPr>
            <w:r>
              <w:rPr>
                <w:rFonts w:ascii="仿宋_GB2312" w:hAnsi="仿宋_GB2312" w:eastAsia="仿宋_GB2312" w:cs="仿宋_GB2312"/>
              </w:rPr>
              <w:t>产品名称</w:t>
            </w:r>
          </w:p>
        </w:tc>
      </w:tr>
      <w:tr w14:paraId="1B1937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0EF320F">
            <w:pPr>
              <w:pStyle w:val="4"/>
              <w:jc w:val="center"/>
            </w:pPr>
            <w:r>
              <w:rPr>
                <w:rFonts w:ascii="仿宋_GB2312" w:hAnsi="仿宋_GB2312" w:eastAsia="仿宋_GB2312" w:cs="仿宋_GB2312"/>
              </w:rPr>
              <w:t>不涉及</w:t>
            </w:r>
          </w:p>
        </w:tc>
      </w:tr>
    </w:tbl>
    <w:p w14:paraId="7F4B7949">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55024017">
      <w:pPr>
        <w:pStyle w:val="4"/>
        <w:jc w:val="left"/>
        <w:outlineLvl w:val="3"/>
      </w:pPr>
      <w:r>
        <w:rPr>
          <w:rFonts w:ascii="仿宋_GB2312" w:hAnsi="仿宋_GB2312" w:eastAsia="仿宋_GB2312" w:cs="仿宋_GB2312"/>
          <w:b/>
          <w:sz w:val="24"/>
        </w:rPr>
        <w:t>本项目涉及强制采购节能产品：</w:t>
      </w:r>
    </w:p>
    <w:p w14:paraId="563BA32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32125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35079DF7">
            <w:pPr>
              <w:pStyle w:val="4"/>
              <w:jc w:val="center"/>
            </w:pPr>
            <w:r>
              <w:rPr>
                <w:rFonts w:ascii="仿宋_GB2312" w:hAnsi="仿宋_GB2312" w:eastAsia="仿宋_GB2312" w:cs="仿宋_GB2312"/>
              </w:rPr>
              <w:t>序号</w:t>
            </w:r>
          </w:p>
        </w:tc>
        <w:tc>
          <w:tcPr>
            <w:tcW w:w="2492" w:type="dxa"/>
          </w:tcPr>
          <w:p w14:paraId="24B5A3ED">
            <w:pPr>
              <w:pStyle w:val="4"/>
              <w:jc w:val="center"/>
            </w:pPr>
            <w:r>
              <w:rPr>
                <w:rFonts w:ascii="仿宋_GB2312" w:hAnsi="仿宋_GB2312" w:eastAsia="仿宋_GB2312" w:cs="仿宋_GB2312"/>
              </w:rPr>
              <w:t>采购品目名称</w:t>
            </w:r>
          </w:p>
        </w:tc>
        <w:tc>
          <w:tcPr>
            <w:tcW w:w="2492" w:type="dxa"/>
          </w:tcPr>
          <w:p w14:paraId="6F70710D">
            <w:pPr>
              <w:pStyle w:val="4"/>
              <w:jc w:val="center"/>
            </w:pPr>
            <w:r>
              <w:rPr>
                <w:rFonts w:ascii="仿宋_GB2312" w:hAnsi="仿宋_GB2312" w:eastAsia="仿宋_GB2312" w:cs="仿宋_GB2312"/>
              </w:rPr>
              <w:t>标的名称</w:t>
            </w:r>
          </w:p>
        </w:tc>
        <w:tc>
          <w:tcPr>
            <w:tcW w:w="2492" w:type="dxa"/>
          </w:tcPr>
          <w:p w14:paraId="1100BE23">
            <w:pPr>
              <w:pStyle w:val="4"/>
              <w:jc w:val="center"/>
            </w:pPr>
            <w:r>
              <w:rPr>
                <w:rFonts w:ascii="仿宋_GB2312" w:hAnsi="仿宋_GB2312" w:eastAsia="仿宋_GB2312" w:cs="仿宋_GB2312"/>
              </w:rPr>
              <w:t>产品名称</w:t>
            </w:r>
          </w:p>
        </w:tc>
      </w:tr>
      <w:tr w14:paraId="1041F7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99678CD">
            <w:pPr>
              <w:pStyle w:val="4"/>
              <w:jc w:val="center"/>
            </w:pPr>
            <w:r>
              <w:rPr>
                <w:rFonts w:ascii="仿宋_GB2312" w:hAnsi="仿宋_GB2312" w:eastAsia="仿宋_GB2312" w:cs="仿宋_GB2312"/>
              </w:rPr>
              <w:t>不涉及</w:t>
            </w:r>
          </w:p>
        </w:tc>
      </w:tr>
    </w:tbl>
    <w:p w14:paraId="7904FE6D">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739F6D67">
      <w:pPr>
        <w:pStyle w:val="4"/>
        <w:jc w:val="left"/>
      </w:pPr>
      <w:r>
        <w:rPr>
          <w:rFonts w:ascii="仿宋_GB2312" w:hAnsi="仿宋_GB2312" w:eastAsia="仿宋_GB2312" w:cs="仿宋_GB2312"/>
          <w:b/>
        </w:rPr>
        <w:t>本项目涉及优先采购节能产品：</w:t>
      </w:r>
    </w:p>
    <w:p w14:paraId="6ABF596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B0446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8E098CB">
            <w:pPr>
              <w:pStyle w:val="4"/>
              <w:jc w:val="center"/>
            </w:pPr>
            <w:r>
              <w:rPr>
                <w:rFonts w:ascii="仿宋_GB2312" w:hAnsi="仿宋_GB2312" w:eastAsia="仿宋_GB2312" w:cs="仿宋_GB2312"/>
              </w:rPr>
              <w:t>序号</w:t>
            </w:r>
          </w:p>
        </w:tc>
        <w:tc>
          <w:tcPr>
            <w:tcW w:w="2492" w:type="dxa"/>
          </w:tcPr>
          <w:p w14:paraId="359F27BB">
            <w:pPr>
              <w:pStyle w:val="4"/>
              <w:jc w:val="center"/>
            </w:pPr>
            <w:r>
              <w:rPr>
                <w:rFonts w:ascii="仿宋_GB2312" w:hAnsi="仿宋_GB2312" w:eastAsia="仿宋_GB2312" w:cs="仿宋_GB2312"/>
              </w:rPr>
              <w:t>采购品目名称</w:t>
            </w:r>
          </w:p>
        </w:tc>
        <w:tc>
          <w:tcPr>
            <w:tcW w:w="2492" w:type="dxa"/>
          </w:tcPr>
          <w:p w14:paraId="063E9CE2">
            <w:pPr>
              <w:pStyle w:val="4"/>
              <w:jc w:val="center"/>
            </w:pPr>
            <w:r>
              <w:rPr>
                <w:rFonts w:ascii="仿宋_GB2312" w:hAnsi="仿宋_GB2312" w:eastAsia="仿宋_GB2312" w:cs="仿宋_GB2312"/>
              </w:rPr>
              <w:t>标的名称</w:t>
            </w:r>
          </w:p>
        </w:tc>
        <w:tc>
          <w:tcPr>
            <w:tcW w:w="2492" w:type="dxa"/>
          </w:tcPr>
          <w:p w14:paraId="6A6B5154">
            <w:pPr>
              <w:pStyle w:val="4"/>
              <w:jc w:val="center"/>
            </w:pPr>
            <w:r>
              <w:rPr>
                <w:rFonts w:ascii="仿宋_GB2312" w:hAnsi="仿宋_GB2312" w:eastAsia="仿宋_GB2312" w:cs="仿宋_GB2312"/>
              </w:rPr>
              <w:t>产品名称</w:t>
            </w:r>
          </w:p>
        </w:tc>
      </w:tr>
      <w:tr w14:paraId="58CBEB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0A6CFF9">
            <w:pPr>
              <w:pStyle w:val="4"/>
              <w:jc w:val="center"/>
            </w:pPr>
            <w:r>
              <w:rPr>
                <w:rFonts w:ascii="仿宋_GB2312" w:hAnsi="仿宋_GB2312" w:eastAsia="仿宋_GB2312" w:cs="仿宋_GB2312"/>
              </w:rPr>
              <w:t>不涉及</w:t>
            </w:r>
          </w:p>
        </w:tc>
      </w:tr>
    </w:tbl>
    <w:p w14:paraId="2B66C5D2">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5AB8870D">
      <w:pPr>
        <w:pStyle w:val="4"/>
        <w:jc w:val="left"/>
        <w:outlineLvl w:val="3"/>
      </w:pPr>
      <w:r>
        <w:rPr>
          <w:rFonts w:ascii="仿宋_GB2312" w:hAnsi="仿宋_GB2312" w:eastAsia="仿宋_GB2312" w:cs="仿宋_GB2312"/>
          <w:b/>
          <w:sz w:val="24"/>
        </w:rPr>
        <w:t>本项目涉及优先采购环境标志产品：</w:t>
      </w:r>
    </w:p>
    <w:p w14:paraId="79C028D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BA127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3F82792">
            <w:pPr>
              <w:pStyle w:val="4"/>
              <w:jc w:val="center"/>
            </w:pPr>
            <w:r>
              <w:rPr>
                <w:rFonts w:ascii="仿宋_GB2312" w:hAnsi="仿宋_GB2312" w:eastAsia="仿宋_GB2312" w:cs="仿宋_GB2312"/>
              </w:rPr>
              <w:t>序号</w:t>
            </w:r>
          </w:p>
        </w:tc>
        <w:tc>
          <w:tcPr>
            <w:tcW w:w="2492" w:type="dxa"/>
          </w:tcPr>
          <w:p w14:paraId="2747112D">
            <w:pPr>
              <w:pStyle w:val="4"/>
              <w:jc w:val="center"/>
            </w:pPr>
            <w:r>
              <w:rPr>
                <w:rFonts w:ascii="仿宋_GB2312" w:hAnsi="仿宋_GB2312" w:eastAsia="仿宋_GB2312" w:cs="仿宋_GB2312"/>
              </w:rPr>
              <w:t>采购品目名称</w:t>
            </w:r>
          </w:p>
        </w:tc>
        <w:tc>
          <w:tcPr>
            <w:tcW w:w="2492" w:type="dxa"/>
          </w:tcPr>
          <w:p w14:paraId="5C244AD1">
            <w:pPr>
              <w:pStyle w:val="4"/>
              <w:jc w:val="center"/>
            </w:pPr>
            <w:r>
              <w:rPr>
                <w:rFonts w:ascii="仿宋_GB2312" w:hAnsi="仿宋_GB2312" w:eastAsia="仿宋_GB2312" w:cs="仿宋_GB2312"/>
              </w:rPr>
              <w:t>标的名称</w:t>
            </w:r>
          </w:p>
        </w:tc>
        <w:tc>
          <w:tcPr>
            <w:tcW w:w="2492" w:type="dxa"/>
          </w:tcPr>
          <w:p w14:paraId="2DB789F7">
            <w:pPr>
              <w:pStyle w:val="4"/>
              <w:jc w:val="center"/>
            </w:pPr>
            <w:r>
              <w:rPr>
                <w:rFonts w:ascii="仿宋_GB2312" w:hAnsi="仿宋_GB2312" w:eastAsia="仿宋_GB2312" w:cs="仿宋_GB2312"/>
              </w:rPr>
              <w:t>产品名称</w:t>
            </w:r>
          </w:p>
        </w:tc>
      </w:tr>
      <w:tr w14:paraId="0AFAF6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D892E61">
            <w:pPr>
              <w:pStyle w:val="4"/>
              <w:jc w:val="center"/>
            </w:pPr>
            <w:r>
              <w:rPr>
                <w:rFonts w:ascii="仿宋_GB2312" w:hAnsi="仿宋_GB2312" w:eastAsia="仿宋_GB2312" w:cs="仿宋_GB2312"/>
              </w:rPr>
              <w:t>不涉及</w:t>
            </w:r>
          </w:p>
        </w:tc>
      </w:tr>
    </w:tbl>
    <w:p w14:paraId="79A6F821">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4B6F5A3E">
      <w:pPr>
        <w:pStyle w:val="4"/>
        <w:jc w:val="left"/>
        <w:outlineLvl w:val="2"/>
      </w:pPr>
      <w:r>
        <w:rPr>
          <w:rFonts w:ascii="仿宋_GB2312" w:hAnsi="仿宋_GB2312" w:eastAsia="仿宋_GB2312" w:cs="仿宋_GB2312"/>
          <w:b/>
          <w:sz w:val="28"/>
        </w:rPr>
        <w:t>3.2.技术要求</w:t>
      </w:r>
    </w:p>
    <w:p w14:paraId="31C7908B">
      <w:pPr>
        <w:pStyle w:val="4"/>
        <w:jc w:val="left"/>
      </w:pPr>
      <w:r>
        <w:rPr>
          <w:rFonts w:ascii="仿宋_GB2312" w:hAnsi="仿宋_GB2312" w:eastAsia="仿宋_GB2312" w:cs="仿宋_GB2312"/>
        </w:rPr>
        <w:t>采购包1：</w:t>
      </w:r>
    </w:p>
    <w:p w14:paraId="31CA3AB4">
      <w:pPr>
        <w:pStyle w:val="4"/>
        <w:jc w:val="left"/>
      </w:pPr>
      <w:r>
        <w:rPr>
          <w:rFonts w:ascii="仿宋_GB2312" w:hAnsi="仿宋_GB2312" w:eastAsia="仿宋_GB2312" w:cs="仿宋_GB2312"/>
        </w:rPr>
        <w:t>标的名称：专业与标准建设及国际化应用推广服务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E1C05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1FBCAB82">
            <w:pPr>
              <w:pStyle w:val="4"/>
              <w:jc w:val="center"/>
            </w:pPr>
            <w:r>
              <w:rPr>
                <w:rFonts w:ascii="仿宋_GB2312" w:hAnsi="仿宋_GB2312" w:eastAsia="仿宋_GB2312" w:cs="仿宋_GB2312"/>
              </w:rPr>
              <w:t>序号</w:t>
            </w:r>
          </w:p>
        </w:tc>
        <w:tc>
          <w:tcPr>
            <w:tcW w:w="581" w:type="dxa"/>
          </w:tcPr>
          <w:p w14:paraId="26C5B775">
            <w:pPr>
              <w:pStyle w:val="4"/>
              <w:jc w:val="center"/>
            </w:pPr>
            <w:r>
              <w:rPr>
                <w:rFonts w:ascii="仿宋_GB2312" w:hAnsi="仿宋_GB2312" w:eastAsia="仿宋_GB2312" w:cs="仿宋_GB2312"/>
              </w:rPr>
              <w:t>符号标识</w:t>
            </w:r>
          </w:p>
        </w:tc>
        <w:tc>
          <w:tcPr>
            <w:tcW w:w="1495" w:type="dxa"/>
          </w:tcPr>
          <w:p w14:paraId="319D172C">
            <w:pPr>
              <w:pStyle w:val="4"/>
              <w:jc w:val="center"/>
            </w:pPr>
            <w:r>
              <w:rPr>
                <w:rFonts w:ascii="仿宋_GB2312" w:hAnsi="仿宋_GB2312" w:eastAsia="仿宋_GB2312" w:cs="仿宋_GB2312"/>
              </w:rPr>
              <w:t>技术要求名称</w:t>
            </w:r>
          </w:p>
        </w:tc>
        <w:tc>
          <w:tcPr>
            <w:tcW w:w="5814" w:type="dxa"/>
          </w:tcPr>
          <w:p w14:paraId="45CE2215">
            <w:pPr>
              <w:pStyle w:val="4"/>
              <w:jc w:val="center"/>
            </w:pPr>
            <w:r>
              <w:rPr>
                <w:rFonts w:ascii="仿宋_GB2312" w:hAnsi="仿宋_GB2312" w:eastAsia="仿宋_GB2312" w:cs="仿宋_GB2312"/>
              </w:rPr>
              <w:t>技术参数与性能指标</w:t>
            </w:r>
          </w:p>
        </w:tc>
      </w:tr>
      <w:tr w14:paraId="2FBC32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12F3B6">
            <w:pPr>
              <w:pStyle w:val="4"/>
              <w:jc w:val="center"/>
            </w:pPr>
            <w:r>
              <w:rPr>
                <w:rFonts w:ascii="仿宋_GB2312" w:hAnsi="仿宋_GB2312" w:eastAsia="仿宋_GB2312" w:cs="仿宋_GB2312"/>
              </w:rPr>
              <w:t>1</w:t>
            </w:r>
          </w:p>
        </w:tc>
        <w:tc>
          <w:tcPr>
            <w:tcW w:w="581" w:type="dxa"/>
          </w:tcPr>
          <w:p w14:paraId="4A8EB8A6"/>
        </w:tc>
        <w:tc>
          <w:tcPr>
            <w:tcW w:w="1495" w:type="dxa"/>
          </w:tcPr>
          <w:p w14:paraId="7D338662">
            <w:pPr>
              <w:pStyle w:val="4"/>
              <w:jc w:val="left"/>
            </w:pPr>
            <w:r>
              <w:rPr>
                <w:rFonts w:ascii="仿宋_GB2312" w:hAnsi="仿宋_GB2312" w:eastAsia="仿宋_GB2312" w:cs="仿宋_GB2312"/>
              </w:rPr>
              <w:t>/</w:t>
            </w:r>
          </w:p>
        </w:tc>
        <w:tc>
          <w:tcPr>
            <w:tcW w:w="5814" w:type="dxa"/>
          </w:tcPr>
          <w:p w14:paraId="5EDD7863">
            <w:pPr>
              <w:pStyle w:val="4"/>
              <w:ind w:firstLine="220"/>
              <w:jc w:val="both"/>
            </w:pPr>
            <w:r>
              <w:rPr>
                <w:rFonts w:ascii="仿宋_GB2312" w:hAnsi="仿宋_GB2312" w:eastAsia="仿宋_GB2312" w:cs="仿宋_GB2312"/>
                <w:sz w:val="22"/>
              </w:rPr>
              <w:t>★</w:t>
            </w:r>
            <w:r>
              <w:rPr>
                <w:rFonts w:ascii="仿宋_GB2312" w:hAnsi="仿宋_GB2312" w:eastAsia="仿宋_GB2312" w:cs="仿宋_GB2312"/>
                <w:b/>
                <w:sz w:val="24"/>
              </w:rPr>
              <w:t>一、项目清单</w:t>
            </w:r>
            <w:r>
              <w:rPr>
                <w:rFonts w:ascii="仿宋_GB2312" w:hAnsi="仿宋_GB2312" w:eastAsia="仿宋_GB2312" w:cs="仿宋_GB2312"/>
                <w:sz w:val="21"/>
              </w:rPr>
              <w:t xml:space="preserve">                 </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23"/>
              <w:gridCol w:w="3140"/>
              <w:gridCol w:w="1610"/>
            </w:tblGrid>
            <w:tr w14:paraId="3E827B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120240B">
                  <w:pPr>
                    <w:pStyle w:val="4"/>
                    <w:jc w:val="center"/>
                  </w:pPr>
                  <w:r>
                    <w:rPr>
                      <w:rFonts w:ascii="仿宋_GB2312" w:hAnsi="仿宋_GB2312" w:eastAsia="仿宋_GB2312" w:cs="仿宋_GB2312"/>
                      <w:sz w:val="21"/>
                    </w:rPr>
                    <w:t xml:space="preserve"> </w:t>
                  </w:r>
                  <w:r>
                    <w:rPr>
                      <w:rFonts w:ascii="仿宋_GB2312" w:hAnsi="仿宋_GB2312" w:eastAsia="仿宋_GB2312" w:cs="仿宋_GB2312"/>
                      <w:sz w:val="24"/>
                    </w:rPr>
                    <w:t>序号</w:t>
                  </w:r>
                </w:p>
              </w:tc>
              <w:tc>
                <w:tcPr>
                  <w:tcW w:w="322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890BC0A">
                  <w:pPr>
                    <w:pStyle w:val="4"/>
                    <w:jc w:val="center"/>
                  </w:pPr>
                  <w:r>
                    <w:rPr>
                      <w:rFonts w:ascii="仿宋_GB2312" w:hAnsi="仿宋_GB2312" w:eastAsia="仿宋_GB2312" w:cs="仿宋_GB2312"/>
                      <w:sz w:val="24"/>
                    </w:rPr>
                    <w:t>服务标的名称</w:t>
                  </w:r>
                </w:p>
              </w:tc>
              <w:tc>
                <w:tcPr>
                  <w:tcW w:w="163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AD9C738">
                  <w:pPr>
                    <w:pStyle w:val="4"/>
                    <w:jc w:val="center"/>
                  </w:pPr>
                  <w:r>
                    <w:rPr>
                      <w:rFonts w:ascii="仿宋_GB2312" w:hAnsi="仿宋_GB2312" w:eastAsia="仿宋_GB2312" w:cs="仿宋_GB2312"/>
                      <w:sz w:val="24"/>
                    </w:rPr>
                    <w:t>服务期（或数量）</w:t>
                  </w:r>
                </w:p>
              </w:tc>
            </w:tr>
            <w:tr w14:paraId="2F48E4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108A0E78">
                  <w:pPr>
                    <w:pStyle w:val="4"/>
                    <w:jc w:val="center"/>
                  </w:pPr>
                  <w:r>
                    <w:rPr>
                      <w:rFonts w:ascii="仿宋_GB2312" w:hAnsi="仿宋_GB2312" w:eastAsia="仿宋_GB2312" w:cs="仿宋_GB2312"/>
                      <w:sz w:val="24"/>
                    </w:rPr>
                    <w:t>1</w:t>
                  </w:r>
                </w:p>
              </w:tc>
              <w:tc>
                <w:tcPr>
                  <w:tcW w:w="3226" w:type="dxa"/>
                  <w:tcBorders>
                    <w:top w:val="nil"/>
                    <w:left w:val="nil"/>
                    <w:bottom w:val="single" w:color="000000" w:sz="4" w:space="0"/>
                    <w:right w:val="single" w:color="000000" w:sz="4" w:space="0"/>
                  </w:tcBorders>
                  <w:tcMar>
                    <w:top w:w="0" w:type="dxa"/>
                    <w:left w:w="105" w:type="dxa"/>
                    <w:bottom w:w="0" w:type="dxa"/>
                    <w:right w:w="105" w:type="dxa"/>
                  </w:tcMar>
                </w:tcPr>
                <w:p w14:paraId="146EEE42">
                  <w:pPr>
                    <w:pStyle w:val="4"/>
                    <w:jc w:val="center"/>
                  </w:pPr>
                  <w:r>
                    <w:rPr>
                      <w:rFonts w:ascii="仿宋_GB2312" w:hAnsi="仿宋_GB2312" w:eastAsia="仿宋_GB2312" w:cs="仿宋_GB2312"/>
                      <w:sz w:val="24"/>
                    </w:rPr>
                    <w:t>专业共建及标准建设服务</w:t>
                  </w:r>
                </w:p>
              </w:tc>
              <w:tc>
                <w:tcPr>
                  <w:tcW w:w="1639" w:type="dxa"/>
                  <w:tcBorders>
                    <w:top w:val="nil"/>
                    <w:left w:val="nil"/>
                    <w:bottom w:val="single" w:color="000000" w:sz="4" w:space="0"/>
                    <w:right w:val="single" w:color="000000" w:sz="4" w:space="0"/>
                  </w:tcBorders>
                  <w:tcMar>
                    <w:top w:w="0" w:type="dxa"/>
                    <w:left w:w="105" w:type="dxa"/>
                    <w:bottom w:w="0" w:type="dxa"/>
                    <w:right w:w="105" w:type="dxa"/>
                  </w:tcMar>
                </w:tcPr>
                <w:p w14:paraId="1CB0D4ED">
                  <w:pPr>
                    <w:pStyle w:val="4"/>
                    <w:jc w:val="center"/>
                  </w:pPr>
                  <w:r>
                    <w:rPr>
                      <w:rFonts w:ascii="仿宋_GB2312" w:hAnsi="仿宋_GB2312" w:eastAsia="仿宋_GB2312" w:cs="仿宋_GB2312"/>
                      <w:sz w:val="24"/>
                    </w:rPr>
                    <w:t>1项</w:t>
                  </w:r>
                </w:p>
              </w:tc>
            </w:tr>
            <w:tr w14:paraId="402DEA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24569BD6">
                  <w:pPr>
                    <w:pStyle w:val="4"/>
                    <w:jc w:val="center"/>
                  </w:pPr>
                  <w:r>
                    <w:rPr>
                      <w:rFonts w:ascii="仿宋_GB2312" w:hAnsi="仿宋_GB2312" w:eastAsia="仿宋_GB2312" w:cs="仿宋_GB2312"/>
                      <w:sz w:val="24"/>
                    </w:rPr>
                    <w:t>2</w:t>
                  </w:r>
                </w:p>
              </w:tc>
              <w:tc>
                <w:tcPr>
                  <w:tcW w:w="3226" w:type="dxa"/>
                  <w:tcBorders>
                    <w:top w:val="nil"/>
                    <w:left w:val="nil"/>
                    <w:bottom w:val="single" w:color="000000" w:sz="4" w:space="0"/>
                    <w:right w:val="single" w:color="000000" w:sz="4" w:space="0"/>
                  </w:tcBorders>
                  <w:tcMar>
                    <w:top w:w="0" w:type="dxa"/>
                    <w:left w:w="105" w:type="dxa"/>
                    <w:bottom w:w="0" w:type="dxa"/>
                    <w:right w:w="105" w:type="dxa"/>
                  </w:tcMar>
                </w:tcPr>
                <w:p w14:paraId="15748627">
                  <w:pPr>
                    <w:pStyle w:val="4"/>
                    <w:jc w:val="center"/>
                  </w:pPr>
                  <w:r>
                    <w:rPr>
                      <w:rFonts w:ascii="仿宋_GB2312" w:hAnsi="仿宋_GB2312" w:eastAsia="仿宋_GB2312" w:cs="仿宋_GB2312"/>
                      <w:sz w:val="24"/>
                    </w:rPr>
                    <w:t>标准国际化转化及认证服务</w:t>
                  </w:r>
                </w:p>
              </w:tc>
              <w:tc>
                <w:tcPr>
                  <w:tcW w:w="1639" w:type="dxa"/>
                  <w:tcBorders>
                    <w:top w:val="nil"/>
                    <w:left w:val="nil"/>
                    <w:bottom w:val="single" w:color="000000" w:sz="4" w:space="0"/>
                    <w:right w:val="single" w:color="000000" w:sz="4" w:space="0"/>
                  </w:tcBorders>
                  <w:tcMar>
                    <w:top w:w="0" w:type="dxa"/>
                    <w:left w:w="105" w:type="dxa"/>
                    <w:bottom w:w="0" w:type="dxa"/>
                    <w:right w:w="105" w:type="dxa"/>
                  </w:tcMar>
                </w:tcPr>
                <w:p w14:paraId="4E590A51">
                  <w:pPr>
                    <w:pStyle w:val="4"/>
                    <w:jc w:val="center"/>
                  </w:pPr>
                  <w:r>
                    <w:rPr>
                      <w:rFonts w:ascii="仿宋_GB2312" w:hAnsi="仿宋_GB2312" w:eastAsia="仿宋_GB2312" w:cs="仿宋_GB2312"/>
                      <w:sz w:val="24"/>
                    </w:rPr>
                    <w:t>1项</w:t>
                  </w:r>
                </w:p>
              </w:tc>
            </w:tr>
            <w:tr w14:paraId="4411124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3625FC38">
                  <w:pPr>
                    <w:pStyle w:val="4"/>
                    <w:jc w:val="center"/>
                  </w:pPr>
                  <w:r>
                    <w:rPr>
                      <w:rFonts w:ascii="仿宋_GB2312" w:hAnsi="仿宋_GB2312" w:eastAsia="仿宋_GB2312" w:cs="仿宋_GB2312"/>
                      <w:sz w:val="24"/>
                    </w:rPr>
                    <w:t>3</w:t>
                  </w:r>
                </w:p>
              </w:tc>
              <w:tc>
                <w:tcPr>
                  <w:tcW w:w="3226" w:type="dxa"/>
                  <w:tcBorders>
                    <w:top w:val="nil"/>
                    <w:left w:val="nil"/>
                    <w:bottom w:val="single" w:color="000000" w:sz="4" w:space="0"/>
                    <w:right w:val="single" w:color="000000" w:sz="4" w:space="0"/>
                  </w:tcBorders>
                  <w:tcMar>
                    <w:top w:w="0" w:type="dxa"/>
                    <w:left w:w="105" w:type="dxa"/>
                    <w:bottom w:w="0" w:type="dxa"/>
                    <w:right w:w="105" w:type="dxa"/>
                  </w:tcMar>
                </w:tcPr>
                <w:p w14:paraId="409A7A5B">
                  <w:pPr>
                    <w:pStyle w:val="4"/>
                    <w:jc w:val="center"/>
                  </w:pPr>
                  <w:r>
                    <w:rPr>
                      <w:rFonts w:ascii="仿宋_GB2312" w:hAnsi="仿宋_GB2312" w:eastAsia="仿宋_GB2312" w:cs="仿宋_GB2312"/>
                      <w:sz w:val="24"/>
                    </w:rPr>
                    <w:t>应用推广服务</w:t>
                  </w:r>
                </w:p>
              </w:tc>
              <w:tc>
                <w:tcPr>
                  <w:tcW w:w="1639" w:type="dxa"/>
                  <w:tcBorders>
                    <w:top w:val="nil"/>
                    <w:left w:val="nil"/>
                    <w:bottom w:val="single" w:color="000000" w:sz="4" w:space="0"/>
                    <w:right w:val="single" w:color="000000" w:sz="4" w:space="0"/>
                  </w:tcBorders>
                  <w:tcMar>
                    <w:top w:w="0" w:type="dxa"/>
                    <w:left w:w="105" w:type="dxa"/>
                    <w:bottom w:w="0" w:type="dxa"/>
                    <w:right w:w="105" w:type="dxa"/>
                  </w:tcMar>
                </w:tcPr>
                <w:p w14:paraId="56083C5B">
                  <w:pPr>
                    <w:pStyle w:val="4"/>
                    <w:jc w:val="center"/>
                  </w:pPr>
                  <w:r>
                    <w:rPr>
                      <w:rFonts w:ascii="仿宋_GB2312" w:hAnsi="仿宋_GB2312" w:eastAsia="仿宋_GB2312" w:cs="仿宋_GB2312"/>
                      <w:sz w:val="24"/>
                    </w:rPr>
                    <w:t>1项</w:t>
                  </w:r>
                </w:p>
              </w:tc>
            </w:tr>
          </w:tbl>
          <w:p w14:paraId="1AE9B328">
            <w:pPr>
              <w:pStyle w:val="4"/>
              <w:jc w:val="both"/>
            </w:pPr>
            <w:r>
              <w:rPr>
                <w:rFonts w:ascii="仿宋_GB2312" w:hAnsi="仿宋_GB2312" w:eastAsia="仿宋_GB2312" w:cs="仿宋_GB2312"/>
                <w:sz w:val="21"/>
              </w:rPr>
              <w:t xml:space="preserve"> </w:t>
            </w:r>
          </w:p>
          <w:p w14:paraId="7A4A0F00">
            <w:pPr>
              <w:pStyle w:val="4"/>
              <w:jc w:val="both"/>
            </w:pPr>
            <w:r>
              <w:rPr>
                <w:rFonts w:ascii="仿宋_GB2312" w:hAnsi="仿宋_GB2312" w:eastAsia="仿宋_GB2312" w:cs="仿宋_GB2312"/>
                <w:sz w:val="24"/>
              </w:rPr>
              <w:t xml:space="preserve"> </w:t>
            </w:r>
            <w:r>
              <w:rPr>
                <w:rFonts w:ascii="仿宋_GB2312" w:hAnsi="仿宋_GB2312" w:eastAsia="仿宋_GB2312" w:cs="仿宋_GB2312"/>
                <w:b/>
                <w:sz w:val="24"/>
              </w:rPr>
              <w:t xml:space="preserve"> 二、项目要求</w:t>
            </w:r>
          </w:p>
          <w:p w14:paraId="6DDB49B0">
            <w:pPr>
              <w:pStyle w:val="4"/>
              <w:ind w:firstLine="480"/>
              <w:jc w:val="both"/>
            </w:pPr>
            <w:r>
              <w:rPr>
                <w:rFonts w:ascii="仿宋_GB2312" w:hAnsi="仿宋_GB2312" w:eastAsia="仿宋_GB2312" w:cs="仿宋_GB2312"/>
                <w:sz w:val="24"/>
              </w:rPr>
              <w:t>（一）技术要求</w:t>
            </w:r>
          </w:p>
          <w:p w14:paraId="100B95B5">
            <w:pPr>
              <w:pStyle w:val="4"/>
              <w:ind w:firstLine="440"/>
              <w:jc w:val="both"/>
            </w:pPr>
            <w:r>
              <w:rPr>
                <w:rFonts w:ascii="仿宋_GB2312" w:hAnsi="仿宋_GB2312" w:eastAsia="仿宋_GB2312" w:cs="仿宋_GB2312"/>
                <w:sz w:val="22"/>
              </w:rPr>
              <w:t>【定义：本项目所述 “目的国”/“西方国家”特指 “一带一路” 沿线欧洲国家；本项目所有涉及外方专家/外方代表均指该目的国所在国专家/代表。】</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0"/>
              <w:gridCol w:w="1635"/>
              <w:gridCol w:w="2827"/>
              <w:gridCol w:w="681"/>
            </w:tblGrid>
            <w:tr w14:paraId="68152C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tcPr>
                <w:p w14:paraId="3AAD0EB5">
                  <w:pPr>
                    <w:pStyle w:val="4"/>
                    <w:ind w:left="15" w:right="-15"/>
                    <w:jc w:val="center"/>
                  </w:pPr>
                  <w:r>
                    <w:rPr>
                      <w:rFonts w:ascii="仿宋_GB2312" w:hAnsi="仿宋_GB2312" w:eastAsia="仿宋_GB2312" w:cs="仿宋_GB2312"/>
                      <w:sz w:val="24"/>
                    </w:rPr>
                    <w:t>序号</w:t>
                  </w:r>
                </w:p>
              </w:tc>
              <w:tc>
                <w:tcPr>
                  <w:tcW w:w="1657"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3ADEE841">
                  <w:pPr>
                    <w:pStyle w:val="4"/>
                    <w:jc w:val="center"/>
                  </w:pPr>
                  <w:r>
                    <w:rPr>
                      <w:rFonts w:ascii="仿宋_GB2312" w:hAnsi="仿宋_GB2312" w:eastAsia="仿宋_GB2312" w:cs="仿宋_GB2312"/>
                      <w:sz w:val="24"/>
                    </w:rPr>
                    <w:t>服务标的名称</w:t>
                  </w:r>
                </w:p>
              </w:tc>
              <w:tc>
                <w:tcPr>
                  <w:tcW w:w="2856"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4001DDB5">
                  <w:pPr>
                    <w:pStyle w:val="4"/>
                    <w:jc w:val="center"/>
                  </w:pPr>
                  <w:r>
                    <w:rPr>
                      <w:rFonts w:ascii="仿宋_GB2312" w:hAnsi="仿宋_GB2312" w:eastAsia="仿宋_GB2312" w:cs="仿宋_GB2312"/>
                      <w:sz w:val="24"/>
                    </w:rPr>
                    <w:t>服务内容、质量要求及需执行的相关标准</w:t>
                  </w:r>
                </w:p>
              </w:tc>
              <w:tc>
                <w:tcPr>
                  <w:tcW w:w="685"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290F7DB3">
                  <w:pPr>
                    <w:pStyle w:val="4"/>
                    <w:jc w:val="center"/>
                  </w:pPr>
                  <w:r>
                    <w:rPr>
                      <w:rFonts w:ascii="仿宋_GB2312" w:hAnsi="仿宋_GB2312" w:eastAsia="仿宋_GB2312" w:cs="仿宋_GB2312"/>
                      <w:sz w:val="24"/>
                    </w:rPr>
                    <w:t>备注</w:t>
                  </w:r>
                </w:p>
              </w:tc>
            </w:tr>
            <w:tr w14:paraId="59F596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4978C977">
                  <w:pPr>
                    <w:pStyle w:val="4"/>
                    <w:jc w:val="center"/>
                  </w:pPr>
                  <w:r>
                    <w:rPr>
                      <w:rFonts w:ascii="仿宋_GB2312" w:hAnsi="仿宋_GB2312" w:eastAsia="仿宋_GB2312" w:cs="仿宋_GB2312"/>
                      <w:sz w:val="24"/>
                    </w:rPr>
                    <w:t>1</w:t>
                  </w:r>
                </w:p>
              </w:tc>
              <w:tc>
                <w:tcPr>
                  <w:tcW w:w="1657" w:type="dxa"/>
                  <w:tcBorders>
                    <w:top w:val="nil"/>
                    <w:left w:val="nil"/>
                    <w:bottom w:val="single" w:color="000000" w:sz="4" w:space="0"/>
                    <w:right w:val="single" w:color="000000" w:sz="4" w:space="0"/>
                  </w:tcBorders>
                  <w:tcMar>
                    <w:top w:w="0" w:type="dxa"/>
                    <w:left w:w="105" w:type="dxa"/>
                    <w:bottom w:w="0" w:type="dxa"/>
                    <w:right w:w="105" w:type="dxa"/>
                  </w:tcMar>
                </w:tcPr>
                <w:p w14:paraId="2A3CCB75">
                  <w:pPr>
                    <w:pStyle w:val="4"/>
                    <w:jc w:val="center"/>
                  </w:pPr>
                  <w:r>
                    <w:rPr>
                      <w:rFonts w:ascii="仿宋_GB2312" w:hAnsi="仿宋_GB2312" w:eastAsia="仿宋_GB2312" w:cs="仿宋_GB2312"/>
                      <w:sz w:val="24"/>
                    </w:rPr>
                    <w:t>专业共建及标准建设服务</w:t>
                  </w:r>
                </w:p>
              </w:tc>
              <w:tc>
                <w:tcPr>
                  <w:tcW w:w="2856" w:type="dxa"/>
                  <w:tcBorders>
                    <w:top w:val="nil"/>
                    <w:left w:val="nil"/>
                    <w:bottom w:val="single" w:color="000000" w:sz="4" w:space="0"/>
                    <w:right w:val="single" w:color="000000" w:sz="4" w:space="0"/>
                  </w:tcBorders>
                  <w:tcMar>
                    <w:top w:w="0" w:type="dxa"/>
                    <w:left w:w="105" w:type="dxa"/>
                    <w:bottom w:w="0" w:type="dxa"/>
                    <w:right w:w="105" w:type="dxa"/>
                  </w:tcMar>
                </w:tcPr>
                <w:p w14:paraId="4BFA369F">
                  <w:pPr>
                    <w:pStyle w:val="4"/>
                    <w:jc w:val="left"/>
                  </w:pPr>
                  <w:r>
                    <w:rPr>
                      <w:rFonts w:ascii="仿宋_GB2312" w:hAnsi="仿宋_GB2312" w:eastAsia="仿宋_GB2312" w:cs="仿宋_GB2312"/>
                      <w:sz w:val="24"/>
                    </w:rPr>
                    <w:t>1. 企业项目跟岗挖掘</w:t>
                  </w:r>
                </w:p>
                <w:p w14:paraId="0D73FA5D">
                  <w:pPr>
                    <w:pStyle w:val="4"/>
                    <w:jc w:val="left"/>
                  </w:pPr>
                  <w:r>
                    <w:rPr>
                      <w:rFonts w:ascii="仿宋_GB2312" w:hAnsi="仿宋_GB2312" w:eastAsia="仿宋_GB2312" w:cs="仿宋_GB2312"/>
                      <w:sz w:val="24"/>
                    </w:rPr>
                    <w:t>▲（1）提供3个真实工程案例包，来源于合作中资企业在目的国的真实交付项目。</w:t>
                  </w:r>
                </w:p>
                <w:p w14:paraId="42895A2B">
                  <w:pPr>
                    <w:pStyle w:val="4"/>
                    <w:jc w:val="left"/>
                  </w:pPr>
                  <w:r>
                    <w:rPr>
                      <w:rFonts w:ascii="仿宋_GB2312" w:hAnsi="仿宋_GB2312" w:eastAsia="仿宋_GB2312" w:cs="仿宋_GB2312"/>
                      <w:b/>
                      <w:sz w:val="21"/>
                    </w:rPr>
                    <w:t>评审依据：投标文件中提供承诺函（承诺函格式自拟）并加盖投标人公章，未提供或提供不全不得分。</w:t>
                  </w:r>
                </w:p>
                <w:p w14:paraId="11F268C7">
                  <w:pPr>
                    <w:pStyle w:val="4"/>
                    <w:jc w:val="left"/>
                  </w:pPr>
                  <w:r>
                    <w:rPr>
                      <w:rFonts w:ascii="仿宋_GB2312" w:hAnsi="仿宋_GB2312" w:eastAsia="仿宋_GB2312" w:cs="仿宋_GB2312"/>
                      <w:sz w:val="24"/>
                    </w:rPr>
                    <w:t>（2）每个案例包需包含：原始技术方案、实施日志、故障处理记录、客户验收报告。</w:t>
                  </w:r>
                </w:p>
                <w:p w14:paraId="23179A9E">
                  <w:pPr>
                    <w:pStyle w:val="4"/>
                    <w:jc w:val="left"/>
                  </w:pPr>
                  <w:r>
                    <w:rPr>
                      <w:rFonts w:ascii="仿宋_GB2312" w:hAnsi="仿宋_GB2312" w:eastAsia="仿宋_GB2312" w:cs="仿宋_GB2312"/>
                      <w:sz w:val="24"/>
                    </w:rPr>
                    <w:t>▲（3）将以上案例转化为3个可直接用于16课时教学的模块化教案（含教学设计、PPT、学生任务单、考核标准）。</w:t>
                  </w:r>
                </w:p>
                <w:p w14:paraId="0362546D">
                  <w:pPr>
                    <w:pStyle w:val="4"/>
                    <w:jc w:val="left"/>
                  </w:pPr>
                  <w:r>
                    <w:rPr>
                      <w:rFonts w:ascii="仿宋_GB2312" w:hAnsi="仿宋_GB2312" w:eastAsia="仿宋_GB2312" w:cs="仿宋_GB2312"/>
                      <w:b/>
                      <w:sz w:val="21"/>
                    </w:rPr>
                    <w:t>评审依据：投标文件中提供承诺函（承诺函格式自拟）并加盖投标人公章，未提供或提供不全不得分。</w:t>
                  </w:r>
                </w:p>
                <w:p w14:paraId="62AF4C3F">
                  <w:pPr>
                    <w:pStyle w:val="4"/>
                    <w:jc w:val="left"/>
                  </w:pPr>
                  <w:r>
                    <w:rPr>
                      <w:rFonts w:ascii="仿宋_GB2312" w:hAnsi="仿宋_GB2312" w:eastAsia="仿宋_GB2312" w:cs="仿宋_GB2312"/>
                      <w:sz w:val="24"/>
                    </w:rPr>
                    <w:t>2. 标准开发支撑服务</w:t>
                  </w:r>
                </w:p>
                <w:p w14:paraId="3FF1AF4B">
                  <w:pPr>
                    <w:pStyle w:val="4"/>
                    <w:jc w:val="left"/>
                  </w:pPr>
                  <w:r>
                    <w:rPr>
                      <w:rFonts w:ascii="仿宋_GB2312" w:hAnsi="仿宋_GB2312" w:eastAsia="仿宋_GB2312" w:cs="仿宋_GB2312"/>
                      <w:sz w:val="24"/>
                    </w:rPr>
                    <w:t>（1）组织不少于3场由中、西双方专家（含企业技术专家、教育认证专家、院校教师）参与的标准开发研讨会，并形成会议纪要。</w:t>
                  </w:r>
                </w:p>
                <w:p w14:paraId="2520ABAB">
                  <w:pPr>
                    <w:pStyle w:val="4"/>
                    <w:jc w:val="left"/>
                  </w:pPr>
                  <w:r>
                    <w:rPr>
                      <w:rFonts w:ascii="仿宋_GB2312" w:hAnsi="仿宋_GB2312" w:eastAsia="仿宋_GB2312" w:cs="仿宋_GB2312"/>
                      <w:sz w:val="24"/>
                    </w:rPr>
                    <w:t>（2）提供每项标准开发过程中的至少3版修订稿（初稿、专家意见稿、终稿），展示修订演变过程。</w:t>
                  </w:r>
                </w:p>
                <w:p w14:paraId="229281BB">
                  <w:pPr>
                    <w:pStyle w:val="4"/>
                    <w:jc w:val="left"/>
                  </w:pPr>
                  <w:r>
                    <w:rPr>
                      <w:rFonts w:ascii="仿宋_GB2312" w:hAnsi="仿宋_GB2312" w:eastAsia="仿宋_GB2312" w:cs="仿宋_GB2312"/>
                      <w:sz w:val="24"/>
                    </w:rPr>
                    <w:t>（3）协助我方完成不少于5份的产业调研报告，作为标准开发的现实依据（如：目的国ICT产业人才需求图谱、目的国中资企业岗位能力标准分析等）。</w:t>
                  </w:r>
                </w:p>
                <w:p w14:paraId="4458B634">
                  <w:pPr>
                    <w:pStyle w:val="4"/>
                    <w:jc w:val="left"/>
                  </w:pPr>
                  <w:r>
                    <w:rPr>
                      <w:rFonts w:ascii="仿宋_GB2312" w:hAnsi="仿宋_GB2312" w:eastAsia="仿宋_GB2312" w:cs="仿宋_GB2312"/>
                      <w:sz w:val="24"/>
                    </w:rPr>
                    <w:t>▲（4）协助我方不少于10名专业教师参加教育部中外语言交流合作中心《国际中文教师》资格证书教学能力提升培训和认证考试，并协助教师顺利通过培训取得《国际中文教师》资格证书。</w:t>
                  </w:r>
                </w:p>
                <w:p w14:paraId="44BEF535">
                  <w:pPr>
                    <w:pStyle w:val="4"/>
                    <w:jc w:val="left"/>
                  </w:pPr>
                  <w:r>
                    <w:rPr>
                      <w:rFonts w:ascii="仿宋_GB2312" w:hAnsi="仿宋_GB2312" w:eastAsia="仿宋_GB2312" w:cs="仿宋_GB2312"/>
                      <w:b/>
                      <w:sz w:val="21"/>
                    </w:rPr>
                    <w:t>评审依据：投标文件中提供承诺函（承诺函格式自拟）并加盖投标人公章，未提供不得分。</w:t>
                  </w:r>
                </w:p>
                <w:p w14:paraId="2C1B8F4F">
                  <w:pPr>
                    <w:pStyle w:val="4"/>
                    <w:jc w:val="left"/>
                  </w:pPr>
                  <w:r>
                    <w:rPr>
                      <w:rFonts w:ascii="仿宋_GB2312" w:hAnsi="仿宋_GB2312" w:eastAsia="仿宋_GB2312" w:cs="仿宋_GB2312"/>
                      <w:sz w:val="24"/>
                    </w:rPr>
                    <w:t>3. 专业标准</w:t>
                  </w:r>
                </w:p>
                <w:p w14:paraId="14DC0529">
                  <w:pPr>
                    <w:pStyle w:val="4"/>
                    <w:jc w:val="left"/>
                  </w:pPr>
                  <w:r>
                    <w:rPr>
                      <w:rFonts w:ascii="仿宋_GB2312" w:hAnsi="仿宋_GB2312" w:eastAsia="仿宋_GB2312" w:cs="仿宋_GB2312"/>
                      <w:sz w:val="24"/>
                    </w:rPr>
                    <w:t>▲（1）</w:t>
                  </w:r>
                  <w:r>
                    <w:rPr>
                      <w:rFonts w:ascii="仿宋_GB2312" w:hAnsi="仿宋_GB2312" w:eastAsia="仿宋_GB2312" w:cs="仿宋_GB2312"/>
                      <w:sz w:val="21"/>
                    </w:rPr>
                    <w:t>引进“一带一路”沿线欧洲国家中资企业行业认证标准，结合学校现有人才培养方案、国内职业教育专业教学标准，联合企业技术专家、行业专家、校内专业带头人共同修订编制人才培养专业标准1个。</w:t>
                  </w:r>
                </w:p>
                <w:p w14:paraId="78837DF1">
                  <w:pPr>
                    <w:pStyle w:val="4"/>
                    <w:jc w:val="left"/>
                  </w:pPr>
                  <w:r>
                    <w:rPr>
                      <w:rFonts w:ascii="仿宋_GB2312" w:hAnsi="仿宋_GB2312" w:eastAsia="仿宋_GB2312" w:cs="仿宋_GB2312"/>
                      <w:b/>
                      <w:sz w:val="21"/>
                    </w:rPr>
                    <w:t>评审依据：投标文件中提供承诺函（承诺函格式自拟）并加盖投标人公章，未提供不得分。</w:t>
                  </w:r>
                </w:p>
                <w:p w14:paraId="5595A18A">
                  <w:pPr>
                    <w:pStyle w:val="4"/>
                    <w:jc w:val="left"/>
                  </w:pPr>
                  <w:r>
                    <w:rPr>
                      <w:rFonts w:ascii="仿宋_GB2312" w:hAnsi="仿宋_GB2312" w:eastAsia="仿宋_GB2312" w:cs="仿宋_GB2312"/>
                      <w:sz w:val="24"/>
                    </w:rPr>
                    <w:t>4. 课程标准</w:t>
                  </w:r>
                </w:p>
                <w:p w14:paraId="2505D7FD">
                  <w:pPr>
                    <w:pStyle w:val="4"/>
                    <w:jc w:val="left"/>
                  </w:pPr>
                  <w:r>
                    <w:rPr>
                      <w:rFonts w:ascii="仿宋_GB2312" w:hAnsi="仿宋_GB2312" w:eastAsia="仿宋_GB2312" w:cs="仿宋_GB2312"/>
                      <w:sz w:val="24"/>
                    </w:rPr>
                    <w:t>▲（1）</w:t>
                  </w:r>
                  <w:r>
                    <w:rPr>
                      <w:rFonts w:ascii="仿宋_GB2312" w:hAnsi="仿宋_GB2312" w:eastAsia="仿宋_GB2312" w:cs="仿宋_GB2312"/>
                      <w:sz w:val="21"/>
                    </w:rPr>
                    <w:t>引进“一带一路”沿线欧洲国家中资企业行业认证标准，结合学校现有人才培养方案、国内职业教育专业教学标准，联合企业技术专家、行业专家、校内专业带头人共同修订编制人才培养核心课程标准2门。</w:t>
                  </w:r>
                </w:p>
                <w:p w14:paraId="702F6315">
                  <w:pPr>
                    <w:pStyle w:val="4"/>
                    <w:jc w:val="left"/>
                  </w:pPr>
                  <w:r>
                    <w:rPr>
                      <w:rFonts w:ascii="仿宋_GB2312" w:hAnsi="仿宋_GB2312" w:eastAsia="仿宋_GB2312" w:cs="仿宋_GB2312"/>
                      <w:b/>
                      <w:sz w:val="21"/>
                    </w:rPr>
                    <w:t>评审依据：投标文件中提供承诺函（承诺函格式自拟）并加盖投标人公章，未提供不得分。</w:t>
                  </w:r>
                </w:p>
                <w:p w14:paraId="2BFE08BA">
                  <w:pPr>
                    <w:pStyle w:val="4"/>
                    <w:jc w:val="left"/>
                  </w:pPr>
                  <w:r>
                    <w:rPr>
                      <w:rFonts w:ascii="仿宋_GB2312" w:hAnsi="仿宋_GB2312" w:eastAsia="仿宋_GB2312" w:cs="仿宋_GB2312"/>
                      <w:sz w:val="24"/>
                    </w:rPr>
                    <w:t>5.岗位技能标准建设服务</w:t>
                  </w:r>
                </w:p>
                <w:p w14:paraId="101BCAFB">
                  <w:pPr>
                    <w:pStyle w:val="4"/>
                    <w:jc w:val="left"/>
                  </w:pPr>
                  <w:r>
                    <w:rPr>
                      <w:rFonts w:ascii="仿宋_GB2312" w:hAnsi="仿宋_GB2312" w:eastAsia="仿宋_GB2312" w:cs="仿宋_GB2312"/>
                      <w:sz w:val="24"/>
                    </w:rPr>
                    <w:t>（1）</w:t>
                  </w:r>
                  <w:r>
                    <w:rPr>
                      <w:rFonts w:ascii="仿宋_GB2312" w:hAnsi="仿宋_GB2312" w:eastAsia="仿宋_GB2312" w:cs="仿宋_GB2312"/>
                      <w:sz w:val="21"/>
                    </w:rPr>
                    <w:t>引进“一带一路” 沿线欧洲国家中资企业行业认证标准，结合学校现有人才培养方案、国内职业教育专业教学标准，联合企业技术专家、行业专家、校内专业带头人共同修订编制人才培养岗位技能标准2项。</w:t>
                  </w:r>
                </w:p>
              </w:tc>
              <w:tc>
                <w:tcPr>
                  <w:tcW w:w="6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4A93A0">
                  <w:pPr>
                    <w:pStyle w:val="4"/>
                    <w:jc w:val="both"/>
                  </w:pPr>
                </w:p>
              </w:tc>
            </w:tr>
            <w:tr w14:paraId="699266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40E35A99">
                  <w:pPr>
                    <w:pStyle w:val="4"/>
                    <w:jc w:val="center"/>
                  </w:pPr>
                  <w:r>
                    <w:rPr>
                      <w:rFonts w:ascii="仿宋_GB2312" w:hAnsi="仿宋_GB2312" w:eastAsia="仿宋_GB2312" w:cs="仿宋_GB2312"/>
                      <w:sz w:val="24"/>
                    </w:rPr>
                    <w:t>2</w:t>
                  </w:r>
                </w:p>
              </w:tc>
              <w:tc>
                <w:tcPr>
                  <w:tcW w:w="1657" w:type="dxa"/>
                  <w:tcBorders>
                    <w:top w:val="nil"/>
                    <w:left w:val="nil"/>
                    <w:bottom w:val="single" w:color="000000" w:sz="4" w:space="0"/>
                    <w:right w:val="single" w:color="000000" w:sz="4" w:space="0"/>
                  </w:tcBorders>
                  <w:tcMar>
                    <w:top w:w="0" w:type="dxa"/>
                    <w:left w:w="105" w:type="dxa"/>
                    <w:bottom w:w="0" w:type="dxa"/>
                    <w:right w:w="105" w:type="dxa"/>
                  </w:tcMar>
                </w:tcPr>
                <w:p w14:paraId="205D6C51">
                  <w:pPr>
                    <w:pStyle w:val="4"/>
                    <w:jc w:val="center"/>
                  </w:pPr>
                  <w:r>
                    <w:rPr>
                      <w:rFonts w:ascii="仿宋_GB2312" w:hAnsi="仿宋_GB2312" w:eastAsia="仿宋_GB2312" w:cs="仿宋_GB2312"/>
                      <w:sz w:val="24"/>
                    </w:rPr>
                    <w:t>标准国际化转化及认证服务</w:t>
                  </w:r>
                </w:p>
              </w:tc>
              <w:tc>
                <w:tcPr>
                  <w:tcW w:w="2856" w:type="dxa"/>
                  <w:tcBorders>
                    <w:top w:val="nil"/>
                    <w:left w:val="nil"/>
                    <w:bottom w:val="single" w:color="000000" w:sz="4" w:space="0"/>
                    <w:right w:val="single" w:color="000000" w:sz="4" w:space="0"/>
                  </w:tcBorders>
                  <w:tcMar>
                    <w:top w:w="0" w:type="dxa"/>
                    <w:left w:w="105" w:type="dxa"/>
                    <w:bottom w:w="0" w:type="dxa"/>
                    <w:right w:w="105" w:type="dxa"/>
                  </w:tcMar>
                </w:tcPr>
                <w:p w14:paraId="000C3037">
                  <w:pPr>
                    <w:pStyle w:val="4"/>
                    <w:jc w:val="left"/>
                  </w:pPr>
                  <w:r>
                    <w:rPr>
                      <w:rFonts w:ascii="仿宋_GB2312" w:hAnsi="仿宋_GB2312" w:eastAsia="仿宋_GB2312" w:cs="仿宋_GB2312"/>
                      <w:sz w:val="24"/>
                    </w:rPr>
                    <w:t>1. 海外人才需求调研服务</w:t>
                  </w:r>
                </w:p>
                <w:p w14:paraId="5448C134">
                  <w:pPr>
                    <w:pStyle w:val="4"/>
                    <w:jc w:val="left"/>
                  </w:pPr>
                  <w:r>
                    <w:rPr>
                      <w:rFonts w:ascii="仿宋_GB2312" w:hAnsi="仿宋_GB2312" w:eastAsia="仿宋_GB2312" w:cs="仿宋_GB2312"/>
                      <w:sz w:val="24"/>
                    </w:rPr>
                    <w:t>（1）前期调研: 供应商对目的国相关产业结构整体情况、专业建设情况、相关产业的人才需求进行尽职调研，提供项目合作的可行性报告。</w:t>
                  </w:r>
                </w:p>
                <w:p w14:paraId="623A6DFD">
                  <w:pPr>
                    <w:pStyle w:val="4"/>
                    <w:jc w:val="left"/>
                  </w:pPr>
                  <w:r>
                    <w:rPr>
                      <w:rFonts w:ascii="仿宋_GB2312" w:hAnsi="仿宋_GB2312" w:eastAsia="仿宋_GB2312" w:cs="仿宋_GB2312"/>
                      <w:sz w:val="24"/>
                    </w:rPr>
                    <w:t>（2）调研要求：提供调研报告(目的国基本国情、中资企业需求、产业发展需求、专业人才需求与岗位能力要求等状况；须调研了解合作的外方教育机构的办学资质和情况，系统分析当地人才市场与相关专业发展现状，评估职教出海潜力；对合作院校教学标准开展循证式全要素对比（涵盖入学要求、修业年限、学习模式、课程结构、学习成果、考核方法、教育成果），明确与中方资历体系异同。</w:t>
                  </w:r>
                </w:p>
                <w:p w14:paraId="11DB367E">
                  <w:pPr>
                    <w:pStyle w:val="4"/>
                    <w:jc w:val="left"/>
                  </w:pPr>
                  <w:r>
                    <w:rPr>
                      <w:rFonts w:ascii="仿宋_GB2312" w:hAnsi="仿宋_GB2312" w:eastAsia="仿宋_GB2312" w:cs="仿宋_GB2312"/>
                      <w:sz w:val="24"/>
                    </w:rPr>
                    <w:t>（3）调研成果：形成《目的国ICT产业发展报告》、《目的国当地中资企业人才需求调研报告》、《目的国国家职业院校专业教学发展评估报告》。</w:t>
                  </w:r>
                </w:p>
                <w:p w14:paraId="0D1ACCD9">
                  <w:pPr>
                    <w:pStyle w:val="4"/>
                    <w:jc w:val="left"/>
                  </w:pPr>
                  <w:r>
                    <w:rPr>
                      <w:rFonts w:ascii="仿宋_GB2312" w:hAnsi="仿宋_GB2312" w:eastAsia="仿宋_GB2312" w:cs="仿宋_GB2312"/>
                      <w:sz w:val="24"/>
                    </w:rPr>
                    <w:t>2. 标准的国际化转化服务</w:t>
                  </w:r>
                </w:p>
                <w:p w14:paraId="117D3895">
                  <w:pPr>
                    <w:pStyle w:val="4"/>
                    <w:jc w:val="left"/>
                  </w:pPr>
                  <w:r>
                    <w:rPr>
                      <w:rFonts w:ascii="仿宋_GB2312" w:hAnsi="仿宋_GB2312" w:eastAsia="仿宋_GB2312" w:cs="仿宋_GB2312"/>
                      <w:sz w:val="24"/>
                    </w:rPr>
                    <w:t>（1）师资国际化视野提升培训：供应商负责联络欧洲教育发达国家专家、国际资历框架领域培训，为采购人教师开展不少于20名教师、实施不少于5期、不少于20课时的国际化专项培训。</w:t>
                  </w:r>
                </w:p>
                <w:p w14:paraId="4F0363BE">
                  <w:pPr>
                    <w:pStyle w:val="4"/>
                    <w:jc w:val="left"/>
                  </w:pPr>
                  <w:r>
                    <w:rPr>
                      <w:rFonts w:ascii="仿宋_GB2312" w:hAnsi="仿宋_GB2312" w:eastAsia="仿宋_GB2312" w:cs="仿宋_GB2312"/>
                      <w:sz w:val="24"/>
                    </w:rPr>
                    <w:t>3. 标准的国际化认证服务</w:t>
                  </w:r>
                </w:p>
                <w:p w14:paraId="7A95903E">
                  <w:pPr>
                    <w:pStyle w:val="4"/>
                    <w:jc w:val="left"/>
                  </w:pPr>
                  <w:r>
                    <w:rPr>
                      <w:rFonts w:ascii="仿宋_GB2312" w:hAnsi="仿宋_GB2312" w:eastAsia="仿宋_GB2312" w:cs="仿宋_GB2312"/>
                      <w:sz w:val="24"/>
                    </w:rPr>
                    <w:t>▲（1）推动标准完成国际认证，由欧洲国家教育官方部门出具认证证明，获得海外院校课程接收函及当地中资企业认证证明，确认中方院校1个专业标准，2门岗位技能标准、2门课程教学质量符合欧洲国家标准体系，具备国际授课资格。</w:t>
                  </w:r>
                </w:p>
                <w:p w14:paraId="483897BF">
                  <w:pPr>
                    <w:pStyle w:val="4"/>
                    <w:jc w:val="left"/>
                  </w:pPr>
                  <w:r>
                    <w:rPr>
                      <w:rFonts w:ascii="仿宋_GB2312" w:hAnsi="仿宋_GB2312" w:eastAsia="仿宋_GB2312" w:cs="仿宋_GB2312"/>
                      <w:b/>
                      <w:sz w:val="21"/>
                    </w:rPr>
                    <w:t>评审依据：投标文件中提供承诺函（承诺函格式自拟）并加盖投标人公章，未提供不得分。</w:t>
                  </w:r>
                </w:p>
                <w:p w14:paraId="1F3210EB">
                  <w:pPr>
                    <w:pStyle w:val="4"/>
                    <w:jc w:val="left"/>
                  </w:pPr>
                  <w:r>
                    <w:rPr>
                      <w:rFonts w:ascii="仿宋_GB2312" w:hAnsi="仿宋_GB2312" w:eastAsia="仿宋_GB2312" w:cs="仿宋_GB2312"/>
                      <w:sz w:val="24"/>
                    </w:rPr>
                    <w:t>▲（2）和海外合作院校实现课程学分互认与成果互认，形成具有国际公信力的职业教育标准体系。</w:t>
                  </w:r>
                </w:p>
                <w:p w14:paraId="27E9B727">
                  <w:pPr>
                    <w:pStyle w:val="4"/>
                    <w:jc w:val="left"/>
                  </w:pPr>
                  <w:r>
                    <w:rPr>
                      <w:rFonts w:ascii="仿宋_GB2312" w:hAnsi="仿宋_GB2312" w:eastAsia="仿宋_GB2312" w:cs="仿宋_GB2312"/>
                      <w:b/>
                      <w:sz w:val="21"/>
                    </w:rPr>
                    <w:t>评审依据：投标文件中提供承诺函（承诺函格式自拟）并加盖投标人公章，未提供不得分。</w:t>
                  </w:r>
                </w:p>
                <w:p w14:paraId="534E6F63">
                  <w:pPr>
                    <w:pStyle w:val="4"/>
                    <w:jc w:val="left"/>
                  </w:pPr>
                  <w:r>
                    <w:rPr>
                      <w:rFonts w:ascii="仿宋_GB2312" w:hAnsi="仿宋_GB2312" w:eastAsia="仿宋_GB2312" w:cs="仿宋_GB2312"/>
                      <w:sz w:val="24"/>
                    </w:rPr>
                    <w:t>（3）认证后1年内，推动至少2所目的国合作院校将我方专业标准、课程标准纳入其教学计划，并出具接收函。</w:t>
                  </w:r>
                </w:p>
                <w:p w14:paraId="5425890B">
                  <w:pPr>
                    <w:pStyle w:val="4"/>
                    <w:jc w:val="left"/>
                  </w:pPr>
                  <w:r>
                    <w:rPr>
                      <w:rFonts w:ascii="仿宋_GB2312" w:hAnsi="仿宋_GB2312" w:eastAsia="仿宋_GB2312" w:cs="仿宋_GB2312"/>
                      <w:b/>
                      <w:sz w:val="21"/>
                    </w:rPr>
                    <w:t>评审依据：投标文件中提供承诺函（承诺函格式自拟）并加盖投标人公章，未提供不得分。</w:t>
                  </w:r>
                </w:p>
                <w:p w14:paraId="6A374E07">
                  <w:pPr>
                    <w:pStyle w:val="4"/>
                    <w:jc w:val="left"/>
                  </w:pPr>
                  <w:r>
                    <w:rPr>
                      <w:rFonts w:ascii="仿宋_GB2312" w:hAnsi="仿宋_GB2312" w:eastAsia="仿宋_GB2312" w:cs="仿宋_GB2312"/>
                      <w:sz w:val="24"/>
                    </w:rPr>
                    <w:t>（4）认证后2年内，组织由中资企业、院校专家参加的标准修订研讨会，根据产业变化提出修订建议，并形成标准修订建议报告。</w:t>
                  </w:r>
                </w:p>
                <w:p w14:paraId="6F14E91F">
                  <w:pPr>
                    <w:pStyle w:val="4"/>
                    <w:jc w:val="left"/>
                  </w:pPr>
                  <w:r>
                    <w:rPr>
                      <w:rFonts w:ascii="仿宋_GB2312" w:hAnsi="仿宋_GB2312" w:eastAsia="仿宋_GB2312" w:cs="仿宋_GB2312"/>
                      <w:sz w:val="24"/>
                    </w:rPr>
                    <w:t>4.微证书开发及推广服务</w:t>
                  </w:r>
                </w:p>
                <w:p w14:paraId="6FD32D2D">
                  <w:pPr>
                    <w:pStyle w:val="4"/>
                    <w:jc w:val="left"/>
                  </w:pPr>
                  <w:r>
                    <w:rPr>
                      <w:rFonts w:ascii="仿宋_GB2312" w:hAnsi="仿宋_GB2312" w:eastAsia="仿宋_GB2312" w:cs="仿宋_GB2312"/>
                      <w:sz w:val="24"/>
                    </w:rPr>
                    <w:t>（1）国际微证书开发</w:t>
                  </w:r>
                </w:p>
                <w:p w14:paraId="077B81ED">
                  <w:pPr>
                    <w:pStyle w:val="4"/>
                    <w:jc w:val="left"/>
                  </w:pPr>
                  <w:r>
                    <w:rPr>
                      <w:rFonts w:ascii="仿宋_GB2312" w:hAnsi="仿宋_GB2312" w:eastAsia="仿宋_GB2312" w:cs="仿宋_GB2312"/>
                      <w:sz w:val="24"/>
                    </w:rPr>
                    <w:t>立足输出我国优质职业教育专业成果、扩大中国优势专业国际影响力的目标，本项目围绕海外产业迭代催生的新兴技能，联合开发欧洲认可的国际微证书，对标海外产业人才实际需求，共同打磨产出可对外输出推广的国际化课程成果。</w:t>
                  </w:r>
                </w:p>
                <w:p w14:paraId="1902DFA1">
                  <w:pPr>
                    <w:pStyle w:val="4"/>
                    <w:jc w:val="left"/>
                  </w:pPr>
                  <w:r>
                    <w:rPr>
                      <w:rFonts w:ascii="仿宋_GB2312" w:hAnsi="仿宋_GB2312" w:eastAsia="仿宋_GB2312" w:cs="仿宋_GB2312"/>
                      <w:sz w:val="24"/>
                    </w:rPr>
                    <w:t>▲（2）欧洲权威机构认可</w:t>
                  </w:r>
                </w:p>
                <w:p w14:paraId="158454D9">
                  <w:pPr>
                    <w:pStyle w:val="4"/>
                    <w:jc w:val="left"/>
                  </w:pPr>
                  <w:r>
                    <w:rPr>
                      <w:rFonts w:ascii="仿宋_GB2312" w:hAnsi="仿宋_GB2312" w:eastAsia="仿宋_GB2312" w:cs="仿宋_GB2312"/>
                      <w:sz w:val="24"/>
                    </w:rPr>
                    <w:t>完成开发的国际微证书需经过欧洲权威机构认可，认可后学校具备颁发国际微证书的权限，可面向符合条件的欧洲学生出具证书。</w:t>
                  </w:r>
                </w:p>
                <w:p w14:paraId="75D0F179">
                  <w:pPr>
                    <w:pStyle w:val="4"/>
                    <w:jc w:val="left"/>
                  </w:pPr>
                  <w:r>
                    <w:rPr>
                      <w:rFonts w:ascii="仿宋_GB2312" w:hAnsi="仿宋_GB2312" w:eastAsia="仿宋_GB2312" w:cs="仿宋_GB2312"/>
                      <w:b/>
                      <w:sz w:val="21"/>
                    </w:rPr>
                    <w:t>评审依据：投标文件中提供承诺函（承诺函格式自拟）并加盖投标人公章，未提供不得分。</w:t>
                  </w:r>
                </w:p>
                <w:p w14:paraId="6419D3C8">
                  <w:pPr>
                    <w:pStyle w:val="4"/>
                    <w:jc w:val="left"/>
                  </w:pPr>
                  <w:r>
                    <w:rPr>
                      <w:rFonts w:ascii="仿宋_GB2312" w:hAnsi="仿宋_GB2312" w:eastAsia="仿宋_GB2312" w:cs="仿宋_GB2312"/>
                      <w:sz w:val="24"/>
                    </w:rPr>
                    <w:t>▲（3）学分认证机制</w:t>
                  </w:r>
                </w:p>
                <w:p w14:paraId="0CC74D17">
                  <w:pPr>
                    <w:pStyle w:val="4"/>
                    <w:jc w:val="left"/>
                  </w:pPr>
                  <w:r>
                    <w:rPr>
                      <w:rFonts w:ascii="仿宋_GB2312" w:hAnsi="仿宋_GB2312" w:eastAsia="仿宋_GB2312" w:cs="仿宋_GB2312"/>
                      <w:sz w:val="24"/>
                    </w:rPr>
                    <w:t>欧洲学生完成对应课程学习并获得国际微证书后可向所在欧洲院校申请学分认定与转换，形成真实、可验证的跨境学习成果。</w:t>
                  </w:r>
                </w:p>
                <w:p w14:paraId="6F4BB357">
                  <w:pPr>
                    <w:pStyle w:val="4"/>
                    <w:jc w:val="left"/>
                  </w:pPr>
                  <w:r>
                    <w:rPr>
                      <w:rFonts w:ascii="仿宋_GB2312" w:hAnsi="仿宋_GB2312" w:eastAsia="仿宋_GB2312" w:cs="仿宋_GB2312"/>
                      <w:b/>
                      <w:sz w:val="21"/>
                    </w:rPr>
                    <w:t>评审依据：投标文件中提供承诺函（承诺函格式自拟）并加盖投标人公章，未提供不得分。</w:t>
                  </w:r>
                </w:p>
                <w:p w14:paraId="5C3AF04B">
                  <w:pPr>
                    <w:pStyle w:val="4"/>
                    <w:jc w:val="left"/>
                  </w:pPr>
                  <w:r>
                    <w:rPr>
                      <w:rFonts w:ascii="仿宋_GB2312" w:hAnsi="仿宋_GB2312" w:eastAsia="仿宋_GB2312" w:cs="仿宋_GB2312"/>
                      <w:sz w:val="24"/>
                    </w:rPr>
                    <w:t>▲（4）国际微证书欧洲推广与落地应用</w:t>
                  </w:r>
                </w:p>
                <w:p w14:paraId="3D697E46">
                  <w:pPr>
                    <w:pStyle w:val="4"/>
                    <w:jc w:val="left"/>
                  </w:pPr>
                  <w:r>
                    <w:rPr>
                      <w:rFonts w:ascii="仿宋_GB2312" w:hAnsi="仿宋_GB2312" w:eastAsia="仿宋_GB2312" w:cs="仿宋_GB2312"/>
                      <w:sz w:val="24"/>
                    </w:rPr>
                    <w:t>① 线上平台推广：国际微证书录入国际化线上平台，面向意大利、法国、西班牙、荷兰、比利时、匈牙利等欧洲国家的职教机构及学习者进行展示推广。</w:t>
                  </w:r>
                </w:p>
                <w:p w14:paraId="2B09CCF9">
                  <w:pPr>
                    <w:pStyle w:val="4"/>
                    <w:jc w:val="left"/>
                  </w:pPr>
                  <w:r>
                    <w:rPr>
                      <w:rFonts w:ascii="仿宋_GB2312" w:hAnsi="仿宋_GB2312" w:eastAsia="仿宋_GB2312" w:cs="仿宋_GB2312"/>
                      <w:sz w:val="24"/>
                    </w:rPr>
                    <w:t>② 欧洲师生来华研修：获得认证后，立项院校面向欧洲开展师生招募，欧洲师生以院校为单位来华，进行学习和实践；结业颁发微证书，支持境外学分认定。</w:t>
                  </w:r>
                </w:p>
                <w:p w14:paraId="25DFF11F">
                  <w:pPr>
                    <w:pStyle w:val="4"/>
                    <w:jc w:val="left"/>
                  </w:pPr>
                  <w:r>
                    <w:rPr>
                      <w:rFonts w:ascii="仿宋_GB2312" w:hAnsi="仿宋_GB2312" w:eastAsia="仿宋_GB2312" w:cs="仿宋_GB2312"/>
                      <w:b/>
                      <w:sz w:val="21"/>
                    </w:rPr>
                    <w:t>评审依据：投标文件中提供承诺函（承诺函格式自拟）并加盖投标人公章，未提供不得分。</w:t>
                  </w:r>
                </w:p>
              </w:tc>
              <w:tc>
                <w:tcPr>
                  <w:tcW w:w="6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380460">
                  <w:pPr>
                    <w:pStyle w:val="4"/>
                    <w:jc w:val="both"/>
                  </w:pPr>
                </w:p>
              </w:tc>
            </w:tr>
            <w:tr w14:paraId="7BDEA7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74B11C4A">
                  <w:pPr>
                    <w:pStyle w:val="4"/>
                    <w:jc w:val="center"/>
                  </w:pPr>
                  <w:r>
                    <w:rPr>
                      <w:rFonts w:ascii="仿宋_GB2312" w:hAnsi="仿宋_GB2312" w:eastAsia="仿宋_GB2312" w:cs="仿宋_GB2312"/>
                      <w:sz w:val="24"/>
                    </w:rPr>
                    <w:t>3</w:t>
                  </w:r>
                </w:p>
              </w:tc>
              <w:tc>
                <w:tcPr>
                  <w:tcW w:w="1657" w:type="dxa"/>
                  <w:tcBorders>
                    <w:top w:val="nil"/>
                    <w:left w:val="nil"/>
                    <w:bottom w:val="single" w:color="000000" w:sz="4" w:space="0"/>
                    <w:right w:val="single" w:color="000000" w:sz="4" w:space="0"/>
                  </w:tcBorders>
                  <w:tcMar>
                    <w:top w:w="0" w:type="dxa"/>
                    <w:left w:w="105" w:type="dxa"/>
                    <w:bottom w:w="0" w:type="dxa"/>
                    <w:right w:w="105" w:type="dxa"/>
                  </w:tcMar>
                </w:tcPr>
                <w:p w14:paraId="5E210079">
                  <w:pPr>
                    <w:pStyle w:val="4"/>
                    <w:jc w:val="left"/>
                  </w:pPr>
                  <w:r>
                    <w:rPr>
                      <w:rFonts w:ascii="仿宋_GB2312" w:hAnsi="仿宋_GB2312" w:eastAsia="仿宋_GB2312" w:cs="仿宋_GB2312"/>
                      <w:sz w:val="24"/>
                    </w:rPr>
                    <w:t>应用推广服务</w:t>
                  </w:r>
                </w:p>
              </w:tc>
              <w:tc>
                <w:tcPr>
                  <w:tcW w:w="2856" w:type="dxa"/>
                  <w:tcBorders>
                    <w:top w:val="nil"/>
                    <w:left w:val="nil"/>
                    <w:bottom w:val="single" w:color="000000" w:sz="4" w:space="0"/>
                    <w:right w:val="single" w:color="000000" w:sz="4" w:space="0"/>
                  </w:tcBorders>
                  <w:tcMar>
                    <w:top w:w="0" w:type="dxa"/>
                    <w:left w:w="105" w:type="dxa"/>
                    <w:bottom w:w="0" w:type="dxa"/>
                    <w:right w:w="105" w:type="dxa"/>
                  </w:tcMar>
                </w:tcPr>
                <w:p w14:paraId="20A20D43">
                  <w:pPr>
                    <w:pStyle w:val="4"/>
                    <w:jc w:val="left"/>
                  </w:pPr>
                  <w:r>
                    <w:rPr>
                      <w:rFonts w:ascii="仿宋_GB2312" w:hAnsi="仿宋_GB2312" w:eastAsia="仿宋_GB2312" w:cs="仿宋_GB2312"/>
                      <w:sz w:val="24"/>
                    </w:rPr>
                    <w:t>1.国际院校专业合作共建服务</w:t>
                  </w:r>
                </w:p>
                <w:p w14:paraId="74F30D5B">
                  <w:pPr>
                    <w:pStyle w:val="4"/>
                    <w:jc w:val="left"/>
                  </w:pPr>
                  <w:r>
                    <w:rPr>
                      <w:rFonts w:ascii="仿宋_GB2312" w:hAnsi="仿宋_GB2312" w:eastAsia="仿宋_GB2312" w:cs="仿宋_GB2312"/>
                      <w:sz w:val="24"/>
                    </w:rPr>
                    <w:t>（1）项目合作院校及企业遴选：</w:t>
                  </w:r>
                </w:p>
                <w:p w14:paraId="627D26CE">
                  <w:pPr>
                    <w:pStyle w:val="4"/>
                    <w:jc w:val="left"/>
                  </w:pPr>
                  <w:r>
                    <w:rPr>
                      <w:rFonts w:ascii="仿宋_GB2312" w:hAnsi="仿宋_GB2312" w:eastAsia="仿宋_GB2312" w:cs="仿宋_GB2312"/>
                      <w:sz w:val="24"/>
                    </w:rPr>
                    <w:t>建立明确的院校筛选标准，需包括：院校所在国与企业海外业务布局的匹配度、该校ICT相关专业实力、与中方院校专业群的契合度、评估实训条件是否满足教学要求、开展学分互认的可能性、当地政府对国际合作的开放度等；供应商需具备当地教育资源，能提供不少于3所备选合作院校的详细信息及对接渠道。并根据中资企业在欧洲开展业务情况，推荐不少于1家出海的ICT类中资企业。</w:t>
                  </w:r>
                </w:p>
                <w:p w14:paraId="12C2A7C3">
                  <w:pPr>
                    <w:pStyle w:val="4"/>
                    <w:jc w:val="left"/>
                  </w:pPr>
                  <w:r>
                    <w:rPr>
                      <w:rFonts w:ascii="仿宋_GB2312" w:hAnsi="仿宋_GB2312" w:eastAsia="仿宋_GB2312" w:cs="仿宋_GB2312"/>
                      <w:sz w:val="24"/>
                    </w:rPr>
                    <w:t>（2）线上对接会：</w:t>
                  </w:r>
                </w:p>
                <w:p w14:paraId="0EFDA20D">
                  <w:pPr>
                    <w:pStyle w:val="4"/>
                    <w:jc w:val="left"/>
                  </w:pPr>
                  <w:r>
                    <w:rPr>
                      <w:rFonts w:ascii="仿宋_GB2312" w:hAnsi="仿宋_GB2312" w:eastAsia="仿宋_GB2312" w:cs="仿宋_GB2312"/>
                      <w:sz w:val="24"/>
                    </w:rPr>
                    <w:t>在合作协议签署前，组织中、西代表召开至少一场线上见面会，明确合作分工并拟定协议，制定并执行标准化的合作对接流程。</w:t>
                  </w:r>
                </w:p>
                <w:p w14:paraId="54E5CEE2">
                  <w:pPr>
                    <w:pStyle w:val="4"/>
                    <w:jc w:val="left"/>
                  </w:pPr>
                  <w:r>
                    <w:rPr>
                      <w:rFonts w:ascii="仿宋_GB2312" w:hAnsi="仿宋_GB2312" w:eastAsia="仿宋_GB2312" w:cs="仿宋_GB2312"/>
                      <w:sz w:val="24"/>
                    </w:rPr>
                    <w:t>（3）协议签署：</w:t>
                  </w:r>
                </w:p>
                <w:p w14:paraId="58C0B78E">
                  <w:pPr>
                    <w:pStyle w:val="4"/>
                    <w:jc w:val="left"/>
                  </w:pPr>
                  <w:r>
                    <w:rPr>
                      <w:rFonts w:ascii="仿宋_GB2312" w:hAnsi="仿宋_GB2312" w:eastAsia="仿宋_GB2312" w:cs="仿宋_GB2312"/>
                      <w:sz w:val="24"/>
                    </w:rPr>
                    <w:t>协助采购人与目的国合作学校，出海中资企业签署国际合作协议（MOU）：①MOU内容需涵盖但不限于：合作领域（ICT人才培养）、学分互认与资源共享、师生交流、课程标准共建与输出、实训基地共建等核心条款；②需提供完整的线上签约仪式策划方案，包括：流程设计、技术支持、翻译支持、以及会议所需文案的设计与输出；③提供线上签约仪式的全流程会务服务，包含：前期对接沟通、会议现场及网络通信保障等。</w:t>
                  </w:r>
                </w:p>
                <w:p w14:paraId="113A3EC5">
                  <w:pPr>
                    <w:pStyle w:val="4"/>
                    <w:jc w:val="left"/>
                  </w:pPr>
                  <w:r>
                    <w:rPr>
                      <w:rFonts w:ascii="仿宋_GB2312" w:hAnsi="仿宋_GB2312" w:eastAsia="仿宋_GB2312" w:cs="仿宋_GB2312"/>
                      <w:sz w:val="24"/>
                    </w:rPr>
                    <w:t>（4）揭幕仪式：</w:t>
                  </w:r>
                </w:p>
                <w:p w14:paraId="46A3E28A">
                  <w:pPr>
                    <w:pStyle w:val="4"/>
                    <w:jc w:val="left"/>
                  </w:pPr>
                  <w:r>
                    <w:rPr>
                      <w:rFonts w:ascii="仿宋_GB2312" w:hAnsi="仿宋_GB2312" w:eastAsia="仿宋_GB2312" w:cs="仿宋_GB2312"/>
                      <w:sz w:val="24"/>
                    </w:rPr>
                    <w:t>①筹办揭幕仪式，负责嘉宾邀请、流程执行、媒体报道；②完成基地揭幕仪式的策划与执行；③提供全流程会务服务，包含：前期对接沟通、会议现场及资料的双语翻译、文案输出与设计、流程统筹彩排执行等；④境内外权威媒体新闻推送不少于2篇。</w:t>
                  </w:r>
                </w:p>
                <w:p w14:paraId="4DBFB36C">
                  <w:pPr>
                    <w:pStyle w:val="4"/>
                    <w:jc w:val="left"/>
                  </w:pPr>
                  <w:r>
                    <w:rPr>
                      <w:rFonts w:ascii="仿宋_GB2312" w:hAnsi="仿宋_GB2312" w:eastAsia="仿宋_GB2312" w:cs="仿宋_GB2312"/>
                      <w:sz w:val="24"/>
                    </w:rPr>
                    <w:t>2.落实培训</w:t>
                  </w:r>
                </w:p>
                <w:p w14:paraId="050DBC0D">
                  <w:pPr>
                    <w:pStyle w:val="4"/>
                    <w:jc w:val="left"/>
                  </w:pPr>
                  <w:r>
                    <w:rPr>
                      <w:rFonts w:ascii="仿宋_GB2312" w:hAnsi="仿宋_GB2312" w:eastAsia="仿宋_GB2312" w:cs="仿宋_GB2312"/>
                      <w:sz w:val="24"/>
                    </w:rPr>
                    <w:t>（1）利用前期建设的教学标准，面向企业员工的岗位技能提升培训和面向在校学生的信息工程技术人才培训。通过集中授课、实践操作、案例分析等方式，帮助学员在短时间内掌握实用技能，提高就业竞争力，满足海外中资企业对不同层次人才的迫切需求，具体如下：</w:t>
                  </w:r>
                </w:p>
                <w:p w14:paraId="76527B54">
                  <w:pPr>
                    <w:pStyle w:val="4"/>
                    <w:jc w:val="left"/>
                  </w:pPr>
                  <w:r>
                    <w:rPr>
                      <w:rFonts w:ascii="仿宋_GB2312" w:hAnsi="仿宋_GB2312" w:eastAsia="仿宋_GB2312" w:cs="仿宋_GB2312"/>
                      <w:sz w:val="24"/>
                    </w:rPr>
                    <w:t>①培训对象：国内外学生、教师或海外中资企业员工等；</w:t>
                  </w:r>
                </w:p>
                <w:p w14:paraId="22935A30">
                  <w:pPr>
                    <w:pStyle w:val="4"/>
                    <w:jc w:val="left"/>
                  </w:pPr>
                  <w:r>
                    <w:rPr>
                      <w:rFonts w:ascii="仿宋_GB2312" w:hAnsi="仿宋_GB2312" w:eastAsia="仿宋_GB2312" w:cs="仿宋_GB2312"/>
                      <w:sz w:val="24"/>
                    </w:rPr>
                    <w:t>②培训人次：160人次；</w:t>
                  </w:r>
                </w:p>
                <w:p w14:paraId="71D4A4B2">
                  <w:pPr>
                    <w:pStyle w:val="4"/>
                    <w:jc w:val="left"/>
                  </w:pPr>
                  <w:r>
                    <w:rPr>
                      <w:rFonts w:ascii="仿宋_GB2312" w:hAnsi="仿宋_GB2312" w:eastAsia="仿宋_GB2312" w:cs="仿宋_GB2312"/>
                      <w:sz w:val="24"/>
                    </w:rPr>
                    <w:t>③培训场次：4场；</w:t>
                  </w:r>
                </w:p>
                <w:p w14:paraId="170BCE25">
                  <w:pPr>
                    <w:pStyle w:val="4"/>
                    <w:jc w:val="left"/>
                  </w:pPr>
                  <w:r>
                    <w:rPr>
                      <w:rFonts w:ascii="仿宋_GB2312" w:hAnsi="仿宋_GB2312" w:eastAsia="仿宋_GB2312" w:cs="仿宋_GB2312"/>
                      <w:sz w:val="24"/>
                    </w:rPr>
                    <w:t>④培训时长：120分钟/场；</w:t>
                  </w:r>
                </w:p>
                <w:p w14:paraId="77DCA68D">
                  <w:pPr>
                    <w:pStyle w:val="4"/>
                    <w:jc w:val="left"/>
                  </w:pPr>
                  <w:r>
                    <w:rPr>
                      <w:rFonts w:ascii="仿宋_GB2312" w:hAnsi="仿宋_GB2312" w:eastAsia="仿宋_GB2312" w:cs="仿宋_GB2312"/>
                      <w:sz w:val="24"/>
                    </w:rPr>
                    <w:t>⑤培训形式：线下/线上；</w:t>
                  </w:r>
                </w:p>
                <w:p w14:paraId="2A794DAA">
                  <w:pPr>
                    <w:pStyle w:val="4"/>
                    <w:jc w:val="left"/>
                  </w:pPr>
                  <w:r>
                    <w:rPr>
                      <w:rFonts w:ascii="仿宋_GB2312" w:hAnsi="仿宋_GB2312" w:eastAsia="仿宋_GB2312" w:cs="仿宋_GB2312"/>
                      <w:sz w:val="24"/>
                    </w:rPr>
                    <w:t>⑥培训主题：信息工程相关技能培训方向。</w:t>
                  </w:r>
                </w:p>
                <w:p w14:paraId="28B77012">
                  <w:pPr>
                    <w:pStyle w:val="4"/>
                    <w:jc w:val="left"/>
                  </w:pPr>
                  <w:r>
                    <w:rPr>
                      <w:rFonts w:ascii="仿宋_GB2312" w:hAnsi="仿宋_GB2312" w:eastAsia="仿宋_GB2312" w:cs="仿宋_GB2312"/>
                      <w:sz w:val="24"/>
                    </w:rPr>
                    <w:t>（2）建立参训学员就业跟踪台账，覆盖累计 160 名培训学员，持续跟进就业动态；培训结业 6 个月内，学员入职合作中资企业、以及其生态合作企业及目的国本地 ICT 企业就业 / 实习综合达标率≥30%。</w:t>
                  </w:r>
                </w:p>
                <w:p w14:paraId="35FD73DE">
                  <w:pPr>
                    <w:pStyle w:val="4"/>
                    <w:jc w:val="left"/>
                  </w:pPr>
                  <w:r>
                    <w:rPr>
                      <w:rFonts w:ascii="仿宋_GB2312" w:hAnsi="仿宋_GB2312" w:eastAsia="仿宋_GB2312" w:cs="仿宋_GB2312"/>
                      <w:sz w:val="24"/>
                    </w:rPr>
                    <w:t>（3）开展企业雇主满意度调研，学员在岗综合满意度不低于 90%。</w:t>
                  </w:r>
                </w:p>
              </w:tc>
              <w:tc>
                <w:tcPr>
                  <w:tcW w:w="6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3630DA">
                  <w:pPr>
                    <w:pStyle w:val="4"/>
                    <w:jc w:val="both"/>
                  </w:pPr>
                </w:p>
              </w:tc>
            </w:tr>
          </w:tbl>
          <w:p w14:paraId="107688EC"/>
        </w:tc>
      </w:tr>
    </w:tbl>
    <w:p w14:paraId="6DE68D63">
      <w:pPr>
        <w:pStyle w:val="4"/>
        <w:jc w:val="left"/>
        <w:outlineLvl w:val="2"/>
      </w:pPr>
      <w:r>
        <w:rPr>
          <w:rFonts w:ascii="仿宋_GB2312" w:hAnsi="仿宋_GB2312" w:eastAsia="仿宋_GB2312" w:cs="仿宋_GB2312"/>
          <w:b/>
          <w:sz w:val="28"/>
        </w:rPr>
        <w:t>3.3.服务要求</w:t>
      </w:r>
    </w:p>
    <w:p w14:paraId="3DE33018">
      <w:pPr>
        <w:pStyle w:val="4"/>
        <w:jc w:val="left"/>
        <w:outlineLvl w:val="3"/>
      </w:pPr>
      <w:r>
        <w:rPr>
          <w:rFonts w:ascii="仿宋_GB2312" w:hAnsi="仿宋_GB2312" w:eastAsia="仿宋_GB2312" w:cs="仿宋_GB2312"/>
          <w:b/>
          <w:sz w:val="24"/>
        </w:rPr>
        <w:t>3.3.1.服务内容要求</w:t>
      </w:r>
    </w:p>
    <w:p w14:paraId="0421842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44E24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4C8850CC">
            <w:pPr>
              <w:pStyle w:val="4"/>
              <w:jc w:val="center"/>
            </w:pPr>
            <w:r>
              <w:rPr>
                <w:rFonts w:ascii="仿宋_GB2312" w:hAnsi="仿宋_GB2312" w:eastAsia="仿宋_GB2312" w:cs="仿宋_GB2312"/>
              </w:rPr>
              <w:t xml:space="preserve"> 序号</w:t>
            </w:r>
          </w:p>
        </w:tc>
        <w:tc>
          <w:tcPr>
            <w:tcW w:w="581" w:type="dxa"/>
          </w:tcPr>
          <w:p w14:paraId="7CCC91A0">
            <w:pPr>
              <w:pStyle w:val="4"/>
              <w:jc w:val="center"/>
            </w:pPr>
            <w:r>
              <w:rPr>
                <w:rFonts w:ascii="仿宋_GB2312" w:hAnsi="仿宋_GB2312" w:eastAsia="仿宋_GB2312" w:cs="仿宋_GB2312"/>
              </w:rPr>
              <w:t xml:space="preserve"> 符号标识</w:t>
            </w:r>
          </w:p>
        </w:tc>
        <w:tc>
          <w:tcPr>
            <w:tcW w:w="1495" w:type="dxa"/>
          </w:tcPr>
          <w:p w14:paraId="142C46AC">
            <w:pPr>
              <w:pStyle w:val="4"/>
              <w:jc w:val="center"/>
            </w:pPr>
            <w:r>
              <w:rPr>
                <w:rFonts w:ascii="仿宋_GB2312" w:hAnsi="仿宋_GB2312" w:eastAsia="仿宋_GB2312" w:cs="仿宋_GB2312"/>
              </w:rPr>
              <w:t xml:space="preserve"> 服务要求名称</w:t>
            </w:r>
          </w:p>
        </w:tc>
        <w:tc>
          <w:tcPr>
            <w:tcW w:w="5814" w:type="dxa"/>
          </w:tcPr>
          <w:p w14:paraId="191DFB71">
            <w:pPr>
              <w:pStyle w:val="4"/>
              <w:jc w:val="center"/>
            </w:pPr>
            <w:r>
              <w:rPr>
                <w:rFonts w:ascii="仿宋_GB2312" w:hAnsi="仿宋_GB2312" w:eastAsia="仿宋_GB2312" w:cs="仿宋_GB2312"/>
              </w:rPr>
              <w:t xml:space="preserve"> 服务要求内容</w:t>
            </w:r>
          </w:p>
        </w:tc>
      </w:tr>
      <w:tr w14:paraId="13ACD8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76E79078">
            <w:pPr>
              <w:pStyle w:val="4"/>
              <w:jc w:val="center"/>
            </w:pPr>
            <w:r>
              <w:rPr>
                <w:rFonts w:ascii="仿宋_GB2312" w:hAnsi="仿宋_GB2312" w:eastAsia="仿宋_GB2312" w:cs="仿宋_GB2312"/>
              </w:rPr>
              <w:t>无</w:t>
            </w:r>
          </w:p>
        </w:tc>
      </w:tr>
    </w:tbl>
    <w:p w14:paraId="6015F7FC">
      <w:pPr>
        <w:pStyle w:val="4"/>
        <w:jc w:val="left"/>
        <w:outlineLvl w:val="3"/>
      </w:pPr>
      <w:r>
        <w:rPr>
          <w:rFonts w:ascii="仿宋_GB2312" w:hAnsi="仿宋_GB2312" w:eastAsia="仿宋_GB2312" w:cs="仿宋_GB2312"/>
          <w:b/>
          <w:sz w:val="24"/>
        </w:rPr>
        <w:t>3.3.2.商务要求</w:t>
      </w:r>
    </w:p>
    <w:p w14:paraId="402C2B5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37A3A3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828F137">
            <w:pPr>
              <w:pStyle w:val="4"/>
              <w:jc w:val="left"/>
            </w:pPr>
            <w:r>
              <w:rPr>
                <w:rFonts w:ascii="仿宋_GB2312" w:hAnsi="仿宋_GB2312" w:eastAsia="仿宋_GB2312" w:cs="仿宋_GB2312"/>
              </w:rPr>
              <w:t>序号</w:t>
            </w:r>
          </w:p>
        </w:tc>
        <w:tc>
          <w:tcPr>
            <w:tcW w:w="2076" w:type="dxa"/>
          </w:tcPr>
          <w:p w14:paraId="7E49A9E9">
            <w:pPr>
              <w:pStyle w:val="4"/>
              <w:jc w:val="left"/>
            </w:pPr>
            <w:r>
              <w:rPr>
                <w:rFonts w:ascii="仿宋_GB2312" w:hAnsi="仿宋_GB2312" w:eastAsia="仿宋_GB2312" w:cs="仿宋_GB2312"/>
              </w:rPr>
              <w:t>符号标识</w:t>
            </w:r>
          </w:p>
        </w:tc>
        <w:tc>
          <w:tcPr>
            <w:tcW w:w="2076" w:type="dxa"/>
          </w:tcPr>
          <w:p w14:paraId="109A9E8F">
            <w:pPr>
              <w:pStyle w:val="4"/>
              <w:jc w:val="left"/>
            </w:pPr>
            <w:r>
              <w:rPr>
                <w:rFonts w:ascii="仿宋_GB2312" w:hAnsi="仿宋_GB2312" w:eastAsia="仿宋_GB2312" w:cs="仿宋_GB2312"/>
              </w:rPr>
              <w:t>商务要求名称</w:t>
            </w:r>
          </w:p>
        </w:tc>
        <w:tc>
          <w:tcPr>
            <w:tcW w:w="2076" w:type="dxa"/>
          </w:tcPr>
          <w:p w14:paraId="098FE285">
            <w:pPr>
              <w:pStyle w:val="4"/>
              <w:jc w:val="left"/>
            </w:pPr>
            <w:r>
              <w:rPr>
                <w:rFonts w:ascii="仿宋_GB2312" w:hAnsi="仿宋_GB2312" w:eastAsia="仿宋_GB2312" w:cs="仿宋_GB2312"/>
              </w:rPr>
              <w:t>商务要求内容</w:t>
            </w:r>
          </w:p>
        </w:tc>
      </w:tr>
      <w:tr w14:paraId="1EE40C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AB472C1">
            <w:pPr>
              <w:pStyle w:val="4"/>
              <w:jc w:val="left"/>
            </w:pPr>
            <w:r>
              <w:rPr>
                <w:rFonts w:ascii="仿宋_GB2312" w:hAnsi="仿宋_GB2312" w:eastAsia="仿宋_GB2312" w:cs="仿宋_GB2312"/>
              </w:rPr>
              <w:t>1</w:t>
            </w:r>
          </w:p>
        </w:tc>
        <w:tc>
          <w:tcPr>
            <w:tcW w:w="2076" w:type="dxa"/>
          </w:tcPr>
          <w:p w14:paraId="3FB869C7">
            <w:pPr>
              <w:pStyle w:val="4"/>
              <w:jc w:val="left"/>
            </w:pPr>
            <w:r>
              <w:rPr>
                <w:rFonts w:ascii="仿宋_GB2312" w:hAnsi="仿宋_GB2312" w:eastAsia="仿宋_GB2312" w:cs="仿宋_GB2312"/>
              </w:rPr>
              <w:t>★</w:t>
            </w:r>
          </w:p>
        </w:tc>
        <w:tc>
          <w:tcPr>
            <w:tcW w:w="2076" w:type="dxa"/>
          </w:tcPr>
          <w:p w14:paraId="1413A08E">
            <w:pPr>
              <w:pStyle w:val="4"/>
              <w:jc w:val="left"/>
            </w:pPr>
            <w:r>
              <w:rPr>
                <w:rFonts w:ascii="仿宋_GB2312" w:hAnsi="仿宋_GB2312" w:eastAsia="仿宋_GB2312" w:cs="仿宋_GB2312"/>
              </w:rPr>
              <w:t>服务期限</w:t>
            </w:r>
          </w:p>
        </w:tc>
        <w:tc>
          <w:tcPr>
            <w:tcW w:w="2076" w:type="dxa"/>
          </w:tcPr>
          <w:p w14:paraId="43CF3985">
            <w:pPr>
              <w:pStyle w:val="4"/>
              <w:jc w:val="left"/>
            </w:pPr>
            <w:r>
              <w:rPr>
                <w:rFonts w:ascii="仿宋_GB2312" w:hAnsi="仿宋_GB2312" w:eastAsia="仿宋_GB2312" w:cs="仿宋_GB2312"/>
              </w:rPr>
              <w:t>自合同签订之日起 180 日</w:t>
            </w:r>
          </w:p>
        </w:tc>
      </w:tr>
      <w:tr w14:paraId="54B545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4473276">
            <w:pPr>
              <w:pStyle w:val="4"/>
              <w:jc w:val="left"/>
            </w:pPr>
            <w:r>
              <w:rPr>
                <w:rFonts w:ascii="仿宋_GB2312" w:hAnsi="仿宋_GB2312" w:eastAsia="仿宋_GB2312" w:cs="仿宋_GB2312"/>
              </w:rPr>
              <w:t>2</w:t>
            </w:r>
          </w:p>
        </w:tc>
        <w:tc>
          <w:tcPr>
            <w:tcW w:w="2076" w:type="dxa"/>
          </w:tcPr>
          <w:p w14:paraId="43935052">
            <w:pPr>
              <w:pStyle w:val="4"/>
              <w:jc w:val="left"/>
            </w:pPr>
            <w:r>
              <w:rPr>
                <w:rFonts w:ascii="仿宋_GB2312" w:hAnsi="仿宋_GB2312" w:eastAsia="仿宋_GB2312" w:cs="仿宋_GB2312"/>
              </w:rPr>
              <w:t>★</w:t>
            </w:r>
          </w:p>
        </w:tc>
        <w:tc>
          <w:tcPr>
            <w:tcW w:w="2076" w:type="dxa"/>
          </w:tcPr>
          <w:p w14:paraId="491A5B47">
            <w:pPr>
              <w:pStyle w:val="4"/>
              <w:jc w:val="left"/>
            </w:pPr>
            <w:r>
              <w:rPr>
                <w:rFonts w:ascii="仿宋_GB2312" w:hAnsi="仿宋_GB2312" w:eastAsia="仿宋_GB2312" w:cs="仿宋_GB2312"/>
              </w:rPr>
              <w:t>服务地点</w:t>
            </w:r>
          </w:p>
        </w:tc>
        <w:tc>
          <w:tcPr>
            <w:tcW w:w="2076" w:type="dxa"/>
          </w:tcPr>
          <w:p w14:paraId="6F32CC0F">
            <w:pPr>
              <w:pStyle w:val="4"/>
              <w:jc w:val="left"/>
            </w:pPr>
            <w:r>
              <w:rPr>
                <w:rFonts w:ascii="仿宋_GB2312" w:hAnsi="仿宋_GB2312" w:eastAsia="仿宋_GB2312" w:cs="仿宋_GB2312"/>
              </w:rPr>
              <w:t>四川省成都市锦江区静康路536号</w:t>
            </w:r>
          </w:p>
        </w:tc>
      </w:tr>
      <w:tr w14:paraId="3A98F1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E22BCBA">
            <w:pPr>
              <w:pStyle w:val="4"/>
              <w:jc w:val="left"/>
            </w:pPr>
            <w:r>
              <w:rPr>
                <w:rFonts w:ascii="仿宋_GB2312" w:hAnsi="仿宋_GB2312" w:eastAsia="仿宋_GB2312" w:cs="仿宋_GB2312"/>
              </w:rPr>
              <w:t>3</w:t>
            </w:r>
          </w:p>
        </w:tc>
        <w:tc>
          <w:tcPr>
            <w:tcW w:w="2076" w:type="dxa"/>
          </w:tcPr>
          <w:p w14:paraId="292137C7">
            <w:pPr>
              <w:pStyle w:val="4"/>
              <w:jc w:val="left"/>
            </w:pPr>
            <w:r>
              <w:rPr>
                <w:rFonts w:ascii="仿宋_GB2312" w:hAnsi="仿宋_GB2312" w:eastAsia="仿宋_GB2312" w:cs="仿宋_GB2312"/>
              </w:rPr>
              <w:t>★</w:t>
            </w:r>
          </w:p>
        </w:tc>
        <w:tc>
          <w:tcPr>
            <w:tcW w:w="2076" w:type="dxa"/>
          </w:tcPr>
          <w:p w14:paraId="2E9ABB66">
            <w:pPr>
              <w:pStyle w:val="4"/>
              <w:jc w:val="left"/>
            </w:pPr>
            <w:r>
              <w:rPr>
                <w:rFonts w:ascii="仿宋_GB2312" w:hAnsi="仿宋_GB2312" w:eastAsia="仿宋_GB2312" w:cs="仿宋_GB2312"/>
              </w:rPr>
              <w:t>验收、交付标准和方法</w:t>
            </w:r>
          </w:p>
        </w:tc>
        <w:tc>
          <w:tcPr>
            <w:tcW w:w="2076" w:type="dxa"/>
          </w:tcPr>
          <w:p w14:paraId="0048E719">
            <w:pPr>
              <w:pStyle w:val="4"/>
              <w:jc w:val="left"/>
            </w:pPr>
            <w:r>
              <w:rPr>
                <w:rFonts w:ascii="仿宋_GB2312" w:hAnsi="仿宋_GB2312" w:eastAsia="仿宋_GB2312" w:cs="仿宋_GB2312"/>
              </w:rPr>
              <w:t>本项目采购人将严格按照《财政部关于进一步加强政府采购需求和履约验收管理的指导意见》（财库〔2016〕205号）、《政府采购需求管理办法》（财库〔2021〕22号）的要求结合本项目政府采购合同、招标文件中技术/服务要求、商务要求及中标人投标文件进行验收。</w:t>
            </w:r>
          </w:p>
        </w:tc>
      </w:tr>
      <w:tr w14:paraId="371B6E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AF8CF3E">
            <w:pPr>
              <w:pStyle w:val="4"/>
              <w:jc w:val="left"/>
            </w:pPr>
            <w:r>
              <w:rPr>
                <w:rFonts w:ascii="仿宋_GB2312" w:hAnsi="仿宋_GB2312" w:eastAsia="仿宋_GB2312" w:cs="仿宋_GB2312"/>
              </w:rPr>
              <w:t>4</w:t>
            </w:r>
          </w:p>
        </w:tc>
        <w:tc>
          <w:tcPr>
            <w:tcW w:w="2076" w:type="dxa"/>
          </w:tcPr>
          <w:p w14:paraId="2FB45C5E">
            <w:pPr>
              <w:pStyle w:val="4"/>
              <w:jc w:val="left"/>
            </w:pPr>
            <w:r>
              <w:rPr>
                <w:rFonts w:ascii="仿宋_GB2312" w:hAnsi="仿宋_GB2312" w:eastAsia="仿宋_GB2312" w:cs="仿宋_GB2312"/>
              </w:rPr>
              <w:t>★</w:t>
            </w:r>
          </w:p>
        </w:tc>
        <w:tc>
          <w:tcPr>
            <w:tcW w:w="2076" w:type="dxa"/>
          </w:tcPr>
          <w:p w14:paraId="37EF574F">
            <w:pPr>
              <w:pStyle w:val="4"/>
              <w:jc w:val="left"/>
            </w:pPr>
            <w:r>
              <w:rPr>
                <w:rFonts w:ascii="仿宋_GB2312" w:hAnsi="仿宋_GB2312" w:eastAsia="仿宋_GB2312" w:cs="仿宋_GB2312"/>
              </w:rPr>
              <w:t>支付方式</w:t>
            </w:r>
          </w:p>
        </w:tc>
        <w:tc>
          <w:tcPr>
            <w:tcW w:w="2076" w:type="dxa"/>
          </w:tcPr>
          <w:p w14:paraId="5F933770">
            <w:pPr>
              <w:pStyle w:val="4"/>
              <w:jc w:val="left"/>
            </w:pPr>
            <w:r>
              <w:rPr>
                <w:rFonts w:ascii="仿宋_GB2312" w:hAnsi="仿宋_GB2312" w:eastAsia="仿宋_GB2312" w:cs="仿宋_GB2312"/>
              </w:rPr>
              <w:t>分期付款</w:t>
            </w:r>
          </w:p>
        </w:tc>
      </w:tr>
      <w:tr w14:paraId="0F7106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377818D">
            <w:pPr>
              <w:pStyle w:val="4"/>
              <w:jc w:val="left"/>
            </w:pPr>
            <w:r>
              <w:rPr>
                <w:rFonts w:ascii="仿宋_GB2312" w:hAnsi="仿宋_GB2312" w:eastAsia="仿宋_GB2312" w:cs="仿宋_GB2312"/>
              </w:rPr>
              <w:t>5</w:t>
            </w:r>
          </w:p>
        </w:tc>
        <w:tc>
          <w:tcPr>
            <w:tcW w:w="2076" w:type="dxa"/>
          </w:tcPr>
          <w:p w14:paraId="3ED8D235">
            <w:pPr>
              <w:pStyle w:val="4"/>
              <w:jc w:val="left"/>
            </w:pPr>
            <w:r>
              <w:rPr>
                <w:rFonts w:ascii="仿宋_GB2312" w:hAnsi="仿宋_GB2312" w:eastAsia="仿宋_GB2312" w:cs="仿宋_GB2312"/>
              </w:rPr>
              <w:t>★</w:t>
            </w:r>
          </w:p>
        </w:tc>
        <w:tc>
          <w:tcPr>
            <w:tcW w:w="2076" w:type="dxa"/>
          </w:tcPr>
          <w:p w14:paraId="0CC3C80D">
            <w:pPr>
              <w:pStyle w:val="4"/>
              <w:jc w:val="left"/>
            </w:pPr>
            <w:r>
              <w:rPr>
                <w:rFonts w:ascii="仿宋_GB2312" w:hAnsi="仿宋_GB2312" w:eastAsia="仿宋_GB2312" w:cs="仿宋_GB2312"/>
              </w:rPr>
              <w:t>付款进度安排</w:t>
            </w:r>
          </w:p>
        </w:tc>
        <w:tc>
          <w:tcPr>
            <w:tcW w:w="2076" w:type="dxa"/>
          </w:tcPr>
          <w:p w14:paraId="38E53C8C">
            <w:pPr>
              <w:pStyle w:val="4"/>
              <w:jc w:val="left"/>
            </w:pPr>
            <w:r>
              <w:rPr>
                <w:rFonts w:ascii="仿宋_GB2312" w:hAnsi="仿宋_GB2312" w:eastAsia="仿宋_GB2312" w:cs="仿宋_GB2312"/>
              </w:rPr>
              <w:t>1、第一期款项付款条件：中标供应商与采购人签订合同，双方确定课程建设具体内容。达到该付款条件起10个工作日内，支付合同总金额的50.0%</w:t>
            </w:r>
            <w:r>
              <w:br w:type="textWrapping"/>
            </w:r>
            <w:r>
              <w:rPr>
                <w:rFonts w:ascii="仿宋_GB2312" w:hAnsi="仿宋_GB2312" w:eastAsia="仿宋_GB2312" w:cs="仿宋_GB2312"/>
              </w:rPr>
              <w:t>2、第二期款项付款条件：收到由欧洲国家教育官方部门出具课程标准认证证明，并获得海外院校课程接收函，同时获得当地中资企业的认证证明。达到该付款条件起10个工作日内，支付合同总金额的30.0%</w:t>
            </w:r>
            <w:r>
              <w:br w:type="textWrapping"/>
            </w:r>
            <w:r>
              <w:rPr>
                <w:rFonts w:ascii="仿宋_GB2312" w:hAnsi="仿宋_GB2312" w:eastAsia="仿宋_GB2312" w:cs="仿宋_GB2312"/>
              </w:rPr>
              <w:t>3、第三期款项付款条件：项目终验合格。达到该付款条件起10个工作日内，支付合同总金额的20.0%</w:t>
            </w:r>
            <w:r>
              <w:br w:type="textWrapping"/>
            </w:r>
          </w:p>
        </w:tc>
      </w:tr>
      <w:tr w14:paraId="40C615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3B6B171">
            <w:pPr>
              <w:pStyle w:val="4"/>
              <w:jc w:val="left"/>
            </w:pPr>
            <w:r>
              <w:rPr>
                <w:rFonts w:ascii="仿宋_GB2312" w:hAnsi="仿宋_GB2312" w:eastAsia="仿宋_GB2312" w:cs="仿宋_GB2312"/>
              </w:rPr>
              <w:t>6</w:t>
            </w:r>
          </w:p>
        </w:tc>
        <w:tc>
          <w:tcPr>
            <w:tcW w:w="2076" w:type="dxa"/>
          </w:tcPr>
          <w:p w14:paraId="74A385D8">
            <w:pPr>
              <w:pStyle w:val="4"/>
              <w:jc w:val="left"/>
            </w:pPr>
            <w:r>
              <w:rPr>
                <w:rFonts w:ascii="仿宋_GB2312" w:hAnsi="仿宋_GB2312" w:eastAsia="仿宋_GB2312" w:cs="仿宋_GB2312"/>
              </w:rPr>
              <w:t>★</w:t>
            </w:r>
          </w:p>
        </w:tc>
        <w:tc>
          <w:tcPr>
            <w:tcW w:w="2076" w:type="dxa"/>
          </w:tcPr>
          <w:p w14:paraId="2CAD76C0">
            <w:pPr>
              <w:pStyle w:val="4"/>
              <w:jc w:val="left"/>
            </w:pPr>
            <w:r>
              <w:rPr>
                <w:rFonts w:ascii="仿宋_GB2312" w:hAnsi="仿宋_GB2312" w:eastAsia="仿宋_GB2312" w:cs="仿宋_GB2312"/>
              </w:rPr>
              <w:t>违约责任与解决争议的方法</w:t>
            </w:r>
          </w:p>
        </w:tc>
        <w:tc>
          <w:tcPr>
            <w:tcW w:w="2076" w:type="dxa"/>
          </w:tcPr>
          <w:p w14:paraId="0DAC1734">
            <w:pPr>
              <w:pStyle w:val="4"/>
              <w:jc w:val="left"/>
            </w:pPr>
            <w:r>
              <w:rPr>
                <w:rFonts w:ascii="仿宋_GB2312" w:hAnsi="仿宋_GB2312" w:eastAsia="仿宋_GB2312" w:cs="仿宋_GB2312"/>
              </w:rPr>
              <w:t>执行合同过程中发生争议时，双方应通过协商方式解决，协商不成时，任何一方均可向甲方所在地人民法院提起诉讼。</w:t>
            </w:r>
          </w:p>
        </w:tc>
      </w:tr>
    </w:tbl>
    <w:p w14:paraId="1E9C817B">
      <w:pPr>
        <w:pStyle w:val="4"/>
        <w:jc w:val="left"/>
        <w:outlineLvl w:val="2"/>
      </w:pPr>
      <w:r>
        <w:rPr>
          <w:rFonts w:ascii="仿宋_GB2312" w:hAnsi="仿宋_GB2312" w:eastAsia="仿宋_GB2312" w:cs="仿宋_GB2312"/>
          <w:b/>
          <w:sz w:val="28"/>
        </w:rPr>
        <w:t>3.4.其他要求</w:t>
      </w:r>
    </w:p>
    <w:p w14:paraId="4AC9F258">
      <w:pPr>
        <w:pStyle w:val="4"/>
        <w:ind w:firstLine="480"/>
        <w:jc w:val="left"/>
      </w:pPr>
      <w:r>
        <w:rPr>
          <w:rFonts w:ascii="仿宋_GB2312" w:hAnsi="仿宋_GB2312" w:eastAsia="仿宋_GB2312" w:cs="仿宋_GB2312"/>
        </w:rPr>
        <w:t>采购包1：</w:t>
      </w:r>
    </w:p>
    <w:p w14:paraId="5AF0663B">
      <w:pPr>
        <w:pStyle w:val="4"/>
        <w:jc w:val="left"/>
      </w:pPr>
      <w:r>
        <w:rPr>
          <w:rFonts w:ascii="仿宋_GB2312" w:hAnsi="仿宋_GB2312" w:eastAsia="仿宋_GB2312" w:cs="仿宋_GB2312"/>
        </w:rPr>
        <w:t>无。</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2B73F1"/>
    <w:rsid w:val="022B73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2026-10-30T05:57:00Z</dcterms:created>
  <dc:creator>下雨季</dc:creator>
  <cp:lastModifiedBy>下雨季</cp:lastModifiedBy>
  <dcterms:modified xsi:type="dcterms:W3CDTF">2026-10-30T05:57:25Z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1DDD3BAA43884EC0976DD54EA8714581_11</vt:lpwstr>
  </property>
  <property fmtid="{D5CDD505-2E9C-101B-9397-08002B2CF9AE}" pid="4" name="KSOTemplateDocerSaveRecord">
    <vt:lpwstr>eyJoZGlkIjoiNjk0MmE0MDIyOTMxZmJlMzM0ZDVlZDAxZjU3MmU5MGEiLCJ1c2VySWQiOiIyNjA3ODgwMzQifQ==</vt:lpwstr>
  </property>
</Properties>
</file>