
<file path=[Content_Types].xml><?xml version="1.0" encoding="utf-8"?>
<Types xmlns="http://schemas.openxmlformats.org/package/2006/content-types">
  <Default Extension="xml" ContentType="application/xml"/>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EFFFA8">
      <w:pPr>
        <w:pStyle w:val="13"/>
        <w:spacing w:line="360" w:lineRule="auto"/>
        <w:jc w:val="center"/>
        <w:rPr>
          <w:rFonts w:hAnsi="宋体"/>
          <w:b/>
          <w:color w:val="auto"/>
          <w:sz w:val="84"/>
          <w:szCs w:val="84"/>
          <w:highlight w:val="none"/>
        </w:rPr>
      </w:pPr>
      <w:r>
        <w:rPr>
          <w:rFonts w:hint="eastAsia" w:hAnsi="宋体"/>
          <w:b/>
          <w:color w:val="auto"/>
          <w:sz w:val="84"/>
          <w:szCs w:val="84"/>
          <w:highlight w:val="none"/>
          <w:lang w:val="en-US" w:eastAsia="zh-CN"/>
        </w:rPr>
        <w:t xml:space="preserve"> </w:t>
      </w:r>
      <w:r>
        <w:rPr>
          <w:rFonts w:hint="eastAsia" w:hAnsi="宋体"/>
          <w:b/>
          <w:color w:val="auto"/>
          <w:sz w:val="84"/>
          <w:szCs w:val="84"/>
          <w:highlight w:val="none"/>
        </w:rPr>
        <w:t xml:space="preserve">                                                                                                                                                                                                                                                                                         </w:t>
      </w:r>
    </w:p>
    <w:p w14:paraId="63ADDC63">
      <w:pPr>
        <w:pStyle w:val="13"/>
        <w:spacing w:line="360" w:lineRule="auto"/>
        <w:jc w:val="center"/>
        <w:rPr>
          <w:rFonts w:hAnsi="宋体"/>
          <w:b/>
          <w:bCs/>
          <w:color w:val="auto"/>
          <w:sz w:val="84"/>
          <w:szCs w:val="84"/>
          <w:highlight w:val="none"/>
        </w:rPr>
      </w:pPr>
      <w:r>
        <w:rPr>
          <w:rFonts w:hint="eastAsia" w:hAnsi="宋体"/>
          <w:b/>
          <w:color w:val="auto"/>
          <w:sz w:val="84"/>
          <w:szCs w:val="84"/>
          <w:highlight w:val="none"/>
        </w:rPr>
        <w:t>政府采购</w:t>
      </w:r>
    </w:p>
    <w:p w14:paraId="5082D880">
      <w:pPr>
        <w:pStyle w:val="13"/>
        <w:adjustRightInd w:val="0"/>
        <w:snapToGrid w:val="0"/>
        <w:spacing w:line="360" w:lineRule="auto"/>
        <w:jc w:val="center"/>
        <w:rPr>
          <w:rFonts w:hAnsi="宋体"/>
          <w:b/>
          <w:color w:val="auto"/>
          <w:sz w:val="84"/>
          <w:szCs w:val="84"/>
          <w:highlight w:val="none"/>
        </w:rPr>
      </w:pPr>
      <w:r>
        <w:rPr>
          <w:rFonts w:hint="eastAsia" w:hAnsi="宋体"/>
          <w:b/>
          <w:color w:val="auto"/>
          <w:sz w:val="84"/>
          <w:szCs w:val="84"/>
          <w:highlight w:val="none"/>
        </w:rPr>
        <w:t>竞争性磋商文件</w:t>
      </w:r>
    </w:p>
    <w:p w14:paraId="383439AE">
      <w:pPr>
        <w:pStyle w:val="13"/>
        <w:adjustRightInd w:val="0"/>
        <w:snapToGrid w:val="0"/>
        <w:spacing w:before="156" w:beforeLines="50" w:line="360" w:lineRule="auto"/>
        <w:ind w:left="846" w:leftChars="403" w:firstLine="157" w:firstLineChars="49"/>
        <w:rPr>
          <w:b/>
          <w:color w:val="auto"/>
          <w:sz w:val="32"/>
          <w:szCs w:val="32"/>
          <w:highlight w:val="none"/>
        </w:rPr>
      </w:pPr>
    </w:p>
    <w:p w14:paraId="4EA311F0">
      <w:pPr>
        <w:pStyle w:val="13"/>
        <w:adjustRightInd w:val="0"/>
        <w:snapToGrid w:val="0"/>
        <w:spacing w:before="156" w:beforeLines="50" w:line="360" w:lineRule="auto"/>
        <w:ind w:left="846" w:leftChars="403" w:firstLine="157" w:firstLineChars="49"/>
        <w:rPr>
          <w:b/>
          <w:color w:val="auto"/>
          <w:sz w:val="32"/>
          <w:szCs w:val="32"/>
          <w:highlight w:val="none"/>
        </w:rPr>
      </w:pPr>
    </w:p>
    <w:p w14:paraId="22A02E81">
      <w:pPr>
        <w:pStyle w:val="13"/>
        <w:adjustRightInd w:val="0"/>
        <w:snapToGrid w:val="0"/>
        <w:spacing w:before="156" w:beforeLines="50" w:line="360" w:lineRule="auto"/>
        <w:ind w:left="846" w:leftChars="403" w:firstLine="157" w:firstLineChars="49"/>
        <w:rPr>
          <w:b/>
          <w:color w:val="auto"/>
          <w:sz w:val="32"/>
          <w:szCs w:val="32"/>
          <w:highlight w:val="none"/>
        </w:rPr>
      </w:pPr>
    </w:p>
    <w:p w14:paraId="7C821F9F">
      <w:pPr>
        <w:pStyle w:val="13"/>
        <w:adjustRightInd w:val="0"/>
        <w:snapToGrid w:val="0"/>
        <w:spacing w:line="360" w:lineRule="auto"/>
        <w:ind w:firstLine="640" w:firstLineChars="200"/>
        <w:jc w:val="left"/>
        <w:rPr>
          <w:rFonts w:hint="eastAsia" w:hAnsi="宋体" w:eastAsia="宋体"/>
          <w:color w:val="auto"/>
          <w:sz w:val="32"/>
          <w:szCs w:val="32"/>
          <w:highlight w:val="none"/>
          <w:u w:val="single"/>
          <w:lang w:eastAsia="zh-CN"/>
        </w:rPr>
      </w:pPr>
      <w:r>
        <w:rPr>
          <w:rFonts w:hint="eastAsia" w:hAnsi="宋体"/>
          <w:color w:val="auto"/>
          <w:sz w:val="32"/>
          <w:szCs w:val="32"/>
          <w:highlight w:val="none"/>
        </w:rPr>
        <w:t>项目名称：</w:t>
      </w:r>
      <w:r>
        <w:rPr>
          <w:rFonts w:hint="eastAsia" w:hAnsi="宋体"/>
          <w:color w:val="auto"/>
          <w:sz w:val="32"/>
          <w:szCs w:val="32"/>
          <w:highlight w:val="none"/>
          <w:u w:val="single"/>
          <w:lang w:eastAsia="zh-CN"/>
        </w:rPr>
        <w:t>湖南科技学院南大门新征土地道路等建设工程</w:t>
      </w:r>
    </w:p>
    <w:p w14:paraId="13C8A10E">
      <w:pPr>
        <w:pStyle w:val="13"/>
        <w:adjustRightInd w:val="0"/>
        <w:snapToGrid w:val="0"/>
        <w:spacing w:line="360" w:lineRule="auto"/>
        <w:ind w:left="3834" w:leftChars="200" w:hanging="3414" w:hangingChars="1067"/>
        <w:rPr>
          <w:rFonts w:hint="eastAsia" w:hAnsi="宋体" w:eastAsia="宋体"/>
          <w:color w:val="auto"/>
          <w:sz w:val="32"/>
          <w:szCs w:val="32"/>
          <w:highlight w:val="none"/>
          <w:lang w:eastAsia="zh-CN"/>
        </w:rPr>
      </w:pPr>
      <w:r>
        <w:rPr>
          <w:rFonts w:hint="eastAsia" w:hAnsi="宋体"/>
          <w:color w:val="auto"/>
          <w:sz w:val="32"/>
          <w:szCs w:val="32"/>
          <w:highlight w:val="none"/>
        </w:rPr>
        <w:t>政府采购编号:</w:t>
      </w:r>
      <w:r>
        <w:rPr>
          <w:rFonts w:hint="eastAsia" w:hAnsi="宋体"/>
          <w:color w:val="auto"/>
          <w:sz w:val="32"/>
          <w:szCs w:val="32"/>
          <w:highlight w:val="none"/>
          <w:u w:val="single"/>
          <w:lang w:eastAsia="zh-CN"/>
        </w:rPr>
        <w:t>湘财采计[2025]00</w:t>
      </w:r>
      <w:r>
        <w:rPr>
          <w:rFonts w:hint="eastAsia" w:hAnsi="宋体"/>
          <w:color w:val="auto"/>
          <w:sz w:val="32"/>
          <w:szCs w:val="32"/>
          <w:highlight w:val="none"/>
          <w:u w:val="single"/>
          <w:lang w:val="en-US" w:eastAsia="zh-CN"/>
        </w:rPr>
        <w:t>1320</w:t>
      </w:r>
      <w:r>
        <w:rPr>
          <w:rFonts w:hint="eastAsia" w:hAnsi="宋体"/>
          <w:color w:val="auto"/>
          <w:sz w:val="32"/>
          <w:szCs w:val="32"/>
          <w:highlight w:val="none"/>
          <w:u w:val="single"/>
          <w:lang w:eastAsia="zh-CN"/>
        </w:rPr>
        <w:t>号</w:t>
      </w:r>
    </w:p>
    <w:p w14:paraId="0467FA98">
      <w:pPr>
        <w:pStyle w:val="13"/>
        <w:adjustRightInd w:val="0"/>
        <w:snapToGrid w:val="0"/>
        <w:spacing w:line="360" w:lineRule="auto"/>
        <w:ind w:left="3834" w:leftChars="200" w:hanging="3414" w:hangingChars="1067"/>
        <w:rPr>
          <w:rFonts w:hint="eastAsia" w:hAnsi="宋体" w:eastAsia="宋体"/>
          <w:color w:val="auto"/>
          <w:sz w:val="32"/>
          <w:szCs w:val="32"/>
          <w:highlight w:val="none"/>
          <w:u w:val="single"/>
          <w:lang w:eastAsia="zh-CN"/>
        </w:rPr>
      </w:pPr>
      <w:r>
        <w:rPr>
          <w:rFonts w:hint="eastAsia" w:hAnsi="宋体"/>
          <w:color w:val="auto"/>
          <w:sz w:val="32"/>
          <w:szCs w:val="32"/>
          <w:highlight w:val="none"/>
        </w:rPr>
        <w:t>采 购 人：</w:t>
      </w:r>
      <w:r>
        <w:rPr>
          <w:rFonts w:hint="eastAsia" w:hAnsi="宋体"/>
          <w:color w:val="auto"/>
          <w:sz w:val="32"/>
          <w:szCs w:val="32"/>
          <w:highlight w:val="none"/>
          <w:u w:val="single"/>
          <w:lang w:eastAsia="zh-CN"/>
        </w:rPr>
        <w:t>湖南科技学院</w:t>
      </w:r>
    </w:p>
    <w:p w14:paraId="4C5F467D">
      <w:pPr>
        <w:pStyle w:val="13"/>
        <w:adjustRightInd w:val="0"/>
        <w:snapToGrid w:val="0"/>
        <w:spacing w:line="360" w:lineRule="auto"/>
        <w:ind w:left="3834" w:leftChars="200" w:hanging="3414" w:hangingChars="1067"/>
        <w:rPr>
          <w:rFonts w:hint="eastAsia" w:hAnsi="宋体" w:eastAsia="宋体"/>
          <w:color w:val="auto"/>
          <w:sz w:val="32"/>
          <w:szCs w:val="32"/>
          <w:highlight w:val="none"/>
          <w:u w:val="single"/>
          <w:lang w:eastAsia="zh-CN"/>
        </w:rPr>
      </w:pPr>
      <w:r>
        <w:rPr>
          <w:rFonts w:hint="eastAsia" w:hAnsi="宋体"/>
          <w:color w:val="auto"/>
          <w:sz w:val="32"/>
          <w:szCs w:val="32"/>
          <w:highlight w:val="none"/>
        </w:rPr>
        <w:t>委托代理编号:</w:t>
      </w:r>
      <w:r>
        <w:rPr>
          <w:rFonts w:hint="eastAsia" w:hAnsi="宋体"/>
          <w:color w:val="auto"/>
          <w:sz w:val="32"/>
          <w:szCs w:val="32"/>
          <w:highlight w:val="none"/>
          <w:u w:val="single"/>
        </w:rPr>
        <w:t>YX-ZB-2025-052</w:t>
      </w:r>
    </w:p>
    <w:p w14:paraId="76DC5B42">
      <w:pPr>
        <w:pStyle w:val="13"/>
        <w:adjustRightInd w:val="0"/>
        <w:snapToGrid w:val="0"/>
        <w:spacing w:line="360" w:lineRule="auto"/>
        <w:ind w:left="3834" w:leftChars="200" w:hanging="3414" w:hangingChars="1067"/>
        <w:rPr>
          <w:rFonts w:hint="eastAsia" w:hAnsi="宋体" w:eastAsia="宋体"/>
          <w:color w:val="auto"/>
          <w:sz w:val="32"/>
          <w:szCs w:val="32"/>
          <w:highlight w:val="none"/>
          <w:u w:val="single"/>
          <w:lang w:eastAsia="zh-CN"/>
        </w:rPr>
      </w:pPr>
      <w:r>
        <w:rPr>
          <w:rFonts w:hint="eastAsia" w:hAnsi="宋体"/>
          <w:color w:val="auto"/>
          <w:sz w:val="32"/>
          <w:szCs w:val="32"/>
          <w:highlight w:val="none"/>
        </w:rPr>
        <w:t xml:space="preserve">采购代理机构: </w:t>
      </w:r>
      <w:r>
        <w:rPr>
          <w:rFonts w:hint="eastAsia" w:hAnsi="宋体"/>
          <w:color w:val="auto"/>
          <w:sz w:val="32"/>
          <w:szCs w:val="32"/>
          <w:highlight w:val="none"/>
          <w:u w:val="single"/>
          <w:lang w:eastAsia="zh-CN"/>
        </w:rPr>
        <w:t>永信和瑞工程咨询有限公司</w:t>
      </w:r>
    </w:p>
    <w:p w14:paraId="7E9B54EC">
      <w:pPr>
        <w:pStyle w:val="37"/>
        <w:ind w:firstLine="0" w:firstLineChars="0"/>
        <w:rPr>
          <w:color w:val="auto"/>
          <w:highlight w:val="none"/>
        </w:rPr>
      </w:pPr>
    </w:p>
    <w:p w14:paraId="064F587E">
      <w:pPr>
        <w:pStyle w:val="13"/>
        <w:adjustRightInd w:val="0"/>
        <w:snapToGrid w:val="0"/>
        <w:spacing w:line="360" w:lineRule="auto"/>
        <w:rPr>
          <w:rFonts w:ascii="仿宋_GB2312" w:hAnsi="宋体" w:eastAsia="仿宋_GB2312"/>
          <w:b/>
          <w:color w:val="auto"/>
          <w:sz w:val="32"/>
          <w:highlight w:val="none"/>
        </w:rPr>
      </w:pPr>
    </w:p>
    <w:p w14:paraId="49D2690B">
      <w:pPr>
        <w:pStyle w:val="13"/>
        <w:adjustRightInd w:val="0"/>
        <w:snapToGrid w:val="0"/>
        <w:spacing w:line="360" w:lineRule="auto"/>
        <w:rPr>
          <w:rFonts w:ascii="仿宋_GB2312" w:hAnsi="宋体" w:eastAsia="仿宋_GB2312"/>
          <w:b/>
          <w:color w:val="auto"/>
          <w:sz w:val="32"/>
          <w:highlight w:val="none"/>
        </w:rPr>
      </w:pPr>
    </w:p>
    <w:p w14:paraId="39E49677">
      <w:pPr>
        <w:pStyle w:val="13"/>
        <w:adjustRightInd w:val="0"/>
        <w:snapToGrid w:val="0"/>
        <w:spacing w:line="360" w:lineRule="auto"/>
        <w:jc w:val="center"/>
        <w:rPr>
          <w:rFonts w:hAnsi="宋体"/>
          <w:b/>
          <w:color w:val="auto"/>
          <w:sz w:val="32"/>
          <w:highlight w:val="none"/>
        </w:rPr>
      </w:pPr>
      <w:r>
        <w:rPr>
          <w:rFonts w:hint="eastAsia" w:hAnsi="宋体"/>
          <w:b/>
          <w:color w:val="auto"/>
          <w:sz w:val="32"/>
          <w:highlight w:val="none"/>
          <w:u w:val="single"/>
        </w:rPr>
        <w:t>202</w:t>
      </w:r>
      <w:r>
        <w:rPr>
          <w:rFonts w:hint="eastAsia" w:hAnsi="宋体"/>
          <w:b/>
          <w:color w:val="auto"/>
          <w:sz w:val="32"/>
          <w:highlight w:val="none"/>
          <w:u w:val="single"/>
          <w:lang w:val="en-US" w:eastAsia="zh-CN"/>
        </w:rPr>
        <w:t>5</w:t>
      </w:r>
      <w:r>
        <w:rPr>
          <w:rFonts w:hint="eastAsia" w:hAnsi="宋体"/>
          <w:b/>
          <w:color w:val="auto"/>
          <w:sz w:val="32"/>
          <w:highlight w:val="none"/>
        </w:rPr>
        <w:t>年</w:t>
      </w:r>
      <w:r>
        <w:rPr>
          <w:rFonts w:hint="eastAsia" w:hAnsi="宋体"/>
          <w:b/>
          <w:color w:val="auto"/>
          <w:sz w:val="32"/>
          <w:highlight w:val="none"/>
          <w:u w:val="single"/>
          <w:lang w:val="en-US" w:eastAsia="zh-CN"/>
        </w:rPr>
        <w:t>05</w:t>
      </w:r>
      <w:r>
        <w:rPr>
          <w:rFonts w:hint="eastAsia" w:hAnsi="宋体"/>
          <w:b/>
          <w:color w:val="auto"/>
          <w:sz w:val="32"/>
          <w:highlight w:val="none"/>
        </w:rPr>
        <w:t>月</w:t>
      </w:r>
    </w:p>
    <w:p w14:paraId="5564D87F">
      <w:pPr>
        <w:snapToGrid w:val="0"/>
        <w:spacing w:line="360" w:lineRule="auto"/>
        <w:jc w:val="center"/>
        <w:rPr>
          <w:rFonts w:ascii="宋体"/>
          <w:color w:val="auto"/>
          <w:spacing w:val="160"/>
          <w:sz w:val="36"/>
          <w:highlight w:val="none"/>
        </w:rPr>
      </w:pPr>
    </w:p>
    <w:p w14:paraId="5990CB2B">
      <w:pPr>
        <w:snapToGrid w:val="0"/>
        <w:spacing w:line="360" w:lineRule="auto"/>
        <w:jc w:val="center"/>
        <w:rPr>
          <w:rFonts w:ascii="宋体"/>
          <w:color w:val="auto"/>
          <w:spacing w:val="160"/>
          <w:sz w:val="36"/>
          <w:highlight w:val="none"/>
        </w:rPr>
      </w:pPr>
    </w:p>
    <w:p w14:paraId="0D03C83B">
      <w:pPr>
        <w:pStyle w:val="3"/>
        <w:rPr>
          <w:color w:val="auto"/>
          <w:highlight w:val="none"/>
        </w:rPr>
        <w:sectPr>
          <w:footerReference r:id="rId3" w:type="default"/>
          <w:pgSz w:w="11906" w:h="16838"/>
          <w:pgMar w:top="1440" w:right="1800" w:bottom="1440" w:left="1800" w:header="851" w:footer="992" w:gutter="0"/>
          <w:pgNumType w:fmt="decimal" w:start="1"/>
          <w:cols w:space="720" w:num="1"/>
          <w:titlePg/>
          <w:docGrid w:type="lines" w:linePitch="312" w:charSpace="0"/>
        </w:sectPr>
      </w:pPr>
    </w:p>
    <w:p w14:paraId="51305920">
      <w:pPr>
        <w:snapToGrid w:val="0"/>
        <w:spacing w:line="360" w:lineRule="auto"/>
        <w:jc w:val="center"/>
        <w:rPr>
          <w:rFonts w:ascii="宋体"/>
          <w:color w:val="auto"/>
          <w:spacing w:val="160"/>
          <w:sz w:val="36"/>
          <w:highlight w:val="none"/>
        </w:rPr>
      </w:pPr>
      <w:r>
        <w:rPr>
          <w:rFonts w:ascii="宋体"/>
          <w:color w:val="auto"/>
          <w:spacing w:val="160"/>
          <w:sz w:val="36"/>
          <w:highlight w:val="none"/>
        </w:rPr>
        <w:t>目录</w:t>
      </w:r>
    </w:p>
    <w:p w14:paraId="7636DB8D">
      <w:pPr>
        <w:pStyle w:val="19"/>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b/>
          <w:color w:val="auto"/>
          <w:sz w:val="24"/>
          <w:szCs w:val="24"/>
          <w:highlight w:val="none"/>
        </w:rPr>
        <w:fldChar w:fldCharType="begin"/>
      </w:r>
      <w:r>
        <w:rPr>
          <w:rFonts w:ascii="宋体"/>
          <w:b/>
          <w:color w:val="auto"/>
          <w:sz w:val="24"/>
          <w:szCs w:val="24"/>
          <w:highlight w:val="none"/>
        </w:rPr>
        <w:instrText xml:space="preserve">TOC \o "1-3" \h \u </w:instrText>
      </w:r>
      <w:r>
        <w:rPr>
          <w:rFonts w:ascii="宋体"/>
          <w:b/>
          <w:color w:val="auto"/>
          <w:sz w:val="24"/>
          <w:szCs w:val="24"/>
          <w:highlight w:val="none"/>
        </w:rPr>
        <w:fldChar w:fldCharType="separate"/>
      </w:r>
      <w:r>
        <w:rPr>
          <w:rFonts w:ascii="宋体"/>
          <w:color w:val="auto"/>
          <w:sz w:val="24"/>
          <w:szCs w:val="24"/>
          <w:highlight w:val="none"/>
        </w:rPr>
        <w:fldChar w:fldCharType="begin"/>
      </w:r>
      <w:r>
        <w:rPr>
          <w:rFonts w:ascii="宋体"/>
          <w:color w:val="auto"/>
          <w:sz w:val="24"/>
          <w:szCs w:val="24"/>
          <w:highlight w:val="none"/>
        </w:rPr>
        <w:instrText xml:space="preserve"> HYPERLINK \l _Toc30753 </w:instrText>
      </w:r>
      <w:r>
        <w:rPr>
          <w:rFonts w:ascii="宋体"/>
          <w:color w:val="auto"/>
          <w:sz w:val="24"/>
          <w:szCs w:val="24"/>
          <w:highlight w:val="none"/>
        </w:rPr>
        <w:fldChar w:fldCharType="separate"/>
      </w:r>
      <w:r>
        <w:rPr>
          <w:rFonts w:hint="eastAsia"/>
          <w:color w:val="auto"/>
          <w:sz w:val="24"/>
          <w:szCs w:val="24"/>
          <w:highlight w:val="none"/>
        </w:rPr>
        <w:t>第一章  磋商邀请</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_Toc30753 \h </w:instrText>
      </w:r>
      <w:r>
        <w:rPr>
          <w:color w:val="auto"/>
          <w:sz w:val="24"/>
          <w:szCs w:val="24"/>
          <w:highlight w:val="none"/>
        </w:rPr>
        <w:fldChar w:fldCharType="separate"/>
      </w:r>
      <w:r>
        <w:rPr>
          <w:color w:val="auto"/>
          <w:sz w:val="24"/>
          <w:szCs w:val="24"/>
          <w:highlight w:val="none"/>
        </w:rPr>
        <w:t>3</w:t>
      </w:r>
      <w:r>
        <w:rPr>
          <w:color w:val="auto"/>
          <w:sz w:val="24"/>
          <w:szCs w:val="24"/>
          <w:highlight w:val="none"/>
        </w:rPr>
        <w:fldChar w:fldCharType="end"/>
      </w:r>
      <w:r>
        <w:rPr>
          <w:rFonts w:ascii="宋体"/>
          <w:color w:val="auto"/>
          <w:sz w:val="24"/>
          <w:szCs w:val="24"/>
          <w:highlight w:val="none"/>
        </w:rPr>
        <w:fldChar w:fldCharType="end"/>
      </w:r>
    </w:p>
    <w:p w14:paraId="58F1FCEF">
      <w:pPr>
        <w:pStyle w:val="12"/>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color w:val="auto"/>
          <w:sz w:val="24"/>
          <w:szCs w:val="24"/>
          <w:highlight w:val="none"/>
        </w:rPr>
        <w:fldChar w:fldCharType="begin"/>
      </w:r>
      <w:r>
        <w:rPr>
          <w:rFonts w:ascii="宋体"/>
          <w:color w:val="auto"/>
          <w:sz w:val="24"/>
          <w:szCs w:val="24"/>
          <w:highlight w:val="none"/>
        </w:rPr>
        <w:instrText xml:space="preserve"> HYPERLINK \l _Toc8703 </w:instrText>
      </w:r>
      <w:r>
        <w:rPr>
          <w:rFonts w:ascii="宋体"/>
          <w:color w:val="auto"/>
          <w:sz w:val="24"/>
          <w:szCs w:val="24"/>
          <w:highlight w:val="none"/>
        </w:rPr>
        <w:fldChar w:fldCharType="separate"/>
      </w:r>
      <w:r>
        <w:rPr>
          <w:rFonts w:ascii="Times New Roman" w:hAnsi="Times New Roman" w:eastAsia="宋体" w:cs="Times New Roman"/>
          <w:bCs/>
          <w:color w:val="auto"/>
          <w:kern w:val="2"/>
          <w:sz w:val="24"/>
          <w:szCs w:val="24"/>
          <w:highlight w:val="none"/>
          <w:lang w:val="en-US" w:eastAsia="zh-CN" w:bidi="ar-SA"/>
        </w:rPr>
        <w:t>一、采购项目基本信息</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_Toc8703 \h </w:instrText>
      </w:r>
      <w:r>
        <w:rPr>
          <w:color w:val="auto"/>
          <w:sz w:val="24"/>
          <w:szCs w:val="24"/>
          <w:highlight w:val="none"/>
        </w:rPr>
        <w:fldChar w:fldCharType="separate"/>
      </w:r>
      <w:r>
        <w:rPr>
          <w:color w:val="auto"/>
          <w:sz w:val="24"/>
          <w:szCs w:val="24"/>
          <w:highlight w:val="none"/>
        </w:rPr>
        <w:t>3</w:t>
      </w:r>
      <w:r>
        <w:rPr>
          <w:color w:val="auto"/>
          <w:sz w:val="24"/>
          <w:szCs w:val="24"/>
          <w:highlight w:val="none"/>
        </w:rPr>
        <w:fldChar w:fldCharType="end"/>
      </w:r>
      <w:r>
        <w:rPr>
          <w:rFonts w:ascii="宋体"/>
          <w:color w:val="auto"/>
          <w:sz w:val="24"/>
          <w:szCs w:val="24"/>
          <w:highlight w:val="none"/>
        </w:rPr>
        <w:fldChar w:fldCharType="end"/>
      </w:r>
    </w:p>
    <w:p w14:paraId="24A54EC3">
      <w:pPr>
        <w:pStyle w:val="12"/>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color w:val="auto"/>
          <w:sz w:val="24"/>
          <w:szCs w:val="24"/>
          <w:highlight w:val="none"/>
        </w:rPr>
        <w:fldChar w:fldCharType="begin"/>
      </w:r>
      <w:r>
        <w:rPr>
          <w:rFonts w:ascii="宋体"/>
          <w:color w:val="auto"/>
          <w:sz w:val="24"/>
          <w:szCs w:val="24"/>
          <w:highlight w:val="none"/>
        </w:rPr>
        <w:instrText xml:space="preserve"> HYPERLINK \l _Toc17926 </w:instrText>
      </w:r>
      <w:r>
        <w:rPr>
          <w:rFonts w:ascii="宋体"/>
          <w:color w:val="auto"/>
          <w:sz w:val="24"/>
          <w:szCs w:val="24"/>
          <w:highlight w:val="none"/>
        </w:rPr>
        <w:fldChar w:fldCharType="separate"/>
      </w:r>
      <w:r>
        <w:rPr>
          <w:rFonts w:ascii="Times New Roman" w:hAnsi="Times New Roman" w:eastAsia="宋体" w:cs="Times New Roman"/>
          <w:bCs/>
          <w:color w:val="auto"/>
          <w:kern w:val="2"/>
          <w:sz w:val="24"/>
          <w:szCs w:val="24"/>
          <w:highlight w:val="none"/>
          <w:lang w:val="en-US" w:eastAsia="zh-CN" w:bidi="ar-SA"/>
        </w:rPr>
        <w:t>二、采购人的采购需求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_Toc17926 \h </w:instrText>
      </w:r>
      <w:r>
        <w:rPr>
          <w:color w:val="auto"/>
          <w:sz w:val="24"/>
          <w:szCs w:val="24"/>
          <w:highlight w:val="none"/>
        </w:rPr>
        <w:fldChar w:fldCharType="separate"/>
      </w:r>
      <w:r>
        <w:rPr>
          <w:color w:val="auto"/>
          <w:sz w:val="24"/>
          <w:szCs w:val="24"/>
          <w:highlight w:val="none"/>
        </w:rPr>
        <w:t>3</w:t>
      </w:r>
      <w:r>
        <w:rPr>
          <w:color w:val="auto"/>
          <w:sz w:val="24"/>
          <w:szCs w:val="24"/>
          <w:highlight w:val="none"/>
        </w:rPr>
        <w:fldChar w:fldCharType="end"/>
      </w:r>
      <w:r>
        <w:rPr>
          <w:rFonts w:ascii="宋体"/>
          <w:color w:val="auto"/>
          <w:sz w:val="24"/>
          <w:szCs w:val="24"/>
          <w:highlight w:val="none"/>
        </w:rPr>
        <w:fldChar w:fldCharType="end"/>
      </w:r>
    </w:p>
    <w:p w14:paraId="05BA04ED">
      <w:pPr>
        <w:pStyle w:val="12"/>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color w:val="auto"/>
          <w:sz w:val="24"/>
          <w:szCs w:val="24"/>
          <w:highlight w:val="none"/>
        </w:rPr>
        <w:fldChar w:fldCharType="begin"/>
      </w:r>
      <w:r>
        <w:rPr>
          <w:rFonts w:ascii="宋体"/>
          <w:color w:val="auto"/>
          <w:sz w:val="24"/>
          <w:szCs w:val="24"/>
          <w:highlight w:val="none"/>
        </w:rPr>
        <w:instrText xml:space="preserve"> HYPERLINK \l _Toc11963 </w:instrText>
      </w:r>
      <w:r>
        <w:rPr>
          <w:rFonts w:ascii="宋体"/>
          <w:color w:val="auto"/>
          <w:sz w:val="24"/>
          <w:szCs w:val="24"/>
          <w:highlight w:val="none"/>
        </w:rPr>
        <w:fldChar w:fldCharType="separate"/>
      </w:r>
      <w:r>
        <w:rPr>
          <w:rFonts w:ascii="Times New Roman" w:hAnsi="Times New Roman" w:eastAsia="宋体" w:cs="Times New Roman"/>
          <w:bCs/>
          <w:color w:val="auto"/>
          <w:kern w:val="2"/>
          <w:sz w:val="24"/>
          <w:szCs w:val="24"/>
          <w:highlight w:val="none"/>
          <w:lang w:val="en-US" w:eastAsia="zh-CN" w:bidi="ar-SA"/>
        </w:rPr>
        <w:t>三、采购项目需落实的政府采购政策：</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_Toc11963 \h </w:instrText>
      </w:r>
      <w:r>
        <w:rPr>
          <w:color w:val="auto"/>
          <w:sz w:val="24"/>
          <w:szCs w:val="24"/>
          <w:highlight w:val="none"/>
        </w:rPr>
        <w:fldChar w:fldCharType="separate"/>
      </w:r>
      <w:r>
        <w:rPr>
          <w:color w:val="auto"/>
          <w:sz w:val="24"/>
          <w:szCs w:val="24"/>
          <w:highlight w:val="none"/>
        </w:rPr>
        <w:t>4</w:t>
      </w:r>
      <w:r>
        <w:rPr>
          <w:color w:val="auto"/>
          <w:sz w:val="24"/>
          <w:szCs w:val="24"/>
          <w:highlight w:val="none"/>
        </w:rPr>
        <w:fldChar w:fldCharType="end"/>
      </w:r>
      <w:r>
        <w:rPr>
          <w:rFonts w:ascii="宋体"/>
          <w:color w:val="auto"/>
          <w:sz w:val="24"/>
          <w:szCs w:val="24"/>
          <w:highlight w:val="none"/>
        </w:rPr>
        <w:fldChar w:fldCharType="end"/>
      </w:r>
    </w:p>
    <w:p w14:paraId="2534EFA0">
      <w:pPr>
        <w:pStyle w:val="12"/>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color w:val="auto"/>
          <w:sz w:val="24"/>
          <w:szCs w:val="24"/>
          <w:highlight w:val="none"/>
        </w:rPr>
        <w:fldChar w:fldCharType="begin"/>
      </w:r>
      <w:r>
        <w:rPr>
          <w:rFonts w:ascii="宋体"/>
          <w:color w:val="auto"/>
          <w:sz w:val="24"/>
          <w:szCs w:val="24"/>
          <w:highlight w:val="none"/>
        </w:rPr>
        <w:instrText xml:space="preserve"> HYPERLINK \l _Toc2355 </w:instrText>
      </w:r>
      <w:r>
        <w:rPr>
          <w:rFonts w:ascii="宋体"/>
          <w:color w:val="auto"/>
          <w:sz w:val="24"/>
          <w:szCs w:val="24"/>
          <w:highlight w:val="none"/>
        </w:rPr>
        <w:fldChar w:fldCharType="separate"/>
      </w:r>
      <w:r>
        <w:rPr>
          <w:rFonts w:ascii="Times New Roman" w:hAnsi="Times New Roman" w:eastAsia="宋体" w:cs="Times New Roman"/>
          <w:bCs/>
          <w:color w:val="auto"/>
          <w:kern w:val="2"/>
          <w:sz w:val="24"/>
          <w:szCs w:val="24"/>
          <w:highlight w:val="none"/>
          <w:lang w:val="en-US" w:eastAsia="zh-CN" w:bidi="ar-SA"/>
        </w:rPr>
        <w:t>四、投标人的资格要求：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_Toc2355 \h </w:instrText>
      </w:r>
      <w:r>
        <w:rPr>
          <w:color w:val="auto"/>
          <w:sz w:val="24"/>
          <w:szCs w:val="24"/>
          <w:highlight w:val="none"/>
        </w:rPr>
        <w:fldChar w:fldCharType="separate"/>
      </w:r>
      <w:r>
        <w:rPr>
          <w:color w:val="auto"/>
          <w:sz w:val="24"/>
          <w:szCs w:val="24"/>
          <w:highlight w:val="none"/>
        </w:rPr>
        <w:t>4</w:t>
      </w:r>
      <w:r>
        <w:rPr>
          <w:color w:val="auto"/>
          <w:sz w:val="24"/>
          <w:szCs w:val="24"/>
          <w:highlight w:val="none"/>
        </w:rPr>
        <w:fldChar w:fldCharType="end"/>
      </w:r>
      <w:r>
        <w:rPr>
          <w:rFonts w:ascii="宋体"/>
          <w:color w:val="auto"/>
          <w:sz w:val="24"/>
          <w:szCs w:val="24"/>
          <w:highlight w:val="none"/>
        </w:rPr>
        <w:fldChar w:fldCharType="end"/>
      </w:r>
    </w:p>
    <w:p w14:paraId="7FD72B77">
      <w:pPr>
        <w:pStyle w:val="12"/>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color w:val="auto"/>
          <w:sz w:val="24"/>
          <w:szCs w:val="24"/>
          <w:highlight w:val="none"/>
        </w:rPr>
        <w:fldChar w:fldCharType="begin"/>
      </w:r>
      <w:r>
        <w:rPr>
          <w:rFonts w:ascii="宋体"/>
          <w:color w:val="auto"/>
          <w:sz w:val="24"/>
          <w:szCs w:val="24"/>
          <w:highlight w:val="none"/>
        </w:rPr>
        <w:instrText xml:space="preserve"> HYPERLINK \l _Toc17203 </w:instrText>
      </w:r>
      <w:r>
        <w:rPr>
          <w:rFonts w:ascii="宋体"/>
          <w:color w:val="auto"/>
          <w:sz w:val="24"/>
          <w:szCs w:val="24"/>
          <w:highlight w:val="none"/>
        </w:rPr>
        <w:fldChar w:fldCharType="separate"/>
      </w:r>
      <w:r>
        <w:rPr>
          <w:rFonts w:ascii="Times New Roman" w:hAnsi="Times New Roman" w:eastAsia="宋体" w:cs="Times New Roman"/>
          <w:bCs/>
          <w:color w:val="auto"/>
          <w:kern w:val="2"/>
          <w:sz w:val="24"/>
          <w:szCs w:val="24"/>
          <w:highlight w:val="none"/>
          <w:lang w:val="en-US" w:eastAsia="zh-CN" w:bidi="ar-SA"/>
        </w:rPr>
        <w:t>五、获取招标文件的时间、期限、地点及方式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_Toc17203 \h </w:instrText>
      </w:r>
      <w:r>
        <w:rPr>
          <w:color w:val="auto"/>
          <w:sz w:val="24"/>
          <w:szCs w:val="24"/>
          <w:highlight w:val="none"/>
        </w:rPr>
        <w:fldChar w:fldCharType="separate"/>
      </w:r>
      <w:r>
        <w:rPr>
          <w:color w:val="auto"/>
          <w:sz w:val="24"/>
          <w:szCs w:val="24"/>
          <w:highlight w:val="none"/>
        </w:rPr>
        <w:t>5</w:t>
      </w:r>
      <w:r>
        <w:rPr>
          <w:color w:val="auto"/>
          <w:sz w:val="24"/>
          <w:szCs w:val="24"/>
          <w:highlight w:val="none"/>
        </w:rPr>
        <w:fldChar w:fldCharType="end"/>
      </w:r>
      <w:r>
        <w:rPr>
          <w:rFonts w:ascii="宋体"/>
          <w:color w:val="auto"/>
          <w:sz w:val="24"/>
          <w:szCs w:val="24"/>
          <w:highlight w:val="none"/>
        </w:rPr>
        <w:fldChar w:fldCharType="end"/>
      </w:r>
    </w:p>
    <w:p w14:paraId="4A06C532">
      <w:pPr>
        <w:pStyle w:val="12"/>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color w:val="auto"/>
          <w:sz w:val="24"/>
          <w:szCs w:val="24"/>
          <w:highlight w:val="none"/>
        </w:rPr>
        <w:fldChar w:fldCharType="begin"/>
      </w:r>
      <w:r>
        <w:rPr>
          <w:rFonts w:ascii="宋体"/>
          <w:color w:val="auto"/>
          <w:sz w:val="24"/>
          <w:szCs w:val="24"/>
          <w:highlight w:val="none"/>
        </w:rPr>
        <w:instrText xml:space="preserve"> HYPERLINK \l _Toc25453 </w:instrText>
      </w:r>
      <w:r>
        <w:rPr>
          <w:rFonts w:ascii="宋体"/>
          <w:color w:val="auto"/>
          <w:sz w:val="24"/>
          <w:szCs w:val="24"/>
          <w:highlight w:val="none"/>
        </w:rPr>
        <w:fldChar w:fldCharType="separate"/>
      </w:r>
      <w:r>
        <w:rPr>
          <w:rFonts w:ascii="Times New Roman" w:hAnsi="Times New Roman" w:eastAsia="宋体" w:cs="Times New Roman"/>
          <w:bCs/>
          <w:color w:val="auto"/>
          <w:kern w:val="2"/>
          <w:sz w:val="24"/>
          <w:szCs w:val="24"/>
          <w:highlight w:val="none"/>
          <w:lang w:val="en-US" w:eastAsia="zh-CN" w:bidi="ar-SA"/>
        </w:rPr>
        <w:t>六、投标截止时间、开标时间及地点</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_Toc25453 \h </w:instrText>
      </w:r>
      <w:r>
        <w:rPr>
          <w:color w:val="auto"/>
          <w:sz w:val="24"/>
          <w:szCs w:val="24"/>
          <w:highlight w:val="none"/>
        </w:rPr>
        <w:fldChar w:fldCharType="separate"/>
      </w:r>
      <w:r>
        <w:rPr>
          <w:color w:val="auto"/>
          <w:sz w:val="24"/>
          <w:szCs w:val="24"/>
          <w:highlight w:val="none"/>
        </w:rPr>
        <w:t>5</w:t>
      </w:r>
      <w:r>
        <w:rPr>
          <w:color w:val="auto"/>
          <w:sz w:val="24"/>
          <w:szCs w:val="24"/>
          <w:highlight w:val="none"/>
        </w:rPr>
        <w:fldChar w:fldCharType="end"/>
      </w:r>
      <w:r>
        <w:rPr>
          <w:rFonts w:ascii="宋体"/>
          <w:color w:val="auto"/>
          <w:sz w:val="24"/>
          <w:szCs w:val="24"/>
          <w:highlight w:val="none"/>
        </w:rPr>
        <w:fldChar w:fldCharType="end"/>
      </w:r>
    </w:p>
    <w:p w14:paraId="4E488BEF">
      <w:pPr>
        <w:pStyle w:val="12"/>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color w:val="auto"/>
          <w:sz w:val="24"/>
          <w:szCs w:val="24"/>
          <w:highlight w:val="none"/>
        </w:rPr>
        <w:fldChar w:fldCharType="begin"/>
      </w:r>
      <w:r>
        <w:rPr>
          <w:rFonts w:ascii="宋体"/>
          <w:color w:val="auto"/>
          <w:sz w:val="24"/>
          <w:szCs w:val="24"/>
          <w:highlight w:val="none"/>
        </w:rPr>
        <w:instrText xml:space="preserve"> HYPERLINK \l _Toc22725 </w:instrText>
      </w:r>
      <w:r>
        <w:rPr>
          <w:rFonts w:ascii="宋体"/>
          <w:color w:val="auto"/>
          <w:sz w:val="24"/>
          <w:szCs w:val="24"/>
          <w:highlight w:val="none"/>
        </w:rPr>
        <w:fldChar w:fldCharType="separate"/>
      </w:r>
      <w:r>
        <w:rPr>
          <w:rFonts w:ascii="Times New Roman" w:hAnsi="Times New Roman" w:eastAsia="宋体" w:cs="Times New Roman"/>
          <w:bCs/>
          <w:color w:val="auto"/>
          <w:kern w:val="2"/>
          <w:sz w:val="24"/>
          <w:szCs w:val="24"/>
          <w:highlight w:val="none"/>
          <w:lang w:val="en-US" w:eastAsia="zh-CN" w:bidi="ar-SA"/>
        </w:rPr>
        <w:t>七、公告期限</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_Toc22725 \h </w:instrText>
      </w:r>
      <w:r>
        <w:rPr>
          <w:color w:val="auto"/>
          <w:sz w:val="24"/>
          <w:szCs w:val="24"/>
          <w:highlight w:val="none"/>
        </w:rPr>
        <w:fldChar w:fldCharType="separate"/>
      </w:r>
      <w:r>
        <w:rPr>
          <w:color w:val="auto"/>
          <w:sz w:val="24"/>
          <w:szCs w:val="24"/>
          <w:highlight w:val="none"/>
        </w:rPr>
        <w:t>5</w:t>
      </w:r>
      <w:r>
        <w:rPr>
          <w:color w:val="auto"/>
          <w:sz w:val="24"/>
          <w:szCs w:val="24"/>
          <w:highlight w:val="none"/>
        </w:rPr>
        <w:fldChar w:fldCharType="end"/>
      </w:r>
      <w:r>
        <w:rPr>
          <w:rFonts w:ascii="宋体"/>
          <w:color w:val="auto"/>
          <w:sz w:val="24"/>
          <w:szCs w:val="24"/>
          <w:highlight w:val="none"/>
        </w:rPr>
        <w:fldChar w:fldCharType="end"/>
      </w:r>
    </w:p>
    <w:p w14:paraId="4E279A6D">
      <w:pPr>
        <w:pStyle w:val="12"/>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color w:val="auto"/>
          <w:sz w:val="24"/>
          <w:szCs w:val="24"/>
          <w:highlight w:val="none"/>
        </w:rPr>
        <w:fldChar w:fldCharType="begin"/>
      </w:r>
      <w:r>
        <w:rPr>
          <w:rFonts w:ascii="宋体"/>
          <w:color w:val="auto"/>
          <w:sz w:val="24"/>
          <w:szCs w:val="24"/>
          <w:highlight w:val="none"/>
        </w:rPr>
        <w:instrText xml:space="preserve"> HYPERLINK \l _Toc29847 </w:instrText>
      </w:r>
      <w:r>
        <w:rPr>
          <w:rFonts w:ascii="宋体"/>
          <w:color w:val="auto"/>
          <w:sz w:val="24"/>
          <w:szCs w:val="24"/>
          <w:highlight w:val="none"/>
        </w:rPr>
        <w:fldChar w:fldCharType="separate"/>
      </w:r>
      <w:r>
        <w:rPr>
          <w:rFonts w:ascii="Times New Roman" w:hAnsi="Times New Roman" w:eastAsia="宋体" w:cs="Times New Roman"/>
          <w:bCs/>
          <w:color w:val="auto"/>
          <w:kern w:val="2"/>
          <w:sz w:val="24"/>
          <w:szCs w:val="24"/>
          <w:highlight w:val="none"/>
          <w:lang w:val="en-US" w:eastAsia="zh-CN" w:bidi="ar-SA"/>
        </w:rPr>
        <w:t>八、询问及质疑</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_Toc29847 \h </w:instrText>
      </w:r>
      <w:r>
        <w:rPr>
          <w:color w:val="auto"/>
          <w:sz w:val="24"/>
          <w:szCs w:val="24"/>
          <w:highlight w:val="none"/>
        </w:rPr>
        <w:fldChar w:fldCharType="separate"/>
      </w:r>
      <w:r>
        <w:rPr>
          <w:color w:val="auto"/>
          <w:sz w:val="24"/>
          <w:szCs w:val="24"/>
          <w:highlight w:val="none"/>
        </w:rPr>
        <w:t>6</w:t>
      </w:r>
      <w:r>
        <w:rPr>
          <w:color w:val="auto"/>
          <w:sz w:val="24"/>
          <w:szCs w:val="24"/>
          <w:highlight w:val="none"/>
        </w:rPr>
        <w:fldChar w:fldCharType="end"/>
      </w:r>
      <w:r>
        <w:rPr>
          <w:rFonts w:ascii="宋体"/>
          <w:color w:val="auto"/>
          <w:sz w:val="24"/>
          <w:szCs w:val="24"/>
          <w:highlight w:val="none"/>
        </w:rPr>
        <w:fldChar w:fldCharType="end"/>
      </w:r>
    </w:p>
    <w:p w14:paraId="2BE91513">
      <w:pPr>
        <w:pStyle w:val="12"/>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color w:val="auto"/>
          <w:sz w:val="24"/>
          <w:szCs w:val="24"/>
          <w:highlight w:val="none"/>
        </w:rPr>
        <w:fldChar w:fldCharType="begin"/>
      </w:r>
      <w:r>
        <w:rPr>
          <w:rFonts w:ascii="宋体"/>
          <w:color w:val="auto"/>
          <w:sz w:val="24"/>
          <w:szCs w:val="24"/>
          <w:highlight w:val="none"/>
        </w:rPr>
        <w:instrText xml:space="preserve"> HYPERLINK \l _Toc29631 </w:instrText>
      </w:r>
      <w:r>
        <w:rPr>
          <w:rFonts w:ascii="宋体"/>
          <w:color w:val="auto"/>
          <w:sz w:val="24"/>
          <w:szCs w:val="24"/>
          <w:highlight w:val="none"/>
        </w:rPr>
        <w:fldChar w:fldCharType="separate"/>
      </w:r>
      <w:r>
        <w:rPr>
          <w:rFonts w:ascii="Times New Roman" w:hAnsi="Times New Roman" w:eastAsia="宋体" w:cs="Times New Roman"/>
          <w:bCs/>
          <w:color w:val="auto"/>
          <w:kern w:val="2"/>
          <w:sz w:val="24"/>
          <w:szCs w:val="24"/>
          <w:highlight w:val="none"/>
          <w:lang w:val="en-US" w:eastAsia="zh-CN" w:bidi="ar-SA"/>
        </w:rPr>
        <w:t>九、投标说明</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_Toc29631 \h </w:instrText>
      </w:r>
      <w:r>
        <w:rPr>
          <w:color w:val="auto"/>
          <w:sz w:val="24"/>
          <w:szCs w:val="24"/>
          <w:highlight w:val="none"/>
        </w:rPr>
        <w:fldChar w:fldCharType="separate"/>
      </w:r>
      <w:r>
        <w:rPr>
          <w:color w:val="auto"/>
          <w:sz w:val="24"/>
          <w:szCs w:val="24"/>
          <w:highlight w:val="none"/>
        </w:rPr>
        <w:t>6</w:t>
      </w:r>
      <w:r>
        <w:rPr>
          <w:color w:val="auto"/>
          <w:sz w:val="24"/>
          <w:szCs w:val="24"/>
          <w:highlight w:val="none"/>
        </w:rPr>
        <w:fldChar w:fldCharType="end"/>
      </w:r>
      <w:r>
        <w:rPr>
          <w:rFonts w:ascii="宋体"/>
          <w:color w:val="auto"/>
          <w:sz w:val="24"/>
          <w:szCs w:val="24"/>
          <w:highlight w:val="none"/>
        </w:rPr>
        <w:fldChar w:fldCharType="end"/>
      </w:r>
    </w:p>
    <w:p w14:paraId="5C80C7E7">
      <w:pPr>
        <w:pStyle w:val="12"/>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color w:val="auto"/>
          <w:sz w:val="24"/>
          <w:szCs w:val="24"/>
          <w:highlight w:val="none"/>
        </w:rPr>
        <w:fldChar w:fldCharType="begin"/>
      </w:r>
      <w:r>
        <w:rPr>
          <w:rFonts w:ascii="宋体"/>
          <w:color w:val="auto"/>
          <w:sz w:val="24"/>
          <w:szCs w:val="24"/>
          <w:highlight w:val="none"/>
        </w:rPr>
        <w:instrText xml:space="preserve"> HYPERLINK \l _Toc27616 </w:instrText>
      </w:r>
      <w:r>
        <w:rPr>
          <w:rFonts w:ascii="宋体"/>
          <w:color w:val="auto"/>
          <w:sz w:val="24"/>
          <w:szCs w:val="24"/>
          <w:highlight w:val="none"/>
        </w:rPr>
        <w:fldChar w:fldCharType="separate"/>
      </w:r>
      <w:r>
        <w:rPr>
          <w:rFonts w:ascii="Times New Roman" w:hAnsi="Times New Roman" w:eastAsia="宋体" w:cs="Times New Roman"/>
          <w:bCs/>
          <w:color w:val="auto"/>
          <w:kern w:val="2"/>
          <w:sz w:val="24"/>
          <w:szCs w:val="24"/>
          <w:highlight w:val="none"/>
          <w:lang w:val="en-US" w:eastAsia="zh-CN" w:bidi="ar-SA"/>
        </w:rPr>
        <w:t>十、采购项目联系人姓名和电话</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_Toc27616 \h </w:instrText>
      </w:r>
      <w:r>
        <w:rPr>
          <w:color w:val="auto"/>
          <w:sz w:val="24"/>
          <w:szCs w:val="24"/>
          <w:highlight w:val="none"/>
        </w:rPr>
        <w:fldChar w:fldCharType="separate"/>
      </w:r>
      <w:r>
        <w:rPr>
          <w:color w:val="auto"/>
          <w:sz w:val="24"/>
          <w:szCs w:val="24"/>
          <w:highlight w:val="none"/>
        </w:rPr>
        <w:t>6</w:t>
      </w:r>
      <w:r>
        <w:rPr>
          <w:color w:val="auto"/>
          <w:sz w:val="24"/>
          <w:szCs w:val="24"/>
          <w:highlight w:val="none"/>
        </w:rPr>
        <w:fldChar w:fldCharType="end"/>
      </w:r>
      <w:r>
        <w:rPr>
          <w:rFonts w:ascii="宋体"/>
          <w:color w:val="auto"/>
          <w:sz w:val="24"/>
          <w:szCs w:val="24"/>
          <w:highlight w:val="none"/>
        </w:rPr>
        <w:fldChar w:fldCharType="end"/>
      </w:r>
    </w:p>
    <w:p w14:paraId="04D0C085">
      <w:pPr>
        <w:pStyle w:val="12"/>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color w:val="auto"/>
          <w:sz w:val="24"/>
          <w:szCs w:val="24"/>
          <w:highlight w:val="none"/>
        </w:rPr>
        <w:fldChar w:fldCharType="begin"/>
      </w:r>
      <w:r>
        <w:rPr>
          <w:rFonts w:ascii="宋体"/>
          <w:color w:val="auto"/>
          <w:sz w:val="24"/>
          <w:szCs w:val="24"/>
          <w:highlight w:val="none"/>
        </w:rPr>
        <w:instrText xml:space="preserve"> HYPERLINK \l _Toc6751 </w:instrText>
      </w:r>
      <w:r>
        <w:rPr>
          <w:rFonts w:ascii="宋体"/>
          <w:color w:val="auto"/>
          <w:sz w:val="24"/>
          <w:szCs w:val="24"/>
          <w:highlight w:val="none"/>
        </w:rPr>
        <w:fldChar w:fldCharType="separate"/>
      </w:r>
      <w:r>
        <w:rPr>
          <w:rFonts w:ascii="Times New Roman" w:hAnsi="Times New Roman" w:eastAsia="宋体" w:cs="Times New Roman"/>
          <w:bCs/>
          <w:color w:val="auto"/>
          <w:kern w:val="2"/>
          <w:sz w:val="24"/>
          <w:szCs w:val="24"/>
          <w:highlight w:val="none"/>
          <w:lang w:val="en-US" w:eastAsia="zh-CN" w:bidi="ar-SA"/>
        </w:rPr>
        <w:t>十一、采购人、采购代理机构的名称、地址和联系方法</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_Toc6751 \h </w:instrText>
      </w:r>
      <w:r>
        <w:rPr>
          <w:color w:val="auto"/>
          <w:sz w:val="24"/>
          <w:szCs w:val="24"/>
          <w:highlight w:val="none"/>
        </w:rPr>
        <w:fldChar w:fldCharType="separate"/>
      </w:r>
      <w:r>
        <w:rPr>
          <w:color w:val="auto"/>
          <w:sz w:val="24"/>
          <w:szCs w:val="24"/>
          <w:highlight w:val="none"/>
        </w:rPr>
        <w:t>6</w:t>
      </w:r>
      <w:r>
        <w:rPr>
          <w:color w:val="auto"/>
          <w:sz w:val="24"/>
          <w:szCs w:val="24"/>
          <w:highlight w:val="none"/>
        </w:rPr>
        <w:fldChar w:fldCharType="end"/>
      </w:r>
      <w:r>
        <w:rPr>
          <w:rFonts w:ascii="宋体"/>
          <w:color w:val="auto"/>
          <w:sz w:val="24"/>
          <w:szCs w:val="24"/>
          <w:highlight w:val="none"/>
        </w:rPr>
        <w:fldChar w:fldCharType="end"/>
      </w:r>
    </w:p>
    <w:p w14:paraId="457FCBB6">
      <w:pPr>
        <w:pStyle w:val="19"/>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color w:val="auto"/>
          <w:sz w:val="24"/>
          <w:szCs w:val="24"/>
          <w:highlight w:val="none"/>
        </w:rPr>
        <w:fldChar w:fldCharType="begin"/>
      </w:r>
      <w:r>
        <w:rPr>
          <w:rFonts w:ascii="宋体"/>
          <w:color w:val="auto"/>
          <w:sz w:val="24"/>
          <w:szCs w:val="24"/>
          <w:highlight w:val="none"/>
        </w:rPr>
        <w:instrText xml:space="preserve"> HYPERLINK \l _Toc9006 </w:instrText>
      </w:r>
      <w:r>
        <w:rPr>
          <w:rFonts w:ascii="宋体"/>
          <w:color w:val="auto"/>
          <w:sz w:val="24"/>
          <w:szCs w:val="24"/>
          <w:highlight w:val="none"/>
        </w:rPr>
        <w:fldChar w:fldCharType="separate"/>
      </w:r>
      <w:r>
        <w:rPr>
          <w:rFonts w:hint="eastAsia"/>
          <w:color w:val="auto"/>
          <w:sz w:val="24"/>
          <w:szCs w:val="24"/>
          <w:highlight w:val="none"/>
        </w:rPr>
        <w:t>第二章 磋商须知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_Toc9006 \h </w:instrText>
      </w:r>
      <w:r>
        <w:rPr>
          <w:color w:val="auto"/>
          <w:sz w:val="24"/>
          <w:szCs w:val="24"/>
          <w:highlight w:val="none"/>
        </w:rPr>
        <w:fldChar w:fldCharType="separate"/>
      </w:r>
      <w:r>
        <w:rPr>
          <w:color w:val="auto"/>
          <w:sz w:val="24"/>
          <w:szCs w:val="24"/>
          <w:highlight w:val="none"/>
        </w:rPr>
        <w:t>8</w:t>
      </w:r>
      <w:r>
        <w:rPr>
          <w:color w:val="auto"/>
          <w:sz w:val="24"/>
          <w:szCs w:val="24"/>
          <w:highlight w:val="none"/>
        </w:rPr>
        <w:fldChar w:fldCharType="end"/>
      </w:r>
      <w:r>
        <w:rPr>
          <w:rFonts w:ascii="宋体"/>
          <w:color w:val="auto"/>
          <w:sz w:val="24"/>
          <w:szCs w:val="24"/>
          <w:highlight w:val="none"/>
        </w:rPr>
        <w:fldChar w:fldCharType="end"/>
      </w:r>
    </w:p>
    <w:p w14:paraId="114A5A20">
      <w:pPr>
        <w:pStyle w:val="21"/>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color w:val="auto"/>
          <w:sz w:val="24"/>
          <w:szCs w:val="24"/>
          <w:highlight w:val="none"/>
        </w:rPr>
        <w:fldChar w:fldCharType="begin"/>
      </w:r>
      <w:r>
        <w:rPr>
          <w:rFonts w:ascii="宋体"/>
          <w:color w:val="auto"/>
          <w:sz w:val="24"/>
          <w:szCs w:val="24"/>
          <w:highlight w:val="none"/>
        </w:rPr>
        <w:instrText xml:space="preserve"> HYPERLINK \l _Toc269 </w:instrText>
      </w:r>
      <w:r>
        <w:rPr>
          <w:rFonts w:ascii="宋体"/>
          <w:color w:val="auto"/>
          <w:sz w:val="24"/>
          <w:szCs w:val="24"/>
          <w:highlight w:val="none"/>
        </w:rPr>
        <w:fldChar w:fldCharType="separate"/>
      </w:r>
      <w:r>
        <w:rPr>
          <w:rFonts w:hint="eastAsia"/>
          <w:color w:val="auto"/>
          <w:sz w:val="24"/>
          <w:szCs w:val="24"/>
          <w:highlight w:val="none"/>
        </w:rPr>
        <w:t>磋商须知前附表</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_Toc269 \h </w:instrText>
      </w:r>
      <w:r>
        <w:rPr>
          <w:color w:val="auto"/>
          <w:sz w:val="24"/>
          <w:szCs w:val="24"/>
          <w:highlight w:val="none"/>
        </w:rPr>
        <w:fldChar w:fldCharType="separate"/>
      </w:r>
      <w:r>
        <w:rPr>
          <w:color w:val="auto"/>
          <w:sz w:val="24"/>
          <w:szCs w:val="24"/>
          <w:highlight w:val="none"/>
        </w:rPr>
        <w:t>8</w:t>
      </w:r>
      <w:r>
        <w:rPr>
          <w:color w:val="auto"/>
          <w:sz w:val="24"/>
          <w:szCs w:val="24"/>
          <w:highlight w:val="none"/>
        </w:rPr>
        <w:fldChar w:fldCharType="end"/>
      </w:r>
      <w:r>
        <w:rPr>
          <w:rFonts w:ascii="宋体"/>
          <w:color w:val="auto"/>
          <w:sz w:val="24"/>
          <w:szCs w:val="24"/>
          <w:highlight w:val="none"/>
        </w:rPr>
        <w:fldChar w:fldCharType="end"/>
      </w:r>
    </w:p>
    <w:p w14:paraId="66925115">
      <w:pPr>
        <w:pStyle w:val="21"/>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color w:val="auto"/>
          <w:sz w:val="24"/>
          <w:szCs w:val="24"/>
          <w:highlight w:val="none"/>
        </w:rPr>
        <w:fldChar w:fldCharType="begin"/>
      </w:r>
      <w:r>
        <w:rPr>
          <w:rFonts w:ascii="宋体"/>
          <w:color w:val="auto"/>
          <w:sz w:val="24"/>
          <w:szCs w:val="24"/>
          <w:highlight w:val="none"/>
        </w:rPr>
        <w:instrText xml:space="preserve"> HYPERLINK \l _Toc32076 </w:instrText>
      </w:r>
      <w:r>
        <w:rPr>
          <w:rFonts w:ascii="宋体"/>
          <w:color w:val="auto"/>
          <w:sz w:val="24"/>
          <w:szCs w:val="24"/>
          <w:highlight w:val="none"/>
        </w:rPr>
        <w:fldChar w:fldCharType="separate"/>
      </w:r>
      <w:r>
        <w:rPr>
          <w:rFonts w:hint="eastAsia"/>
          <w:color w:val="auto"/>
          <w:sz w:val="24"/>
          <w:szCs w:val="24"/>
          <w:highlight w:val="none"/>
        </w:rPr>
        <w:t>磋商须知正文</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_Toc32076 \h </w:instrText>
      </w:r>
      <w:r>
        <w:rPr>
          <w:color w:val="auto"/>
          <w:sz w:val="24"/>
          <w:szCs w:val="24"/>
          <w:highlight w:val="none"/>
        </w:rPr>
        <w:fldChar w:fldCharType="separate"/>
      </w:r>
      <w:r>
        <w:rPr>
          <w:color w:val="auto"/>
          <w:sz w:val="24"/>
          <w:szCs w:val="24"/>
          <w:highlight w:val="none"/>
        </w:rPr>
        <w:t>22</w:t>
      </w:r>
      <w:r>
        <w:rPr>
          <w:color w:val="auto"/>
          <w:sz w:val="24"/>
          <w:szCs w:val="24"/>
          <w:highlight w:val="none"/>
        </w:rPr>
        <w:fldChar w:fldCharType="end"/>
      </w:r>
      <w:r>
        <w:rPr>
          <w:rFonts w:ascii="宋体"/>
          <w:color w:val="auto"/>
          <w:sz w:val="24"/>
          <w:szCs w:val="24"/>
          <w:highlight w:val="none"/>
        </w:rPr>
        <w:fldChar w:fldCharType="end"/>
      </w:r>
    </w:p>
    <w:p w14:paraId="1300EFE4">
      <w:pPr>
        <w:pStyle w:val="12"/>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color w:val="auto"/>
          <w:sz w:val="24"/>
          <w:szCs w:val="24"/>
          <w:highlight w:val="none"/>
        </w:rPr>
        <w:fldChar w:fldCharType="begin"/>
      </w:r>
      <w:r>
        <w:rPr>
          <w:rFonts w:ascii="宋体"/>
          <w:color w:val="auto"/>
          <w:sz w:val="24"/>
          <w:szCs w:val="24"/>
          <w:highlight w:val="none"/>
        </w:rPr>
        <w:instrText xml:space="preserve"> HYPERLINK \l _Toc24058 </w:instrText>
      </w:r>
      <w:r>
        <w:rPr>
          <w:rFonts w:ascii="宋体"/>
          <w:color w:val="auto"/>
          <w:sz w:val="24"/>
          <w:szCs w:val="24"/>
          <w:highlight w:val="none"/>
        </w:rPr>
        <w:fldChar w:fldCharType="separate"/>
      </w:r>
      <w:r>
        <w:rPr>
          <w:rFonts w:hint="eastAsia"/>
          <w:color w:val="auto"/>
          <w:sz w:val="24"/>
          <w:szCs w:val="24"/>
          <w:highlight w:val="none"/>
        </w:rPr>
        <w:t>一、说明</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_Toc24058 \h </w:instrText>
      </w:r>
      <w:r>
        <w:rPr>
          <w:color w:val="auto"/>
          <w:sz w:val="24"/>
          <w:szCs w:val="24"/>
          <w:highlight w:val="none"/>
        </w:rPr>
        <w:fldChar w:fldCharType="separate"/>
      </w:r>
      <w:r>
        <w:rPr>
          <w:color w:val="auto"/>
          <w:sz w:val="24"/>
          <w:szCs w:val="24"/>
          <w:highlight w:val="none"/>
        </w:rPr>
        <w:t>22</w:t>
      </w:r>
      <w:r>
        <w:rPr>
          <w:color w:val="auto"/>
          <w:sz w:val="24"/>
          <w:szCs w:val="24"/>
          <w:highlight w:val="none"/>
        </w:rPr>
        <w:fldChar w:fldCharType="end"/>
      </w:r>
      <w:r>
        <w:rPr>
          <w:rFonts w:ascii="宋体"/>
          <w:color w:val="auto"/>
          <w:sz w:val="24"/>
          <w:szCs w:val="24"/>
          <w:highlight w:val="none"/>
        </w:rPr>
        <w:fldChar w:fldCharType="end"/>
      </w:r>
    </w:p>
    <w:p w14:paraId="45B9C7DA">
      <w:pPr>
        <w:pStyle w:val="12"/>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color w:val="auto"/>
          <w:sz w:val="24"/>
          <w:szCs w:val="24"/>
          <w:highlight w:val="none"/>
        </w:rPr>
        <w:fldChar w:fldCharType="begin"/>
      </w:r>
      <w:r>
        <w:rPr>
          <w:rFonts w:ascii="宋体"/>
          <w:color w:val="auto"/>
          <w:sz w:val="24"/>
          <w:szCs w:val="24"/>
          <w:highlight w:val="none"/>
        </w:rPr>
        <w:instrText xml:space="preserve"> HYPERLINK \l _Toc7468 </w:instrText>
      </w:r>
      <w:r>
        <w:rPr>
          <w:rFonts w:ascii="宋体"/>
          <w:color w:val="auto"/>
          <w:sz w:val="24"/>
          <w:szCs w:val="24"/>
          <w:highlight w:val="none"/>
        </w:rPr>
        <w:fldChar w:fldCharType="separate"/>
      </w:r>
      <w:r>
        <w:rPr>
          <w:rFonts w:hint="eastAsia"/>
          <w:color w:val="auto"/>
          <w:sz w:val="24"/>
          <w:szCs w:val="24"/>
          <w:highlight w:val="none"/>
        </w:rPr>
        <w:t>二、磋商文件</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_Toc7468 \h </w:instrText>
      </w:r>
      <w:r>
        <w:rPr>
          <w:color w:val="auto"/>
          <w:sz w:val="24"/>
          <w:szCs w:val="24"/>
          <w:highlight w:val="none"/>
        </w:rPr>
        <w:fldChar w:fldCharType="separate"/>
      </w:r>
      <w:r>
        <w:rPr>
          <w:color w:val="auto"/>
          <w:sz w:val="24"/>
          <w:szCs w:val="24"/>
          <w:highlight w:val="none"/>
        </w:rPr>
        <w:t>24</w:t>
      </w:r>
      <w:r>
        <w:rPr>
          <w:color w:val="auto"/>
          <w:sz w:val="24"/>
          <w:szCs w:val="24"/>
          <w:highlight w:val="none"/>
        </w:rPr>
        <w:fldChar w:fldCharType="end"/>
      </w:r>
      <w:r>
        <w:rPr>
          <w:rFonts w:ascii="宋体"/>
          <w:color w:val="auto"/>
          <w:sz w:val="24"/>
          <w:szCs w:val="24"/>
          <w:highlight w:val="none"/>
        </w:rPr>
        <w:fldChar w:fldCharType="end"/>
      </w:r>
    </w:p>
    <w:p w14:paraId="684D7787">
      <w:pPr>
        <w:pStyle w:val="12"/>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color w:val="auto"/>
          <w:sz w:val="24"/>
          <w:szCs w:val="24"/>
          <w:highlight w:val="none"/>
        </w:rPr>
        <w:fldChar w:fldCharType="begin"/>
      </w:r>
      <w:r>
        <w:rPr>
          <w:rFonts w:ascii="宋体"/>
          <w:color w:val="auto"/>
          <w:sz w:val="24"/>
          <w:szCs w:val="24"/>
          <w:highlight w:val="none"/>
        </w:rPr>
        <w:instrText xml:space="preserve"> HYPERLINK \l _Toc32600 </w:instrText>
      </w:r>
      <w:r>
        <w:rPr>
          <w:rFonts w:ascii="宋体"/>
          <w:color w:val="auto"/>
          <w:sz w:val="24"/>
          <w:szCs w:val="24"/>
          <w:highlight w:val="none"/>
        </w:rPr>
        <w:fldChar w:fldCharType="separate"/>
      </w:r>
      <w:r>
        <w:rPr>
          <w:rFonts w:hint="eastAsia"/>
          <w:color w:val="auto"/>
          <w:sz w:val="24"/>
          <w:szCs w:val="24"/>
          <w:highlight w:val="none"/>
        </w:rPr>
        <w:t>三、响应文件</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_Toc32600 \h </w:instrText>
      </w:r>
      <w:r>
        <w:rPr>
          <w:color w:val="auto"/>
          <w:sz w:val="24"/>
          <w:szCs w:val="24"/>
          <w:highlight w:val="none"/>
        </w:rPr>
        <w:fldChar w:fldCharType="separate"/>
      </w:r>
      <w:r>
        <w:rPr>
          <w:color w:val="auto"/>
          <w:sz w:val="24"/>
          <w:szCs w:val="24"/>
          <w:highlight w:val="none"/>
        </w:rPr>
        <w:t>25</w:t>
      </w:r>
      <w:r>
        <w:rPr>
          <w:color w:val="auto"/>
          <w:sz w:val="24"/>
          <w:szCs w:val="24"/>
          <w:highlight w:val="none"/>
        </w:rPr>
        <w:fldChar w:fldCharType="end"/>
      </w:r>
      <w:r>
        <w:rPr>
          <w:rFonts w:ascii="宋体"/>
          <w:color w:val="auto"/>
          <w:sz w:val="24"/>
          <w:szCs w:val="24"/>
          <w:highlight w:val="none"/>
        </w:rPr>
        <w:fldChar w:fldCharType="end"/>
      </w:r>
    </w:p>
    <w:p w14:paraId="571E8E28">
      <w:pPr>
        <w:pStyle w:val="12"/>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color w:val="auto"/>
          <w:sz w:val="24"/>
          <w:szCs w:val="24"/>
          <w:highlight w:val="none"/>
        </w:rPr>
        <w:fldChar w:fldCharType="begin"/>
      </w:r>
      <w:r>
        <w:rPr>
          <w:rFonts w:ascii="宋体"/>
          <w:color w:val="auto"/>
          <w:sz w:val="24"/>
          <w:szCs w:val="24"/>
          <w:highlight w:val="none"/>
        </w:rPr>
        <w:instrText xml:space="preserve"> HYPERLINK \l _Toc28478 </w:instrText>
      </w:r>
      <w:r>
        <w:rPr>
          <w:rFonts w:ascii="宋体"/>
          <w:color w:val="auto"/>
          <w:sz w:val="24"/>
          <w:szCs w:val="24"/>
          <w:highlight w:val="none"/>
        </w:rPr>
        <w:fldChar w:fldCharType="separate"/>
      </w:r>
      <w:r>
        <w:rPr>
          <w:rFonts w:hint="eastAsia"/>
          <w:color w:val="auto"/>
          <w:sz w:val="24"/>
          <w:szCs w:val="24"/>
          <w:highlight w:val="none"/>
        </w:rPr>
        <w:t>四、响应文件的递交</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_Toc28478 \h </w:instrText>
      </w:r>
      <w:r>
        <w:rPr>
          <w:color w:val="auto"/>
          <w:sz w:val="24"/>
          <w:szCs w:val="24"/>
          <w:highlight w:val="none"/>
        </w:rPr>
        <w:fldChar w:fldCharType="separate"/>
      </w:r>
      <w:r>
        <w:rPr>
          <w:color w:val="auto"/>
          <w:sz w:val="24"/>
          <w:szCs w:val="24"/>
          <w:highlight w:val="none"/>
        </w:rPr>
        <w:t>28</w:t>
      </w:r>
      <w:r>
        <w:rPr>
          <w:color w:val="auto"/>
          <w:sz w:val="24"/>
          <w:szCs w:val="24"/>
          <w:highlight w:val="none"/>
        </w:rPr>
        <w:fldChar w:fldCharType="end"/>
      </w:r>
      <w:r>
        <w:rPr>
          <w:rFonts w:ascii="宋体"/>
          <w:color w:val="auto"/>
          <w:sz w:val="24"/>
          <w:szCs w:val="24"/>
          <w:highlight w:val="none"/>
        </w:rPr>
        <w:fldChar w:fldCharType="end"/>
      </w:r>
    </w:p>
    <w:p w14:paraId="291E8ECA">
      <w:pPr>
        <w:pStyle w:val="12"/>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color w:val="auto"/>
          <w:sz w:val="24"/>
          <w:szCs w:val="24"/>
          <w:highlight w:val="none"/>
        </w:rPr>
        <w:fldChar w:fldCharType="begin"/>
      </w:r>
      <w:r>
        <w:rPr>
          <w:rFonts w:ascii="宋体"/>
          <w:color w:val="auto"/>
          <w:sz w:val="24"/>
          <w:szCs w:val="24"/>
          <w:highlight w:val="none"/>
        </w:rPr>
        <w:instrText xml:space="preserve"> HYPERLINK \l _Toc15163 </w:instrText>
      </w:r>
      <w:r>
        <w:rPr>
          <w:rFonts w:ascii="宋体"/>
          <w:color w:val="auto"/>
          <w:sz w:val="24"/>
          <w:szCs w:val="24"/>
          <w:highlight w:val="none"/>
        </w:rPr>
        <w:fldChar w:fldCharType="separate"/>
      </w:r>
      <w:r>
        <w:rPr>
          <w:rFonts w:hint="eastAsia"/>
          <w:color w:val="auto"/>
          <w:sz w:val="24"/>
          <w:szCs w:val="24"/>
          <w:highlight w:val="none"/>
        </w:rPr>
        <w:t>五、响应文件的磋商与评审</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_Toc15163 \h </w:instrText>
      </w:r>
      <w:r>
        <w:rPr>
          <w:color w:val="auto"/>
          <w:sz w:val="24"/>
          <w:szCs w:val="24"/>
          <w:highlight w:val="none"/>
        </w:rPr>
        <w:fldChar w:fldCharType="separate"/>
      </w:r>
      <w:r>
        <w:rPr>
          <w:color w:val="auto"/>
          <w:sz w:val="24"/>
          <w:szCs w:val="24"/>
          <w:highlight w:val="none"/>
        </w:rPr>
        <w:t>28</w:t>
      </w:r>
      <w:r>
        <w:rPr>
          <w:color w:val="auto"/>
          <w:sz w:val="24"/>
          <w:szCs w:val="24"/>
          <w:highlight w:val="none"/>
        </w:rPr>
        <w:fldChar w:fldCharType="end"/>
      </w:r>
      <w:r>
        <w:rPr>
          <w:rFonts w:ascii="宋体"/>
          <w:color w:val="auto"/>
          <w:sz w:val="24"/>
          <w:szCs w:val="24"/>
          <w:highlight w:val="none"/>
        </w:rPr>
        <w:fldChar w:fldCharType="end"/>
      </w:r>
    </w:p>
    <w:p w14:paraId="225ED63F">
      <w:pPr>
        <w:pStyle w:val="12"/>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color w:val="auto"/>
          <w:sz w:val="24"/>
          <w:szCs w:val="24"/>
          <w:highlight w:val="none"/>
        </w:rPr>
        <w:fldChar w:fldCharType="begin"/>
      </w:r>
      <w:r>
        <w:rPr>
          <w:rFonts w:ascii="宋体"/>
          <w:color w:val="auto"/>
          <w:sz w:val="24"/>
          <w:szCs w:val="24"/>
          <w:highlight w:val="none"/>
        </w:rPr>
        <w:instrText xml:space="preserve"> HYPERLINK \l _Toc10088 </w:instrText>
      </w:r>
      <w:r>
        <w:rPr>
          <w:rFonts w:ascii="宋体"/>
          <w:color w:val="auto"/>
          <w:sz w:val="24"/>
          <w:szCs w:val="24"/>
          <w:highlight w:val="none"/>
        </w:rPr>
        <w:fldChar w:fldCharType="separate"/>
      </w:r>
      <w:r>
        <w:rPr>
          <w:rFonts w:hint="eastAsia"/>
          <w:color w:val="auto"/>
          <w:sz w:val="24"/>
          <w:szCs w:val="24"/>
          <w:highlight w:val="none"/>
        </w:rPr>
        <w:t>六、成交结果信息公布与授予合同</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_Toc10088 \h </w:instrText>
      </w:r>
      <w:r>
        <w:rPr>
          <w:color w:val="auto"/>
          <w:sz w:val="24"/>
          <w:szCs w:val="24"/>
          <w:highlight w:val="none"/>
        </w:rPr>
        <w:fldChar w:fldCharType="separate"/>
      </w:r>
      <w:r>
        <w:rPr>
          <w:color w:val="auto"/>
          <w:sz w:val="24"/>
          <w:szCs w:val="24"/>
          <w:highlight w:val="none"/>
        </w:rPr>
        <w:t>32</w:t>
      </w:r>
      <w:r>
        <w:rPr>
          <w:color w:val="auto"/>
          <w:sz w:val="24"/>
          <w:szCs w:val="24"/>
          <w:highlight w:val="none"/>
        </w:rPr>
        <w:fldChar w:fldCharType="end"/>
      </w:r>
      <w:r>
        <w:rPr>
          <w:rFonts w:ascii="宋体"/>
          <w:color w:val="auto"/>
          <w:sz w:val="24"/>
          <w:szCs w:val="24"/>
          <w:highlight w:val="none"/>
        </w:rPr>
        <w:fldChar w:fldCharType="end"/>
      </w:r>
    </w:p>
    <w:p w14:paraId="4C7AD640">
      <w:pPr>
        <w:pStyle w:val="12"/>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color w:val="auto"/>
          <w:sz w:val="24"/>
          <w:szCs w:val="24"/>
          <w:highlight w:val="none"/>
        </w:rPr>
        <w:fldChar w:fldCharType="begin"/>
      </w:r>
      <w:r>
        <w:rPr>
          <w:rFonts w:ascii="宋体"/>
          <w:color w:val="auto"/>
          <w:sz w:val="24"/>
          <w:szCs w:val="24"/>
          <w:highlight w:val="none"/>
        </w:rPr>
        <w:instrText xml:space="preserve"> HYPERLINK \l _Toc18664 </w:instrText>
      </w:r>
      <w:r>
        <w:rPr>
          <w:rFonts w:ascii="宋体"/>
          <w:color w:val="auto"/>
          <w:sz w:val="24"/>
          <w:szCs w:val="24"/>
          <w:highlight w:val="none"/>
        </w:rPr>
        <w:fldChar w:fldCharType="separate"/>
      </w:r>
      <w:r>
        <w:rPr>
          <w:rFonts w:hint="eastAsia"/>
          <w:color w:val="auto"/>
          <w:sz w:val="24"/>
          <w:szCs w:val="24"/>
          <w:highlight w:val="none"/>
        </w:rPr>
        <w:t>七、其他规定</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_Toc18664 \h </w:instrText>
      </w:r>
      <w:r>
        <w:rPr>
          <w:color w:val="auto"/>
          <w:sz w:val="24"/>
          <w:szCs w:val="24"/>
          <w:highlight w:val="none"/>
        </w:rPr>
        <w:fldChar w:fldCharType="separate"/>
      </w:r>
      <w:r>
        <w:rPr>
          <w:color w:val="auto"/>
          <w:sz w:val="24"/>
          <w:szCs w:val="24"/>
          <w:highlight w:val="none"/>
        </w:rPr>
        <w:t>33</w:t>
      </w:r>
      <w:r>
        <w:rPr>
          <w:color w:val="auto"/>
          <w:sz w:val="24"/>
          <w:szCs w:val="24"/>
          <w:highlight w:val="none"/>
        </w:rPr>
        <w:fldChar w:fldCharType="end"/>
      </w:r>
      <w:r>
        <w:rPr>
          <w:rFonts w:ascii="宋体"/>
          <w:color w:val="auto"/>
          <w:sz w:val="24"/>
          <w:szCs w:val="24"/>
          <w:highlight w:val="none"/>
        </w:rPr>
        <w:fldChar w:fldCharType="end"/>
      </w:r>
    </w:p>
    <w:p w14:paraId="7E6F91E3">
      <w:pPr>
        <w:pStyle w:val="19"/>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color w:val="auto"/>
          <w:sz w:val="24"/>
          <w:szCs w:val="24"/>
          <w:highlight w:val="none"/>
        </w:rPr>
        <w:fldChar w:fldCharType="begin"/>
      </w:r>
      <w:r>
        <w:rPr>
          <w:rFonts w:ascii="宋体"/>
          <w:color w:val="auto"/>
          <w:sz w:val="24"/>
          <w:szCs w:val="24"/>
          <w:highlight w:val="none"/>
        </w:rPr>
        <w:instrText xml:space="preserve"> HYPERLINK \l _Toc28418 </w:instrText>
      </w:r>
      <w:r>
        <w:rPr>
          <w:rFonts w:ascii="宋体"/>
          <w:color w:val="auto"/>
          <w:sz w:val="24"/>
          <w:szCs w:val="24"/>
          <w:highlight w:val="none"/>
        </w:rPr>
        <w:fldChar w:fldCharType="separate"/>
      </w:r>
      <w:r>
        <w:rPr>
          <w:rFonts w:hint="eastAsia" w:ascii="宋体" w:hAnsi="宋体" w:eastAsia="宋体" w:cs="Times New Roman"/>
          <w:bCs/>
          <w:color w:val="auto"/>
          <w:sz w:val="24"/>
          <w:szCs w:val="24"/>
          <w:highlight w:val="none"/>
        </w:rPr>
        <w:t xml:space="preserve">第三章 </w:t>
      </w:r>
      <w:r>
        <w:rPr>
          <w:rFonts w:hint="eastAsia"/>
          <w:color w:val="auto"/>
          <w:sz w:val="24"/>
          <w:szCs w:val="24"/>
          <w:highlight w:val="none"/>
        </w:rPr>
        <w:t>合同格式条款</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_Toc28418 \h </w:instrText>
      </w:r>
      <w:r>
        <w:rPr>
          <w:color w:val="auto"/>
          <w:sz w:val="24"/>
          <w:szCs w:val="24"/>
          <w:highlight w:val="none"/>
        </w:rPr>
        <w:fldChar w:fldCharType="separate"/>
      </w:r>
      <w:r>
        <w:rPr>
          <w:color w:val="auto"/>
          <w:sz w:val="24"/>
          <w:szCs w:val="24"/>
          <w:highlight w:val="none"/>
        </w:rPr>
        <w:t>35</w:t>
      </w:r>
      <w:r>
        <w:rPr>
          <w:color w:val="auto"/>
          <w:sz w:val="24"/>
          <w:szCs w:val="24"/>
          <w:highlight w:val="none"/>
        </w:rPr>
        <w:fldChar w:fldCharType="end"/>
      </w:r>
      <w:r>
        <w:rPr>
          <w:rFonts w:ascii="宋体"/>
          <w:color w:val="auto"/>
          <w:sz w:val="24"/>
          <w:szCs w:val="24"/>
          <w:highlight w:val="none"/>
        </w:rPr>
        <w:fldChar w:fldCharType="end"/>
      </w:r>
    </w:p>
    <w:p w14:paraId="531B2036">
      <w:pPr>
        <w:pStyle w:val="19"/>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color w:val="auto"/>
          <w:sz w:val="24"/>
          <w:szCs w:val="24"/>
          <w:highlight w:val="none"/>
        </w:rPr>
        <w:fldChar w:fldCharType="begin"/>
      </w:r>
      <w:r>
        <w:rPr>
          <w:rFonts w:ascii="宋体"/>
          <w:color w:val="auto"/>
          <w:sz w:val="24"/>
          <w:szCs w:val="24"/>
          <w:highlight w:val="none"/>
        </w:rPr>
        <w:instrText xml:space="preserve"> HYPERLINK \l _Toc26327 </w:instrText>
      </w:r>
      <w:r>
        <w:rPr>
          <w:rFonts w:ascii="宋体"/>
          <w:color w:val="auto"/>
          <w:sz w:val="24"/>
          <w:szCs w:val="24"/>
          <w:highlight w:val="none"/>
        </w:rPr>
        <w:fldChar w:fldCharType="separate"/>
      </w:r>
      <w:r>
        <w:rPr>
          <w:rFonts w:hint="eastAsia"/>
          <w:color w:val="auto"/>
          <w:sz w:val="24"/>
          <w:szCs w:val="24"/>
          <w:highlight w:val="none"/>
          <w:lang w:val="en-US" w:eastAsia="zh-CN"/>
        </w:rPr>
        <w:t>第四章</w:t>
      </w:r>
      <w:r>
        <w:rPr>
          <w:rFonts w:hint="eastAsia"/>
          <w:color w:val="auto"/>
          <w:sz w:val="24"/>
          <w:szCs w:val="24"/>
          <w:highlight w:val="none"/>
        </w:rPr>
        <w:t xml:space="preserve"> 采购需求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_Toc26327 \h </w:instrText>
      </w:r>
      <w:r>
        <w:rPr>
          <w:color w:val="auto"/>
          <w:sz w:val="24"/>
          <w:szCs w:val="24"/>
          <w:highlight w:val="none"/>
        </w:rPr>
        <w:fldChar w:fldCharType="separate"/>
      </w:r>
      <w:r>
        <w:rPr>
          <w:color w:val="auto"/>
          <w:sz w:val="24"/>
          <w:szCs w:val="24"/>
          <w:highlight w:val="none"/>
        </w:rPr>
        <w:t>42</w:t>
      </w:r>
      <w:r>
        <w:rPr>
          <w:color w:val="auto"/>
          <w:sz w:val="24"/>
          <w:szCs w:val="24"/>
          <w:highlight w:val="none"/>
        </w:rPr>
        <w:fldChar w:fldCharType="end"/>
      </w:r>
      <w:r>
        <w:rPr>
          <w:rFonts w:ascii="宋体"/>
          <w:color w:val="auto"/>
          <w:sz w:val="24"/>
          <w:szCs w:val="24"/>
          <w:highlight w:val="none"/>
        </w:rPr>
        <w:fldChar w:fldCharType="end"/>
      </w:r>
    </w:p>
    <w:p w14:paraId="1B187A82">
      <w:pPr>
        <w:pStyle w:val="19"/>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color w:val="auto"/>
          <w:sz w:val="24"/>
          <w:szCs w:val="24"/>
          <w:highlight w:val="none"/>
        </w:rPr>
      </w:pPr>
      <w:r>
        <w:rPr>
          <w:rFonts w:ascii="宋体"/>
          <w:color w:val="auto"/>
          <w:sz w:val="24"/>
          <w:szCs w:val="24"/>
          <w:highlight w:val="none"/>
        </w:rPr>
        <w:fldChar w:fldCharType="begin"/>
      </w:r>
      <w:r>
        <w:rPr>
          <w:rFonts w:ascii="宋体"/>
          <w:color w:val="auto"/>
          <w:sz w:val="24"/>
          <w:szCs w:val="24"/>
          <w:highlight w:val="none"/>
        </w:rPr>
        <w:instrText xml:space="preserve"> HYPERLINK \l _Toc25374 </w:instrText>
      </w:r>
      <w:r>
        <w:rPr>
          <w:rFonts w:ascii="宋体"/>
          <w:color w:val="auto"/>
          <w:sz w:val="24"/>
          <w:szCs w:val="24"/>
          <w:highlight w:val="none"/>
        </w:rPr>
        <w:fldChar w:fldCharType="separate"/>
      </w:r>
      <w:r>
        <w:rPr>
          <w:rFonts w:hint="eastAsia"/>
          <w:color w:val="auto"/>
          <w:sz w:val="24"/>
          <w:szCs w:val="24"/>
          <w:highlight w:val="none"/>
          <w:lang w:val="en-US" w:eastAsia="zh-CN"/>
        </w:rPr>
        <w:t>第五章 响应文件组成</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_Toc25374 \h </w:instrText>
      </w:r>
      <w:r>
        <w:rPr>
          <w:color w:val="auto"/>
          <w:sz w:val="24"/>
          <w:szCs w:val="24"/>
          <w:highlight w:val="none"/>
        </w:rPr>
        <w:fldChar w:fldCharType="separate"/>
      </w:r>
      <w:r>
        <w:rPr>
          <w:color w:val="auto"/>
          <w:sz w:val="24"/>
          <w:szCs w:val="24"/>
          <w:highlight w:val="none"/>
        </w:rPr>
        <w:t>44</w:t>
      </w:r>
      <w:r>
        <w:rPr>
          <w:color w:val="auto"/>
          <w:sz w:val="24"/>
          <w:szCs w:val="24"/>
          <w:highlight w:val="none"/>
        </w:rPr>
        <w:fldChar w:fldCharType="end"/>
      </w:r>
      <w:r>
        <w:rPr>
          <w:rFonts w:ascii="宋体"/>
          <w:color w:val="auto"/>
          <w:sz w:val="24"/>
          <w:szCs w:val="24"/>
          <w:highlight w:val="none"/>
        </w:rPr>
        <w:fldChar w:fldCharType="end"/>
      </w:r>
    </w:p>
    <w:p w14:paraId="4C16C5A1">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宋体"/>
          <w:b/>
          <w:color w:val="auto"/>
          <w:sz w:val="24"/>
          <w:highlight w:val="none"/>
        </w:rPr>
      </w:pPr>
      <w:r>
        <w:rPr>
          <w:rFonts w:ascii="宋体"/>
          <w:color w:val="auto"/>
          <w:sz w:val="24"/>
          <w:szCs w:val="24"/>
          <w:highlight w:val="none"/>
        </w:rPr>
        <w:fldChar w:fldCharType="end"/>
      </w:r>
    </w:p>
    <w:p w14:paraId="63C5B0CE">
      <w:pPr>
        <w:snapToGrid w:val="0"/>
        <w:spacing w:line="360" w:lineRule="auto"/>
        <w:rPr>
          <w:rFonts w:ascii="宋体"/>
          <w:b/>
          <w:color w:val="auto"/>
          <w:sz w:val="24"/>
          <w:highlight w:val="none"/>
        </w:rPr>
      </w:pPr>
    </w:p>
    <w:p w14:paraId="75F5D7CF">
      <w:pPr>
        <w:pStyle w:val="34"/>
        <w:rPr>
          <w:color w:val="auto"/>
          <w:highlight w:val="none"/>
        </w:rPr>
        <w:sectPr>
          <w:footerReference r:id="rId5" w:type="first"/>
          <w:footerReference r:id="rId4" w:type="default"/>
          <w:pgSz w:w="11906" w:h="16838"/>
          <w:pgMar w:top="1440" w:right="1800" w:bottom="1440" w:left="1800" w:header="851" w:footer="992" w:gutter="0"/>
          <w:pgNumType w:fmt="decimal" w:start="1"/>
          <w:cols w:space="720" w:num="1"/>
          <w:docGrid w:type="lines" w:linePitch="312" w:charSpace="0"/>
        </w:sectPr>
      </w:pPr>
    </w:p>
    <w:p w14:paraId="44F4E88D">
      <w:pPr>
        <w:pStyle w:val="5"/>
        <w:bidi w:val="0"/>
        <w:jc w:val="center"/>
        <w:rPr>
          <w:color w:val="auto"/>
          <w:highlight w:val="none"/>
        </w:rPr>
      </w:pPr>
      <w:bookmarkStart w:id="0" w:name="_Toc5990"/>
      <w:bookmarkStart w:id="1" w:name="_Toc27644"/>
      <w:bookmarkStart w:id="2" w:name="_Toc5598"/>
      <w:bookmarkStart w:id="3" w:name="_Toc28551"/>
      <w:bookmarkStart w:id="4" w:name="_Toc30753"/>
      <w:bookmarkStart w:id="5" w:name="_Toc13487"/>
      <w:bookmarkStart w:id="6" w:name="_Toc8337"/>
      <w:bookmarkStart w:id="7" w:name="_Toc15031"/>
      <w:bookmarkStart w:id="8" w:name="_Toc29371"/>
      <w:r>
        <w:rPr>
          <w:rFonts w:hint="eastAsia"/>
          <w:color w:val="auto"/>
          <w:highlight w:val="none"/>
        </w:rPr>
        <w:t>第一章  磋商邀请</w:t>
      </w:r>
      <w:bookmarkEnd w:id="0"/>
      <w:bookmarkEnd w:id="1"/>
      <w:bookmarkEnd w:id="2"/>
      <w:bookmarkEnd w:id="3"/>
      <w:bookmarkEnd w:id="4"/>
      <w:bookmarkEnd w:id="5"/>
      <w:bookmarkEnd w:id="6"/>
      <w:bookmarkEnd w:id="7"/>
      <w:bookmarkEnd w:id="8"/>
    </w:p>
    <w:p w14:paraId="48D9CB36">
      <w:pPr>
        <w:widowControl/>
        <w:spacing w:before="75" w:line="420" w:lineRule="atLeast"/>
        <w:ind w:firstLine="420" w:firstLineChars="200"/>
        <w:jc w:val="left"/>
        <w:rPr>
          <w:rFonts w:ascii="Times New Roman" w:hAnsi="Times New Roman" w:eastAsia="宋体" w:cs="Times New Roman"/>
          <w:color w:val="auto"/>
          <w:szCs w:val="21"/>
          <w:highlight w:val="none"/>
        </w:rPr>
      </w:pPr>
      <w:r>
        <w:rPr>
          <w:rFonts w:hint="eastAsia" w:ascii="宋体" w:hAnsi="宋体" w:eastAsia="宋体" w:cs="宋体"/>
          <w:color w:val="auto"/>
          <w:kern w:val="0"/>
          <w:szCs w:val="21"/>
          <w:highlight w:val="none"/>
          <w:u w:val="single"/>
        </w:rPr>
        <w:t>湖南科技学院</w:t>
      </w:r>
      <w:r>
        <w:rPr>
          <w:rFonts w:ascii="宋体" w:hAnsi="宋体" w:eastAsia="宋体" w:cs="宋体"/>
          <w:color w:val="auto"/>
          <w:kern w:val="0"/>
          <w:szCs w:val="21"/>
          <w:highlight w:val="none"/>
        </w:rPr>
        <w:t>的</w:t>
      </w:r>
      <w:r>
        <w:rPr>
          <w:rFonts w:hint="eastAsia" w:ascii="宋体" w:hAnsi="宋体" w:eastAsia="宋体" w:cs="宋体"/>
          <w:color w:val="auto"/>
          <w:szCs w:val="21"/>
          <w:highlight w:val="none"/>
          <w:u w:val="single"/>
        </w:rPr>
        <w:t>湖南科技学院南大门新征土地道路等建设项目</w:t>
      </w:r>
      <w:r>
        <w:rPr>
          <w:rFonts w:ascii="宋体" w:hAnsi="宋体" w:eastAsia="宋体" w:cs="宋体"/>
          <w:color w:val="auto"/>
          <w:kern w:val="0"/>
          <w:szCs w:val="21"/>
          <w:highlight w:val="none"/>
        </w:rPr>
        <w:t>进行采购，现邀请合格投标人参加投标。</w:t>
      </w:r>
    </w:p>
    <w:p w14:paraId="79BF824E">
      <w:pPr>
        <w:keepNext w:val="0"/>
        <w:keepLines w:val="0"/>
        <w:widowControl/>
        <w:spacing w:before="140" w:after="60" w:line="413" w:lineRule="auto"/>
        <w:jc w:val="both"/>
        <w:outlineLvl w:val="2"/>
        <w:rPr>
          <w:rFonts w:ascii="Times New Roman" w:hAnsi="Times New Roman" w:eastAsia="宋体" w:cs="Times New Roman"/>
          <w:b/>
          <w:bCs/>
          <w:color w:val="auto"/>
          <w:kern w:val="2"/>
          <w:sz w:val="21"/>
          <w:szCs w:val="21"/>
          <w:highlight w:val="none"/>
          <w:lang w:val="en-US" w:eastAsia="zh-CN" w:bidi="ar-SA"/>
        </w:rPr>
      </w:pPr>
      <w:bookmarkStart w:id="9" w:name="_Toc8703"/>
      <w:bookmarkStart w:id="10" w:name="_Toc30990"/>
      <w:bookmarkStart w:id="11" w:name="_Toc142040831"/>
      <w:r>
        <w:rPr>
          <w:rFonts w:ascii="Times New Roman" w:hAnsi="Times New Roman" w:eastAsia="宋体" w:cs="Times New Roman"/>
          <w:b/>
          <w:bCs/>
          <w:color w:val="auto"/>
          <w:kern w:val="2"/>
          <w:sz w:val="21"/>
          <w:szCs w:val="21"/>
          <w:highlight w:val="none"/>
          <w:lang w:val="en-US" w:eastAsia="zh-CN" w:bidi="ar-SA"/>
        </w:rPr>
        <w:t>一、采购项目基本信息</w:t>
      </w:r>
      <w:bookmarkEnd w:id="9"/>
      <w:bookmarkEnd w:id="10"/>
      <w:bookmarkEnd w:id="11"/>
    </w:p>
    <w:p w14:paraId="65310395">
      <w:pPr>
        <w:keepNext w:val="0"/>
        <w:keepLines w:val="0"/>
        <w:pageBreakBefore w:val="0"/>
        <w:widowControl/>
        <w:kinsoku/>
        <w:wordWrap/>
        <w:overflowPunct/>
        <w:topLinePunct w:val="0"/>
        <w:autoSpaceDE/>
        <w:autoSpaceDN/>
        <w:bidi w:val="0"/>
        <w:adjustRightInd/>
        <w:snapToGrid/>
        <w:spacing w:line="420" w:lineRule="atLeast"/>
        <w:ind w:firstLine="420"/>
        <w:jc w:val="left"/>
        <w:textAlignment w:val="auto"/>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1、采购项目名称：</w:t>
      </w:r>
      <w:r>
        <w:rPr>
          <w:rFonts w:hint="eastAsia" w:ascii="宋体" w:hAnsi="宋体" w:eastAsia="宋体" w:cs="宋体"/>
          <w:color w:val="auto"/>
          <w:kern w:val="0"/>
          <w:szCs w:val="21"/>
          <w:highlight w:val="none"/>
          <w:u w:val="single"/>
        </w:rPr>
        <w:t>湖南科技学院南大门新征土地道路等建设项目</w:t>
      </w:r>
    </w:p>
    <w:p w14:paraId="6F52FBDB">
      <w:pPr>
        <w:keepNext w:val="0"/>
        <w:keepLines w:val="0"/>
        <w:pageBreakBefore w:val="0"/>
        <w:widowControl/>
        <w:kinsoku/>
        <w:wordWrap/>
        <w:overflowPunct/>
        <w:topLinePunct w:val="0"/>
        <w:autoSpaceDE/>
        <w:autoSpaceDN/>
        <w:bidi w:val="0"/>
        <w:adjustRightInd/>
        <w:snapToGrid/>
        <w:spacing w:line="420" w:lineRule="atLeast"/>
        <w:ind w:firstLine="420"/>
        <w:jc w:val="left"/>
        <w:textAlignment w:val="auto"/>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2、政府采购计划编号：</w:t>
      </w:r>
      <w:r>
        <w:rPr>
          <w:rFonts w:hint="eastAsia" w:ascii="宋体" w:hAnsi="宋体" w:eastAsia="宋体" w:cs="宋体"/>
          <w:color w:val="auto"/>
          <w:kern w:val="0"/>
          <w:szCs w:val="21"/>
          <w:highlight w:val="none"/>
          <w:u w:val="single"/>
        </w:rPr>
        <w:t>湘财采计[202</w:t>
      </w:r>
      <w:r>
        <w:rPr>
          <w:rFonts w:hint="eastAsia" w:ascii="宋体" w:hAnsi="宋体" w:eastAsia="宋体" w:cs="宋体"/>
          <w:color w:val="auto"/>
          <w:kern w:val="0"/>
          <w:szCs w:val="21"/>
          <w:highlight w:val="none"/>
          <w:u w:val="single"/>
          <w:lang w:val="en-US" w:eastAsia="zh-CN"/>
        </w:rPr>
        <w:t>5</w:t>
      </w:r>
      <w:r>
        <w:rPr>
          <w:rFonts w:hint="eastAsia" w:ascii="宋体" w:hAnsi="宋体" w:eastAsia="宋体" w:cs="宋体"/>
          <w:color w:val="auto"/>
          <w:kern w:val="0"/>
          <w:szCs w:val="21"/>
          <w:highlight w:val="none"/>
          <w:u w:val="single"/>
        </w:rPr>
        <w:t>]00</w:t>
      </w:r>
      <w:r>
        <w:rPr>
          <w:rFonts w:hint="eastAsia" w:ascii="宋体" w:hAnsi="宋体" w:eastAsia="宋体" w:cs="宋体"/>
          <w:color w:val="auto"/>
          <w:kern w:val="0"/>
          <w:szCs w:val="21"/>
          <w:highlight w:val="none"/>
          <w:u w:val="single"/>
          <w:lang w:val="en-US" w:eastAsia="zh-CN"/>
        </w:rPr>
        <w:t>1320</w:t>
      </w:r>
      <w:r>
        <w:rPr>
          <w:rFonts w:hint="eastAsia" w:ascii="宋体" w:hAnsi="宋体" w:eastAsia="宋体" w:cs="宋体"/>
          <w:color w:val="auto"/>
          <w:kern w:val="0"/>
          <w:szCs w:val="21"/>
          <w:highlight w:val="none"/>
          <w:u w:val="single"/>
        </w:rPr>
        <w:t>号</w:t>
      </w:r>
    </w:p>
    <w:p w14:paraId="2D40D952">
      <w:pPr>
        <w:keepNext w:val="0"/>
        <w:keepLines w:val="0"/>
        <w:pageBreakBefore w:val="0"/>
        <w:widowControl/>
        <w:kinsoku/>
        <w:wordWrap/>
        <w:overflowPunct/>
        <w:topLinePunct w:val="0"/>
        <w:autoSpaceDE/>
        <w:autoSpaceDN/>
        <w:bidi w:val="0"/>
        <w:adjustRightInd/>
        <w:snapToGrid/>
        <w:spacing w:line="420" w:lineRule="atLeast"/>
        <w:ind w:firstLine="420"/>
        <w:jc w:val="left"/>
        <w:textAlignment w:val="auto"/>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3、委托代理编号：</w:t>
      </w:r>
      <w:r>
        <w:rPr>
          <w:rFonts w:hint="eastAsia" w:ascii="宋体" w:hAnsi="宋体" w:eastAsia="宋体" w:cs="宋体"/>
          <w:color w:val="auto"/>
          <w:szCs w:val="21"/>
          <w:highlight w:val="none"/>
          <w:u w:val="single"/>
        </w:rPr>
        <w:t>YX-ZB-2025-052</w:t>
      </w:r>
    </w:p>
    <w:p w14:paraId="737D4B78">
      <w:pPr>
        <w:keepNext w:val="0"/>
        <w:keepLines w:val="0"/>
        <w:pageBreakBefore w:val="0"/>
        <w:widowControl/>
        <w:kinsoku/>
        <w:wordWrap/>
        <w:overflowPunct/>
        <w:topLinePunct w:val="0"/>
        <w:autoSpaceDE/>
        <w:autoSpaceDN/>
        <w:bidi w:val="0"/>
        <w:adjustRightInd/>
        <w:snapToGrid/>
        <w:spacing w:line="420" w:lineRule="atLeast"/>
        <w:ind w:firstLine="420"/>
        <w:jc w:val="left"/>
        <w:textAlignment w:val="auto"/>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4、采购项目预算：</w:t>
      </w:r>
      <w:r>
        <w:rPr>
          <w:rFonts w:hint="eastAsia" w:ascii="宋体" w:hAnsi="宋体" w:eastAsia="宋体" w:cs="宋体"/>
          <w:color w:val="auto"/>
          <w:kern w:val="0"/>
          <w:szCs w:val="21"/>
          <w:highlight w:val="none"/>
          <w:u w:val="single"/>
        </w:rPr>
        <w:t>3791177.72</w:t>
      </w:r>
      <w:r>
        <w:rPr>
          <w:rFonts w:ascii="宋体" w:hAnsi="宋体" w:eastAsia="宋体" w:cs="宋体"/>
          <w:color w:val="auto"/>
          <w:kern w:val="0"/>
          <w:szCs w:val="21"/>
          <w:highlight w:val="none"/>
        </w:rPr>
        <w:t xml:space="preserve">元 </w:t>
      </w:r>
    </w:p>
    <w:p w14:paraId="6FC0C46E">
      <w:pPr>
        <w:keepNext w:val="0"/>
        <w:keepLines w:val="0"/>
        <w:pageBreakBefore w:val="0"/>
        <w:widowControl/>
        <w:kinsoku/>
        <w:wordWrap/>
        <w:overflowPunct/>
        <w:topLinePunct w:val="0"/>
        <w:autoSpaceDE/>
        <w:autoSpaceDN/>
        <w:bidi w:val="0"/>
        <w:adjustRightInd/>
        <w:snapToGrid/>
        <w:spacing w:line="420" w:lineRule="atLeast"/>
        <w:ind w:firstLine="840"/>
        <w:jc w:val="left"/>
        <w:textAlignment w:val="auto"/>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drawing>
          <wp:inline distT="0" distB="0" distL="114300" distR="114300">
            <wp:extent cx="257175" cy="2095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tretch>
                      <a:fillRect/>
                    </a:stretch>
                  </pic:blipFill>
                  <pic:spPr>
                    <a:xfrm>
                      <a:off x="0" y="0"/>
                      <a:ext cx="257175" cy="209550"/>
                    </a:xfrm>
                    <a:prstGeom prst="rect">
                      <a:avLst/>
                    </a:prstGeom>
                    <a:noFill/>
                    <a:ln>
                      <a:noFill/>
                    </a:ln>
                  </pic:spPr>
                </pic:pic>
              </a:graphicData>
            </a:graphic>
          </wp:inline>
        </w:drawing>
      </w:r>
      <w:r>
        <w:rPr>
          <w:rFonts w:ascii="宋体" w:hAnsi="宋体" w:eastAsia="宋体" w:cs="宋体"/>
          <w:color w:val="auto"/>
          <w:kern w:val="0"/>
          <w:szCs w:val="21"/>
          <w:highlight w:val="none"/>
        </w:rPr>
        <w:t>支持预付款，预付比例：</w:t>
      </w:r>
      <w:r>
        <w:rPr>
          <w:rFonts w:hint="eastAsia" w:ascii="宋体" w:hAnsi="宋体" w:eastAsia="宋体" w:cs="宋体"/>
          <w:color w:val="auto"/>
          <w:kern w:val="0"/>
          <w:szCs w:val="21"/>
          <w:highlight w:val="none"/>
          <w:u w:val="single"/>
        </w:rPr>
        <w:t xml:space="preserve"> / </w:t>
      </w:r>
      <w:r>
        <w:rPr>
          <w:rFonts w:ascii="宋体" w:hAnsi="宋体" w:eastAsia="宋体" w:cs="宋体"/>
          <w:color w:val="auto"/>
          <w:kern w:val="0"/>
          <w:szCs w:val="21"/>
          <w:highlight w:val="none"/>
          <w:u w:val="single"/>
        </w:rPr>
        <w:t>%</w:t>
      </w:r>
    </w:p>
    <w:p w14:paraId="59C9093C">
      <w:pPr>
        <w:keepNext w:val="0"/>
        <w:keepLines w:val="0"/>
        <w:pageBreakBefore w:val="0"/>
        <w:widowControl/>
        <w:kinsoku/>
        <w:wordWrap/>
        <w:overflowPunct/>
        <w:topLinePunct w:val="0"/>
        <w:autoSpaceDE/>
        <w:autoSpaceDN/>
        <w:bidi w:val="0"/>
        <w:adjustRightInd/>
        <w:snapToGrid/>
        <w:spacing w:line="420" w:lineRule="atLeast"/>
        <w:ind w:firstLine="420"/>
        <w:jc w:val="left"/>
        <w:textAlignment w:val="auto"/>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5、本项目对应的</w:t>
      </w:r>
      <w:r>
        <w:rPr>
          <w:rFonts w:hint="eastAsia" w:ascii="宋体" w:hAnsi="宋体" w:eastAsia="宋体" w:cs="宋体"/>
          <w:color w:val="auto"/>
          <w:kern w:val="0"/>
          <w:szCs w:val="21"/>
          <w:highlight w:val="none"/>
        </w:rPr>
        <w:t>中小企业</w:t>
      </w:r>
      <w:r>
        <w:rPr>
          <w:rFonts w:ascii="宋体" w:hAnsi="宋体" w:eastAsia="宋体" w:cs="宋体"/>
          <w:color w:val="auto"/>
          <w:kern w:val="0"/>
          <w:szCs w:val="21"/>
          <w:highlight w:val="none"/>
        </w:rPr>
        <w:t>划分标准所属行业：</w:t>
      </w:r>
      <w:r>
        <w:rPr>
          <w:rFonts w:ascii="宋体" w:hAnsi="宋体" w:eastAsia="宋体" w:cs="宋体"/>
          <w:color w:val="auto"/>
          <w:kern w:val="0"/>
          <w:szCs w:val="21"/>
          <w:highlight w:val="none"/>
          <w:u w:val="single"/>
        </w:rPr>
        <w:t>建筑业</w:t>
      </w:r>
    </w:p>
    <w:p w14:paraId="69930D33">
      <w:pPr>
        <w:keepNext w:val="0"/>
        <w:keepLines w:val="0"/>
        <w:pageBreakBefore w:val="0"/>
        <w:widowControl/>
        <w:kinsoku/>
        <w:wordWrap/>
        <w:overflowPunct/>
        <w:topLinePunct w:val="0"/>
        <w:autoSpaceDE/>
        <w:autoSpaceDN/>
        <w:bidi w:val="0"/>
        <w:adjustRightInd/>
        <w:snapToGrid/>
        <w:spacing w:line="420" w:lineRule="atLeast"/>
        <w:ind w:firstLine="420"/>
        <w:jc w:val="left"/>
        <w:textAlignment w:val="auto"/>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 xml:space="preserve">6、评标方法： </w:t>
      </w:r>
      <w:r>
        <w:rPr>
          <w:rFonts w:ascii="宋体" w:hAnsi="宋体" w:eastAsia="宋体" w:cs="宋体"/>
          <w:color w:val="auto"/>
          <w:kern w:val="0"/>
          <w:szCs w:val="21"/>
          <w:highlight w:val="none"/>
        </w:rPr>
        <w:drawing>
          <wp:inline distT="0" distB="0" distL="114300" distR="114300">
            <wp:extent cx="257175" cy="209550"/>
            <wp:effectExtent l="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257175" cy="209550"/>
                    </a:xfrm>
                    <a:prstGeom prst="rect">
                      <a:avLst/>
                    </a:prstGeom>
                    <a:noFill/>
                    <a:ln>
                      <a:noFill/>
                    </a:ln>
                  </pic:spPr>
                </pic:pic>
              </a:graphicData>
            </a:graphic>
          </wp:inline>
        </w:drawing>
      </w:r>
      <w:r>
        <w:rPr>
          <w:rFonts w:ascii="宋体" w:hAnsi="宋体" w:eastAsia="宋体" w:cs="宋体"/>
          <w:color w:val="auto"/>
          <w:kern w:val="0"/>
          <w:szCs w:val="21"/>
          <w:highlight w:val="none"/>
        </w:rPr>
        <w:t xml:space="preserve">最低价法 </w:t>
      </w:r>
      <w:r>
        <w:rPr>
          <w:rFonts w:ascii="宋体" w:hAnsi="宋体" w:eastAsia="宋体" w:cs="宋体"/>
          <w:color w:val="auto"/>
          <w:kern w:val="0"/>
          <w:szCs w:val="21"/>
          <w:highlight w:val="none"/>
        </w:rPr>
        <w:fldChar w:fldCharType="begin"/>
      </w:r>
      <w:r>
        <w:rPr>
          <w:rFonts w:hint="eastAsia" w:ascii="宋体" w:hAnsi="宋体" w:eastAsia="宋体" w:cs="宋体"/>
          <w:color w:val="auto"/>
          <w:kern w:val="0"/>
          <w:szCs w:val="21"/>
          <w:highlight w:val="none"/>
        </w:rPr>
        <w:instrText xml:space="preserve">eq \o\ac(</w:instrText>
      </w:r>
      <w:r>
        <w:rPr>
          <w:rFonts w:hint="eastAsia" w:ascii="宋体" w:hAnsi="宋体" w:eastAsia="宋体" w:cs="宋体"/>
          <w:color w:val="auto"/>
          <w:kern w:val="0"/>
          <w:position w:val="-2"/>
          <w:sz w:val="31"/>
          <w:szCs w:val="21"/>
          <w:highlight w:val="none"/>
        </w:rPr>
        <w:instrText xml:space="preserve">□</w:instrText>
      </w:r>
      <w:r>
        <w:rPr>
          <w:rFonts w:hint="eastAsia" w:ascii="宋体" w:hAnsi="宋体" w:eastAsia="宋体" w:cs="宋体"/>
          <w:color w:val="auto"/>
          <w:kern w:val="0"/>
          <w:szCs w:val="21"/>
          <w:highlight w:val="none"/>
        </w:rPr>
        <w:instrText xml:space="preserve">,√)</w:instrText>
      </w:r>
      <w:r>
        <w:rPr>
          <w:rFonts w:ascii="宋体" w:hAnsi="宋体" w:eastAsia="宋体" w:cs="宋体"/>
          <w:color w:val="auto"/>
          <w:kern w:val="0"/>
          <w:szCs w:val="21"/>
          <w:highlight w:val="none"/>
        </w:rPr>
        <w:fldChar w:fldCharType="end"/>
      </w:r>
      <w:r>
        <w:rPr>
          <w:rFonts w:ascii="宋体" w:hAnsi="宋体" w:eastAsia="宋体" w:cs="宋体"/>
          <w:color w:val="auto"/>
          <w:kern w:val="0"/>
          <w:szCs w:val="21"/>
          <w:highlight w:val="none"/>
        </w:rPr>
        <w:t xml:space="preserve">综合评分法 </w:t>
      </w:r>
    </w:p>
    <w:p w14:paraId="28D7E796">
      <w:pPr>
        <w:keepNext w:val="0"/>
        <w:keepLines w:val="0"/>
        <w:pageBreakBefore w:val="0"/>
        <w:widowControl/>
        <w:kinsoku/>
        <w:wordWrap/>
        <w:overflowPunct/>
        <w:topLinePunct w:val="0"/>
        <w:autoSpaceDE/>
        <w:autoSpaceDN/>
        <w:bidi w:val="0"/>
        <w:adjustRightInd/>
        <w:snapToGrid/>
        <w:spacing w:line="420" w:lineRule="atLeast"/>
        <w:ind w:firstLine="420"/>
        <w:jc w:val="left"/>
        <w:textAlignment w:val="auto"/>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 xml:space="preserve">7、合同定价方式： </w:t>
      </w:r>
      <w:r>
        <w:rPr>
          <w:rFonts w:ascii="宋体" w:hAnsi="宋体" w:eastAsia="宋体" w:cs="宋体"/>
          <w:color w:val="auto"/>
          <w:kern w:val="0"/>
          <w:szCs w:val="21"/>
          <w:highlight w:val="none"/>
        </w:rPr>
        <w:drawing>
          <wp:inline distT="0" distB="0" distL="114300" distR="114300">
            <wp:extent cx="257175" cy="209550"/>
            <wp:effectExtent l="0" t="0" r="9525" b="0"/>
            <wp:docPr id="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pic:cNvPicPr>
                      <a:picLocks noChangeAspect="1"/>
                    </pic:cNvPicPr>
                  </pic:nvPicPr>
                  <pic:blipFill>
                    <a:blip r:embed="rId11"/>
                    <a:stretch>
                      <a:fillRect/>
                    </a:stretch>
                  </pic:blipFill>
                  <pic:spPr>
                    <a:xfrm>
                      <a:off x="0" y="0"/>
                      <a:ext cx="257175" cy="209550"/>
                    </a:xfrm>
                    <a:prstGeom prst="rect">
                      <a:avLst/>
                    </a:prstGeom>
                    <a:noFill/>
                    <a:ln>
                      <a:noFill/>
                    </a:ln>
                  </pic:spPr>
                </pic:pic>
              </a:graphicData>
            </a:graphic>
          </wp:inline>
        </w:drawing>
      </w:r>
      <w:r>
        <w:rPr>
          <w:rFonts w:ascii="宋体" w:hAnsi="宋体" w:eastAsia="宋体" w:cs="宋体"/>
          <w:color w:val="auto"/>
          <w:kern w:val="0"/>
          <w:szCs w:val="21"/>
          <w:highlight w:val="none"/>
        </w:rPr>
        <w:t xml:space="preserve">固定总价 </w:t>
      </w:r>
      <w:r>
        <w:rPr>
          <w:rFonts w:ascii="宋体" w:hAnsi="宋体" w:eastAsia="宋体" w:cs="宋体"/>
          <w:color w:val="auto"/>
          <w:kern w:val="0"/>
          <w:szCs w:val="21"/>
          <w:highlight w:val="none"/>
        </w:rPr>
        <w:fldChar w:fldCharType="begin"/>
      </w:r>
      <w:r>
        <w:rPr>
          <w:rFonts w:hint="eastAsia" w:ascii="宋体" w:hAnsi="宋体" w:eastAsia="宋体" w:cs="宋体"/>
          <w:color w:val="auto"/>
          <w:kern w:val="0"/>
          <w:szCs w:val="21"/>
          <w:highlight w:val="none"/>
        </w:rPr>
        <w:instrText xml:space="preserve">eq \o\ac(</w:instrText>
      </w:r>
      <w:r>
        <w:rPr>
          <w:rFonts w:hint="eastAsia" w:ascii="宋体" w:hAnsi="宋体" w:eastAsia="宋体" w:cs="宋体"/>
          <w:color w:val="auto"/>
          <w:kern w:val="0"/>
          <w:position w:val="-2"/>
          <w:sz w:val="31"/>
          <w:szCs w:val="21"/>
          <w:highlight w:val="none"/>
        </w:rPr>
        <w:instrText xml:space="preserve">□</w:instrText>
      </w:r>
      <w:r>
        <w:rPr>
          <w:rFonts w:hint="eastAsia" w:ascii="宋体" w:hAnsi="宋体" w:eastAsia="宋体" w:cs="宋体"/>
          <w:color w:val="auto"/>
          <w:kern w:val="0"/>
          <w:position w:val="-2"/>
          <w:sz w:val="31"/>
          <w:szCs w:val="21"/>
          <w:highlight w:val="none"/>
          <w:lang w:eastAsia="zh-CN"/>
        </w:rPr>
        <w:instrText xml:space="preserve">,</w:instrText>
      </w:r>
      <w:r>
        <w:rPr>
          <w:rFonts w:hint="eastAsia" w:ascii="宋体" w:hAnsi="宋体" w:eastAsia="宋体" w:cs="宋体"/>
          <w:color w:val="auto"/>
          <w:kern w:val="0"/>
          <w:position w:val="1"/>
          <w:sz w:val="21"/>
          <w:szCs w:val="21"/>
          <w:highlight w:val="none"/>
          <w:lang w:eastAsia="zh-CN"/>
        </w:rPr>
        <w:instrText xml:space="preserve">√</w:instrText>
      </w:r>
      <w:r>
        <w:rPr>
          <w:rFonts w:hint="eastAsia" w:ascii="宋体" w:hAnsi="宋体" w:eastAsia="宋体" w:cs="宋体"/>
          <w:color w:val="auto"/>
          <w:kern w:val="0"/>
          <w:szCs w:val="21"/>
          <w:highlight w:val="none"/>
        </w:rPr>
        <w:instrText xml:space="preserve">)</w:instrText>
      </w:r>
      <w:r>
        <w:rPr>
          <w:rFonts w:ascii="宋体" w:hAnsi="宋体" w:eastAsia="宋体" w:cs="宋体"/>
          <w:color w:val="auto"/>
          <w:kern w:val="0"/>
          <w:szCs w:val="21"/>
          <w:highlight w:val="none"/>
        </w:rPr>
        <w:fldChar w:fldCharType="end"/>
      </w:r>
      <w:r>
        <w:rPr>
          <w:rFonts w:ascii="宋体" w:hAnsi="宋体" w:eastAsia="宋体" w:cs="宋体"/>
          <w:color w:val="auto"/>
          <w:kern w:val="0"/>
          <w:szCs w:val="21"/>
          <w:highlight w:val="none"/>
        </w:rPr>
        <w:t xml:space="preserve">固定单价 </w:t>
      </w:r>
      <w:r>
        <w:rPr>
          <w:rFonts w:ascii="宋体" w:hAnsi="宋体" w:eastAsia="宋体" w:cs="宋体"/>
          <w:color w:val="auto"/>
          <w:kern w:val="0"/>
          <w:szCs w:val="21"/>
          <w:highlight w:val="none"/>
        </w:rPr>
        <w:drawing>
          <wp:inline distT="0" distB="0" distL="114300" distR="114300">
            <wp:extent cx="257175" cy="209550"/>
            <wp:effectExtent l="0" t="0" r="9525" b="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icPr>
                  <pic:blipFill>
                    <a:blip r:embed="rId11"/>
                    <a:stretch>
                      <a:fillRect/>
                    </a:stretch>
                  </pic:blipFill>
                  <pic:spPr>
                    <a:xfrm>
                      <a:off x="0" y="0"/>
                      <a:ext cx="257175" cy="209550"/>
                    </a:xfrm>
                    <a:prstGeom prst="rect">
                      <a:avLst/>
                    </a:prstGeom>
                    <a:noFill/>
                    <a:ln>
                      <a:noFill/>
                    </a:ln>
                  </pic:spPr>
                </pic:pic>
              </a:graphicData>
            </a:graphic>
          </wp:inline>
        </w:drawing>
      </w:r>
      <w:r>
        <w:rPr>
          <w:rFonts w:ascii="宋体" w:hAnsi="宋体" w:eastAsia="宋体" w:cs="宋体"/>
          <w:color w:val="auto"/>
          <w:kern w:val="0"/>
          <w:szCs w:val="21"/>
          <w:highlight w:val="none"/>
        </w:rPr>
        <w:t xml:space="preserve">成本补偿 </w:t>
      </w:r>
      <w:r>
        <w:rPr>
          <w:rFonts w:ascii="宋体" w:hAnsi="宋体" w:eastAsia="宋体" w:cs="宋体"/>
          <w:color w:val="auto"/>
          <w:kern w:val="0"/>
          <w:szCs w:val="21"/>
          <w:highlight w:val="none"/>
        </w:rPr>
        <w:drawing>
          <wp:inline distT="0" distB="0" distL="114300" distR="114300">
            <wp:extent cx="257175" cy="209550"/>
            <wp:effectExtent l="0" t="0" r="9525"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icPr>
                  <pic:blipFill>
                    <a:blip r:embed="rId11"/>
                    <a:stretch>
                      <a:fillRect/>
                    </a:stretch>
                  </pic:blipFill>
                  <pic:spPr>
                    <a:xfrm>
                      <a:off x="0" y="0"/>
                      <a:ext cx="257175" cy="209550"/>
                    </a:xfrm>
                    <a:prstGeom prst="rect">
                      <a:avLst/>
                    </a:prstGeom>
                    <a:noFill/>
                    <a:ln>
                      <a:noFill/>
                    </a:ln>
                  </pic:spPr>
                </pic:pic>
              </a:graphicData>
            </a:graphic>
          </wp:inline>
        </w:drawing>
      </w:r>
      <w:r>
        <w:rPr>
          <w:rFonts w:ascii="宋体" w:hAnsi="宋体" w:eastAsia="宋体" w:cs="宋体"/>
          <w:color w:val="auto"/>
          <w:kern w:val="0"/>
          <w:szCs w:val="21"/>
          <w:highlight w:val="none"/>
        </w:rPr>
        <w:t xml:space="preserve">绩效激励 </w:t>
      </w:r>
    </w:p>
    <w:p w14:paraId="24B7CC37">
      <w:pPr>
        <w:keepNext w:val="0"/>
        <w:keepLines w:val="0"/>
        <w:pageBreakBefore w:val="0"/>
        <w:widowControl/>
        <w:kinsoku/>
        <w:wordWrap/>
        <w:overflowPunct/>
        <w:topLinePunct w:val="0"/>
        <w:autoSpaceDE/>
        <w:autoSpaceDN/>
        <w:bidi w:val="0"/>
        <w:adjustRightInd/>
        <w:snapToGrid/>
        <w:spacing w:line="420" w:lineRule="atLeast"/>
        <w:ind w:firstLine="420"/>
        <w:jc w:val="left"/>
        <w:textAlignment w:val="auto"/>
        <w:rPr>
          <w:rFonts w:hint="eastAsia" w:ascii="Times New Roman" w:hAnsi="Times New Roman" w:eastAsia="宋体" w:cs="Times New Roman"/>
          <w:color w:val="auto"/>
          <w:szCs w:val="21"/>
          <w:highlight w:val="none"/>
          <w:u w:val="single"/>
          <w:lang w:eastAsia="zh-CN"/>
        </w:rPr>
      </w:pPr>
      <w:r>
        <w:rPr>
          <w:rFonts w:ascii="宋体" w:hAnsi="宋体" w:eastAsia="宋体" w:cs="宋体"/>
          <w:color w:val="auto"/>
          <w:kern w:val="0"/>
          <w:szCs w:val="21"/>
          <w:highlight w:val="none"/>
        </w:rPr>
        <w:t>8、合同履行期限：</w:t>
      </w:r>
      <w:r>
        <w:rPr>
          <w:rFonts w:hint="eastAsia" w:ascii="宋体" w:hAnsi="宋体" w:eastAsia="宋体" w:cs="宋体"/>
          <w:color w:val="auto"/>
          <w:kern w:val="0"/>
          <w:szCs w:val="21"/>
          <w:highlight w:val="none"/>
          <w:u w:val="single"/>
        </w:rPr>
        <w:t>60日历天</w:t>
      </w:r>
      <w:r>
        <w:rPr>
          <w:rFonts w:hint="eastAsia" w:ascii="宋体" w:hAnsi="宋体" w:eastAsia="宋体" w:cs="宋体"/>
          <w:color w:val="auto"/>
          <w:kern w:val="0"/>
          <w:szCs w:val="21"/>
          <w:highlight w:val="none"/>
          <w:u w:val="single"/>
          <w:lang w:eastAsia="zh-CN"/>
        </w:rPr>
        <w:t>。</w:t>
      </w:r>
    </w:p>
    <w:p w14:paraId="2346F325">
      <w:pPr>
        <w:keepNext w:val="0"/>
        <w:keepLines w:val="0"/>
        <w:pageBreakBefore w:val="0"/>
        <w:widowControl/>
        <w:kinsoku/>
        <w:wordWrap/>
        <w:overflowPunct/>
        <w:topLinePunct w:val="0"/>
        <w:autoSpaceDE/>
        <w:autoSpaceDN/>
        <w:bidi w:val="0"/>
        <w:adjustRightInd/>
        <w:snapToGrid/>
        <w:spacing w:line="420" w:lineRule="atLeast"/>
        <w:ind w:firstLine="420"/>
        <w:jc w:val="left"/>
        <w:textAlignment w:val="auto"/>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9、本项目分阶段要求投标人提供以下保证：</w:t>
      </w:r>
    </w:p>
    <w:p w14:paraId="4D519101">
      <w:pPr>
        <w:keepNext w:val="0"/>
        <w:keepLines w:val="0"/>
        <w:pageBreakBefore w:val="0"/>
        <w:widowControl/>
        <w:kinsoku/>
        <w:wordWrap/>
        <w:overflowPunct/>
        <w:topLinePunct w:val="0"/>
        <w:autoSpaceDE/>
        <w:autoSpaceDN/>
        <w:bidi w:val="0"/>
        <w:adjustRightInd/>
        <w:snapToGrid/>
        <w:spacing w:line="420" w:lineRule="atLeast"/>
        <w:ind w:firstLine="840"/>
        <w:jc w:val="left"/>
        <w:textAlignment w:val="auto"/>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drawing>
          <wp:inline distT="0" distB="0" distL="114300" distR="114300">
            <wp:extent cx="257175" cy="209550"/>
            <wp:effectExtent l="0" t="0" r="9525" b="0"/>
            <wp:docPr id="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7"/>
                    <pic:cNvPicPr>
                      <a:picLocks noChangeAspect="1"/>
                    </pic:cNvPicPr>
                  </pic:nvPicPr>
                  <pic:blipFill>
                    <a:blip r:embed="rId11"/>
                    <a:stretch>
                      <a:fillRect/>
                    </a:stretch>
                  </pic:blipFill>
                  <pic:spPr>
                    <a:xfrm>
                      <a:off x="0" y="0"/>
                      <a:ext cx="257175" cy="209550"/>
                    </a:xfrm>
                    <a:prstGeom prst="rect">
                      <a:avLst/>
                    </a:prstGeom>
                    <a:noFill/>
                    <a:ln>
                      <a:noFill/>
                    </a:ln>
                  </pic:spPr>
                </pic:pic>
              </a:graphicData>
            </a:graphic>
          </wp:inline>
        </w:drawing>
      </w:r>
      <w:r>
        <w:rPr>
          <w:rFonts w:ascii="宋体" w:hAnsi="宋体" w:eastAsia="宋体" w:cs="宋体"/>
          <w:color w:val="auto"/>
          <w:kern w:val="0"/>
          <w:szCs w:val="21"/>
          <w:highlight w:val="none"/>
        </w:rPr>
        <w:t>投标保证金：采购项目预算的</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lang w:val="en-US" w:eastAsia="zh-CN"/>
        </w:rPr>
        <w:t>/</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rPr>
        <w:t>%；</w:t>
      </w:r>
    </w:p>
    <w:p w14:paraId="5F987239">
      <w:pPr>
        <w:keepNext w:val="0"/>
        <w:keepLines w:val="0"/>
        <w:pageBreakBefore w:val="0"/>
        <w:widowControl/>
        <w:kinsoku/>
        <w:wordWrap/>
        <w:overflowPunct/>
        <w:topLinePunct w:val="0"/>
        <w:autoSpaceDE/>
        <w:autoSpaceDN/>
        <w:bidi w:val="0"/>
        <w:adjustRightInd/>
        <w:snapToGrid/>
        <w:spacing w:line="420" w:lineRule="atLeast"/>
        <w:ind w:firstLine="840"/>
        <w:jc w:val="left"/>
        <w:textAlignment w:val="auto"/>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fldChar w:fldCharType="begin"/>
      </w:r>
      <w:r>
        <w:rPr>
          <w:rFonts w:hint="eastAsia" w:ascii="宋体" w:hAnsi="宋体" w:eastAsia="宋体" w:cs="宋体"/>
          <w:color w:val="auto"/>
          <w:kern w:val="0"/>
          <w:szCs w:val="21"/>
          <w:highlight w:val="none"/>
        </w:rPr>
        <w:instrText xml:space="preserve">eq \o\ac(</w:instrText>
      </w:r>
      <w:r>
        <w:rPr>
          <w:rFonts w:hint="eastAsia" w:ascii="宋体" w:hAnsi="宋体" w:eastAsia="宋体" w:cs="宋体"/>
          <w:color w:val="auto"/>
          <w:kern w:val="0"/>
          <w:position w:val="-2"/>
          <w:sz w:val="31"/>
          <w:szCs w:val="21"/>
          <w:highlight w:val="none"/>
        </w:rPr>
        <w:instrText xml:space="preserve">□</w:instrText>
      </w:r>
      <w:r>
        <w:rPr>
          <w:rFonts w:hint="eastAsia" w:ascii="宋体" w:hAnsi="宋体" w:eastAsia="宋体" w:cs="宋体"/>
          <w:color w:val="auto"/>
          <w:kern w:val="0"/>
          <w:szCs w:val="21"/>
          <w:highlight w:val="none"/>
        </w:rPr>
        <w:instrText xml:space="preserve">,√)</w:instrText>
      </w:r>
      <w:r>
        <w:rPr>
          <w:rFonts w:ascii="宋体" w:hAnsi="宋体" w:eastAsia="宋体" w:cs="宋体"/>
          <w:color w:val="auto"/>
          <w:kern w:val="0"/>
          <w:szCs w:val="21"/>
          <w:highlight w:val="none"/>
        </w:rPr>
        <w:fldChar w:fldCharType="end"/>
      </w:r>
      <w:r>
        <w:rPr>
          <w:rFonts w:ascii="宋体" w:hAnsi="宋体" w:eastAsia="宋体" w:cs="宋体"/>
          <w:color w:val="auto"/>
          <w:kern w:val="0"/>
          <w:szCs w:val="21"/>
          <w:highlight w:val="none"/>
        </w:rPr>
        <w:t>履约保证金：中标金额的</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lang w:val="en-US" w:eastAsia="zh-CN"/>
        </w:rPr>
        <w:t>5</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rPr>
        <w:t>%；</w:t>
      </w:r>
    </w:p>
    <w:p w14:paraId="3398E8B9">
      <w:pPr>
        <w:keepNext w:val="0"/>
        <w:keepLines w:val="0"/>
        <w:pageBreakBefore w:val="0"/>
        <w:widowControl/>
        <w:kinsoku/>
        <w:wordWrap/>
        <w:overflowPunct/>
        <w:topLinePunct w:val="0"/>
        <w:autoSpaceDE/>
        <w:autoSpaceDN/>
        <w:bidi w:val="0"/>
        <w:adjustRightInd/>
        <w:snapToGrid/>
        <w:spacing w:line="420" w:lineRule="atLeast"/>
        <w:ind w:firstLine="840"/>
        <w:jc w:val="left"/>
        <w:textAlignment w:val="auto"/>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drawing>
          <wp:inline distT="0" distB="0" distL="114300" distR="114300">
            <wp:extent cx="257175" cy="209550"/>
            <wp:effectExtent l="0" t="0" r="9525" b="0"/>
            <wp:docPr id="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pic:cNvPicPr>
                      <a:picLocks noChangeAspect="1"/>
                    </pic:cNvPicPr>
                  </pic:nvPicPr>
                  <pic:blipFill>
                    <a:blip r:embed="rId11"/>
                    <a:stretch>
                      <a:fillRect/>
                    </a:stretch>
                  </pic:blipFill>
                  <pic:spPr>
                    <a:xfrm>
                      <a:off x="0" y="0"/>
                      <a:ext cx="257175" cy="209550"/>
                    </a:xfrm>
                    <a:prstGeom prst="rect">
                      <a:avLst/>
                    </a:prstGeom>
                    <a:noFill/>
                    <a:ln>
                      <a:noFill/>
                    </a:ln>
                  </pic:spPr>
                </pic:pic>
              </a:graphicData>
            </a:graphic>
          </wp:inline>
        </w:drawing>
      </w:r>
      <w:r>
        <w:rPr>
          <w:rFonts w:ascii="宋体" w:hAnsi="宋体" w:eastAsia="宋体" w:cs="宋体"/>
          <w:color w:val="auto"/>
          <w:kern w:val="0"/>
          <w:szCs w:val="21"/>
          <w:highlight w:val="none"/>
        </w:rPr>
        <w:t>预付款保证金：预付款的</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rPr>
        <w:t>%；</w:t>
      </w:r>
    </w:p>
    <w:p w14:paraId="2A2C2176">
      <w:pPr>
        <w:keepNext w:val="0"/>
        <w:keepLines w:val="0"/>
        <w:pageBreakBefore w:val="0"/>
        <w:widowControl/>
        <w:kinsoku/>
        <w:wordWrap/>
        <w:overflowPunct/>
        <w:topLinePunct w:val="0"/>
        <w:autoSpaceDE/>
        <w:autoSpaceDN/>
        <w:bidi w:val="0"/>
        <w:adjustRightInd/>
        <w:snapToGrid/>
        <w:spacing w:line="420" w:lineRule="atLeast"/>
        <w:ind w:firstLine="840"/>
        <w:jc w:val="left"/>
        <w:textAlignment w:val="auto"/>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fldChar w:fldCharType="begin"/>
      </w:r>
      <w:r>
        <w:rPr>
          <w:rFonts w:hint="eastAsia" w:ascii="宋体" w:hAnsi="宋体" w:eastAsia="宋体" w:cs="宋体"/>
          <w:color w:val="auto"/>
          <w:kern w:val="0"/>
          <w:szCs w:val="21"/>
          <w:highlight w:val="none"/>
        </w:rPr>
        <w:instrText xml:space="preserve">eq \o\ac(</w:instrText>
      </w:r>
      <w:r>
        <w:rPr>
          <w:rFonts w:hint="eastAsia" w:ascii="宋体" w:hAnsi="宋体" w:eastAsia="宋体" w:cs="宋体"/>
          <w:color w:val="auto"/>
          <w:kern w:val="0"/>
          <w:position w:val="-2"/>
          <w:sz w:val="31"/>
          <w:szCs w:val="21"/>
          <w:highlight w:val="none"/>
        </w:rPr>
        <w:instrText xml:space="preserve">□</w:instrText>
      </w:r>
      <w:r>
        <w:rPr>
          <w:rFonts w:hint="eastAsia" w:ascii="宋体" w:hAnsi="宋体" w:eastAsia="宋体" w:cs="宋体"/>
          <w:color w:val="auto"/>
          <w:kern w:val="0"/>
          <w:szCs w:val="21"/>
          <w:highlight w:val="none"/>
        </w:rPr>
        <w:instrText xml:space="preserve">,√)</w:instrText>
      </w:r>
      <w:r>
        <w:rPr>
          <w:rFonts w:ascii="宋体" w:hAnsi="宋体" w:eastAsia="宋体" w:cs="宋体"/>
          <w:color w:val="auto"/>
          <w:kern w:val="0"/>
          <w:szCs w:val="21"/>
          <w:highlight w:val="none"/>
        </w:rPr>
        <w:fldChar w:fldCharType="end"/>
      </w:r>
      <w:r>
        <w:rPr>
          <w:rFonts w:ascii="宋体" w:hAnsi="宋体" w:eastAsia="宋体" w:cs="宋体"/>
          <w:color w:val="auto"/>
          <w:kern w:val="0"/>
          <w:szCs w:val="21"/>
          <w:highlight w:val="none"/>
        </w:rPr>
        <w:t>质量保证金：合同金额的</w:t>
      </w:r>
      <w:r>
        <w:rPr>
          <w:rFonts w:ascii="宋体" w:hAnsi="宋体" w:eastAsia="宋体" w:cs="宋体"/>
          <w:color w:val="auto"/>
          <w:kern w:val="0"/>
          <w:szCs w:val="21"/>
          <w:highlight w:val="none"/>
          <w:u w:val="single"/>
        </w:rPr>
        <w:t>3</w:t>
      </w:r>
      <w:r>
        <w:rPr>
          <w:rFonts w:hint="eastAsia" w:ascii="宋体" w:hAnsi="宋体" w:eastAsia="宋体" w:cs="宋体"/>
          <w:color w:val="auto"/>
          <w:kern w:val="0"/>
          <w:szCs w:val="21"/>
          <w:highlight w:val="none"/>
          <w:u w:val="single"/>
          <w:lang w:val="en-US" w:eastAsia="zh-CN"/>
        </w:rPr>
        <w:t xml:space="preserve"> </w:t>
      </w:r>
      <w:r>
        <w:rPr>
          <w:rFonts w:ascii="宋体" w:hAnsi="宋体" w:eastAsia="宋体" w:cs="宋体"/>
          <w:color w:val="auto"/>
          <w:kern w:val="0"/>
          <w:szCs w:val="21"/>
          <w:highlight w:val="none"/>
        </w:rPr>
        <w:t>%；</w:t>
      </w:r>
    </w:p>
    <w:p w14:paraId="65953560">
      <w:pPr>
        <w:keepNext w:val="0"/>
        <w:keepLines w:val="0"/>
        <w:widowControl/>
        <w:spacing w:before="140" w:after="60" w:line="413" w:lineRule="auto"/>
        <w:jc w:val="both"/>
        <w:outlineLvl w:val="2"/>
        <w:rPr>
          <w:rFonts w:ascii="Times New Roman" w:hAnsi="Times New Roman" w:eastAsia="宋体" w:cs="Times New Roman"/>
          <w:b/>
          <w:bCs/>
          <w:color w:val="auto"/>
          <w:kern w:val="2"/>
          <w:sz w:val="21"/>
          <w:szCs w:val="21"/>
          <w:highlight w:val="none"/>
          <w:lang w:val="en-US" w:eastAsia="zh-CN" w:bidi="ar-SA"/>
        </w:rPr>
      </w:pPr>
      <w:bookmarkStart w:id="12" w:name="_Toc3240"/>
      <w:bookmarkStart w:id="13" w:name="_Toc142040832"/>
      <w:bookmarkStart w:id="14" w:name="_Toc17926"/>
      <w:r>
        <w:rPr>
          <w:rFonts w:ascii="Times New Roman" w:hAnsi="Times New Roman" w:eastAsia="宋体" w:cs="Times New Roman"/>
          <w:b/>
          <w:bCs/>
          <w:color w:val="auto"/>
          <w:kern w:val="2"/>
          <w:sz w:val="21"/>
          <w:szCs w:val="21"/>
          <w:highlight w:val="none"/>
          <w:lang w:val="en-US" w:eastAsia="zh-CN" w:bidi="ar-SA"/>
        </w:rPr>
        <w:t>二、采购人的采购需求</w:t>
      </w:r>
      <w:bookmarkEnd w:id="12"/>
      <w:bookmarkEnd w:id="13"/>
      <w:bookmarkEnd w:id="14"/>
    </w:p>
    <w:tbl>
      <w:tblPr>
        <w:tblStyle w:val="24"/>
        <w:tblW w:w="5249"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3"/>
        <w:gridCol w:w="1403"/>
        <w:gridCol w:w="1381"/>
        <w:gridCol w:w="1470"/>
        <w:gridCol w:w="600"/>
        <w:gridCol w:w="1335"/>
        <w:gridCol w:w="915"/>
        <w:gridCol w:w="945"/>
      </w:tblGrid>
      <w:tr w14:paraId="48119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5" w:hRule="atLeast"/>
          <w:tblCellSpacing w:w="0" w:type="dxa"/>
          <w:jc w:val="center"/>
        </w:trPr>
        <w:tc>
          <w:tcPr>
            <w:tcW w:w="396" w:type="pct"/>
            <w:noWrap/>
            <w:vAlign w:val="center"/>
          </w:tcPr>
          <w:p w14:paraId="2B207F27">
            <w:pPr>
              <w:widowControl/>
              <w:spacing w:line="420" w:lineRule="atLeast"/>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包名称</w:t>
            </w:r>
          </w:p>
        </w:tc>
        <w:tc>
          <w:tcPr>
            <w:tcW w:w="802" w:type="pct"/>
            <w:noWrap/>
            <w:vAlign w:val="center"/>
          </w:tcPr>
          <w:p w14:paraId="30F5E74C">
            <w:pPr>
              <w:widowControl/>
              <w:spacing w:line="420" w:lineRule="atLeast"/>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最高限价（元）</w:t>
            </w:r>
          </w:p>
        </w:tc>
        <w:tc>
          <w:tcPr>
            <w:tcW w:w="789" w:type="pct"/>
            <w:noWrap/>
            <w:vAlign w:val="center"/>
          </w:tcPr>
          <w:p w14:paraId="456B5259">
            <w:pPr>
              <w:widowControl/>
              <w:spacing w:line="420" w:lineRule="atLeast"/>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标的名称</w:t>
            </w:r>
          </w:p>
        </w:tc>
        <w:tc>
          <w:tcPr>
            <w:tcW w:w="840" w:type="pct"/>
            <w:noWrap/>
            <w:vAlign w:val="center"/>
          </w:tcPr>
          <w:p w14:paraId="51EE2810">
            <w:pPr>
              <w:widowControl/>
              <w:spacing w:line="420" w:lineRule="atLeast"/>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简要技术要求</w:t>
            </w:r>
          </w:p>
        </w:tc>
        <w:tc>
          <w:tcPr>
            <w:tcW w:w="343" w:type="pct"/>
            <w:noWrap/>
            <w:vAlign w:val="center"/>
          </w:tcPr>
          <w:p w14:paraId="0BCDCBFC">
            <w:pPr>
              <w:widowControl/>
              <w:spacing w:line="420" w:lineRule="atLeast"/>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数量</w:t>
            </w:r>
          </w:p>
        </w:tc>
        <w:tc>
          <w:tcPr>
            <w:tcW w:w="763" w:type="pct"/>
            <w:noWrap/>
            <w:vAlign w:val="center"/>
          </w:tcPr>
          <w:p w14:paraId="70ED4932">
            <w:pPr>
              <w:widowControl/>
              <w:spacing w:line="420" w:lineRule="atLeast"/>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标的预算（元）</w:t>
            </w:r>
          </w:p>
        </w:tc>
        <w:tc>
          <w:tcPr>
            <w:tcW w:w="523" w:type="pct"/>
            <w:noWrap/>
            <w:vAlign w:val="center"/>
          </w:tcPr>
          <w:p w14:paraId="027DDDDF">
            <w:pPr>
              <w:widowControl/>
              <w:spacing w:line="420" w:lineRule="atLeast"/>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节能产品</w:t>
            </w:r>
          </w:p>
        </w:tc>
        <w:tc>
          <w:tcPr>
            <w:tcW w:w="540" w:type="pct"/>
            <w:noWrap/>
            <w:vAlign w:val="center"/>
          </w:tcPr>
          <w:p w14:paraId="1484B287">
            <w:pPr>
              <w:widowControl/>
              <w:spacing w:line="420" w:lineRule="atLeast"/>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进口产品</w:t>
            </w:r>
          </w:p>
        </w:tc>
      </w:tr>
      <w:tr w14:paraId="3F9C9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396" w:type="pct"/>
            <w:noWrap/>
            <w:vAlign w:val="center"/>
          </w:tcPr>
          <w:p w14:paraId="528306EF">
            <w:pPr>
              <w:widowControl/>
              <w:spacing w:before="75" w:line="420" w:lineRule="atLeast"/>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包1</w:t>
            </w:r>
          </w:p>
        </w:tc>
        <w:tc>
          <w:tcPr>
            <w:tcW w:w="802" w:type="pct"/>
            <w:noWrap/>
            <w:vAlign w:val="center"/>
          </w:tcPr>
          <w:p w14:paraId="73094F2C">
            <w:pPr>
              <w:widowControl/>
              <w:spacing w:line="420" w:lineRule="atLeast"/>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3791177.72元</w:t>
            </w:r>
          </w:p>
        </w:tc>
        <w:tc>
          <w:tcPr>
            <w:tcW w:w="789" w:type="pct"/>
            <w:noWrap/>
            <w:vAlign w:val="center"/>
          </w:tcPr>
          <w:p w14:paraId="4DF85670">
            <w:pPr>
              <w:widowControl/>
              <w:spacing w:line="300" w:lineRule="atLeast"/>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湖南科技学院南大门新征土地道路等建设项目</w:t>
            </w:r>
          </w:p>
        </w:tc>
        <w:tc>
          <w:tcPr>
            <w:tcW w:w="840" w:type="pct"/>
            <w:noWrap/>
            <w:vAlign w:val="center"/>
          </w:tcPr>
          <w:p w14:paraId="5207B957">
            <w:pPr>
              <w:widowControl/>
              <w:spacing w:line="300" w:lineRule="atLeast"/>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详见第四章采购需求</w:t>
            </w:r>
          </w:p>
        </w:tc>
        <w:tc>
          <w:tcPr>
            <w:tcW w:w="343" w:type="pct"/>
            <w:noWrap/>
            <w:vAlign w:val="center"/>
          </w:tcPr>
          <w:p w14:paraId="785D74F6">
            <w:pPr>
              <w:widowControl/>
              <w:spacing w:line="420" w:lineRule="atLeast"/>
              <w:jc w:val="center"/>
              <w:rPr>
                <w:rFonts w:ascii="宋体" w:hAnsi="宋体" w:eastAsia="宋体" w:cs="宋体"/>
                <w:color w:val="auto"/>
                <w:kern w:val="0"/>
                <w:szCs w:val="21"/>
                <w:highlight w:val="none"/>
              </w:rPr>
            </w:pPr>
            <w:r>
              <w:rPr>
                <w:rFonts w:ascii="宋体" w:hAnsi="宋体" w:eastAsia="宋体" w:cs="宋体"/>
                <w:color w:val="auto"/>
                <w:kern w:val="0"/>
                <w:szCs w:val="21"/>
                <w:highlight w:val="none"/>
              </w:rPr>
              <w:t>1</w:t>
            </w:r>
          </w:p>
        </w:tc>
        <w:tc>
          <w:tcPr>
            <w:tcW w:w="763" w:type="pct"/>
            <w:noWrap/>
            <w:vAlign w:val="center"/>
          </w:tcPr>
          <w:p w14:paraId="1C97D151">
            <w:pPr>
              <w:widowControl/>
              <w:spacing w:line="420" w:lineRule="atLeast"/>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3791177.72元</w:t>
            </w:r>
          </w:p>
        </w:tc>
        <w:tc>
          <w:tcPr>
            <w:tcW w:w="523" w:type="pct"/>
            <w:noWrap/>
            <w:vAlign w:val="center"/>
          </w:tcPr>
          <w:p w14:paraId="1A09256B">
            <w:pPr>
              <w:widowControl/>
              <w:spacing w:before="75" w:line="420" w:lineRule="atLeast"/>
              <w:ind w:firstLine="42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drawing>
                <wp:inline distT="0" distB="0" distL="114300" distR="114300">
                  <wp:extent cx="257175" cy="209550"/>
                  <wp:effectExtent l="0" t="0" r="9525" b="0"/>
                  <wp:docPr id="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1"/>
                          <pic:cNvPicPr>
                            <a:picLocks noChangeAspect="1"/>
                          </pic:cNvPicPr>
                        </pic:nvPicPr>
                        <pic:blipFill>
                          <a:blip r:embed="rId11"/>
                          <a:stretch>
                            <a:fillRect/>
                          </a:stretch>
                        </pic:blipFill>
                        <pic:spPr>
                          <a:xfrm>
                            <a:off x="0" y="0"/>
                            <a:ext cx="257175" cy="209550"/>
                          </a:xfrm>
                          <a:prstGeom prst="rect">
                            <a:avLst/>
                          </a:prstGeom>
                          <a:noFill/>
                          <a:ln>
                            <a:noFill/>
                          </a:ln>
                        </pic:spPr>
                      </pic:pic>
                    </a:graphicData>
                  </a:graphic>
                </wp:inline>
              </w:drawing>
            </w:r>
          </w:p>
        </w:tc>
        <w:tc>
          <w:tcPr>
            <w:tcW w:w="540" w:type="pct"/>
            <w:noWrap/>
            <w:vAlign w:val="center"/>
          </w:tcPr>
          <w:p w14:paraId="084ED714">
            <w:pPr>
              <w:widowControl/>
              <w:spacing w:before="75" w:line="420" w:lineRule="atLeast"/>
              <w:ind w:firstLine="42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drawing>
                <wp:inline distT="0" distB="0" distL="114300" distR="114300">
                  <wp:extent cx="257175" cy="209550"/>
                  <wp:effectExtent l="0" t="0" r="9525" b="0"/>
                  <wp:docPr id="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2"/>
                          <pic:cNvPicPr>
                            <a:picLocks noChangeAspect="1"/>
                          </pic:cNvPicPr>
                        </pic:nvPicPr>
                        <pic:blipFill>
                          <a:blip r:embed="rId11"/>
                          <a:stretch>
                            <a:fillRect/>
                          </a:stretch>
                        </pic:blipFill>
                        <pic:spPr>
                          <a:xfrm>
                            <a:off x="0" y="0"/>
                            <a:ext cx="257175" cy="209550"/>
                          </a:xfrm>
                          <a:prstGeom prst="rect">
                            <a:avLst/>
                          </a:prstGeom>
                          <a:noFill/>
                          <a:ln>
                            <a:noFill/>
                          </a:ln>
                        </pic:spPr>
                      </pic:pic>
                    </a:graphicData>
                  </a:graphic>
                </wp:inline>
              </w:drawing>
            </w:r>
          </w:p>
        </w:tc>
      </w:tr>
    </w:tbl>
    <w:p w14:paraId="4EFB78EC">
      <w:pPr>
        <w:widowControl/>
        <w:spacing w:before="75"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说明：</w:t>
      </w:r>
    </w:p>
    <w:p w14:paraId="768F3FE6">
      <w:pPr>
        <w:widowControl/>
        <w:spacing w:before="75"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1.节能产品实行强制采购的，需提供国家认证机构出具的、处于有效期内的节能产品证书。</w:t>
      </w:r>
    </w:p>
    <w:p w14:paraId="1E6F0345">
      <w:pPr>
        <w:widowControl/>
        <w:spacing w:before="75"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2.同意购买进口产品的，不限制满足采购需求的国内产品参与投标。</w:t>
      </w:r>
    </w:p>
    <w:p w14:paraId="39FFFBBC">
      <w:pPr>
        <w:keepNext w:val="0"/>
        <w:keepLines w:val="0"/>
        <w:widowControl/>
        <w:spacing w:before="140" w:after="60" w:line="413" w:lineRule="auto"/>
        <w:jc w:val="both"/>
        <w:outlineLvl w:val="2"/>
        <w:rPr>
          <w:rFonts w:ascii="Times New Roman" w:hAnsi="Times New Roman" w:eastAsia="宋体" w:cs="Times New Roman"/>
          <w:b/>
          <w:bCs/>
          <w:color w:val="auto"/>
          <w:kern w:val="2"/>
          <w:sz w:val="21"/>
          <w:szCs w:val="21"/>
          <w:highlight w:val="none"/>
          <w:lang w:val="en-US" w:eastAsia="zh-CN" w:bidi="ar-SA"/>
        </w:rPr>
      </w:pPr>
      <w:bookmarkStart w:id="15" w:name="_Toc142040833"/>
      <w:bookmarkStart w:id="16" w:name="_Toc11963"/>
      <w:bookmarkStart w:id="17" w:name="_Toc4133"/>
      <w:r>
        <w:rPr>
          <w:rFonts w:ascii="Times New Roman" w:hAnsi="Times New Roman" w:eastAsia="宋体" w:cs="Times New Roman"/>
          <w:b/>
          <w:bCs/>
          <w:color w:val="auto"/>
          <w:kern w:val="2"/>
          <w:sz w:val="21"/>
          <w:szCs w:val="21"/>
          <w:highlight w:val="none"/>
          <w:lang w:val="en-US" w:eastAsia="zh-CN" w:bidi="ar-SA"/>
        </w:rPr>
        <w:t>三、采购项目需落实的政府采购政策：</w:t>
      </w:r>
      <w:bookmarkEnd w:id="15"/>
      <w:bookmarkEnd w:id="16"/>
      <w:bookmarkEnd w:id="17"/>
    </w:p>
    <w:p w14:paraId="5CC1F8DA">
      <w:pPr>
        <w:widowControl/>
        <w:spacing w:before="75"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1、优先采购：节能产品、环境标志产品享受加分或价格折扣。</w:t>
      </w:r>
    </w:p>
    <w:p w14:paraId="735780E1">
      <w:pPr>
        <w:widowControl/>
        <w:spacing w:before="75"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2、支持中小企业：中小企业享受预留采购份额或价格折扣。</w:t>
      </w:r>
    </w:p>
    <w:p w14:paraId="7C7EF7BA">
      <w:pPr>
        <w:keepNext w:val="0"/>
        <w:keepLines w:val="0"/>
        <w:widowControl/>
        <w:spacing w:before="140" w:after="60" w:line="413" w:lineRule="auto"/>
        <w:jc w:val="both"/>
        <w:outlineLvl w:val="2"/>
        <w:rPr>
          <w:rFonts w:ascii="Times New Roman" w:hAnsi="Times New Roman" w:eastAsia="宋体" w:cs="Times New Roman"/>
          <w:b/>
          <w:bCs/>
          <w:color w:val="auto"/>
          <w:kern w:val="2"/>
          <w:sz w:val="21"/>
          <w:szCs w:val="21"/>
          <w:highlight w:val="none"/>
          <w:lang w:val="en-US" w:eastAsia="zh-CN" w:bidi="ar-SA"/>
        </w:rPr>
      </w:pPr>
      <w:bookmarkStart w:id="18" w:name="_Toc31422"/>
      <w:bookmarkStart w:id="19" w:name="_Toc2355"/>
      <w:bookmarkStart w:id="20" w:name="_Toc142040834"/>
      <w:r>
        <w:rPr>
          <w:rFonts w:ascii="Times New Roman" w:hAnsi="Times New Roman" w:eastAsia="宋体" w:cs="Times New Roman"/>
          <w:b/>
          <w:bCs/>
          <w:color w:val="auto"/>
          <w:kern w:val="2"/>
          <w:sz w:val="21"/>
          <w:szCs w:val="21"/>
          <w:highlight w:val="none"/>
          <w:lang w:val="en-US" w:eastAsia="zh-CN" w:bidi="ar-SA"/>
        </w:rPr>
        <w:t>四、投标人的资格要求：</w:t>
      </w:r>
      <w:bookmarkEnd w:id="18"/>
      <w:bookmarkEnd w:id="19"/>
      <w:bookmarkEnd w:id="20"/>
    </w:p>
    <w:p w14:paraId="3013F875">
      <w:pPr>
        <w:widowControl/>
        <w:spacing w:before="75"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1、投标人的基本资格条件：投标人必须是在中华人民共和国境内注册登记的法人、其他组织或者自然人，且应当符合《政府采购法》第二十二条第一款的规定。</w:t>
      </w:r>
    </w:p>
    <w:p w14:paraId="1034CD42">
      <w:pPr>
        <w:widowControl/>
        <w:spacing w:before="75"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2、落实政府采购政策需满足的资格要求：</w:t>
      </w:r>
    </w:p>
    <w:p w14:paraId="2657CE40">
      <w:pPr>
        <w:widowControl/>
        <w:spacing w:before="75" w:line="420" w:lineRule="atLeast"/>
        <w:ind w:firstLine="420" w:firstLineChars="20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drawing>
          <wp:inline distT="0" distB="0" distL="114300" distR="114300">
            <wp:extent cx="257175" cy="209550"/>
            <wp:effectExtent l="0" t="0" r="9525" b="0"/>
            <wp:docPr id="1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3"/>
                    <pic:cNvPicPr>
                      <a:picLocks noChangeAspect="1"/>
                    </pic:cNvPicPr>
                  </pic:nvPicPr>
                  <pic:blipFill>
                    <a:blip r:embed="rId11"/>
                    <a:stretch>
                      <a:fillRect/>
                    </a:stretch>
                  </pic:blipFill>
                  <pic:spPr>
                    <a:xfrm>
                      <a:off x="0" y="0"/>
                      <a:ext cx="257175" cy="209550"/>
                    </a:xfrm>
                    <a:prstGeom prst="rect">
                      <a:avLst/>
                    </a:prstGeom>
                    <a:noFill/>
                    <a:ln>
                      <a:noFill/>
                    </a:ln>
                  </pic:spPr>
                </pic:pic>
              </a:graphicData>
            </a:graphic>
          </wp:inline>
        </w:drawing>
      </w:r>
      <w:r>
        <w:rPr>
          <w:rFonts w:ascii="宋体" w:hAnsi="宋体" w:eastAsia="宋体" w:cs="宋体"/>
          <w:color w:val="auto"/>
          <w:kern w:val="0"/>
          <w:szCs w:val="21"/>
          <w:highlight w:val="none"/>
        </w:rPr>
        <w:t xml:space="preserve">专门面向： </w:t>
      </w:r>
      <w:r>
        <w:rPr>
          <w:rFonts w:ascii="宋体" w:hAnsi="宋体" w:eastAsia="宋体" w:cs="宋体"/>
          <w:color w:val="auto"/>
          <w:kern w:val="0"/>
          <w:szCs w:val="21"/>
          <w:highlight w:val="none"/>
        </w:rPr>
        <w:fldChar w:fldCharType="begin"/>
      </w:r>
      <w:r>
        <w:rPr>
          <w:rFonts w:hint="eastAsia" w:ascii="宋体" w:hAnsi="宋体" w:eastAsia="宋体" w:cs="宋体"/>
          <w:color w:val="auto"/>
          <w:kern w:val="0"/>
          <w:szCs w:val="21"/>
          <w:highlight w:val="none"/>
        </w:rPr>
        <w:instrText xml:space="preserve">eq \o\ac(</w:instrText>
      </w:r>
      <w:r>
        <w:rPr>
          <w:rFonts w:hint="eastAsia" w:ascii="宋体" w:hAnsi="宋体" w:eastAsia="宋体" w:cs="宋体"/>
          <w:color w:val="auto"/>
          <w:kern w:val="0"/>
          <w:position w:val="-2"/>
          <w:sz w:val="31"/>
          <w:szCs w:val="21"/>
          <w:highlight w:val="none"/>
        </w:rPr>
        <w:instrText xml:space="preserve">□</w:instrText>
      </w:r>
      <w:r>
        <w:rPr>
          <w:rFonts w:hint="eastAsia" w:ascii="宋体" w:hAnsi="宋体" w:eastAsia="宋体" w:cs="宋体"/>
          <w:color w:val="auto"/>
          <w:kern w:val="0"/>
          <w:szCs w:val="21"/>
          <w:highlight w:val="none"/>
        </w:rPr>
        <w:instrText xml:space="preserve">,√)</w:instrText>
      </w:r>
      <w:r>
        <w:rPr>
          <w:rFonts w:ascii="宋体" w:hAnsi="宋体" w:eastAsia="宋体" w:cs="宋体"/>
          <w:color w:val="auto"/>
          <w:kern w:val="0"/>
          <w:szCs w:val="21"/>
          <w:highlight w:val="none"/>
        </w:rPr>
        <w:fldChar w:fldCharType="end"/>
      </w:r>
      <w:r>
        <w:rPr>
          <w:rFonts w:ascii="宋体" w:hAnsi="宋体" w:eastAsia="宋体" w:cs="宋体"/>
          <w:color w:val="auto"/>
          <w:kern w:val="0"/>
          <w:szCs w:val="21"/>
          <w:highlight w:val="none"/>
        </w:rPr>
        <w:t xml:space="preserve">中小企业 </w:t>
      </w:r>
      <w:r>
        <w:rPr>
          <w:rFonts w:ascii="宋体" w:hAnsi="宋体" w:eastAsia="宋体" w:cs="宋体"/>
          <w:color w:val="auto"/>
          <w:kern w:val="0"/>
          <w:szCs w:val="21"/>
          <w:highlight w:val="none"/>
        </w:rPr>
        <w:drawing>
          <wp:inline distT="0" distB="0" distL="114300" distR="114300">
            <wp:extent cx="257175" cy="209550"/>
            <wp:effectExtent l="0" t="0" r="9525" b="0"/>
            <wp:docPr id="1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4"/>
                    <pic:cNvPicPr>
                      <a:picLocks noChangeAspect="1"/>
                    </pic:cNvPicPr>
                  </pic:nvPicPr>
                  <pic:blipFill>
                    <a:blip r:embed="rId11"/>
                    <a:stretch>
                      <a:fillRect/>
                    </a:stretch>
                  </pic:blipFill>
                  <pic:spPr>
                    <a:xfrm>
                      <a:off x="0" y="0"/>
                      <a:ext cx="257175" cy="209550"/>
                    </a:xfrm>
                    <a:prstGeom prst="rect">
                      <a:avLst/>
                    </a:prstGeom>
                    <a:noFill/>
                    <a:ln>
                      <a:noFill/>
                    </a:ln>
                  </pic:spPr>
                </pic:pic>
              </a:graphicData>
            </a:graphic>
          </wp:inline>
        </w:drawing>
      </w:r>
      <w:r>
        <w:rPr>
          <w:rFonts w:ascii="宋体" w:hAnsi="宋体" w:eastAsia="宋体" w:cs="宋体"/>
          <w:color w:val="auto"/>
          <w:kern w:val="0"/>
          <w:szCs w:val="21"/>
          <w:highlight w:val="none"/>
        </w:rPr>
        <w:t xml:space="preserve">小微企业 </w:t>
      </w:r>
      <w:r>
        <w:rPr>
          <w:rFonts w:ascii="宋体" w:hAnsi="宋体" w:eastAsia="宋体" w:cs="宋体"/>
          <w:color w:val="auto"/>
          <w:kern w:val="0"/>
          <w:szCs w:val="21"/>
          <w:highlight w:val="none"/>
        </w:rPr>
        <w:drawing>
          <wp:inline distT="0" distB="0" distL="114300" distR="114300">
            <wp:extent cx="257175" cy="209550"/>
            <wp:effectExtent l="0" t="0" r="9525" b="0"/>
            <wp:docPr id="1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5"/>
                    <pic:cNvPicPr>
                      <a:picLocks noChangeAspect="1"/>
                    </pic:cNvPicPr>
                  </pic:nvPicPr>
                  <pic:blipFill>
                    <a:blip r:embed="rId11"/>
                    <a:stretch>
                      <a:fillRect/>
                    </a:stretch>
                  </pic:blipFill>
                  <pic:spPr>
                    <a:xfrm>
                      <a:off x="0" y="0"/>
                      <a:ext cx="257175" cy="209550"/>
                    </a:xfrm>
                    <a:prstGeom prst="rect">
                      <a:avLst/>
                    </a:prstGeom>
                    <a:noFill/>
                    <a:ln>
                      <a:noFill/>
                    </a:ln>
                  </pic:spPr>
                </pic:pic>
              </a:graphicData>
            </a:graphic>
          </wp:inline>
        </w:drawing>
      </w:r>
      <w:r>
        <w:rPr>
          <w:rFonts w:ascii="宋体" w:hAnsi="宋体" w:eastAsia="宋体" w:cs="宋体"/>
          <w:color w:val="auto"/>
          <w:kern w:val="0"/>
          <w:szCs w:val="21"/>
          <w:highlight w:val="none"/>
        </w:rPr>
        <w:t xml:space="preserve">监狱企业 </w:t>
      </w:r>
      <w:r>
        <w:rPr>
          <w:rFonts w:ascii="宋体" w:hAnsi="宋体" w:eastAsia="宋体" w:cs="宋体"/>
          <w:color w:val="auto"/>
          <w:kern w:val="0"/>
          <w:szCs w:val="21"/>
          <w:highlight w:val="none"/>
        </w:rPr>
        <w:drawing>
          <wp:inline distT="0" distB="0" distL="114300" distR="114300">
            <wp:extent cx="257175" cy="209550"/>
            <wp:effectExtent l="0" t="0" r="9525" b="0"/>
            <wp:docPr id="1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6"/>
                    <pic:cNvPicPr>
                      <a:picLocks noChangeAspect="1"/>
                    </pic:cNvPicPr>
                  </pic:nvPicPr>
                  <pic:blipFill>
                    <a:blip r:embed="rId11"/>
                    <a:stretch>
                      <a:fillRect/>
                    </a:stretch>
                  </pic:blipFill>
                  <pic:spPr>
                    <a:xfrm>
                      <a:off x="0" y="0"/>
                      <a:ext cx="257175" cy="209550"/>
                    </a:xfrm>
                    <a:prstGeom prst="rect">
                      <a:avLst/>
                    </a:prstGeom>
                    <a:noFill/>
                    <a:ln>
                      <a:noFill/>
                    </a:ln>
                  </pic:spPr>
                </pic:pic>
              </a:graphicData>
            </a:graphic>
          </wp:inline>
        </w:drawing>
      </w:r>
      <w:r>
        <w:rPr>
          <w:rFonts w:ascii="宋体" w:hAnsi="宋体" w:eastAsia="宋体" w:cs="宋体"/>
          <w:color w:val="auto"/>
          <w:kern w:val="0"/>
          <w:szCs w:val="21"/>
          <w:highlight w:val="none"/>
        </w:rPr>
        <w:t xml:space="preserve">福利性单位 </w:t>
      </w:r>
    </w:p>
    <w:p w14:paraId="6D79D5C8">
      <w:pPr>
        <w:widowControl/>
        <w:spacing w:before="75" w:line="420" w:lineRule="atLeast"/>
        <w:ind w:firstLine="420" w:firstLineChars="20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drawing>
          <wp:inline distT="0" distB="0" distL="114300" distR="114300">
            <wp:extent cx="257175" cy="209550"/>
            <wp:effectExtent l="0" t="0" r="9525" b="0"/>
            <wp:docPr id="1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7"/>
                    <pic:cNvPicPr>
                      <a:picLocks noChangeAspect="1"/>
                    </pic:cNvPicPr>
                  </pic:nvPicPr>
                  <pic:blipFill>
                    <a:blip r:embed="rId11"/>
                    <a:stretch>
                      <a:fillRect/>
                    </a:stretch>
                  </pic:blipFill>
                  <pic:spPr>
                    <a:xfrm>
                      <a:off x="0" y="0"/>
                      <a:ext cx="257175" cy="209550"/>
                    </a:xfrm>
                    <a:prstGeom prst="rect">
                      <a:avLst/>
                    </a:prstGeom>
                    <a:noFill/>
                    <a:ln>
                      <a:noFill/>
                    </a:ln>
                  </pic:spPr>
                </pic:pic>
              </a:graphicData>
            </a:graphic>
          </wp:inline>
        </w:drawing>
      </w:r>
      <w:r>
        <w:rPr>
          <w:rFonts w:ascii="宋体" w:hAnsi="宋体" w:eastAsia="宋体" w:cs="宋体"/>
          <w:color w:val="auto"/>
          <w:kern w:val="0"/>
          <w:szCs w:val="21"/>
          <w:highlight w:val="none"/>
        </w:rPr>
        <w:t>强制分包：大型企业应将采购份额的</w:t>
      </w:r>
      <w:r>
        <w:rPr>
          <w:rFonts w:ascii="宋体" w:hAnsi="宋体" w:eastAsia="宋体" w:cs="宋体"/>
          <w:color w:val="auto"/>
          <w:kern w:val="0"/>
          <w:szCs w:val="21"/>
          <w:highlight w:val="none"/>
          <w:u w:val="single"/>
        </w:rPr>
        <w:t> </w:t>
      </w:r>
      <w:r>
        <w:rPr>
          <w:rFonts w:hint="eastAsia" w:ascii="宋体" w:hAnsi="宋体" w:eastAsia="宋体" w:cs="宋体"/>
          <w:color w:val="auto"/>
          <w:kern w:val="0"/>
          <w:szCs w:val="21"/>
          <w:highlight w:val="none"/>
          <w:u w:val="single"/>
        </w:rPr>
        <w:t>/</w:t>
      </w:r>
      <w:r>
        <w:rPr>
          <w:rFonts w:ascii="宋体" w:hAnsi="宋体" w:eastAsia="宋体" w:cs="宋体"/>
          <w:color w:val="auto"/>
          <w:kern w:val="0"/>
          <w:szCs w:val="21"/>
          <w:highlight w:val="none"/>
          <w:u w:val="single"/>
        </w:rPr>
        <w:t> </w:t>
      </w:r>
      <w:r>
        <w:rPr>
          <w:rFonts w:ascii="宋体" w:hAnsi="宋体" w:eastAsia="宋体" w:cs="宋体"/>
          <w:color w:val="auto"/>
          <w:kern w:val="0"/>
          <w:szCs w:val="21"/>
          <w:highlight w:val="none"/>
        </w:rPr>
        <w:t>%分包给中小企业。</w:t>
      </w:r>
    </w:p>
    <w:p w14:paraId="0EC6E5DE">
      <w:pPr>
        <w:widowControl/>
        <w:spacing w:before="75"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3、供应商特定资格条件：</w:t>
      </w:r>
    </w:p>
    <w:p w14:paraId="327A2118">
      <w:pPr>
        <w:widowControl/>
        <w:spacing w:before="150" w:line="420" w:lineRule="atLeast"/>
        <w:ind w:firstLine="420"/>
        <w:rPr>
          <w:rFonts w:ascii="宋体" w:hAnsi="宋体" w:eastAsia="宋体" w:cs="Times New Roman"/>
          <w:color w:val="auto"/>
          <w:szCs w:val="21"/>
          <w:highlight w:val="none"/>
        </w:rPr>
      </w:pPr>
      <w:bookmarkStart w:id="21" w:name="OLE_LINK2"/>
      <w:r>
        <w:rPr>
          <w:rFonts w:hint="eastAsia" w:ascii="宋体" w:hAnsi="宋体" w:eastAsia="宋体" w:cs="Times New Roman"/>
          <w:color w:val="auto"/>
          <w:szCs w:val="21"/>
          <w:highlight w:val="none"/>
        </w:rPr>
        <w:t>（1）具有独立法人资格并依法取得企业营业执照，营业执照处于有效期，省外入湘企业应在“湖南省住房和城乡建设网”进行基本信息登记</w:t>
      </w:r>
      <w:r>
        <w:rPr>
          <w:rFonts w:hint="eastAsia" w:ascii="宋体" w:hAnsi="宋体" w:eastAsia="宋体" w:cs="宋体"/>
          <w:color w:val="auto"/>
          <w:szCs w:val="21"/>
          <w:highlight w:val="none"/>
        </w:rPr>
        <w:t>（以“湖</w:t>
      </w:r>
      <w:r>
        <w:rPr>
          <w:rFonts w:hint="eastAsia" w:ascii="宋体" w:hAnsi="宋体" w:eastAsia="宋体" w:cs="宋体"/>
          <w:color w:val="auto"/>
          <w:kern w:val="0"/>
          <w:szCs w:val="21"/>
          <w:highlight w:val="none"/>
        </w:rPr>
        <w:t>南省住房和城乡建设网”查询为准）</w:t>
      </w:r>
      <w:r>
        <w:rPr>
          <w:rFonts w:hint="eastAsia" w:ascii="宋体" w:hAnsi="宋体" w:eastAsia="宋体" w:cs="Times New Roman"/>
          <w:color w:val="auto"/>
          <w:szCs w:val="21"/>
          <w:highlight w:val="none"/>
        </w:rPr>
        <w:t>；</w:t>
      </w:r>
    </w:p>
    <w:p w14:paraId="5A335B3A">
      <w:pPr>
        <w:widowControl/>
        <w:spacing w:before="150" w:line="420" w:lineRule="atLeast"/>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（2）具备住房城乡建设主管部门颁发的</w:t>
      </w:r>
      <w:r>
        <w:rPr>
          <w:rFonts w:hint="eastAsia" w:ascii="宋体" w:hAnsi="宋体" w:eastAsia="宋体"/>
          <w:b/>
          <w:color w:val="auto"/>
          <w:highlight w:val="none"/>
          <w:u w:val="single"/>
        </w:rPr>
        <w:t>市政公用工程施工总承包三级</w:t>
      </w:r>
      <w:r>
        <w:rPr>
          <w:rFonts w:hint="eastAsia" w:ascii="宋体" w:hAnsi="宋体" w:eastAsia="宋体"/>
          <w:b/>
          <w:color w:val="auto"/>
          <w:highlight w:val="none"/>
          <w:u w:val="single"/>
          <w:lang w:val="en-US" w:eastAsia="zh-CN"/>
        </w:rPr>
        <w:t>及以上</w:t>
      </w:r>
      <w:r>
        <w:rPr>
          <w:rFonts w:hint="eastAsia" w:ascii="宋体" w:hAnsi="宋体" w:eastAsia="宋体"/>
          <w:b/>
          <w:color w:val="auto"/>
          <w:highlight w:val="none"/>
          <w:u w:val="single"/>
        </w:rPr>
        <w:t>资质</w:t>
      </w:r>
      <w:r>
        <w:rPr>
          <w:rFonts w:hint="eastAsia" w:ascii="宋体" w:hAnsi="宋体" w:eastAsia="宋体" w:cs="Times New Roman"/>
          <w:color w:val="auto"/>
          <w:szCs w:val="21"/>
          <w:highlight w:val="none"/>
        </w:rPr>
        <w:t>，安全生产许可证处于有效期内；拟派项目负责人具有</w:t>
      </w:r>
      <w:r>
        <w:rPr>
          <w:rFonts w:hint="eastAsia" w:ascii="宋体" w:hAnsi="宋体" w:eastAsia="宋体" w:cs="Times New Roman"/>
          <w:b/>
          <w:bCs/>
          <w:color w:val="auto"/>
          <w:szCs w:val="21"/>
          <w:highlight w:val="none"/>
          <w:u w:val="single"/>
        </w:rPr>
        <w:t>市政公用工程专业二级及以上</w:t>
      </w:r>
      <w:r>
        <w:rPr>
          <w:rFonts w:hint="eastAsia" w:ascii="宋体" w:hAnsi="宋体" w:eastAsia="宋体" w:cs="Times New Roman"/>
          <w:color w:val="auto"/>
          <w:szCs w:val="21"/>
          <w:highlight w:val="none"/>
        </w:rPr>
        <w:t>注册建造师，同时具有有效的B类安全生产考核合格证，且无在建工程；</w:t>
      </w:r>
      <w:r>
        <w:rPr>
          <w:rFonts w:hint="eastAsia" w:ascii="宋体" w:hAnsi="宋体" w:eastAsia="宋体" w:cs="宋体"/>
          <w:color w:val="auto"/>
          <w:kern w:val="0"/>
          <w:szCs w:val="21"/>
          <w:highlight w:val="none"/>
        </w:rPr>
        <w:t>项目部关键岗位人员配备数量均不得低于湘建建[2020]208号文规定的最低配备标准</w:t>
      </w:r>
      <w:r>
        <w:rPr>
          <w:rFonts w:hint="eastAsia" w:ascii="宋体" w:hAnsi="宋体" w:eastAsia="宋体"/>
          <w:color w:val="auto"/>
          <w:highlight w:val="none"/>
        </w:rPr>
        <w:t>（提供</w:t>
      </w:r>
      <w:r>
        <w:rPr>
          <w:rFonts w:ascii="宋体" w:hAnsi="宋体" w:eastAsia="宋体"/>
          <w:color w:val="auto"/>
          <w:highlight w:val="none"/>
        </w:rPr>
        <w:t>承诺</w:t>
      </w:r>
      <w:r>
        <w:rPr>
          <w:rFonts w:hint="eastAsia" w:ascii="宋体" w:hAnsi="宋体" w:eastAsia="宋体"/>
          <w:color w:val="auto"/>
          <w:highlight w:val="none"/>
        </w:rPr>
        <w:t>函</w:t>
      </w:r>
      <w:r>
        <w:rPr>
          <w:rFonts w:ascii="宋体" w:hAnsi="宋体" w:eastAsia="宋体"/>
          <w:color w:val="auto"/>
          <w:highlight w:val="none"/>
        </w:rPr>
        <w:t>，格式自拟</w:t>
      </w:r>
      <w:r>
        <w:rPr>
          <w:rFonts w:hint="eastAsia" w:ascii="宋体" w:hAnsi="宋体" w:eastAsia="宋体"/>
          <w:color w:val="auto"/>
          <w:highlight w:val="none"/>
        </w:rPr>
        <w:t>）</w:t>
      </w:r>
      <w:r>
        <w:rPr>
          <w:rFonts w:hint="eastAsia" w:ascii="宋体" w:hAnsi="宋体" w:eastAsia="宋体" w:cs="宋体"/>
          <w:color w:val="auto"/>
          <w:kern w:val="0"/>
          <w:szCs w:val="21"/>
          <w:highlight w:val="none"/>
        </w:rPr>
        <w:t>；施工项目部关键岗位人员必须是投标单</w:t>
      </w:r>
      <w:r>
        <w:rPr>
          <w:rFonts w:hint="eastAsia" w:ascii="宋体" w:hAnsi="宋体" w:eastAsia="宋体" w:cs="Times New Roman"/>
          <w:color w:val="auto"/>
          <w:szCs w:val="21"/>
          <w:highlight w:val="none"/>
        </w:rPr>
        <w:t>位在职人员，且无在建工程，提供施工项目部关键岗位人员无在建工程承诺书。</w:t>
      </w:r>
    </w:p>
    <w:p w14:paraId="6F794688">
      <w:pPr>
        <w:widowControl/>
        <w:spacing w:before="150" w:line="420" w:lineRule="atLeast"/>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lang w:val="en-US" w:eastAsia="zh-CN"/>
        </w:rPr>
        <w:t>项目负责人及本项目被授权人必须是本企业在职人员，提供劳动保障部门出具近三个月</w:t>
      </w:r>
      <w:r>
        <w:rPr>
          <w:rFonts w:hint="eastAsia" w:ascii="宋体" w:hAnsi="宋体" w:eastAsia="宋体" w:cs="Times New Roman"/>
          <w:color w:val="auto"/>
          <w:highlight w:val="none"/>
          <w:lang w:val="en-US" w:eastAsia="zh-CN"/>
        </w:rPr>
        <w:t>中任意一个月</w:t>
      </w:r>
      <w:r>
        <w:rPr>
          <w:rFonts w:hint="eastAsia" w:ascii="宋体" w:hAnsi="宋体" w:eastAsia="宋体" w:cs="Times New Roman"/>
          <w:color w:val="auto"/>
          <w:szCs w:val="21"/>
          <w:highlight w:val="none"/>
          <w:lang w:val="en-US" w:eastAsia="zh-CN"/>
        </w:rPr>
        <w:t>的社保证明。</w:t>
      </w:r>
    </w:p>
    <w:bookmarkEnd w:id="21"/>
    <w:p w14:paraId="7B60C5A9">
      <w:pPr>
        <w:widowControl/>
        <w:spacing w:before="240"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4、单位负责人为同一人或者存在直接控股、管理关系的不同投标人，不得参加同一合同项下的政府采购活动。</w:t>
      </w:r>
    </w:p>
    <w:p w14:paraId="0B5EA1DF">
      <w:pPr>
        <w:widowControl/>
        <w:spacing w:before="75"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5、为本采购项目提供整体设计、规范编制或者项目管理、监理、检测等服务的，不得再参加此项目的其他采购活动。</w:t>
      </w:r>
    </w:p>
    <w:p w14:paraId="611CCB49">
      <w:pPr>
        <w:widowControl/>
        <w:spacing w:before="75"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6、列入失信被执行人、重大税收违法失信主体名单、政府采购严重违法失信行为记录名单的，拒绝其参与政府采购活动。</w:t>
      </w:r>
    </w:p>
    <w:p w14:paraId="0EABF9D9">
      <w:pPr>
        <w:widowControl/>
        <w:spacing w:before="75"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7、联合体投标。本次招标</w:t>
      </w:r>
      <w:r>
        <w:rPr>
          <w:rFonts w:ascii="宋体" w:hAnsi="宋体" w:eastAsia="宋体" w:cs="宋体"/>
          <w:color w:val="auto"/>
          <w:kern w:val="0"/>
          <w:szCs w:val="21"/>
          <w:highlight w:val="none"/>
          <w:u w:val="single"/>
        </w:rPr>
        <w:t>不接受</w:t>
      </w:r>
      <w:r>
        <w:rPr>
          <w:rFonts w:ascii="宋体" w:hAnsi="宋体" w:eastAsia="宋体" w:cs="宋体"/>
          <w:color w:val="auto"/>
          <w:kern w:val="0"/>
          <w:szCs w:val="21"/>
          <w:highlight w:val="none"/>
        </w:rPr>
        <w:t xml:space="preserve">联合体投标。 </w:t>
      </w:r>
    </w:p>
    <w:p w14:paraId="06206A12">
      <w:pPr>
        <w:keepNext w:val="0"/>
        <w:keepLines w:val="0"/>
        <w:widowControl/>
        <w:spacing w:before="140" w:after="60" w:line="413" w:lineRule="auto"/>
        <w:jc w:val="both"/>
        <w:outlineLvl w:val="2"/>
        <w:rPr>
          <w:rFonts w:ascii="Times New Roman" w:hAnsi="Times New Roman" w:eastAsia="宋体" w:cs="Times New Roman"/>
          <w:b/>
          <w:bCs/>
          <w:color w:val="auto"/>
          <w:kern w:val="2"/>
          <w:sz w:val="21"/>
          <w:szCs w:val="21"/>
          <w:highlight w:val="none"/>
          <w:lang w:val="en-US" w:eastAsia="zh-CN" w:bidi="ar-SA"/>
        </w:rPr>
      </w:pPr>
      <w:bookmarkStart w:id="22" w:name="_Toc142040835"/>
      <w:bookmarkStart w:id="23" w:name="_Toc17203"/>
      <w:bookmarkStart w:id="24" w:name="_Toc3064"/>
      <w:r>
        <w:rPr>
          <w:rFonts w:ascii="Times New Roman" w:hAnsi="Times New Roman" w:eastAsia="宋体" w:cs="Times New Roman"/>
          <w:b/>
          <w:bCs/>
          <w:color w:val="auto"/>
          <w:kern w:val="2"/>
          <w:sz w:val="21"/>
          <w:szCs w:val="21"/>
          <w:highlight w:val="none"/>
          <w:lang w:val="en-US" w:eastAsia="zh-CN" w:bidi="ar-SA"/>
        </w:rPr>
        <w:t>五、获取招标文件的时间、期限、地点及方式</w:t>
      </w:r>
      <w:bookmarkEnd w:id="22"/>
      <w:bookmarkEnd w:id="23"/>
      <w:bookmarkEnd w:id="24"/>
    </w:p>
    <w:p w14:paraId="3D6779D5">
      <w:pPr>
        <w:widowControl/>
        <w:spacing w:before="150"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有意参加投标者，于</w:t>
      </w:r>
      <w:r>
        <w:rPr>
          <w:rFonts w:ascii="宋体" w:hAnsi="宋体" w:eastAsia="宋体" w:cs="宋体"/>
          <w:color w:val="auto"/>
          <w:kern w:val="0"/>
          <w:szCs w:val="21"/>
          <w:highlight w:val="none"/>
          <w:u w:val="single"/>
        </w:rPr>
        <w:t>202</w:t>
      </w:r>
      <w:r>
        <w:rPr>
          <w:rFonts w:hint="eastAsia" w:ascii="宋体" w:hAnsi="宋体" w:eastAsia="宋体" w:cs="宋体"/>
          <w:color w:val="auto"/>
          <w:kern w:val="0"/>
          <w:szCs w:val="21"/>
          <w:highlight w:val="none"/>
          <w:u w:val="single"/>
          <w:lang w:val="en-US" w:eastAsia="zh-CN"/>
        </w:rPr>
        <w:t>5</w:t>
      </w:r>
      <w:r>
        <w:rPr>
          <w:rFonts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lang w:val="en-US" w:eastAsia="zh-CN"/>
        </w:rPr>
        <w:t>5</w:t>
      </w:r>
      <w:r>
        <w:rPr>
          <w:rFonts w:ascii="宋体" w:hAnsi="宋体" w:eastAsia="宋体" w:cs="宋体"/>
          <w:color w:val="auto"/>
          <w:kern w:val="0"/>
          <w:szCs w:val="21"/>
          <w:highlight w:val="none"/>
        </w:rPr>
        <w:t>月</w:t>
      </w:r>
      <w:r>
        <w:rPr>
          <w:rFonts w:hint="eastAsia" w:ascii="宋体" w:hAnsi="宋体" w:eastAsia="宋体" w:cs="宋体"/>
          <w:color w:val="auto"/>
          <w:kern w:val="0"/>
          <w:szCs w:val="21"/>
          <w:highlight w:val="none"/>
          <w:u w:val="single"/>
          <w:lang w:val="en-US" w:eastAsia="zh-CN"/>
        </w:rPr>
        <w:t>2</w:t>
      </w:r>
      <w:r>
        <w:rPr>
          <w:rFonts w:hint="eastAsia" w:ascii="宋体" w:hAnsi="宋体" w:cs="宋体"/>
          <w:color w:val="auto"/>
          <w:kern w:val="0"/>
          <w:szCs w:val="21"/>
          <w:highlight w:val="none"/>
          <w:u w:val="single"/>
          <w:lang w:val="en-US" w:eastAsia="zh-CN"/>
        </w:rPr>
        <w:t>8</w:t>
      </w:r>
      <w:r>
        <w:rPr>
          <w:rFonts w:ascii="宋体" w:hAnsi="宋体" w:eastAsia="宋体" w:cs="宋体"/>
          <w:color w:val="auto"/>
          <w:kern w:val="0"/>
          <w:szCs w:val="21"/>
          <w:highlight w:val="none"/>
        </w:rPr>
        <w:t>日 至</w:t>
      </w:r>
      <w:r>
        <w:rPr>
          <w:rFonts w:ascii="宋体" w:hAnsi="宋体" w:eastAsia="宋体" w:cs="宋体"/>
          <w:color w:val="auto"/>
          <w:kern w:val="0"/>
          <w:szCs w:val="21"/>
          <w:highlight w:val="none"/>
          <w:u w:val="single"/>
        </w:rPr>
        <w:t>202</w:t>
      </w:r>
      <w:r>
        <w:rPr>
          <w:rFonts w:hint="eastAsia" w:ascii="宋体" w:hAnsi="宋体" w:eastAsia="宋体" w:cs="宋体"/>
          <w:color w:val="auto"/>
          <w:kern w:val="0"/>
          <w:szCs w:val="21"/>
          <w:highlight w:val="none"/>
          <w:u w:val="single"/>
          <w:lang w:val="en-US" w:eastAsia="zh-CN"/>
        </w:rPr>
        <w:t>5</w:t>
      </w:r>
      <w:r>
        <w:rPr>
          <w:rFonts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lang w:val="en-US" w:eastAsia="zh-CN"/>
        </w:rPr>
        <w:t>6</w:t>
      </w:r>
      <w:r>
        <w:rPr>
          <w:rFonts w:ascii="宋体" w:hAnsi="宋体" w:eastAsia="宋体" w:cs="宋体"/>
          <w:color w:val="auto"/>
          <w:kern w:val="0"/>
          <w:szCs w:val="21"/>
          <w:highlight w:val="none"/>
        </w:rPr>
        <w:t>月</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cs="宋体"/>
          <w:color w:val="auto"/>
          <w:kern w:val="0"/>
          <w:szCs w:val="21"/>
          <w:highlight w:val="none"/>
          <w:u w:val="single"/>
          <w:lang w:val="en-US" w:eastAsia="zh-CN"/>
        </w:rPr>
        <w:t>5</w:t>
      </w:r>
      <w:r>
        <w:rPr>
          <w:rFonts w:ascii="宋体" w:hAnsi="宋体" w:eastAsia="宋体" w:cs="宋体"/>
          <w:color w:val="auto"/>
          <w:kern w:val="0"/>
          <w:szCs w:val="21"/>
          <w:highlight w:val="none"/>
        </w:rPr>
        <w:t>日， 上午9:00到12:00，下午14:30到17:00（北京时间）(节假日除外)，到长沙市岳麓区岳麓街道中建智慧谷产业园二区11号栋永信和瑞工程咨询有限公司一楼招标部持个人身份证、法定代表人身份证明(或者授权委托书并附法定代表人身份证明) 获取招标文件</w:t>
      </w:r>
      <w:r>
        <w:rPr>
          <w:rFonts w:hint="eastAsia" w:ascii="宋体" w:hAnsi="宋体" w:eastAsia="宋体" w:cs="宋体"/>
          <w:color w:val="auto"/>
          <w:kern w:val="0"/>
          <w:szCs w:val="21"/>
          <w:highlight w:val="none"/>
        </w:rPr>
        <w:t>。</w:t>
      </w:r>
    </w:p>
    <w:p w14:paraId="75B81004">
      <w:pPr>
        <w:widowControl/>
        <w:spacing w:before="150"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drawing>
          <wp:inline distT="0" distB="0" distL="114300" distR="114300">
            <wp:extent cx="257175" cy="209550"/>
            <wp:effectExtent l="0" t="0" r="9525" b="0"/>
            <wp:docPr id="1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8"/>
                    <pic:cNvPicPr>
                      <a:picLocks noChangeAspect="1"/>
                    </pic:cNvPicPr>
                  </pic:nvPicPr>
                  <pic:blipFill>
                    <a:blip r:embed="rId11"/>
                    <a:stretch>
                      <a:fillRect/>
                    </a:stretch>
                  </pic:blipFill>
                  <pic:spPr>
                    <a:xfrm>
                      <a:off x="0" y="0"/>
                      <a:ext cx="257175" cy="209550"/>
                    </a:xfrm>
                    <a:prstGeom prst="rect">
                      <a:avLst/>
                    </a:prstGeom>
                    <a:noFill/>
                    <a:ln>
                      <a:noFill/>
                    </a:ln>
                  </pic:spPr>
                </pic:pic>
              </a:graphicData>
            </a:graphic>
          </wp:inline>
        </w:drawing>
      </w:r>
      <w:r>
        <w:rPr>
          <w:rFonts w:ascii="宋体" w:hAnsi="宋体" w:eastAsia="宋体" w:cs="宋体"/>
          <w:color w:val="auto"/>
          <w:kern w:val="0"/>
          <w:szCs w:val="21"/>
          <w:highlight w:val="none"/>
        </w:rPr>
        <w:t xml:space="preserve">本项目实行电子交易，有意参加投标者，在到长沙市岳麓区岳麓街道中建智慧谷产业园二区11号栋永信和瑞工程咨询有限公司一楼招标部持个人身份证、法定代表人身份证明(或者授权委托书并附法定代表人身份证明)获取电子版招标文件。 </w:t>
      </w:r>
    </w:p>
    <w:p w14:paraId="3C4739C4">
      <w:pPr>
        <w:widowControl/>
        <w:spacing w:before="150"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drawing>
          <wp:inline distT="0" distB="0" distL="114300" distR="114300">
            <wp:extent cx="257175" cy="209550"/>
            <wp:effectExtent l="0" t="0" r="9525" b="0"/>
            <wp:docPr id="1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9"/>
                    <pic:cNvPicPr>
                      <a:picLocks noChangeAspect="1"/>
                    </pic:cNvPicPr>
                  </pic:nvPicPr>
                  <pic:blipFill>
                    <a:blip r:embed="rId11"/>
                    <a:stretch>
                      <a:fillRect/>
                    </a:stretch>
                  </pic:blipFill>
                  <pic:spPr>
                    <a:xfrm>
                      <a:off x="0" y="0"/>
                      <a:ext cx="257175" cy="209550"/>
                    </a:xfrm>
                    <a:prstGeom prst="rect">
                      <a:avLst/>
                    </a:prstGeom>
                    <a:noFill/>
                    <a:ln>
                      <a:noFill/>
                    </a:ln>
                  </pic:spPr>
                </pic:pic>
              </a:graphicData>
            </a:graphic>
          </wp:inline>
        </w:drawing>
      </w:r>
      <w:r>
        <w:rPr>
          <w:rFonts w:ascii="宋体" w:hAnsi="宋体" w:eastAsia="宋体" w:cs="宋体"/>
          <w:color w:val="auto"/>
          <w:kern w:val="0"/>
          <w:szCs w:val="21"/>
          <w:highlight w:val="none"/>
        </w:rPr>
        <w:t xml:space="preserve">本项目进行资格预审，招标文件将向所有通过资格预审的供应商提供。 </w:t>
      </w:r>
    </w:p>
    <w:p w14:paraId="22D2B4B0">
      <w:pPr>
        <w:keepNext w:val="0"/>
        <w:keepLines w:val="0"/>
        <w:widowControl/>
        <w:spacing w:before="140" w:after="60" w:line="413" w:lineRule="auto"/>
        <w:jc w:val="both"/>
        <w:outlineLvl w:val="2"/>
        <w:rPr>
          <w:rFonts w:ascii="Times New Roman" w:hAnsi="Times New Roman" w:eastAsia="宋体" w:cs="Times New Roman"/>
          <w:b/>
          <w:bCs/>
          <w:color w:val="auto"/>
          <w:kern w:val="2"/>
          <w:sz w:val="21"/>
          <w:szCs w:val="21"/>
          <w:highlight w:val="none"/>
          <w:lang w:val="en-US" w:eastAsia="zh-CN" w:bidi="ar-SA"/>
        </w:rPr>
      </w:pPr>
      <w:bookmarkStart w:id="25" w:name="_Toc25453"/>
      <w:bookmarkStart w:id="26" w:name="_Toc5290"/>
      <w:bookmarkStart w:id="27" w:name="_Toc142040836"/>
      <w:r>
        <w:rPr>
          <w:rFonts w:ascii="Times New Roman" w:hAnsi="Times New Roman" w:eastAsia="宋体" w:cs="Times New Roman"/>
          <w:b/>
          <w:bCs/>
          <w:color w:val="auto"/>
          <w:kern w:val="2"/>
          <w:sz w:val="21"/>
          <w:szCs w:val="21"/>
          <w:highlight w:val="none"/>
          <w:lang w:val="en-US" w:eastAsia="zh-CN" w:bidi="ar-SA"/>
        </w:rPr>
        <w:t>六、投标截止时间、开标时间及地点</w:t>
      </w:r>
      <w:bookmarkEnd w:id="25"/>
      <w:bookmarkEnd w:id="26"/>
      <w:bookmarkEnd w:id="27"/>
    </w:p>
    <w:p w14:paraId="7A8BA402">
      <w:pPr>
        <w:widowControl/>
        <w:spacing w:before="150"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1、提交投标文件的截止时间：</w:t>
      </w:r>
      <w:r>
        <w:rPr>
          <w:rFonts w:ascii="宋体" w:hAnsi="宋体" w:eastAsia="宋体" w:cs="宋体"/>
          <w:color w:val="auto"/>
          <w:kern w:val="0"/>
          <w:szCs w:val="21"/>
          <w:highlight w:val="none"/>
          <w:u w:val="single"/>
        </w:rPr>
        <w:t>202</w:t>
      </w:r>
      <w:r>
        <w:rPr>
          <w:rFonts w:hint="eastAsia" w:ascii="宋体" w:hAnsi="宋体" w:eastAsia="宋体" w:cs="宋体"/>
          <w:color w:val="auto"/>
          <w:kern w:val="0"/>
          <w:szCs w:val="21"/>
          <w:highlight w:val="none"/>
          <w:u w:val="single"/>
          <w:lang w:val="en-US" w:eastAsia="zh-CN"/>
        </w:rPr>
        <w:t>5</w:t>
      </w:r>
      <w:r>
        <w:rPr>
          <w:rFonts w:ascii="宋体" w:hAnsi="宋体" w:eastAsia="宋体" w:cs="宋体"/>
          <w:color w:val="auto"/>
          <w:kern w:val="0"/>
          <w:szCs w:val="21"/>
          <w:highlight w:val="none"/>
          <w:u w:val="single"/>
        </w:rPr>
        <w:t>年</w:t>
      </w:r>
      <w:r>
        <w:rPr>
          <w:rFonts w:hint="eastAsia" w:ascii="宋体" w:hAnsi="宋体" w:eastAsia="宋体" w:cs="宋体"/>
          <w:color w:val="auto"/>
          <w:kern w:val="0"/>
          <w:szCs w:val="21"/>
          <w:highlight w:val="none"/>
          <w:u w:val="single"/>
          <w:lang w:val="en-US" w:eastAsia="zh-CN"/>
        </w:rPr>
        <w:t>6</w:t>
      </w:r>
      <w:r>
        <w:rPr>
          <w:rFonts w:ascii="宋体" w:hAnsi="宋体" w:eastAsia="宋体" w:cs="宋体"/>
          <w:color w:val="auto"/>
          <w:kern w:val="0"/>
          <w:szCs w:val="21"/>
          <w:highlight w:val="none"/>
          <w:u w:val="single"/>
        </w:rPr>
        <w:t>月</w:t>
      </w:r>
      <w:r>
        <w:rPr>
          <w:rFonts w:hint="eastAsia" w:ascii="宋体" w:hAnsi="宋体" w:eastAsia="宋体" w:cs="宋体"/>
          <w:color w:val="auto"/>
          <w:kern w:val="0"/>
          <w:szCs w:val="21"/>
          <w:highlight w:val="none"/>
          <w:u w:val="single"/>
          <w:lang w:val="en-US" w:eastAsia="zh-CN"/>
        </w:rPr>
        <w:t>9</w:t>
      </w:r>
      <w:r>
        <w:rPr>
          <w:rFonts w:ascii="宋体" w:hAnsi="宋体" w:eastAsia="宋体" w:cs="宋体"/>
          <w:color w:val="auto"/>
          <w:kern w:val="0"/>
          <w:szCs w:val="21"/>
          <w:highlight w:val="none"/>
          <w:u w:val="single"/>
        </w:rPr>
        <w:t>日</w:t>
      </w:r>
      <w:r>
        <w:rPr>
          <w:rFonts w:hint="eastAsia" w:ascii="宋体" w:hAnsi="宋体" w:eastAsia="宋体" w:cs="宋体"/>
          <w:color w:val="auto"/>
          <w:kern w:val="0"/>
          <w:szCs w:val="21"/>
          <w:highlight w:val="none"/>
          <w:u w:val="single"/>
          <w:lang w:val="en-US" w:eastAsia="zh-CN"/>
        </w:rPr>
        <w:t>9</w:t>
      </w:r>
      <w:r>
        <w:rPr>
          <w:rFonts w:ascii="宋体" w:hAnsi="宋体" w:eastAsia="宋体" w:cs="宋体"/>
          <w:color w:val="auto"/>
          <w:kern w:val="0"/>
          <w:szCs w:val="21"/>
          <w:highlight w:val="none"/>
          <w:u w:val="single"/>
        </w:rPr>
        <w:t>:</w:t>
      </w:r>
      <w:r>
        <w:rPr>
          <w:rFonts w:hint="eastAsia" w:ascii="宋体" w:hAnsi="宋体" w:eastAsia="宋体" w:cs="宋体"/>
          <w:color w:val="auto"/>
          <w:kern w:val="0"/>
          <w:szCs w:val="21"/>
          <w:highlight w:val="none"/>
          <w:u w:val="single"/>
          <w:lang w:val="en-US" w:eastAsia="zh-CN"/>
        </w:rPr>
        <w:t>3</w:t>
      </w:r>
      <w:r>
        <w:rPr>
          <w:rFonts w:ascii="宋体" w:hAnsi="宋体" w:eastAsia="宋体" w:cs="宋体"/>
          <w:color w:val="auto"/>
          <w:kern w:val="0"/>
          <w:szCs w:val="21"/>
          <w:highlight w:val="none"/>
          <w:u w:val="single"/>
        </w:rPr>
        <w:t>0（北京时间）</w:t>
      </w:r>
    </w:p>
    <w:p w14:paraId="257D199D">
      <w:pPr>
        <w:widowControl/>
        <w:spacing w:before="150"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2、提交投标文件地点：长沙市岳麓区岳麓街道中建智慧谷产业园二区11号栋永信和瑞工程咨询有限公司一楼</w:t>
      </w:r>
      <w:r>
        <w:rPr>
          <w:rFonts w:hint="eastAsia" w:ascii="宋体" w:hAnsi="宋体" w:eastAsia="宋体" w:cs="宋体"/>
          <w:color w:val="auto"/>
          <w:kern w:val="0"/>
          <w:szCs w:val="21"/>
          <w:highlight w:val="none"/>
        </w:rPr>
        <w:t>开标室</w:t>
      </w:r>
      <w:r>
        <w:rPr>
          <w:rFonts w:ascii="宋体" w:hAnsi="宋体" w:eastAsia="宋体" w:cs="宋体"/>
          <w:color w:val="auto"/>
          <w:kern w:val="0"/>
          <w:szCs w:val="21"/>
          <w:highlight w:val="none"/>
        </w:rPr>
        <w:t xml:space="preserve">。在截止时间后送达的响应文件为无效文件，采购人、采购代理机构或者磋商小组应当拒收。 </w:t>
      </w:r>
    </w:p>
    <w:p w14:paraId="6E8304D7">
      <w:pPr>
        <w:widowControl/>
        <w:spacing w:before="150"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3、开标时间：</w:t>
      </w:r>
      <w:r>
        <w:rPr>
          <w:rFonts w:ascii="宋体" w:hAnsi="宋体" w:eastAsia="宋体" w:cs="宋体"/>
          <w:color w:val="auto"/>
          <w:kern w:val="0"/>
          <w:szCs w:val="21"/>
          <w:highlight w:val="none"/>
          <w:u w:val="single"/>
        </w:rPr>
        <w:t>202</w:t>
      </w:r>
      <w:r>
        <w:rPr>
          <w:rFonts w:hint="eastAsia" w:ascii="宋体" w:hAnsi="宋体" w:eastAsia="宋体" w:cs="宋体"/>
          <w:color w:val="auto"/>
          <w:kern w:val="0"/>
          <w:szCs w:val="21"/>
          <w:highlight w:val="none"/>
          <w:u w:val="single"/>
          <w:lang w:val="en-US" w:eastAsia="zh-CN"/>
        </w:rPr>
        <w:t>5</w:t>
      </w:r>
      <w:r>
        <w:rPr>
          <w:rFonts w:ascii="宋体" w:hAnsi="宋体" w:eastAsia="宋体" w:cs="宋体"/>
          <w:color w:val="auto"/>
          <w:kern w:val="0"/>
          <w:szCs w:val="21"/>
          <w:highlight w:val="none"/>
          <w:u w:val="single"/>
        </w:rPr>
        <w:t>年</w:t>
      </w:r>
      <w:r>
        <w:rPr>
          <w:rFonts w:hint="eastAsia" w:ascii="宋体" w:hAnsi="宋体" w:eastAsia="宋体" w:cs="宋体"/>
          <w:color w:val="auto"/>
          <w:kern w:val="0"/>
          <w:szCs w:val="21"/>
          <w:highlight w:val="none"/>
          <w:u w:val="single"/>
          <w:lang w:val="en-US" w:eastAsia="zh-CN"/>
        </w:rPr>
        <w:t>6</w:t>
      </w:r>
      <w:r>
        <w:rPr>
          <w:rFonts w:ascii="宋体" w:hAnsi="宋体" w:eastAsia="宋体" w:cs="宋体"/>
          <w:color w:val="auto"/>
          <w:kern w:val="0"/>
          <w:szCs w:val="21"/>
          <w:highlight w:val="none"/>
          <w:u w:val="single"/>
        </w:rPr>
        <w:t>月</w:t>
      </w:r>
      <w:r>
        <w:rPr>
          <w:rFonts w:hint="eastAsia" w:ascii="宋体" w:hAnsi="宋体" w:eastAsia="宋体" w:cs="宋体"/>
          <w:color w:val="auto"/>
          <w:kern w:val="0"/>
          <w:szCs w:val="21"/>
          <w:highlight w:val="none"/>
          <w:u w:val="single"/>
          <w:lang w:val="en-US" w:eastAsia="zh-CN"/>
        </w:rPr>
        <w:t>9</w:t>
      </w:r>
      <w:r>
        <w:rPr>
          <w:rFonts w:ascii="宋体" w:hAnsi="宋体" w:eastAsia="宋体" w:cs="宋体"/>
          <w:color w:val="auto"/>
          <w:kern w:val="0"/>
          <w:szCs w:val="21"/>
          <w:highlight w:val="none"/>
          <w:u w:val="single"/>
        </w:rPr>
        <w:t>日</w:t>
      </w:r>
      <w:r>
        <w:rPr>
          <w:rFonts w:hint="eastAsia" w:ascii="宋体" w:hAnsi="宋体" w:eastAsia="宋体" w:cs="宋体"/>
          <w:color w:val="auto"/>
          <w:kern w:val="0"/>
          <w:szCs w:val="21"/>
          <w:highlight w:val="none"/>
          <w:u w:val="single"/>
          <w:lang w:val="en-US" w:eastAsia="zh-CN"/>
        </w:rPr>
        <w:t>9</w:t>
      </w:r>
      <w:r>
        <w:rPr>
          <w:rFonts w:ascii="宋体" w:hAnsi="宋体" w:eastAsia="宋体" w:cs="宋体"/>
          <w:color w:val="auto"/>
          <w:kern w:val="0"/>
          <w:szCs w:val="21"/>
          <w:highlight w:val="none"/>
          <w:u w:val="single"/>
        </w:rPr>
        <w:t>:</w:t>
      </w:r>
      <w:r>
        <w:rPr>
          <w:rFonts w:hint="eastAsia" w:ascii="宋体" w:hAnsi="宋体" w:eastAsia="宋体" w:cs="宋体"/>
          <w:color w:val="auto"/>
          <w:kern w:val="0"/>
          <w:szCs w:val="21"/>
          <w:highlight w:val="none"/>
          <w:u w:val="single"/>
          <w:lang w:val="en-US" w:eastAsia="zh-CN"/>
        </w:rPr>
        <w:t>3</w:t>
      </w:r>
      <w:r>
        <w:rPr>
          <w:rFonts w:ascii="宋体" w:hAnsi="宋体" w:eastAsia="宋体" w:cs="宋体"/>
          <w:color w:val="auto"/>
          <w:kern w:val="0"/>
          <w:szCs w:val="21"/>
          <w:highlight w:val="none"/>
          <w:u w:val="single"/>
        </w:rPr>
        <w:t>0（北京时间）</w:t>
      </w:r>
    </w:p>
    <w:p w14:paraId="44604DEB">
      <w:pPr>
        <w:widowControl/>
        <w:spacing w:before="150"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4、开标地点：</w:t>
      </w:r>
      <w:r>
        <w:rPr>
          <w:rFonts w:ascii="宋体" w:hAnsi="宋体" w:eastAsia="宋体" w:cs="宋体"/>
          <w:color w:val="auto"/>
          <w:kern w:val="0"/>
          <w:szCs w:val="21"/>
          <w:highlight w:val="none"/>
          <w:u w:val="single"/>
        </w:rPr>
        <w:t>长沙市岳麓区岳麓街道中建智慧谷产业园二区11号栋永信和瑞工程咨询有限公司一楼</w:t>
      </w:r>
      <w:r>
        <w:rPr>
          <w:rFonts w:hint="eastAsia" w:ascii="宋体" w:hAnsi="宋体" w:eastAsia="宋体" w:cs="宋体"/>
          <w:color w:val="auto"/>
          <w:kern w:val="0"/>
          <w:szCs w:val="21"/>
          <w:highlight w:val="none"/>
          <w:u w:val="single"/>
        </w:rPr>
        <w:t>开标室</w:t>
      </w:r>
    </w:p>
    <w:p w14:paraId="50D3F584">
      <w:pPr>
        <w:keepNext w:val="0"/>
        <w:keepLines w:val="0"/>
        <w:widowControl/>
        <w:spacing w:before="140" w:after="60" w:line="413" w:lineRule="auto"/>
        <w:jc w:val="both"/>
        <w:outlineLvl w:val="2"/>
        <w:rPr>
          <w:rFonts w:ascii="Times New Roman" w:hAnsi="Times New Roman" w:eastAsia="宋体" w:cs="Times New Roman"/>
          <w:b/>
          <w:bCs/>
          <w:color w:val="auto"/>
          <w:kern w:val="2"/>
          <w:sz w:val="21"/>
          <w:szCs w:val="21"/>
          <w:highlight w:val="none"/>
          <w:lang w:val="en-US" w:eastAsia="zh-CN" w:bidi="ar-SA"/>
        </w:rPr>
      </w:pPr>
      <w:bookmarkStart w:id="28" w:name="_Toc142040837"/>
      <w:bookmarkStart w:id="29" w:name="_Toc30499"/>
      <w:bookmarkStart w:id="30" w:name="_Toc22725"/>
      <w:r>
        <w:rPr>
          <w:rFonts w:ascii="Times New Roman" w:hAnsi="Times New Roman" w:eastAsia="宋体" w:cs="Times New Roman"/>
          <w:b/>
          <w:bCs/>
          <w:color w:val="auto"/>
          <w:kern w:val="2"/>
          <w:sz w:val="21"/>
          <w:szCs w:val="21"/>
          <w:highlight w:val="none"/>
          <w:lang w:val="en-US" w:eastAsia="zh-CN" w:bidi="ar-SA"/>
        </w:rPr>
        <w:t>七、公告期限</w:t>
      </w:r>
      <w:bookmarkEnd w:id="28"/>
      <w:bookmarkEnd w:id="29"/>
      <w:bookmarkEnd w:id="30"/>
    </w:p>
    <w:p w14:paraId="03530F69">
      <w:pPr>
        <w:widowControl/>
        <w:spacing w:before="150"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1、本招标公告在中国湖南政府采购网（www.ccgp-hunan.gov.cn）发布。公告期限从本招标公告发布之日起5个工作日。</w:t>
      </w:r>
    </w:p>
    <w:p w14:paraId="272A70BB">
      <w:pPr>
        <w:widowControl/>
        <w:spacing w:before="150"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2、在其他媒体发布的招标公告，公告内容以本招标公告指定媒体发布的公告为准；公告期限自本招标公告指定媒体最先发布公告之日起算。</w:t>
      </w:r>
    </w:p>
    <w:p w14:paraId="2D154E57">
      <w:pPr>
        <w:keepNext w:val="0"/>
        <w:keepLines w:val="0"/>
        <w:widowControl/>
        <w:spacing w:before="140" w:after="60" w:line="413" w:lineRule="auto"/>
        <w:jc w:val="both"/>
        <w:outlineLvl w:val="2"/>
        <w:rPr>
          <w:rFonts w:ascii="Times New Roman" w:hAnsi="Times New Roman" w:eastAsia="宋体" w:cs="Times New Roman"/>
          <w:b/>
          <w:bCs/>
          <w:color w:val="auto"/>
          <w:kern w:val="2"/>
          <w:sz w:val="21"/>
          <w:szCs w:val="21"/>
          <w:highlight w:val="none"/>
          <w:lang w:val="en-US" w:eastAsia="zh-CN" w:bidi="ar-SA"/>
        </w:rPr>
      </w:pPr>
      <w:bookmarkStart w:id="31" w:name="_Toc29847"/>
      <w:bookmarkStart w:id="32" w:name="_Toc1276"/>
      <w:bookmarkStart w:id="33" w:name="_Toc142040838"/>
      <w:r>
        <w:rPr>
          <w:rFonts w:ascii="Times New Roman" w:hAnsi="Times New Roman" w:eastAsia="宋体" w:cs="Times New Roman"/>
          <w:b/>
          <w:bCs/>
          <w:color w:val="auto"/>
          <w:kern w:val="2"/>
          <w:sz w:val="21"/>
          <w:szCs w:val="21"/>
          <w:highlight w:val="none"/>
          <w:lang w:val="en-US" w:eastAsia="zh-CN" w:bidi="ar-SA"/>
        </w:rPr>
        <w:t>八、询问及质疑</w:t>
      </w:r>
      <w:bookmarkEnd w:id="31"/>
      <w:bookmarkEnd w:id="32"/>
      <w:bookmarkEnd w:id="33"/>
    </w:p>
    <w:p w14:paraId="24A7916E">
      <w:pPr>
        <w:widowControl/>
        <w:spacing w:before="150"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1、投标人对政府采购活动事项如有疑问的，可以向采购人、采购代理机构提出询问。采购人、采购代理机构将在3个工作日内作出答复。</w:t>
      </w:r>
    </w:p>
    <w:p w14:paraId="16CB7C08">
      <w:pPr>
        <w:widowControl/>
        <w:spacing w:before="150"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2、投标人对电子交易平台办理CA证书、操作等如有疑问，请咨询电子交易平台服务机构。</w:t>
      </w:r>
    </w:p>
    <w:p w14:paraId="36CCC244">
      <w:pPr>
        <w:widowControl/>
        <w:spacing w:before="150"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 xml:space="preserve">3、潜在投标人认为招标文件或招标公告使自己的合法权益受到损害的，可以在收到招标文件之日或招标公告期限届满之日起7个工作日内，按《湖南省财政厅关于印发＜政府采购质疑答复和投诉处理操作规程＞的通知》(湘财购〔2019〕20号)规定，以纸质书面形式向采购人、采购代理机构提出质疑。 </w:t>
      </w:r>
    </w:p>
    <w:p w14:paraId="0F6D2EDA">
      <w:pPr>
        <w:keepNext w:val="0"/>
        <w:keepLines w:val="0"/>
        <w:widowControl/>
        <w:spacing w:before="140" w:after="60" w:line="413" w:lineRule="auto"/>
        <w:jc w:val="both"/>
        <w:outlineLvl w:val="2"/>
        <w:rPr>
          <w:rFonts w:ascii="Times New Roman" w:hAnsi="Times New Roman" w:eastAsia="宋体" w:cs="Times New Roman"/>
          <w:b/>
          <w:bCs/>
          <w:color w:val="auto"/>
          <w:kern w:val="2"/>
          <w:sz w:val="21"/>
          <w:szCs w:val="21"/>
          <w:highlight w:val="none"/>
          <w:lang w:val="en-US" w:eastAsia="zh-CN" w:bidi="ar-SA"/>
        </w:rPr>
      </w:pPr>
      <w:bookmarkStart w:id="34" w:name="_Toc29631"/>
      <w:bookmarkStart w:id="35" w:name="_Toc142040839"/>
      <w:bookmarkStart w:id="36" w:name="_Toc31439"/>
      <w:r>
        <w:rPr>
          <w:rFonts w:ascii="Times New Roman" w:hAnsi="Times New Roman" w:eastAsia="宋体" w:cs="Times New Roman"/>
          <w:b/>
          <w:bCs/>
          <w:color w:val="auto"/>
          <w:kern w:val="2"/>
          <w:sz w:val="21"/>
          <w:szCs w:val="21"/>
          <w:highlight w:val="none"/>
          <w:lang w:val="en-US" w:eastAsia="zh-CN" w:bidi="ar-SA"/>
        </w:rPr>
        <w:t>九、投标说明</w:t>
      </w:r>
      <w:bookmarkEnd w:id="34"/>
      <w:bookmarkEnd w:id="35"/>
      <w:bookmarkEnd w:id="36"/>
    </w:p>
    <w:p w14:paraId="68E13882">
      <w:pPr>
        <w:widowControl/>
        <w:spacing w:before="150"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1、本公告选项：</w:t>
      </w:r>
      <w:r>
        <w:rPr>
          <w:rFonts w:ascii="宋体" w:hAnsi="宋体" w:eastAsia="宋体" w:cs="宋体"/>
          <w:color w:val="auto"/>
          <w:kern w:val="0"/>
          <w:szCs w:val="21"/>
          <w:highlight w:val="none"/>
        </w:rPr>
        <w:fldChar w:fldCharType="begin"/>
      </w:r>
      <w:r>
        <w:rPr>
          <w:rFonts w:hint="eastAsia" w:ascii="宋体" w:hAnsi="宋体" w:eastAsia="宋体" w:cs="宋体"/>
          <w:color w:val="auto"/>
          <w:kern w:val="0"/>
          <w:szCs w:val="21"/>
          <w:highlight w:val="none"/>
        </w:rPr>
        <w:instrText xml:space="preserve">eq \o\ac(</w:instrText>
      </w:r>
      <w:r>
        <w:rPr>
          <w:rFonts w:hint="eastAsia" w:ascii="宋体" w:hAnsi="宋体" w:eastAsia="宋体" w:cs="宋体"/>
          <w:color w:val="auto"/>
          <w:kern w:val="0"/>
          <w:position w:val="-2"/>
          <w:sz w:val="31"/>
          <w:szCs w:val="21"/>
          <w:highlight w:val="none"/>
        </w:rPr>
        <w:instrText xml:space="preserve">□</w:instrText>
      </w:r>
      <w:r>
        <w:rPr>
          <w:rFonts w:hint="eastAsia" w:ascii="宋体" w:hAnsi="宋体" w:eastAsia="宋体" w:cs="宋体"/>
          <w:color w:val="auto"/>
          <w:kern w:val="0"/>
          <w:szCs w:val="21"/>
          <w:highlight w:val="none"/>
        </w:rPr>
        <w:instrText xml:space="preserve">,√)</w:instrText>
      </w:r>
      <w:r>
        <w:rPr>
          <w:rFonts w:ascii="宋体" w:hAnsi="宋体" w:eastAsia="宋体" w:cs="宋体"/>
          <w:color w:val="auto"/>
          <w:kern w:val="0"/>
          <w:szCs w:val="21"/>
          <w:highlight w:val="none"/>
        </w:rPr>
        <w:fldChar w:fldCharType="end"/>
      </w:r>
      <w:r>
        <w:rPr>
          <w:rFonts w:ascii="宋体" w:hAnsi="宋体" w:eastAsia="宋体" w:cs="宋体"/>
          <w:color w:val="auto"/>
          <w:kern w:val="0"/>
          <w:szCs w:val="21"/>
          <w:highlight w:val="none"/>
        </w:rPr>
        <w:t>表示选择，</w:t>
      </w:r>
      <w:r>
        <w:rPr>
          <w:rFonts w:ascii="宋体" w:hAnsi="宋体" w:eastAsia="宋体" w:cs="宋体"/>
          <w:color w:val="auto"/>
          <w:kern w:val="0"/>
          <w:szCs w:val="21"/>
          <w:highlight w:val="none"/>
        </w:rPr>
        <w:drawing>
          <wp:inline distT="0" distB="0" distL="114300" distR="114300">
            <wp:extent cx="257175" cy="209550"/>
            <wp:effectExtent l="0" t="0" r="9525" b="0"/>
            <wp:docPr id="1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0"/>
                    <pic:cNvPicPr>
                      <a:picLocks noChangeAspect="1"/>
                    </pic:cNvPicPr>
                  </pic:nvPicPr>
                  <pic:blipFill>
                    <a:blip r:embed="rId11"/>
                    <a:stretch>
                      <a:fillRect/>
                    </a:stretch>
                  </pic:blipFill>
                  <pic:spPr>
                    <a:xfrm>
                      <a:off x="0" y="0"/>
                      <a:ext cx="257175" cy="209550"/>
                    </a:xfrm>
                    <a:prstGeom prst="rect">
                      <a:avLst/>
                    </a:prstGeom>
                    <a:noFill/>
                    <a:ln>
                      <a:noFill/>
                    </a:ln>
                  </pic:spPr>
                </pic:pic>
              </a:graphicData>
            </a:graphic>
          </wp:inline>
        </w:drawing>
      </w:r>
      <w:r>
        <w:rPr>
          <w:rFonts w:ascii="宋体" w:hAnsi="宋体" w:eastAsia="宋体" w:cs="宋体"/>
          <w:color w:val="auto"/>
          <w:kern w:val="0"/>
          <w:szCs w:val="21"/>
          <w:highlight w:val="none"/>
        </w:rPr>
        <w:t xml:space="preserve">表示未选择。 </w:t>
      </w:r>
    </w:p>
    <w:p w14:paraId="0E47F0C0">
      <w:pPr>
        <w:widowControl/>
        <w:spacing w:before="150"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2、投标人参与政府采购活动，无需向采购人、代理机构、交易平台缴纳任何费用。</w:t>
      </w:r>
    </w:p>
    <w:p w14:paraId="27EB8861">
      <w:pPr>
        <w:keepNext w:val="0"/>
        <w:keepLines w:val="0"/>
        <w:widowControl/>
        <w:spacing w:before="140" w:after="60" w:line="413" w:lineRule="auto"/>
        <w:jc w:val="both"/>
        <w:outlineLvl w:val="2"/>
        <w:rPr>
          <w:rFonts w:ascii="Times New Roman" w:hAnsi="Times New Roman" w:eastAsia="宋体" w:cs="Times New Roman"/>
          <w:b/>
          <w:bCs/>
          <w:color w:val="auto"/>
          <w:kern w:val="2"/>
          <w:sz w:val="21"/>
          <w:szCs w:val="21"/>
          <w:highlight w:val="none"/>
          <w:lang w:val="en-US" w:eastAsia="zh-CN" w:bidi="ar-SA"/>
        </w:rPr>
      </w:pPr>
      <w:bookmarkStart w:id="37" w:name="_Toc15790"/>
      <w:bookmarkStart w:id="38" w:name="_Toc27616"/>
      <w:bookmarkStart w:id="39" w:name="_Toc142040840"/>
      <w:r>
        <w:rPr>
          <w:rFonts w:ascii="Times New Roman" w:hAnsi="Times New Roman" w:eastAsia="宋体" w:cs="Times New Roman"/>
          <w:b/>
          <w:bCs/>
          <w:color w:val="auto"/>
          <w:kern w:val="2"/>
          <w:sz w:val="21"/>
          <w:szCs w:val="21"/>
          <w:highlight w:val="none"/>
          <w:lang w:val="en-US" w:eastAsia="zh-CN" w:bidi="ar-SA"/>
        </w:rPr>
        <w:t>十、采购项目联系人姓名和电话</w:t>
      </w:r>
      <w:bookmarkEnd w:id="37"/>
      <w:bookmarkEnd w:id="38"/>
      <w:bookmarkEnd w:id="39"/>
    </w:p>
    <w:p w14:paraId="18E92DF7">
      <w:pPr>
        <w:widowControl/>
        <w:spacing w:before="150" w:line="420" w:lineRule="atLeast"/>
        <w:ind w:firstLine="420"/>
        <w:jc w:val="left"/>
        <w:rPr>
          <w:rFonts w:hint="eastAsia" w:ascii="宋体" w:hAnsi="宋体" w:eastAsia="宋体" w:cs="宋体"/>
          <w:bCs/>
          <w:color w:val="auto"/>
          <w:szCs w:val="21"/>
          <w:highlight w:val="none"/>
        </w:rPr>
      </w:pPr>
      <w:bookmarkStart w:id="40" w:name="_Toc142040841"/>
      <w:bookmarkStart w:id="41" w:name="_Toc16573"/>
      <w:r>
        <w:rPr>
          <w:rFonts w:hint="eastAsia" w:ascii="宋体" w:hAnsi="宋体" w:eastAsia="宋体" w:cs="宋体"/>
          <w:bCs/>
          <w:color w:val="auto"/>
          <w:szCs w:val="21"/>
          <w:highlight w:val="none"/>
        </w:rPr>
        <w:t>1、联系人姓名：</w:t>
      </w:r>
      <w:r>
        <w:rPr>
          <w:rFonts w:hint="eastAsia" w:ascii="宋体" w:hAnsi="宋体" w:eastAsia="宋体" w:cs="宋体"/>
          <w:bCs/>
          <w:color w:val="auto"/>
          <w:szCs w:val="21"/>
          <w:highlight w:val="none"/>
          <w:lang w:val="en-US" w:eastAsia="zh-CN"/>
        </w:rPr>
        <w:t>曹凯</w:t>
      </w:r>
      <w:r>
        <w:rPr>
          <w:rFonts w:hint="eastAsia" w:ascii="宋体" w:hAnsi="宋体" w:eastAsia="宋体" w:cs="宋体"/>
          <w:bCs/>
          <w:color w:val="auto"/>
          <w:szCs w:val="21"/>
          <w:highlight w:val="none"/>
        </w:rPr>
        <w:t xml:space="preserve">       </w:t>
      </w:r>
    </w:p>
    <w:p w14:paraId="1FC32F51">
      <w:pPr>
        <w:widowControl/>
        <w:spacing w:before="150" w:line="420" w:lineRule="atLeast"/>
        <w:ind w:firstLine="42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2、电话：</w:t>
      </w:r>
      <w:r>
        <w:rPr>
          <w:rFonts w:hint="eastAsia" w:ascii="宋体" w:hAnsi="宋体" w:eastAsia="宋体" w:cs="宋体"/>
          <w:bCs/>
          <w:color w:val="auto"/>
          <w:szCs w:val="21"/>
          <w:highlight w:val="none"/>
          <w:lang w:eastAsia="zh-CN"/>
        </w:rPr>
        <w:t>0731-</w:t>
      </w:r>
      <w:r>
        <w:rPr>
          <w:rFonts w:hint="eastAsia" w:ascii="宋体" w:hAnsi="宋体" w:eastAsia="宋体" w:cs="宋体"/>
          <w:bCs/>
          <w:color w:val="auto"/>
          <w:szCs w:val="21"/>
          <w:highlight w:val="none"/>
          <w:lang w:val="en-US" w:eastAsia="zh-CN"/>
        </w:rPr>
        <w:t>89767891</w:t>
      </w:r>
    </w:p>
    <w:p w14:paraId="7C6E2FC9">
      <w:pPr>
        <w:keepNext w:val="0"/>
        <w:keepLines w:val="0"/>
        <w:widowControl/>
        <w:spacing w:before="140" w:after="60" w:line="413" w:lineRule="auto"/>
        <w:jc w:val="both"/>
        <w:outlineLvl w:val="2"/>
        <w:rPr>
          <w:rFonts w:ascii="Times New Roman" w:hAnsi="Times New Roman" w:eastAsia="宋体" w:cs="Times New Roman"/>
          <w:b/>
          <w:bCs/>
          <w:color w:val="auto"/>
          <w:kern w:val="2"/>
          <w:sz w:val="21"/>
          <w:szCs w:val="21"/>
          <w:highlight w:val="none"/>
          <w:lang w:val="en-US" w:eastAsia="zh-CN" w:bidi="ar-SA"/>
        </w:rPr>
      </w:pPr>
      <w:bookmarkStart w:id="42" w:name="_Toc6751"/>
      <w:r>
        <w:rPr>
          <w:rFonts w:ascii="Times New Roman" w:hAnsi="Times New Roman" w:eastAsia="宋体" w:cs="Times New Roman"/>
          <w:b/>
          <w:bCs/>
          <w:color w:val="auto"/>
          <w:kern w:val="2"/>
          <w:sz w:val="21"/>
          <w:szCs w:val="21"/>
          <w:highlight w:val="none"/>
          <w:lang w:val="en-US" w:eastAsia="zh-CN" w:bidi="ar-SA"/>
        </w:rPr>
        <w:t>十一、采购人、采购代理机构的名称、地址和联系方法</w:t>
      </w:r>
      <w:bookmarkEnd w:id="40"/>
      <w:bookmarkEnd w:id="41"/>
      <w:bookmarkEnd w:id="42"/>
    </w:p>
    <w:p w14:paraId="2E5128CD">
      <w:pPr>
        <w:widowControl/>
        <w:spacing w:before="150" w:line="420" w:lineRule="atLeast"/>
        <w:ind w:firstLine="42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1、采购人信息</w:t>
      </w:r>
    </w:p>
    <w:p w14:paraId="0F8F015F">
      <w:pPr>
        <w:widowControl/>
        <w:spacing w:before="150"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（1）名 称：</w:t>
      </w:r>
      <w:r>
        <w:rPr>
          <w:rFonts w:hint="eastAsia" w:ascii="宋体" w:hAnsi="宋体" w:eastAsia="宋体" w:cs="宋体"/>
          <w:color w:val="auto"/>
          <w:szCs w:val="21"/>
          <w:highlight w:val="none"/>
        </w:rPr>
        <w:t>湖南科技学院</w:t>
      </w:r>
    </w:p>
    <w:p w14:paraId="3CE2580C">
      <w:pPr>
        <w:widowControl/>
        <w:spacing w:before="150"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（2）地 址：</w:t>
      </w:r>
      <w:r>
        <w:rPr>
          <w:rFonts w:hint="eastAsia" w:ascii="宋体" w:hAnsi="宋体" w:eastAsia="宋体" w:cs="宋体"/>
          <w:bCs/>
          <w:color w:val="auto"/>
          <w:szCs w:val="21"/>
          <w:highlight w:val="none"/>
        </w:rPr>
        <w:t>湖南省永州市零陵区杨梓塘路130号</w:t>
      </w:r>
    </w:p>
    <w:p w14:paraId="1256C755">
      <w:pPr>
        <w:widowControl/>
        <w:spacing w:before="150" w:line="420" w:lineRule="atLeast"/>
        <w:ind w:firstLine="420"/>
        <w:jc w:val="left"/>
        <w:rPr>
          <w:rFonts w:hint="eastAsia" w:ascii="宋体" w:hAnsi="宋体" w:eastAsia="宋体" w:cs="宋体"/>
          <w:color w:val="auto"/>
          <w:kern w:val="0"/>
          <w:szCs w:val="21"/>
          <w:highlight w:val="none"/>
        </w:rPr>
      </w:pPr>
      <w:r>
        <w:rPr>
          <w:rFonts w:ascii="宋体" w:hAnsi="宋体" w:eastAsia="宋体" w:cs="宋体"/>
          <w:color w:val="auto"/>
          <w:kern w:val="0"/>
          <w:szCs w:val="21"/>
          <w:highlight w:val="none"/>
        </w:rPr>
        <w:t>（3）联系人：</w:t>
      </w:r>
      <w:r>
        <w:rPr>
          <w:rFonts w:hint="eastAsia" w:ascii="宋体" w:hAnsi="宋体" w:eastAsia="宋体" w:cs="宋体"/>
          <w:color w:val="auto"/>
          <w:kern w:val="0"/>
          <w:szCs w:val="21"/>
          <w:highlight w:val="none"/>
        </w:rPr>
        <w:t>刘老师</w:t>
      </w:r>
    </w:p>
    <w:p w14:paraId="7231E2CE">
      <w:pPr>
        <w:widowControl/>
        <w:spacing w:before="150"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 xml:space="preserve">（4）邮 编：/ </w:t>
      </w:r>
    </w:p>
    <w:p w14:paraId="25A439CD">
      <w:pPr>
        <w:widowControl/>
        <w:spacing w:before="150" w:line="420" w:lineRule="atLeast"/>
        <w:ind w:firstLine="420"/>
        <w:jc w:val="left"/>
        <w:rPr>
          <w:rFonts w:hint="eastAsia" w:ascii="Times New Roman" w:hAnsi="Times New Roman" w:eastAsia="宋体" w:cs="Times New Roman"/>
          <w:color w:val="auto"/>
          <w:szCs w:val="21"/>
          <w:highlight w:val="none"/>
          <w:lang w:val="en-US" w:eastAsia="zh-CN"/>
        </w:rPr>
      </w:pPr>
      <w:r>
        <w:rPr>
          <w:rFonts w:ascii="宋体" w:hAnsi="宋体" w:eastAsia="宋体" w:cs="宋体"/>
          <w:color w:val="auto"/>
          <w:kern w:val="0"/>
          <w:szCs w:val="21"/>
          <w:highlight w:val="none"/>
        </w:rPr>
        <w:t>（5）电 话：</w:t>
      </w:r>
      <w:r>
        <w:rPr>
          <w:rFonts w:hint="eastAsia" w:ascii="宋体" w:hAnsi="宋体" w:eastAsia="宋体" w:cs="宋体"/>
          <w:bCs/>
          <w:color w:val="auto"/>
          <w:szCs w:val="21"/>
          <w:highlight w:val="none"/>
        </w:rPr>
        <w:t>1324360257</w:t>
      </w:r>
      <w:r>
        <w:rPr>
          <w:rFonts w:hint="eastAsia" w:ascii="宋体" w:hAnsi="宋体" w:eastAsia="宋体" w:cs="宋体"/>
          <w:bCs/>
          <w:color w:val="auto"/>
          <w:szCs w:val="21"/>
          <w:highlight w:val="none"/>
          <w:lang w:val="en-US" w:eastAsia="zh-CN"/>
        </w:rPr>
        <w:t>3</w:t>
      </w:r>
    </w:p>
    <w:p w14:paraId="30B9A83B">
      <w:pPr>
        <w:widowControl/>
        <w:spacing w:before="150"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 xml:space="preserve">（6）电子邮箱：/ </w:t>
      </w:r>
    </w:p>
    <w:p w14:paraId="3EB17A1F">
      <w:pPr>
        <w:widowControl/>
        <w:spacing w:before="150" w:line="420" w:lineRule="atLeast"/>
        <w:ind w:firstLine="42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2、采购代理机构信息</w:t>
      </w:r>
    </w:p>
    <w:p w14:paraId="66968736">
      <w:pPr>
        <w:widowControl/>
        <w:spacing w:before="150"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 xml:space="preserve">（1）名 称：永信和瑞工程咨询有限公司 </w:t>
      </w:r>
    </w:p>
    <w:p w14:paraId="3159941E">
      <w:pPr>
        <w:widowControl/>
        <w:spacing w:before="150"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 xml:space="preserve">（2）地 址：长沙市岳麓区岳麓街道中建智慧谷产业园二区11号栋 </w:t>
      </w:r>
    </w:p>
    <w:p w14:paraId="3A801FF8">
      <w:pPr>
        <w:widowControl/>
        <w:spacing w:before="150"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（3）联系人：</w:t>
      </w:r>
      <w:r>
        <w:rPr>
          <w:rFonts w:hint="eastAsia" w:ascii="宋体" w:hAnsi="宋体" w:eastAsia="宋体" w:cs="宋体"/>
          <w:color w:val="auto"/>
          <w:kern w:val="0"/>
          <w:szCs w:val="21"/>
          <w:highlight w:val="none"/>
        </w:rPr>
        <w:t>曹凯、</w:t>
      </w:r>
      <w:r>
        <w:rPr>
          <w:rFonts w:hint="eastAsia" w:ascii="宋体" w:hAnsi="宋体" w:eastAsia="宋体" w:cs="宋体"/>
          <w:color w:val="auto"/>
          <w:kern w:val="0"/>
          <w:szCs w:val="21"/>
          <w:highlight w:val="none"/>
          <w:lang w:val="en-US" w:eastAsia="zh-CN"/>
        </w:rPr>
        <w:t>刘怡芳</w:t>
      </w:r>
      <w:r>
        <w:rPr>
          <w:rFonts w:hint="eastAsia" w:ascii="宋体" w:hAnsi="宋体" w:eastAsia="宋体" w:cs="宋体"/>
          <w:color w:val="auto"/>
          <w:kern w:val="0"/>
          <w:szCs w:val="21"/>
          <w:highlight w:val="none"/>
        </w:rPr>
        <w:t>、徐溶、张子涵</w:t>
      </w:r>
    </w:p>
    <w:p w14:paraId="6837671A">
      <w:pPr>
        <w:widowControl/>
        <w:spacing w:before="150"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 xml:space="preserve">（4）邮 编：410015 </w:t>
      </w:r>
    </w:p>
    <w:p w14:paraId="4AA662EA">
      <w:pPr>
        <w:widowControl/>
        <w:spacing w:before="150" w:line="420" w:lineRule="atLeast"/>
        <w:ind w:firstLine="420"/>
        <w:jc w:val="left"/>
        <w:rPr>
          <w:rFonts w:ascii="Times New Roman" w:hAnsi="Times New Roman" w:eastAsia="宋体" w:cs="Times New Roman"/>
          <w:color w:val="auto"/>
          <w:szCs w:val="21"/>
          <w:highlight w:val="none"/>
        </w:rPr>
      </w:pPr>
      <w:r>
        <w:rPr>
          <w:rFonts w:ascii="宋体" w:hAnsi="宋体" w:eastAsia="宋体" w:cs="宋体"/>
          <w:color w:val="auto"/>
          <w:kern w:val="0"/>
          <w:szCs w:val="21"/>
          <w:highlight w:val="none"/>
        </w:rPr>
        <w:t xml:space="preserve">（5）电 话：0731-89767891 </w:t>
      </w:r>
    </w:p>
    <w:p w14:paraId="471AE343">
      <w:pPr>
        <w:widowControl/>
        <w:spacing w:before="150" w:line="420" w:lineRule="atLeast"/>
        <w:ind w:firstLine="42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（6）电子邮箱：</w:t>
      </w:r>
      <w:r>
        <w:rPr>
          <w:rFonts w:hint="eastAsia" w:ascii="宋体" w:hAnsi="宋体" w:eastAsia="宋体" w:cs="宋体"/>
          <w:color w:val="auto"/>
          <w:kern w:val="0"/>
          <w:szCs w:val="21"/>
          <w:highlight w:val="none"/>
        </w:rPr>
        <w:t>576917478@qq.com</w:t>
      </w:r>
      <w:r>
        <w:rPr>
          <w:rFonts w:ascii="宋体" w:hAnsi="宋体" w:eastAsia="宋体" w:cs="宋体"/>
          <w:color w:val="auto"/>
          <w:kern w:val="0"/>
          <w:szCs w:val="21"/>
          <w:highlight w:val="none"/>
        </w:rPr>
        <w:t xml:space="preserve"> </w:t>
      </w:r>
    </w:p>
    <w:p w14:paraId="7EBEE85E">
      <w:pPr>
        <w:rPr>
          <w:rFonts w:hint="eastAsia"/>
          <w:color w:val="auto"/>
          <w:highlight w:val="none"/>
        </w:rPr>
      </w:pPr>
    </w:p>
    <w:p w14:paraId="784EC108">
      <w:pPr>
        <w:pStyle w:val="5"/>
        <w:bidi w:val="0"/>
        <w:jc w:val="center"/>
        <w:rPr>
          <w:rFonts w:hint="eastAsia"/>
          <w:color w:val="auto"/>
          <w:highlight w:val="none"/>
        </w:rPr>
      </w:pPr>
      <w:bookmarkStart w:id="43" w:name="_Toc9006"/>
      <w:r>
        <w:rPr>
          <w:rFonts w:hint="eastAsia"/>
          <w:color w:val="auto"/>
          <w:highlight w:val="none"/>
        </w:rPr>
        <w:br w:type="page"/>
      </w:r>
      <w:r>
        <w:rPr>
          <w:rFonts w:hint="eastAsia"/>
          <w:color w:val="auto"/>
          <w:highlight w:val="none"/>
        </w:rPr>
        <w:t>第二章 磋商须知</w:t>
      </w:r>
      <w:bookmarkEnd w:id="43"/>
    </w:p>
    <w:p w14:paraId="5F7A237D">
      <w:pPr>
        <w:pStyle w:val="6"/>
        <w:bidi w:val="0"/>
        <w:rPr>
          <w:rFonts w:hint="eastAsia"/>
          <w:color w:val="auto"/>
          <w:highlight w:val="none"/>
        </w:rPr>
      </w:pPr>
      <w:bookmarkStart w:id="44" w:name="_Toc269"/>
      <w:r>
        <w:rPr>
          <w:rFonts w:hint="eastAsia"/>
          <w:color w:val="auto"/>
          <w:highlight w:val="none"/>
        </w:rPr>
        <w:t>磋商须知前附表</w:t>
      </w:r>
      <w:bookmarkEnd w:id="44"/>
    </w:p>
    <w:p w14:paraId="20AFB093">
      <w:pPr>
        <w:spacing w:line="360" w:lineRule="auto"/>
        <w:jc w:val="left"/>
        <w:rPr>
          <w:rFonts w:ascii="宋体"/>
          <w:b/>
          <w:color w:val="auto"/>
          <w:sz w:val="24"/>
          <w:highlight w:val="none"/>
        </w:rPr>
      </w:pPr>
      <w:r>
        <w:rPr>
          <w:rFonts w:hint="eastAsia" w:ascii="宋体"/>
          <w:color w:val="auto"/>
          <w:szCs w:val="21"/>
          <w:highlight w:val="none"/>
        </w:rPr>
        <w:t>注： 请在方框□内划√选择，在“条款号”内限选一项。（本项目采用的条款用“■”标示）</w:t>
      </w:r>
    </w:p>
    <w:tbl>
      <w:tblPr>
        <w:tblStyle w:val="24"/>
        <w:tblW w:w="964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28"/>
        <w:gridCol w:w="1601"/>
        <w:gridCol w:w="6315"/>
      </w:tblGrid>
      <w:tr w14:paraId="3F069D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5" w:hRule="atLeast"/>
          <w:tblHeader/>
          <w:jc w:val="center"/>
        </w:trPr>
        <w:tc>
          <w:tcPr>
            <w:tcW w:w="1728" w:type="dxa"/>
            <w:noWrap w:val="0"/>
            <w:vAlign w:val="center"/>
          </w:tcPr>
          <w:p w14:paraId="062A1AA0">
            <w:pPr>
              <w:adjustRightInd w:val="0"/>
              <w:snapToGrid w:val="0"/>
              <w:spacing w:line="360" w:lineRule="auto"/>
              <w:jc w:val="center"/>
              <w:rPr>
                <w:rFonts w:ascii="宋体"/>
                <w:b/>
                <w:color w:val="auto"/>
                <w:szCs w:val="21"/>
                <w:highlight w:val="none"/>
              </w:rPr>
            </w:pPr>
            <w:r>
              <w:rPr>
                <w:rFonts w:hint="eastAsia" w:ascii="宋体"/>
                <w:b/>
                <w:color w:val="auto"/>
                <w:szCs w:val="21"/>
                <w:highlight w:val="none"/>
              </w:rPr>
              <w:t>条款号</w:t>
            </w:r>
          </w:p>
        </w:tc>
        <w:tc>
          <w:tcPr>
            <w:tcW w:w="1601" w:type="dxa"/>
            <w:noWrap w:val="0"/>
            <w:vAlign w:val="center"/>
          </w:tcPr>
          <w:p w14:paraId="6501EA75">
            <w:pPr>
              <w:adjustRightInd w:val="0"/>
              <w:snapToGrid w:val="0"/>
              <w:spacing w:line="360" w:lineRule="auto"/>
              <w:jc w:val="center"/>
              <w:rPr>
                <w:rFonts w:ascii="宋体"/>
                <w:b/>
                <w:color w:val="auto"/>
                <w:szCs w:val="21"/>
                <w:highlight w:val="none"/>
              </w:rPr>
            </w:pPr>
            <w:r>
              <w:rPr>
                <w:rFonts w:hint="eastAsia" w:ascii="宋体"/>
                <w:b/>
                <w:color w:val="auto"/>
                <w:szCs w:val="21"/>
                <w:highlight w:val="none"/>
              </w:rPr>
              <w:t>条款名称</w:t>
            </w:r>
          </w:p>
        </w:tc>
        <w:tc>
          <w:tcPr>
            <w:tcW w:w="6315" w:type="dxa"/>
            <w:noWrap w:val="0"/>
            <w:vAlign w:val="center"/>
          </w:tcPr>
          <w:p w14:paraId="067D5DDD">
            <w:pPr>
              <w:adjustRightInd w:val="0"/>
              <w:snapToGrid w:val="0"/>
              <w:spacing w:line="360" w:lineRule="auto"/>
              <w:jc w:val="center"/>
              <w:rPr>
                <w:rFonts w:ascii="宋体"/>
                <w:b/>
                <w:color w:val="auto"/>
                <w:szCs w:val="21"/>
                <w:highlight w:val="none"/>
              </w:rPr>
            </w:pPr>
            <w:r>
              <w:rPr>
                <w:rFonts w:hint="eastAsia" w:ascii="宋体"/>
                <w:b/>
                <w:color w:val="auto"/>
                <w:szCs w:val="21"/>
                <w:highlight w:val="none"/>
              </w:rPr>
              <w:t>编列内容规定</w:t>
            </w:r>
          </w:p>
        </w:tc>
      </w:tr>
      <w:tr w14:paraId="234C33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3" w:hRule="atLeast"/>
          <w:jc w:val="center"/>
        </w:trPr>
        <w:tc>
          <w:tcPr>
            <w:tcW w:w="9644" w:type="dxa"/>
            <w:gridSpan w:val="3"/>
            <w:noWrap w:val="0"/>
            <w:vAlign w:val="center"/>
          </w:tcPr>
          <w:p w14:paraId="224EA321">
            <w:pPr>
              <w:adjustRightInd w:val="0"/>
              <w:snapToGrid w:val="0"/>
              <w:spacing w:line="360" w:lineRule="auto"/>
              <w:rPr>
                <w:rFonts w:ascii="宋体"/>
                <w:color w:val="auto"/>
                <w:szCs w:val="21"/>
                <w:highlight w:val="none"/>
              </w:rPr>
            </w:pPr>
            <w:r>
              <w:rPr>
                <w:rFonts w:hint="eastAsia" w:ascii="宋体"/>
                <w:b/>
                <w:color w:val="auto"/>
                <w:szCs w:val="21"/>
                <w:highlight w:val="none"/>
              </w:rPr>
              <w:t>一、说明</w:t>
            </w:r>
          </w:p>
        </w:tc>
      </w:tr>
      <w:tr w14:paraId="4A8B1C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8" w:hRule="atLeast"/>
          <w:jc w:val="center"/>
        </w:trPr>
        <w:tc>
          <w:tcPr>
            <w:tcW w:w="1728" w:type="dxa"/>
            <w:noWrap w:val="0"/>
            <w:vAlign w:val="center"/>
          </w:tcPr>
          <w:p w14:paraId="7A7ECE50">
            <w:pPr>
              <w:adjustRightInd w:val="0"/>
              <w:snapToGrid w:val="0"/>
              <w:spacing w:line="360" w:lineRule="auto"/>
              <w:jc w:val="center"/>
              <w:rPr>
                <w:rFonts w:ascii="宋体"/>
                <w:color w:val="auto"/>
                <w:szCs w:val="21"/>
                <w:highlight w:val="none"/>
              </w:rPr>
            </w:pPr>
            <w:r>
              <w:rPr>
                <w:rFonts w:hint="eastAsia" w:ascii="宋体"/>
                <w:color w:val="auto"/>
                <w:szCs w:val="21"/>
                <w:highlight w:val="none"/>
              </w:rPr>
              <w:t>第二章第1.1款</w:t>
            </w:r>
          </w:p>
        </w:tc>
        <w:tc>
          <w:tcPr>
            <w:tcW w:w="1601" w:type="dxa"/>
            <w:noWrap w:val="0"/>
            <w:vAlign w:val="center"/>
          </w:tcPr>
          <w:p w14:paraId="660AEDAF">
            <w:pPr>
              <w:adjustRightInd w:val="0"/>
              <w:snapToGrid w:val="0"/>
              <w:spacing w:line="360" w:lineRule="auto"/>
              <w:rPr>
                <w:rFonts w:ascii="宋体"/>
                <w:color w:val="auto"/>
                <w:szCs w:val="21"/>
                <w:highlight w:val="none"/>
              </w:rPr>
            </w:pPr>
            <w:r>
              <w:rPr>
                <w:rFonts w:hint="eastAsia" w:ascii="宋体"/>
                <w:color w:val="auto"/>
                <w:szCs w:val="21"/>
                <w:highlight w:val="none"/>
              </w:rPr>
              <w:t>采购项目</w:t>
            </w:r>
          </w:p>
        </w:tc>
        <w:tc>
          <w:tcPr>
            <w:tcW w:w="6315" w:type="dxa"/>
            <w:noWrap w:val="0"/>
            <w:vAlign w:val="center"/>
          </w:tcPr>
          <w:p w14:paraId="4897EE38">
            <w:pPr>
              <w:adjustRightInd w:val="0"/>
              <w:snapToGrid w:val="0"/>
              <w:spacing w:line="360" w:lineRule="auto"/>
              <w:rPr>
                <w:rFonts w:ascii="宋体"/>
                <w:color w:val="auto"/>
                <w:szCs w:val="21"/>
                <w:highlight w:val="none"/>
              </w:rPr>
            </w:pPr>
            <w:r>
              <w:rPr>
                <w:rFonts w:hint="eastAsia" w:ascii="宋体" w:hAnsi="宋体"/>
                <w:color w:val="auto"/>
                <w:szCs w:val="21"/>
                <w:highlight w:val="none"/>
                <w:lang w:eastAsia="zh-CN"/>
              </w:rPr>
              <w:t>湖南科技学院南大门新征土地道路等建设工程</w:t>
            </w:r>
          </w:p>
        </w:tc>
      </w:tr>
      <w:tr w14:paraId="407FB0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728" w:type="dxa"/>
            <w:noWrap w:val="0"/>
            <w:vAlign w:val="center"/>
          </w:tcPr>
          <w:p w14:paraId="2FAA556E">
            <w:pPr>
              <w:adjustRightInd w:val="0"/>
              <w:snapToGrid w:val="0"/>
              <w:spacing w:line="360" w:lineRule="auto"/>
              <w:jc w:val="center"/>
              <w:rPr>
                <w:rFonts w:ascii="宋体"/>
                <w:color w:val="auto"/>
                <w:szCs w:val="21"/>
                <w:highlight w:val="none"/>
              </w:rPr>
            </w:pPr>
            <w:r>
              <w:rPr>
                <w:rFonts w:hint="eastAsia" w:ascii="宋体"/>
                <w:color w:val="auto"/>
                <w:szCs w:val="21"/>
                <w:highlight w:val="none"/>
              </w:rPr>
              <w:t>第二章第2.1款</w:t>
            </w:r>
          </w:p>
        </w:tc>
        <w:tc>
          <w:tcPr>
            <w:tcW w:w="1601" w:type="dxa"/>
            <w:noWrap w:val="0"/>
            <w:vAlign w:val="center"/>
          </w:tcPr>
          <w:p w14:paraId="3DD574D2">
            <w:pPr>
              <w:adjustRightInd w:val="0"/>
              <w:snapToGrid w:val="0"/>
              <w:spacing w:line="360" w:lineRule="auto"/>
              <w:rPr>
                <w:rFonts w:ascii="宋体"/>
                <w:color w:val="auto"/>
                <w:szCs w:val="21"/>
                <w:highlight w:val="none"/>
              </w:rPr>
            </w:pPr>
            <w:r>
              <w:rPr>
                <w:rFonts w:hint="eastAsia" w:ascii="宋体"/>
                <w:color w:val="auto"/>
                <w:szCs w:val="21"/>
                <w:highlight w:val="none"/>
              </w:rPr>
              <w:t>采购人</w:t>
            </w:r>
          </w:p>
        </w:tc>
        <w:tc>
          <w:tcPr>
            <w:tcW w:w="6315" w:type="dxa"/>
            <w:noWrap w:val="0"/>
            <w:vAlign w:val="center"/>
          </w:tcPr>
          <w:p w14:paraId="3308BEA5">
            <w:pPr>
              <w:adjustRightInd w:val="0"/>
              <w:snapToGrid w:val="0"/>
              <w:spacing w:line="360" w:lineRule="auto"/>
              <w:rPr>
                <w:rFonts w:hint="eastAsia" w:ascii="宋体" w:eastAsia="宋体"/>
                <w:color w:val="auto"/>
                <w:szCs w:val="21"/>
                <w:highlight w:val="none"/>
                <w:lang w:eastAsia="zh-CN"/>
              </w:rPr>
            </w:pPr>
            <w:r>
              <w:rPr>
                <w:rFonts w:hint="eastAsia" w:ascii="宋体"/>
                <w:color w:val="auto"/>
                <w:szCs w:val="21"/>
                <w:highlight w:val="none"/>
              </w:rPr>
              <w:t>采购人：</w:t>
            </w:r>
            <w:r>
              <w:rPr>
                <w:rFonts w:hint="eastAsia" w:ascii="宋体"/>
                <w:color w:val="auto"/>
                <w:szCs w:val="21"/>
                <w:highlight w:val="none"/>
                <w:lang w:eastAsia="zh-CN"/>
              </w:rPr>
              <w:t>湖南科技学院</w:t>
            </w:r>
          </w:p>
          <w:p w14:paraId="7869D820">
            <w:pPr>
              <w:adjustRightInd w:val="0"/>
              <w:snapToGrid w:val="0"/>
              <w:spacing w:line="360" w:lineRule="auto"/>
              <w:rPr>
                <w:rFonts w:hint="eastAsia" w:ascii="宋体" w:eastAsia="宋体"/>
                <w:color w:val="auto"/>
                <w:szCs w:val="21"/>
                <w:highlight w:val="none"/>
                <w:lang w:eastAsia="zh-CN"/>
              </w:rPr>
            </w:pPr>
            <w:r>
              <w:rPr>
                <w:rFonts w:hint="eastAsia" w:ascii="宋体"/>
                <w:color w:val="auto"/>
                <w:szCs w:val="21"/>
                <w:highlight w:val="none"/>
              </w:rPr>
              <w:t>地址：</w:t>
            </w:r>
            <w:r>
              <w:rPr>
                <w:rFonts w:hint="eastAsia" w:ascii="宋体"/>
                <w:color w:val="auto"/>
                <w:szCs w:val="21"/>
                <w:highlight w:val="none"/>
                <w:lang w:eastAsia="zh-CN"/>
              </w:rPr>
              <w:t>湖南省永州市零陵区杨梓塘路130号</w:t>
            </w:r>
          </w:p>
          <w:p w14:paraId="0AD1D57E">
            <w:pPr>
              <w:adjustRightInd w:val="0"/>
              <w:snapToGrid w:val="0"/>
              <w:spacing w:line="360" w:lineRule="auto"/>
              <w:rPr>
                <w:rFonts w:hint="eastAsia" w:ascii="宋体" w:eastAsia="宋体"/>
                <w:color w:val="auto"/>
                <w:szCs w:val="21"/>
                <w:highlight w:val="none"/>
                <w:lang w:eastAsia="zh-CN"/>
              </w:rPr>
            </w:pPr>
            <w:r>
              <w:rPr>
                <w:rFonts w:hint="eastAsia" w:ascii="宋体"/>
                <w:color w:val="auto"/>
                <w:szCs w:val="21"/>
                <w:highlight w:val="none"/>
              </w:rPr>
              <w:t>电话：</w:t>
            </w:r>
            <w:r>
              <w:rPr>
                <w:rFonts w:hint="eastAsia" w:ascii="宋体"/>
                <w:color w:val="auto"/>
                <w:szCs w:val="21"/>
                <w:highlight w:val="none"/>
                <w:lang w:eastAsia="zh-CN"/>
              </w:rPr>
              <w:t>刘老师</w:t>
            </w:r>
          </w:p>
          <w:p w14:paraId="50476885">
            <w:pPr>
              <w:adjustRightInd w:val="0"/>
              <w:snapToGrid w:val="0"/>
              <w:spacing w:line="360" w:lineRule="auto"/>
              <w:rPr>
                <w:rFonts w:hint="eastAsia" w:ascii="宋体" w:eastAsia="宋体"/>
                <w:color w:val="auto"/>
                <w:szCs w:val="21"/>
                <w:highlight w:val="none"/>
                <w:lang w:eastAsia="zh-CN"/>
              </w:rPr>
            </w:pPr>
            <w:r>
              <w:rPr>
                <w:rFonts w:hint="eastAsia" w:ascii="宋体"/>
                <w:color w:val="auto"/>
                <w:szCs w:val="21"/>
                <w:highlight w:val="none"/>
              </w:rPr>
              <w:t>联系人：</w:t>
            </w:r>
            <w:r>
              <w:rPr>
                <w:rFonts w:hint="eastAsia" w:ascii="宋体" w:hAnsi="宋体"/>
                <w:bCs/>
                <w:color w:val="auto"/>
                <w:szCs w:val="21"/>
                <w:highlight w:val="none"/>
                <w:lang w:eastAsia="zh-CN"/>
              </w:rPr>
              <w:t>13243602573</w:t>
            </w:r>
          </w:p>
        </w:tc>
      </w:tr>
      <w:tr w14:paraId="266D78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2" w:hRule="atLeast"/>
          <w:jc w:val="center"/>
        </w:trPr>
        <w:tc>
          <w:tcPr>
            <w:tcW w:w="1728" w:type="dxa"/>
            <w:noWrap w:val="0"/>
            <w:vAlign w:val="center"/>
          </w:tcPr>
          <w:p w14:paraId="42217851">
            <w:pPr>
              <w:adjustRightInd w:val="0"/>
              <w:snapToGrid w:val="0"/>
              <w:spacing w:line="360" w:lineRule="auto"/>
              <w:jc w:val="center"/>
              <w:rPr>
                <w:rFonts w:ascii="宋体"/>
                <w:color w:val="auto"/>
                <w:szCs w:val="21"/>
                <w:highlight w:val="none"/>
              </w:rPr>
            </w:pPr>
            <w:r>
              <w:rPr>
                <w:rFonts w:hint="eastAsia" w:ascii="宋体"/>
                <w:color w:val="auto"/>
                <w:szCs w:val="21"/>
                <w:highlight w:val="none"/>
              </w:rPr>
              <w:t>第二章第2.2款</w:t>
            </w:r>
          </w:p>
        </w:tc>
        <w:tc>
          <w:tcPr>
            <w:tcW w:w="1601" w:type="dxa"/>
            <w:noWrap w:val="0"/>
            <w:vAlign w:val="center"/>
          </w:tcPr>
          <w:p w14:paraId="4A24D304">
            <w:pPr>
              <w:adjustRightInd w:val="0"/>
              <w:snapToGrid w:val="0"/>
              <w:spacing w:line="360" w:lineRule="auto"/>
              <w:rPr>
                <w:rFonts w:ascii="宋体"/>
                <w:color w:val="auto"/>
                <w:szCs w:val="21"/>
                <w:highlight w:val="none"/>
              </w:rPr>
            </w:pPr>
            <w:r>
              <w:rPr>
                <w:rFonts w:hint="eastAsia" w:ascii="宋体"/>
                <w:color w:val="auto"/>
                <w:szCs w:val="21"/>
                <w:highlight w:val="none"/>
              </w:rPr>
              <w:t>采购代理机构</w:t>
            </w:r>
          </w:p>
        </w:tc>
        <w:tc>
          <w:tcPr>
            <w:tcW w:w="6315" w:type="dxa"/>
            <w:noWrap w:val="0"/>
            <w:vAlign w:val="center"/>
          </w:tcPr>
          <w:p w14:paraId="7CDB1C69">
            <w:pPr>
              <w:adjustRightInd w:val="0"/>
              <w:snapToGrid w:val="0"/>
              <w:spacing w:line="360" w:lineRule="auto"/>
              <w:rPr>
                <w:rFonts w:hint="eastAsia" w:ascii="宋体" w:eastAsia="宋体"/>
                <w:color w:val="auto"/>
                <w:szCs w:val="21"/>
                <w:highlight w:val="none"/>
                <w:lang w:eastAsia="zh-CN"/>
              </w:rPr>
            </w:pPr>
            <w:r>
              <w:rPr>
                <w:rFonts w:hint="eastAsia" w:ascii="宋体"/>
                <w:color w:val="auto"/>
                <w:szCs w:val="21"/>
                <w:highlight w:val="none"/>
              </w:rPr>
              <w:t>名称：</w:t>
            </w:r>
            <w:r>
              <w:rPr>
                <w:rFonts w:hint="eastAsia" w:ascii="宋体"/>
                <w:color w:val="auto"/>
                <w:szCs w:val="21"/>
                <w:highlight w:val="none"/>
                <w:lang w:eastAsia="zh-CN"/>
              </w:rPr>
              <w:t>永信和瑞工程咨询有限公司</w:t>
            </w:r>
          </w:p>
          <w:p w14:paraId="78EEFE12">
            <w:pPr>
              <w:adjustRightInd w:val="0"/>
              <w:snapToGrid w:val="0"/>
              <w:spacing w:line="360" w:lineRule="auto"/>
              <w:rPr>
                <w:rFonts w:hint="eastAsia" w:ascii="宋体" w:eastAsia="宋体"/>
                <w:color w:val="auto"/>
                <w:szCs w:val="21"/>
                <w:highlight w:val="none"/>
                <w:lang w:eastAsia="zh-CN"/>
              </w:rPr>
            </w:pPr>
            <w:r>
              <w:rPr>
                <w:rFonts w:hint="eastAsia" w:ascii="宋体"/>
                <w:color w:val="auto"/>
                <w:szCs w:val="21"/>
                <w:highlight w:val="none"/>
              </w:rPr>
              <w:t>地址：</w:t>
            </w:r>
            <w:r>
              <w:rPr>
                <w:rFonts w:hint="eastAsia" w:ascii="宋体"/>
                <w:color w:val="auto"/>
                <w:szCs w:val="21"/>
                <w:highlight w:val="none"/>
                <w:lang w:eastAsia="zh-CN"/>
              </w:rPr>
              <w:t>长沙市岳麓山国家大学科技城岳麓街道麻园路中建智慧谷产业园二区11号栋</w:t>
            </w:r>
          </w:p>
          <w:p w14:paraId="4EB833AB">
            <w:pPr>
              <w:adjustRightInd w:val="0"/>
              <w:snapToGrid w:val="0"/>
              <w:spacing w:line="360" w:lineRule="auto"/>
              <w:rPr>
                <w:rFonts w:hint="eastAsia" w:ascii="宋体" w:eastAsia="宋体"/>
                <w:color w:val="auto"/>
                <w:szCs w:val="21"/>
                <w:highlight w:val="none"/>
                <w:lang w:eastAsia="zh-CN"/>
              </w:rPr>
            </w:pPr>
            <w:r>
              <w:rPr>
                <w:rFonts w:hint="eastAsia" w:ascii="宋体"/>
                <w:color w:val="auto"/>
                <w:szCs w:val="21"/>
                <w:highlight w:val="none"/>
              </w:rPr>
              <w:t>电话：</w:t>
            </w:r>
            <w:r>
              <w:rPr>
                <w:rFonts w:hint="eastAsia" w:ascii="宋体" w:hAnsi="宋体" w:cs="宋体"/>
                <w:color w:val="auto"/>
                <w:szCs w:val="21"/>
                <w:highlight w:val="none"/>
                <w:lang w:eastAsia="zh-CN"/>
              </w:rPr>
              <w:t>0731-</w:t>
            </w:r>
            <w:r>
              <w:rPr>
                <w:rFonts w:hint="eastAsia" w:ascii="宋体" w:hAnsi="宋体" w:cs="宋体"/>
                <w:color w:val="auto"/>
                <w:szCs w:val="21"/>
                <w:highlight w:val="none"/>
                <w:lang w:val="en-US" w:eastAsia="zh-CN"/>
              </w:rPr>
              <w:t>89767891</w:t>
            </w:r>
          </w:p>
          <w:p w14:paraId="6B5F1CBE">
            <w:pPr>
              <w:adjustRightInd w:val="0"/>
              <w:snapToGrid w:val="0"/>
              <w:spacing w:line="360" w:lineRule="auto"/>
              <w:rPr>
                <w:rFonts w:hint="eastAsia" w:ascii="宋体" w:eastAsia="宋体"/>
                <w:color w:val="auto"/>
                <w:szCs w:val="21"/>
                <w:highlight w:val="none"/>
                <w:lang w:eastAsia="zh-CN"/>
              </w:rPr>
            </w:pPr>
            <w:r>
              <w:rPr>
                <w:rFonts w:hint="eastAsia" w:ascii="宋体"/>
                <w:color w:val="auto"/>
                <w:szCs w:val="21"/>
                <w:highlight w:val="none"/>
              </w:rPr>
              <w:t>联系人：</w:t>
            </w:r>
            <w:r>
              <w:rPr>
                <w:rFonts w:hint="eastAsia" w:ascii="宋体" w:hAnsi="宋体"/>
                <w:color w:val="auto"/>
                <w:szCs w:val="21"/>
                <w:highlight w:val="none"/>
                <w:lang w:val="en-US" w:eastAsia="zh-CN"/>
              </w:rPr>
              <w:t>曹凯、</w:t>
            </w:r>
            <w:r>
              <w:rPr>
                <w:rFonts w:hint="eastAsia" w:ascii="宋体" w:hAnsi="宋体" w:eastAsia="宋体" w:cs="宋体"/>
                <w:color w:val="auto"/>
                <w:kern w:val="0"/>
                <w:szCs w:val="21"/>
                <w:highlight w:val="none"/>
                <w:lang w:val="en-US" w:eastAsia="zh-CN"/>
              </w:rPr>
              <w:t>刘怡芳</w:t>
            </w:r>
            <w:r>
              <w:rPr>
                <w:rFonts w:hint="eastAsia" w:ascii="宋体" w:hAnsi="宋体"/>
                <w:color w:val="auto"/>
                <w:szCs w:val="21"/>
                <w:highlight w:val="none"/>
                <w:lang w:val="en-US" w:eastAsia="zh-CN"/>
              </w:rPr>
              <w:t>、徐溶、张子涵</w:t>
            </w:r>
          </w:p>
        </w:tc>
      </w:tr>
      <w:tr w14:paraId="619A95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728" w:type="dxa"/>
            <w:noWrap w:val="0"/>
            <w:vAlign w:val="center"/>
          </w:tcPr>
          <w:p w14:paraId="61F88C4E">
            <w:pPr>
              <w:adjustRightInd w:val="0"/>
              <w:snapToGrid w:val="0"/>
              <w:spacing w:line="360" w:lineRule="auto"/>
              <w:jc w:val="center"/>
              <w:rPr>
                <w:rFonts w:ascii="宋体"/>
                <w:color w:val="auto"/>
                <w:szCs w:val="21"/>
                <w:highlight w:val="none"/>
              </w:rPr>
            </w:pPr>
            <w:r>
              <w:rPr>
                <w:rFonts w:hint="eastAsia" w:ascii="宋体"/>
                <w:color w:val="auto"/>
                <w:szCs w:val="21"/>
                <w:highlight w:val="none"/>
              </w:rPr>
              <w:t>第二章第2.3款</w:t>
            </w:r>
          </w:p>
        </w:tc>
        <w:tc>
          <w:tcPr>
            <w:tcW w:w="1601" w:type="dxa"/>
            <w:noWrap w:val="0"/>
            <w:vAlign w:val="center"/>
          </w:tcPr>
          <w:p w14:paraId="31E533AF">
            <w:pPr>
              <w:adjustRightInd w:val="0"/>
              <w:snapToGrid w:val="0"/>
              <w:spacing w:line="360" w:lineRule="auto"/>
              <w:rPr>
                <w:rFonts w:ascii="宋体"/>
                <w:bCs/>
                <w:color w:val="auto"/>
                <w:szCs w:val="21"/>
                <w:highlight w:val="none"/>
              </w:rPr>
            </w:pPr>
            <w:r>
              <w:rPr>
                <w:rFonts w:hint="eastAsia" w:ascii="宋体"/>
                <w:color w:val="auto"/>
                <w:szCs w:val="21"/>
                <w:highlight w:val="none"/>
              </w:rPr>
              <w:t>供应商的邀请方式</w:t>
            </w:r>
          </w:p>
        </w:tc>
        <w:tc>
          <w:tcPr>
            <w:tcW w:w="6315" w:type="dxa"/>
            <w:noWrap w:val="0"/>
            <w:vAlign w:val="center"/>
          </w:tcPr>
          <w:p w14:paraId="765E34D8">
            <w:pPr>
              <w:adjustRightInd w:val="0"/>
              <w:snapToGrid w:val="0"/>
              <w:spacing w:line="360" w:lineRule="auto"/>
              <w:rPr>
                <w:rFonts w:ascii="宋体"/>
                <w:color w:val="auto"/>
                <w:szCs w:val="21"/>
                <w:highlight w:val="none"/>
              </w:rPr>
            </w:pPr>
            <w:r>
              <w:rPr>
                <w:rFonts w:hint="eastAsia" w:ascii="宋体"/>
                <w:color w:val="auto"/>
                <w:highlight w:val="none"/>
              </w:rPr>
              <w:t>■</w:t>
            </w:r>
            <w:r>
              <w:rPr>
                <w:rFonts w:hint="eastAsia" w:ascii="宋体"/>
                <w:color w:val="auto"/>
                <w:szCs w:val="21"/>
                <w:highlight w:val="none"/>
              </w:rPr>
              <w:t xml:space="preserve"> 发布公告</w:t>
            </w:r>
          </w:p>
          <w:p w14:paraId="37D33B75">
            <w:pPr>
              <w:adjustRightInd w:val="0"/>
              <w:snapToGrid w:val="0"/>
              <w:spacing w:line="360" w:lineRule="auto"/>
              <w:rPr>
                <w:rFonts w:ascii="宋体"/>
                <w:color w:val="auto"/>
                <w:szCs w:val="21"/>
                <w:highlight w:val="none"/>
              </w:rPr>
            </w:pPr>
            <w:r>
              <w:rPr>
                <w:rFonts w:hint="eastAsia" w:ascii="宋体"/>
                <w:color w:val="auto"/>
                <w:szCs w:val="21"/>
                <w:highlight w:val="none"/>
              </w:rPr>
              <w:t>□ 从省级以上财政部门建立的供应商库中随机抽取</w:t>
            </w:r>
          </w:p>
          <w:p w14:paraId="7991A695">
            <w:pPr>
              <w:adjustRightInd w:val="0"/>
              <w:snapToGrid w:val="0"/>
              <w:spacing w:line="360" w:lineRule="auto"/>
              <w:rPr>
                <w:rFonts w:ascii="宋体"/>
                <w:color w:val="auto"/>
                <w:szCs w:val="21"/>
                <w:highlight w:val="none"/>
              </w:rPr>
            </w:pPr>
            <w:r>
              <w:rPr>
                <w:rFonts w:hint="eastAsia" w:ascii="宋体"/>
                <w:color w:val="auto"/>
                <w:szCs w:val="21"/>
                <w:highlight w:val="none"/>
              </w:rPr>
              <w:t>□ 采购人和评审专家分别书面推荐的方式</w:t>
            </w:r>
          </w:p>
        </w:tc>
      </w:tr>
      <w:tr w14:paraId="701E76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92" w:hRule="atLeast"/>
          <w:jc w:val="center"/>
        </w:trPr>
        <w:tc>
          <w:tcPr>
            <w:tcW w:w="1728" w:type="dxa"/>
            <w:noWrap w:val="0"/>
            <w:vAlign w:val="center"/>
          </w:tcPr>
          <w:p w14:paraId="6B3AFBE9">
            <w:pPr>
              <w:adjustRightInd w:val="0"/>
              <w:snapToGrid w:val="0"/>
              <w:spacing w:line="360" w:lineRule="auto"/>
              <w:jc w:val="center"/>
              <w:rPr>
                <w:rFonts w:ascii="宋体"/>
                <w:color w:val="auto"/>
                <w:szCs w:val="21"/>
                <w:highlight w:val="none"/>
              </w:rPr>
            </w:pPr>
            <w:r>
              <w:rPr>
                <w:rFonts w:hint="eastAsia" w:ascii="宋体"/>
                <w:color w:val="auto"/>
                <w:szCs w:val="21"/>
                <w:highlight w:val="none"/>
              </w:rPr>
              <w:t>第二章第3.1款</w:t>
            </w:r>
          </w:p>
        </w:tc>
        <w:tc>
          <w:tcPr>
            <w:tcW w:w="1601" w:type="dxa"/>
            <w:noWrap w:val="0"/>
            <w:vAlign w:val="center"/>
          </w:tcPr>
          <w:p w14:paraId="6E05B5C5">
            <w:pPr>
              <w:adjustRightInd w:val="0"/>
              <w:snapToGrid w:val="0"/>
              <w:spacing w:line="360" w:lineRule="auto"/>
              <w:rPr>
                <w:rFonts w:ascii="宋体"/>
                <w:color w:val="auto"/>
                <w:szCs w:val="21"/>
                <w:highlight w:val="none"/>
              </w:rPr>
            </w:pPr>
            <w:r>
              <w:rPr>
                <w:rFonts w:hint="eastAsia" w:ascii="宋体"/>
                <w:bCs/>
                <w:color w:val="auto"/>
                <w:szCs w:val="21"/>
                <w:highlight w:val="none"/>
              </w:rPr>
              <w:t>供应商</w:t>
            </w:r>
            <w:r>
              <w:rPr>
                <w:rFonts w:hint="eastAsia" w:ascii="宋体"/>
                <w:color w:val="auto"/>
                <w:szCs w:val="21"/>
                <w:highlight w:val="none"/>
              </w:rPr>
              <w:t>资格条件</w:t>
            </w:r>
          </w:p>
        </w:tc>
        <w:tc>
          <w:tcPr>
            <w:tcW w:w="6315" w:type="dxa"/>
            <w:noWrap w:val="0"/>
            <w:vAlign w:val="center"/>
          </w:tcPr>
          <w:p w14:paraId="452B19AA">
            <w:pPr>
              <w:snapToGrid w:val="0"/>
              <w:spacing w:line="360" w:lineRule="auto"/>
              <w:ind w:firstLine="420"/>
              <w:rPr>
                <w:rFonts w:ascii="宋体"/>
                <w:color w:val="auto"/>
                <w:szCs w:val="22"/>
                <w:highlight w:val="none"/>
              </w:rPr>
            </w:pPr>
            <w:r>
              <w:rPr>
                <w:rFonts w:ascii="宋体"/>
                <w:color w:val="auto"/>
                <w:szCs w:val="22"/>
                <w:highlight w:val="none"/>
              </w:rPr>
              <w:t>1.</w:t>
            </w:r>
            <w:r>
              <w:rPr>
                <w:rFonts w:hint="eastAsia" w:ascii="宋体"/>
                <w:color w:val="auto"/>
                <w:szCs w:val="22"/>
                <w:highlight w:val="none"/>
              </w:rPr>
              <w:t>供应商基本资格条件：应当符合《政府采购法》第二十二条第一款的规定，即：</w:t>
            </w:r>
          </w:p>
          <w:p w14:paraId="23532701">
            <w:pPr>
              <w:snapToGrid w:val="0"/>
              <w:spacing w:line="360" w:lineRule="auto"/>
              <w:ind w:firstLine="420"/>
              <w:rPr>
                <w:rFonts w:ascii="宋体"/>
                <w:color w:val="auto"/>
                <w:szCs w:val="22"/>
                <w:highlight w:val="none"/>
              </w:rPr>
            </w:pPr>
            <w:r>
              <w:rPr>
                <w:rFonts w:hint="eastAsia" w:ascii="宋体"/>
                <w:color w:val="auto"/>
                <w:szCs w:val="22"/>
                <w:highlight w:val="none"/>
              </w:rPr>
              <w:t>（1）具有独立承担民事责任的能力；</w:t>
            </w:r>
          </w:p>
          <w:p w14:paraId="56F83522">
            <w:pPr>
              <w:snapToGrid w:val="0"/>
              <w:spacing w:line="360" w:lineRule="auto"/>
              <w:ind w:firstLine="420"/>
              <w:rPr>
                <w:rFonts w:ascii="宋体"/>
                <w:color w:val="auto"/>
                <w:szCs w:val="22"/>
                <w:highlight w:val="none"/>
              </w:rPr>
            </w:pPr>
            <w:r>
              <w:rPr>
                <w:rFonts w:hint="eastAsia" w:ascii="宋体"/>
                <w:color w:val="auto"/>
                <w:szCs w:val="22"/>
                <w:highlight w:val="none"/>
              </w:rPr>
              <w:t>（2）具有良好的商业信誉和健全的财务会计制度；</w:t>
            </w:r>
          </w:p>
          <w:p w14:paraId="5C7F8ECF">
            <w:pPr>
              <w:snapToGrid w:val="0"/>
              <w:spacing w:line="360" w:lineRule="auto"/>
              <w:ind w:firstLine="420"/>
              <w:rPr>
                <w:rFonts w:ascii="宋体"/>
                <w:color w:val="auto"/>
                <w:szCs w:val="22"/>
                <w:highlight w:val="none"/>
              </w:rPr>
            </w:pPr>
            <w:r>
              <w:rPr>
                <w:rFonts w:hint="eastAsia" w:ascii="宋体"/>
                <w:color w:val="auto"/>
                <w:szCs w:val="22"/>
                <w:highlight w:val="none"/>
              </w:rPr>
              <w:t>（3）具有履行合同所必需的设备和专业技术能力；</w:t>
            </w:r>
          </w:p>
          <w:p w14:paraId="362EBFBD">
            <w:pPr>
              <w:snapToGrid w:val="0"/>
              <w:spacing w:line="360" w:lineRule="auto"/>
              <w:ind w:firstLine="420"/>
              <w:rPr>
                <w:rFonts w:ascii="宋体"/>
                <w:color w:val="auto"/>
                <w:szCs w:val="22"/>
                <w:highlight w:val="none"/>
              </w:rPr>
            </w:pPr>
            <w:r>
              <w:rPr>
                <w:rFonts w:hint="eastAsia" w:ascii="宋体"/>
                <w:color w:val="auto"/>
                <w:szCs w:val="22"/>
                <w:highlight w:val="none"/>
              </w:rPr>
              <w:t>（4）有依法缴纳税收和社会保障资金的良好记录；</w:t>
            </w:r>
          </w:p>
          <w:p w14:paraId="4D3FFDB0">
            <w:pPr>
              <w:snapToGrid w:val="0"/>
              <w:spacing w:line="360" w:lineRule="auto"/>
              <w:ind w:firstLine="420"/>
              <w:rPr>
                <w:rFonts w:ascii="宋体"/>
                <w:color w:val="auto"/>
                <w:szCs w:val="22"/>
                <w:highlight w:val="none"/>
              </w:rPr>
            </w:pPr>
            <w:r>
              <w:rPr>
                <w:rFonts w:hint="eastAsia" w:ascii="宋体"/>
                <w:color w:val="auto"/>
                <w:szCs w:val="22"/>
                <w:highlight w:val="none"/>
              </w:rPr>
              <w:t>（5）参加政府采购活动前三年内，在经营活动中没有重大违法记录；</w:t>
            </w:r>
          </w:p>
          <w:p w14:paraId="261165BC">
            <w:pPr>
              <w:snapToGrid w:val="0"/>
              <w:spacing w:line="360" w:lineRule="auto"/>
              <w:ind w:firstLine="420"/>
              <w:rPr>
                <w:rFonts w:ascii="宋体" w:hAnsi="宋体"/>
                <w:color w:val="auto"/>
                <w:szCs w:val="22"/>
                <w:highlight w:val="none"/>
              </w:rPr>
            </w:pPr>
            <w:r>
              <w:rPr>
                <w:rFonts w:hint="eastAsia" w:ascii="宋体"/>
                <w:color w:val="auto"/>
                <w:szCs w:val="22"/>
                <w:highlight w:val="none"/>
              </w:rPr>
              <w:t>（6）法律、行政法规规定的其他条件。</w:t>
            </w:r>
          </w:p>
          <w:p w14:paraId="76FFF27F">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2、落实政府采购政策需满足的资格要求：</w:t>
            </w:r>
          </w:p>
          <w:p w14:paraId="2E77B8CB">
            <w:pPr>
              <w:adjustRightInd w:val="0"/>
              <w:snapToGrid w:val="0"/>
              <w:spacing w:line="360" w:lineRule="auto"/>
              <w:ind w:firstLine="630" w:firstLineChars="300"/>
              <w:rPr>
                <w:rFonts w:ascii="宋体" w:hAnsi="宋体"/>
                <w:color w:val="auto"/>
                <w:szCs w:val="21"/>
                <w:highlight w:val="none"/>
              </w:rPr>
            </w:pPr>
            <w:r>
              <w:rPr>
                <w:rFonts w:hint="eastAsia" w:ascii="宋体"/>
                <w:color w:val="auto"/>
                <w:highlight w:val="none"/>
              </w:rPr>
              <w:t>■</w:t>
            </w:r>
            <w:r>
              <w:rPr>
                <w:rFonts w:hint="eastAsia" w:ascii="宋体" w:hAnsi="宋体"/>
                <w:iCs/>
                <w:color w:val="auto"/>
                <w:szCs w:val="21"/>
                <w:highlight w:val="none"/>
              </w:rPr>
              <w:t>专门面向</w:t>
            </w:r>
            <w:r>
              <w:rPr>
                <w:rFonts w:hint="eastAsia" w:ascii="宋体" w:hAnsi="宋体"/>
                <w:bCs/>
                <w:color w:val="auto"/>
                <w:szCs w:val="21"/>
                <w:highlight w:val="none"/>
              </w:rPr>
              <w:t>：</w:t>
            </w:r>
            <w:r>
              <w:rPr>
                <w:rFonts w:hint="eastAsia" w:ascii="宋体"/>
                <w:color w:val="auto"/>
                <w:highlight w:val="none"/>
              </w:rPr>
              <w:t>■</w:t>
            </w:r>
            <w:r>
              <w:rPr>
                <w:rFonts w:hint="eastAsia" w:ascii="宋体" w:hAnsi="宋体"/>
                <w:iCs/>
                <w:color w:val="auto"/>
                <w:szCs w:val="21"/>
                <w:highlight w:val="none"/>
              </w:rPr>
              <w:t xml:space="preserve">中小企业  </w:t>
            </w:r>
            <w:r>
              <w:rPr>
                <w:rFonts w:hint="eastAsia" w:ascii="宋体" w:hAnsi="宋体"/>
                <w:iCs/>
                <w:color w:val="auto"/>
                <w:szCs w:val="21"/>
                <w:highlight w:val="none"/>
              </w:rPr>
              <w:sym w:font="Wingdings" w:char="00A8"/>
            </w:r>
            <w:r>
              <w:rPr>
                <w:rFonts w:hint="eastAsia" w:ascii="宋体" w:hAnsi="宋体"/>
                <w:iCs/>
                <w:color w:val="auto"/>
                <w:szCs w:val="21"/>
                <w:highlight w:val="none"/>
              </w:rPr>
              <w:t xml:space="preserve">小微企业 </w:t>
            </w:r>
            <w:r>
              <w:rPr>
                <w:rFonts w:hint="eastAsia" w:ascii="宋体" w:hAnsi="宋体"/>
                <w:iCs/>
                <w:color w:val="auto"/>
                <w:szCs w:val="21"/>
                <w:highlight w:val="none"/>
              </w:rPr>
              <w:sym w:font="Wingdings" w:char="00A8"/>
            </w:r>
            <w:r>
              <w:rPr>
                <w:rFonts w:hint="eastAsia" w:ascii="宋体" w:hAnsi="宋体"/>
                <w:iCs/>
                <w:color w:val="auto"/>
                <w:szCs w:val="21"/>
                <w:highlight w:val="none"/>
              </w:rPr>
              <w:t xml:space="preserve">监狱企业 </w:t>
            </w:r>
            <w:r>
              <w:rPr>
                <w:rFonts w:hint="eastAsia" w:ascii="宋体" w:hAnsi="宋体"/>
                <w:iCs/>
                <w:color w:val="auto"/>
                <w:szCs w:val="21"/>
                <w:highlight w:val="none"/>
              </w:rPr>
              <w:sym w:font="Wingdings" w:char="00A8"/>
            </w:r>
            <w:r>
              <w:rPr>
                <w:rFonts w:hint="eastAsia" w:ascii="宋体" w:hAnsi="宋体"/>
                <w:iCs/>
                <w:color w:val="auto"/>
                <w:szCs w:val="21"/>
                <w:highlight w:val="none"/>
              </w:rPr>
              <w:t>福利性单位。</w:t>
            </w:r>
          </w:p>
          <w:p w14:paraId="5F2779CE">
            <w:pPr>
              <w:adjustRightInd w:val="0"/>
              <w:snapToGrid w:val="0"/>
              <w:spacing w:line="360" w:lineRule="auto"/>
              <w:ind w:firstLine="630" w:firstLineChars="300"/>
              <w:rPr>
                <w:rFonts w:hint="eastAsia" w:ascii="宋体" w:hAnsi="宋体"/>
                <w:color w:val="auto"/>
                <w:highlight w:val="none"/>
              </w:rPr>
            </w:pPr>
            <w:r>
              <w:rPr>
                <w:rFonts w:hint="eastAsia" w:ascii="宋体" w:hAnsi="宋体"/>
                <w:iCs/>
                <w:color w:val="auto"/>
                <w:szCs w:val="21"/>
                <w:highlight w:val="none"/>
              </w:rPr>
              <w:sym w:font="Wingdings" w:char="00A8"/>
            </w:r>
            <w:r>
              <w:rPr>
                <w:rFonts w:hint="eastAsia" w:ascii="宋体" w:hAnsi="宋体"/>
                <w:iCs/>
                <w:color w:val="auto"/>
                <w:szCs w:val="21"/>
                <w:highlight w:val="none"/>
              </w:rPr>
              <w:t>强制</w:t>
            </w:r>
            <w:r>
              <w:rPr>
                <w:rFonts w:hint="eastAsia" w:ascii="宋体" w:hAnsi="宋体"/>
                <w:bCs/>
                <w:color w:val="auto"/>
                <w:szCs w:val="21"/>
                <w:highlight w:val="none"/>
              </w:rPr>
              <w:t>分包：大型企业应将采购份额的</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w:t>
            </w:r>
            <w:r>
              <w:rPr>
                <w:rFonts w:hint="eastAsia" w:ascii="宋体" w:hAnsi="宋体"/>
                <w:bCs/>
                <w:color w:val="auto"/>
                <w:szCs w:val="21"/>
                <w:highlight w:val="none"/>
                <w:u w:val="single"/>
              </w:rPr>
              <w:t xml:space="preserve">  </w:t>
            </w:r>
            <w:r>
              <w:rPr>
                <w:rFonts w:hint="eastAsia" w:ascii="宋体" w:hAnsi="宋体"/>
                <w:bCs/>
                <w:color w:val="auto"/>
                <w:szCs w:val="21"/>
                <w:highlight w:val="none"/>
              </w:rPr>
              <w:t>%分包给中小企业。</w:t>
            </w:r>
          </w:p>
          <w:p w14:paraId="2344D2E8">
            <w:pPr>
              <w:widowControl/>
              <w:spacing w:before="150" w:line="420" w:lineRule="atLeast"/>
              <w:ind w:firstLine="420"/>
              <w:rPr>
                <w:rFonts w:hint="eastAsia" w:ascii="宋体" w:hAnsi="宋体"/>
                <w:color w:val="auto"/>
                <w:highlight w:val="none"/>
              </w:rPr>
            </w:pPr>
            <w:r>
              <w:rPr>
                <w:rFonts w:hint="eastAsia" w:ascii="宋体" w:hAnsi="宋体"/>
                <w:color w:val="auto"/>
                <w:highlight w:val="none"/>
                <w:lang w:val="en-US" w:eastAsia="zh-CN"/>
              </w:rPr>
              <w:t>3</w:t>
            </w:r>
            <w:r>
              <w:rPr>
                <w:rFonts w:hint="eastAsia" w:ascii="宋体" w:hAnsi="宋体"/>
                <w:color w:val="auto"/>
                <w:highlight w:val="none"/>
              </w:rPr>
              <w:t>、供应商特定资格条件：</w:t>
            </w:r>
          </w:p>
          <w:p w14:paraId="73185EDA">
            <w:pPr>
              <w:widowControl/>
              <w:spacing w:before="150" w:line="420" w:lineRule="atLeast"/>
              <w:ind w:firstLine="420"/>
              <w:rPr>
                <w:rFonts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1）具有独立法人资格并依法取得企业营业执照，营业执照处于有效期，省外入湘企业应在“湖南省住房和城乡建设网”进行基本信息登记</w:t>
            </w:r>
            <w:r>
              <w:rPr>
                <w:rFonts w:hint="eastAsia" w:ascii="宋体" w:hAnsi="宋体" w:eastAsia="宋体" w:cs="宋体"/>
                <w:color w:val="auto"/>
                <w:szCs w:val="21"/>
                <w:highlight w:val="none"/>
              </w:rPr>
              <w:t>（以“湖</w:t>
            </w:r>
            <w:r>
              <w:rPr>
                <w:rFonts w:hint="eastAsia" w:ascii="宋体" w:hAnsi="宋体" w:eastAsia="宋体" w:cs="宋体"/>
                <w:color w:val="auto"/>
                <w:kern w:val="0"/>
                <w:szCs w:val="21"/>
                <w:highlight w:val="none"/>
              </w:rPr>
              <w:t>南省住房和城乡建设网”查询为准）</w:t>
            </w:r>
            <w:r>
              <w:rPr>
                <w:rFonts w:hint="eastAsia" w:ascii="宋体" w:hAnsi="宋体" w:eastAsia="宋体" w:cs="Times New Roman"/>
                <w:color w:val="auto"/>
                <w:szCs w:val="21"/>
                <w:highlight w:val="none"/>
              </w:rPr>
              <w:t>；</w:t>
            </w:r>
          </w:p>
          <w:p w14:paraId="0BB6C712">
            <w:pPr>
              <w:widowControl/>
              <w:spacing w:before="150" w:line="420" w:lineRule="atLeast"/>
              <w:ind w:firstLine="420"/>
              <w:rPr>
                <w:rFonts w:hint="eastAsia" w:ascii="宋体" w:hAnsi="宋体" w:eastAsia="宋体" w:cs="Times New Roman"/>
                <w:color w:val="auto"/>
                <w:highlight w:val="none"/>
              </w:rPr>
            </w:pPr>
            <w:r>
              <w:rPr>
                <w:rFonts w:hint="eastAsia" w:ascii="宋体" w:hAnsi="宋体" w:eastAsia="宋体" w:cs="Times New Roman"/>
                <w:color w:val="auto"/>
                <w:szCs w:val="21"/>
                <w:highlight w:val="none"/>
              </w:rPr>
              <w:t>（2）具备住房城乡建设主管部门颁发的</w:t>
            </w:r>
            <w:r>
              <w:rPr>
                <w:rFonts w:hint="eastAsia" w:ascii="宋体" w:hAnsi="宋体" w:eastAsia="宋体"/>
                <w:b/>
                <w:color w:val="auto"/>
                <w:highlight w:val="none"/>
                <w:u w:val="single"/>
              </w:rPr>
              <w:t>市政公用工程施工总承包三级</w:t>
            </w:r>
            <w:r>
              <w:rPr>
                <w:rFonts w:hint="eastAsia" w:ascii="宋体" w:hAnsi="宋体" w:eastAsia="宋体"/>
                <w:b/>
                <w:color w:val="auto"/>
                <w:highlight w:val="none"/>
                <w:u w:val="single"/>
                <w:lang w:val="en-US" w:eastAsia="zh-CN"/>
              </w:rPr>
              <w:t>及以上</w:t>
            </w:r>
            <w:r>
              <w:rPr>
                <w:rFonts w:hint="eastAsia" w:ascii="宋体" w:hAnsi="宋体" w:eastAsia="宋体"/>
                <w:b/>
                <w:color w:val="auto"/>
                <w:highlight w:val="none"/>
                <w:u w:val="single"/>
              </w:rPr>
              <w:t>资质</w:t>
            </w:r>
            <w:r>
              <w:rPr>
                <w:rFonts w:hint="eastAsia" w:ascii="宋体" w:hAnsi="宋体" w:eastAsia="宋体" w:cs="Times New Roman"/>
                <w:color w:val="auto"/>
                <w:szCs w:val="21"/>
                <w:highlight w:val="none"/>
              </w:rPr>
              <w:t>，安全生产许可证处于有效期内；拟派项目负责人具有</w:t>
            </w:r>
            <w:r>
              <w:rPr>
                <w:rFonts w:hint="eastAsia" w:ascii="宋体" w:hAnsi="宋体" w:eastAsia="宋体" w:cs="Times New Roman"/>
                <w:b/>
                <w:bCs/>
                <w:color w:val="auto"/>
                <w:szCs w:val="21"/>
                <w:highlight w:val="none"/>
                <w:u w:val="single"/>
              </w:rPr>
              <w:t>市政公用工程专业二级及以上</w:t>
            </w:r>
            <w:r>
              <w:rPr>
                <w:rFonts w:hint="eastAsia" w:ascii="宋体" w:hAnsi="宋体" w:eastAsia="宋体" w:cs="Times New Roman"/>
                <w:color w:val="auto"/>
                <w:szCs w:val="21"/>
                <w:highlight w:val="none"/>
              </w:rPr>
              <w:t>注册建造师，同时具有有效的B类安全生产考核合格证，且无在建工程；</w:t>
            </w:r>
            <w:r>
              <w:rPr>
                <w:rFonts w:hint="eastAsia" w:ascii="宋体" w:hAnsi="宋体" w:eastAsia="宋体" w:cs="宋体"/>
                <w:color w:val="auto"/>
                <w:kern w:val="0"/>
                <w:szCs w:val="21"/>
                <w:highlight w:val="none"/>
              </w:rPr>
              <w:t>项目部关键岗位人员配备数量均不得低于湘建建[2020]208号文规定的最低配备标准</w:t>
            </w:r>
            <w:r>
              <w:rPr>
                <w:rFonts w:hint="eastAsia" w:ascii="宋体" w:hAnsi="宋体" w:eastAsia="宋体"/>
                <w:color w:val="auto"/>
                <w:highlight w:val="none"/>
              </w:rPr>
              <w:t>（提供</w:t>
            </w:r>
            <w:r>
              <w:rPr>
                <w:rFonts w:ascii="宋体" w:hAnsi="宋体" w:eastAsia="宋体"/>
                <w:color w:val="auto"/>
                <w:highlight w:val="none"/>
              </w:rPr>
              <w:t>承诺</w:t>
            </w:r>
            <w:r>
              <w:rPr>
                <w:rFonts w:hint="eastAsia" w:ascii="宋体" w:hAnsi="宋体" w:eastAsia="宋体"/>
                <w:color w:val="auto"/>
                <w:highlight w:val="none"/>
              </w:rPr>
              <w:t>函</w:t>
            </w:r>
            <w:r>
              <w:rPr>
                <w:rFonts w:ascii="宋体" w:hAnsi="宋体" w:eastAsia="宋体"/>
                <w:color w:val="auto"/>
                <w:highlight w:val="none"/>
              </w:rPr>
              <w:t>，格式自拟</w:t>
            </w:r>
            <w:r>
              <w:rPr>
                <w:rFonts w:hint="eastAsia" w:ascii="宋体" w:hAnsi="宋体" w:eastAsia="宋体"/>
                <w:color w:val="auto"/>
                <w:highlight w:val="none"/>
              </w:rPr>
              <w:t>）</w:t>
            </w:r>
            <w:r>
              <w:rPr>
                <w:rFonts w:hint="eastAsia" w:ascii="宋体" w:hAnsi="宋体" w:eastAsia="宋体" w:cs="宋体"/>
                <w:color w:val="auto"/>
                <w:kern w:val="0"/>
                <w:szCs w:val="21"/>
                <w:highlight w:val="none"/>
              </w:rPr>
              <w:t>；施工项目部关键岗位人员必须是投标单</w:t>
            </w:r>
            <w:r>
              <w:rPr>
                <w:rFonts w:hint="eastAsia" w:ascii="宋体" w:hAnsi="宋体" w:eastAsia="宋体" w:cs="Times New Roman"/>
                <w:color w:val="auto"/>
                <w:szCs w:val="21"/>
                <w:highlight w:val="none"/>
              </w:rPr>
              <w:t>位在</w:t>
            </w:r>
            <w:r>
              <w:rPr>
                <w:rFonts w:hint="eastAsia" w:ascii="宋体" w:hAnsi="宋体" w:eastAsia="宋体" w:cs="Times New Roman"/>
                <w:color w:val="auto"/>
                <w:highlight w:val="none"/>
              </w:rPr>
              <w:t>职人员，且无在建工程，提供施工项目部关键岗位人员无在建工程承诺书。</w:t>
            </w:r>
          </w:p>
          <w:p w14:paraId="2AD5AECD">
            <w:pPr>
              <w:widowControl/>
              <w:spacing w:before="150" w:line="420" w:lineRule="atLeast"/>
              <w:ind w:firstLine="420"/>
              <w:rPr>
                <w:rFonts w:hint="eastAsia" w:ascii="宋体" w:hAnsi="宋体" w:eastAsia="宋体" w:cs="Times New Roman"/>
                <w:color w:val="auto"/>
                <w:highlight w:val="none"/>
              </w:rPr>
            </w:pPr>
            <w:r>
              <w:rPr>
                <w:rFonts w:hint="eastAsia" w:ascii="宋体" w:hAnsi="宋体" w:eastAsia="宋体" w:cs="Times New Roman"/>
                <w:color w:val="auto"/>
                <w:highlight w:val="none"/>
                <w:lang w:eastAsia="zh-CN"/>
              </w:rPr>
              <w:t>（</w:t>
            </w:r>
            <w:r>
              <w:rPr>
                <w:rFonts w:hint="eastAsia" w:ascii="宋体" w:hAnsi="宋体" w:eastAsia="宋体" w:cs="Times New Roman"/>
                <w:color w:val="auto"/>
                <w:highlight w:val="none"/>
                <w:lang w:val="en-US" w:eastAsia="zh-CN"/>
              </w:rPr>
              <w:t>3</w:t>
            </w:r>
            <w:r>
              <w:rPr>
                <w:rFonts w:hint="eastAsia" w:ascii="宋体" w:hAnsi="宋体" w:eastAsia="宋体" w:cs="Times New Roman"/>
                <w:color w:val="auto"/>
                <w:highlight w:val="none"/>
                <w:lang w:eastAsia="zh-CN"/>
              </w:rPr>
              <w:t>）</w:t>
            </w:r>
            <w:r>
              <w:rPr>
                <w:rFonts w:hint="eastAsia" w:ascii="宋体" w:hAnsi="宋体" w:eastAsia="宋体" w:cs="Times New Roman"/>
                <w:color w:val="auto"/>
                <w:highlight w:val="none"/>
                <w:lang w:val="en-US" w:eastAsia="zh-CN"/>
              </w:rPr>
              <w:t>项目负责人及本项目被授权人必须是本企业在职人员，提供劳动保障部门出具近三个月中任意一个月的社保证明。</w:t>
            </w:r>
          </w:p>
          <w:p w14:paraId="585EE03B">
            <w:pPr>
              <w:widowControl/>
              <w:spacing w:before="150" w:line="420" w:lineRule="atLeast"/>
              <w:ind w:firstLine="420"/>
              <w:rPr>
                <w:rFonts w:ascii="宋体" w:hAnsi="宋体" w:eastAsia="宋体" w:cs="Times New Roman"/>
                <w:color w:val="auto"/>
                <w:highlight w:val="none"/>
              </w:rPr>
            </w:pPr>
            <w:r>
              <w:rPr>
                <w:rFonts w:hint="eastAsia" w:ascii="宋体" w:hAnsi="宋体" w:eastAsia="宋体" w:cs="Times New Roman"/>
                <w:color w:val="auto"/>
                <w:highlight w:val="none"/>
                <w:lang w:val="en-US" w:eastAsia="zh-CN"/>
              </w:rPr>
              <w:t>4</w:t>
            </w:r>
            <w:r>
              <w:rPr>
                <w:rFonts w:hint="eastAsia" w:ascii="宋体" w:hAnsi="宋体" w:eastAsia="宋体" w:cs="Times New Roman"/>
                <w:color w:val="auto"/>
                <w:highlight w:val="none"/>
              </w:rPr>
              <w:t>、单位负责人为同一人或者存在直接控股、管理关系的不同供应商，不得参加同一合同项下的政府采购活动。</w:t>
            </w:r>
          </w:p>
          <w:p w14:paraId="52716480">
            <w:pPr>
              <w:widowControl/>
              <w:spacing w:before="150" w:line="420" w:lineRule="atLeast"/>
              <w:ind w:firstLine="420"/>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5、为本采购项目提供整体设计、规范编制或者项目管理、监理、检测等服务的，不得再参加此项目的其他招标采购活动。</w:t>
            </w:r>
          </w:p>
          <w:p w14:paraId="328FBCDE">
            <w:pPr>
              <w:widowControl/>
              <w:spacing w:before="150" w:line="420" w:lineRule="atLeast"/>
              <w:ind w:firstLine="420"/>
              <w:rPr>
                <w:rFonts w:hint="eastAsia" w:ascii="宋体" w:hAnsi="宋体" w:eastAsia="宋体" w:cs="Times New Roman"/>
                <w:color w:val="auto"/>
                <w:highlight w:val="none"/>
                <w:lang w:val="en-US" w:eastAsia="zh-CN"/>
              </w:rPr>
            </w:pPr>
            <w:bookmarkStart w:id="45" w:name="_Toc24907"/>
            <w:bookmarkStart w:id="46" w:name="_Toc7929"/>
            <w:r>
              <w:rPr>
                <w:rFonts w:hint="eastAsia" w:ascii="宋体" w:hAnsi="宋体" w:eastAsia="宋体" w:cs="Times New Roman"/>
                <w:color w:val="auto"/>
                <w:highlight w:val="none"/>
                <w:lang w:val="en-US" w:eastAsia="zh-CN"/>
              </w:rPr>
              <w:t>6、列入失信被执行人、重大税收违法案件当事人名单，列入政府采购严重违法失信行为记录名单的，拒绝其参与政府采购活动。</w:t>
            </w:r>
            <w:bookmarkEnd w:id="45"/>
            <w:bookmarkEnd w:id="46"/>
          </w:p>
          <w:p w14:paraId="42CB7D23">
            <w:pPr>
              <w:widowControl/>
              <w:spacing w:before="150" w:line="420" w:lineRule="atLeast"/>
              <w:ind w:firstLine="420"/>
              <w:rPr>
                <w:rFonts w:ascii="宋体"/>
                <w:color w:val="auto"/>
                <w:szCs w:val="21"/>
                <w:highlight w:val="none"/>
              </w:rPr>
            </w:pPr>
            <w:r>
              <w:rPr>
                <w:rFonts w:hint="eastAsia" w:ascii="宋体" w:hAnsi="宋体" w:eastAsia="宋体" w:cs="Times New Roman"/>
                <w:color w:val="auto"/>
                <w:highlight w:val="none"/>
                <w:lang w:val="en-US" w:eastAsia="zh-CN"/>
              </w:rPr>
              <w:t>注：符合法定条件的供应商凭《湖南省政府采购供应商资格承诺函》参与政府采购活动，无需提供财务状况、缴纳税收和社会保障资金等资格证明材料。</w:t>
            </w:r>
          </w:p>
        </w:tc>
      </w:tr>
      <w:tr w14:paraId="4CC0A2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728" w:type="dxa"/>
            <w:noWrap w:val="0"/>
            <w:vAlign w:val="center"/>
          </w:tcPr>
          <w:p w14:paraId="7A6167AE">
            <w:pPr>
              <w:adjustRightInd w:val="0"/>
              <w:snapToGrid w:val="0"/>
              <w:spacing w:line="360" w:lineRule="auto"/>
              <w:jc w:val="center"/>
              <w:rPr>
                <w:rFonts w:ascii="宋体"/>
                <w:color w:val="auto"/>
                <w:szCs w:val="21"/>
                <w:highlight w:val="none"/>
              </w:rPr>
            </w:pPr>
            <w:r>
              <w:rPr>
                <w:rFonts w:hint="eastAsia" w:ascii="宋体"/>
                <w:color w:val="auto"/>
                <w:szCs w:val="21"/>
                <w:highlight w:val="none"/>
              </w:rPr>
              <w:t>第二章第6.1款</w:t>
            </w:r>
          </w:p>
        </w:tc>
        <w:tc>
          <w:tcPr>
            <w:tcW w:w="1601" w:type="dxa"/>
            <w:noWrap w:val="0"/>
            <w:vAlign w:val="center"/>
          </w:tcPr>
          <w:p w14:paraId="4D580570">
            <w:pPr>
              <w:adjustRightInd w:val="0"/>
              <w:snapToGrid w:val="0"/>
              <w:spacing w:line="360" w:lineRule="auto"/>
              <w:rPr>
                <w:rFonts w:ascii="宋体"/>
                <w:color w:val="auto"/>
                <w:szCs w:val="21"/>
                <w:highlight w:val="none"/>
              </w:rPr>
            </w:pPr>
            <w:r>
              <w:rPr>
                <w:rFonts w:hint="eastAsia" w:ascii="宋体"/>
                <w:color w:val="auto"/>
                <w:szCs w:val="21"/>
                <w:highlight w:val="none"/>
              </w:rPr>
              <w:t>联合体形式</w:t>
            </w:r>
          </w:p>
        </w:tc>
        <w:tc>
          <w:tcPr>
            <w:tcW w:w="6315" w:type="dxa"/>
            <w:noWrap w:val="0"/>
            <w:vAlign w:val="center"/>
          </w:tcPr>
          <w:p w14:paraId="53563425">
            <w:pPr>
              <w:adjustRightInd w:val="0"/>
              <w:snapToGrid w:val="0"/>
              <w:spacing w:line="360" w:lineRule="auto"/>
              <w:rPr>
                <w:rFonts w:ascii="宋体"/>
                <w:color w:val="auto"/>
                <w:szCs w:val="21"/>
                <w:highlight w:val="none"/>
              </w:rPr>
            </w:pPr>
            <w:r>
              <w:rPr>
                <w:rFonts w:hint="eastAsia" w:ascii="宋体"/>
                <w:color w:val="auto"/>
                <w:highlight w:val="none"/>
              </w:rPr>
              <w:t>■</w:t>
            </w:r>
            <w:r>
              <w:rPr>
                <w:rFonts w:hint="eastAsia" w:ascii="宋体"/>
                <w:color w:val="auto"/>
                <w:szCs w:val="21"/>
                <w:highlight w:val="none"/>
              </w:rPr>
              <w:t xml:space="preserve"> 不接受</w:t>
            </w:r>
          </w:p>
          <w:p w14:paraId="744189AA">
            <w:pPr>
              <w:adjustRightInd w:val="0"/>
              <w:snapToGrid w:val="0"/>
              <w:spacing w:line="360" w:lineRule="auto"/>
              <w:rPr>
                <w:rFonts w:ascii="宋体"/>
                <w:color w:val="auto"/>
                <w:szCs w:val="21"/>
                <w:highlight w:val="none"/>
              </w:rPr>
            </w:pPr>
            <w:r>
              <w:rPr>
                <w:rFonts w:hint="eastAsia" w:ascii="宋体"/>
                <w:color w:val="auto"/>
                <w:szCs w:val="21"/>
                <w:highlight w:val="none"/>
              </w:rPr>
              <w:t>□ 接受</w:t>
            </w:r>
          </w:p>
        </w:tc>
      </w:tr>
      <w:tr w14:paraId="2C29CE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728" w:type="dxa"/>
            <w:noWrap w:val="0"/>
            <w:vAlign w:val="center"/>
          </w:tcPr>
          <w:p w14:paraId="4382F90A">
            <w:pPr>
              <w:adjustRightInd w:val="0"/>
              <w:snapToGrid w:val="0"/>
              <w:spacing w:line="360" w:lineRule="auto"/>
              <w:jc w:val="center"/>
              <w:rPr>
                <w:rFonts w:ascii="宋体"/>
                <w:color w:val="auto"/>
                <w:szCs w:val="21"/>
                <w:highlight w:val="none"/>
              </w:rPr>
            </w:pPr>
            <w:r>
              <w:rPr>
                <w:rFonts w:hint="eastAsia" w:ascii="宋体"/>
                <w:color w:val="auto"/>
                <w:szCs w:val="21"/>
                <w:highlight w:val="none"/>
              </w:rPr>
              <w:t>第二章第6.2款</w:t>
            </w:r>
          </w:p>
        </w:tc>
        <w:tc>
          <w:tcPr>
            <w:tcW w:w="1601" w:type="dxa"/>
            <w:noWrap w:val="0"/>
            <w:vAlign w:val="center"/>
          </w:tcPr>
          <w:p w14:paraId="326A48DC">
            <w:pPr>
              <w:adjustRightInd w:val="0"/>
              <w:snapToGrid w:val="0"/>
              <w:spacing w:line="360" w:lineRule="auto"/>
              <w:rPr>
                <w:rFonts w:ascii="宋体"/>
                <w:color w:val="auto"/>
                <w:szCs w:val="21"/>
                <w:highlight w:val="none"/>
              </w:rPr>
            </w:pPr>
            <w:r>
              <w:rPr>
                <w:rFonts w:hint="eastAsia" w:ascii="宋体"/>
                <w:color w:val="auto"/>
                <w:szCs w:val="21"/>
                <w:highlight w:val="none"/>
              </w:rPr>
              <w:t>对联合体各方的要求</w:t>
            </w:r>
          </w:p>
        </w:tc>
        <w:tc>
          <w:tcPr>
            <w:tcW w:w="6315" w:type="dxa"/>
            <w:noWrap w:val="0"/>
            <w:vAlign w:val="center"/>
          </w:tcPr>
          <w:p w14:paraId="0D46417E">
            <w:pPr>
              <w:adjustRightInd w:val="0"/>
              <w:snapToGrid w:val="0"/>
              <w:spacing w:line="360" w:lineRule="auto"/>
              <w:rPr>
                <w:rFonts w:ascii="宋体"/>
                <w:color w:val="auto"/>
                <w:szCs w:val="21"/>
                <w:highlight w:val="none"/>
              </w:rPr>
            </w:pPr>
            <w:r>
              <w:rPr>
                <w:rFonts w:hint="eastAsia" w:ascii="宋体"/>
                <w:color w:val="auto"/>
                <w:szCs w:val="21"/>
                <w:highlight w:val="none"/>
              </w:rPr>
              <w:t>/</w:t>
            </w:r>
          </w:p>
        </w:tc>
      </w:tr>
      <w:tr w14:paraId="3CF257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5" w:hRule="atLeast"/>
          <w:jc w:val="center"/>
        </w:trPr>
        <w:tc>
          <w:tcPr>
            <w:tcW w:w="1728" w:type="dxa"/>
            <w:noWrap w:val="0"/>
            <w:vAlign w:val="center"/>
          </w:tcPr>
          <w:p w14:paraId="62BEAD60">
            <w:pPr>
              <w:adjustRightInd w:val="0"/>
              <w:snapToGrid w:val="0"/>
              <w:spacing w:line="360" w:lineRule="auto"/>
              <w:jc w:val="center"/>
              <w:rPr>
                <w:rFonts w:ascii="宋体"/>
                <w:color w:val="auto"/>
                <w:szCs w:val="21"/>
                <w:highlight w:val="none"/>
              </w:rPr>
            </w:pPr>
            <w:r>
              <w:rPr>
                <w:rFonts w:hint="eastAsia" w:ascii="宋体"/>
                <w:color w:val="auto"/>
                <w:szCs w:val="21"/>
                <w:highlight w:val="none"/>
              </w:rPr>
              <w:t>第二章第7.1款</w:t>
            </w:r>
          </w:p>
        </w:tc>
        <w:tc>
          <w:tcPr>
            <w:tcW w:w="1601" w:type="dxa"/>
            <w:noWrap w:val="0"/>
            <w:vAlign w:val="center"/>
          </w:tcPr>
          <w:p w14:paraId="29167E00">
            <w:pPr>
              <w:adjustRightInd w:val="0"/>
              <w:snapToGrid w:val="0"/>
              <w:spacing w:line="360" w:lineRule="auto"/>
              <w:rPr>
                <w:rFonts w:ascii="宋体"/>
                <w:color w:val="auto"/>
                <w:szCs w:val="21"/>
                <w:highlight w:val="none"/>
              </w:rPr>
            </w:pPr>
            <w:r>
              <w:rPr>
                <w:rFonts w:hint="eastAsia" w:ascii="宋体"/>
                <w:color w:val="auto"/>
                <w:szCs w:val="21"/>
                <w:highlight w:val="none"/>
              </w:rPr>
              <w:t>现场考察</w:t>
            </w:r>
          </w:p>
        </w:tc>
        <w:tc>
          <w:tcPr>
            <w:tcW w:w="6315" w:type="dxa"/>
            <w:noWrap w:val="0"/>
            <w:vAlign w:val="center"/>
          </w:tcPr>
          <w:p w14:paraId="4CDC7A1A">
            <w:pPr>
              <w:adjustRightInd w:val="0"/>
              <w:snapToGrid w:val="0"/>
              <w:spacing w:line="360" w:lineRule="auto"/>
              <w:rPr>
                <w:rFonts w:ascii="宋体"/>
                <w:color w:val="auto"/>
                <w:szCs w:val="21"/>
                <w:highlight w:val="none"/>
              </w:rPr>
            </w:pPr>
            <w:r>
              <w:rPr>
                <w:rFonts w:hint="eastAsia" w:ascii="宋体"/>
                <w:color w:val="auto"/>
                <w:szCs w:val="21"/>
                <w:highlight w:val="none"/>
              </w:rPr>
              <w:t>供应商自行现场考察，有关费用自理，考察踏勘期间发生的意外自负。</w:t>
            </w:r>
          </w:p>
        </w:tc>
      </w:tr>
      <w:tr w14:paraId="155AA2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728" w:type="dxa"/>
            <w:noWrap w:val="0"/>
            <w:vAlign w:val="center"/>
          </w:tcPr>
          <w:p w14:paraId="5A594985">
            <w:pPr>
              <w:spacing w:line="360" w:lineRule="auto"/>
              <w:rPr>
                <w:rFonts w:ascii="宋体"/>
                <w:color w:val="auto"/>
                <w:szCs w:val="21"/>
                <w:highlight w:val="none"/>
              </w:rPr>
            </w:pPr>
            <w:r>
              <w:rPr>
                <w:rFonts w:hint="eastAsia" w:ascii="宋体"/>
                <w:color w:val="auto"/>
                <w:szCs w:val="21"/>
                <w:highlight w:val="none"/>
              </w:rPr>
              <w:t>第二章第8.1款</w:t>
            </w:r>
          </w:p>
        </w:tc>
        <w:tc>
          <w:tcPr>
            <w:tcW w:w="1601" w:type="dxa"/>
            <w:noWrap w:val="0"/>
            <w:vAlign w:val="center"/>
          </w:tcPr>
          <w:p w14:paraId="333D141D">
            <w:pPr>
              <w:spacing w:line="360" w:lineRule="auto"/>
              <w:rPr>
                <w:rFonts w:ascii="宋体"/>
                <w:color w:val="auto"/>
                <w:szCs w:val="21"/>
                <w:highlight w:val="none"/>
              </w:rPr>
            </w:pPr>
            <w:r>
              <w:rPr>
                <w:rFonts w:hint="eastAsia" w:ascii="宋体"/>
                <w:color w:val="auto"/>
                <w:szCs w:val="21"/>
                <w:highlight w:val="none"/>
              </w:rPr>
              <w:t>采购进口产品</w:t>
            </w:r>
          </w:p>
        </w:tc>
        <w:tc>
          <w:tcPr>
            <w:tcW w:w="6315" w:type="dxa"/>
            <w:noWrap w:val="0"/>
            <w:vAlign w:val="center"/>
          </w:tcPr>
          <w:p w14:paraId="3C793553">
            <w:pPr>
              <w:adjustRightInd w:val="0"/>
              <w:snapToGrid w:val="0"/>
              <w:spacing w:line="360" w:lineRule="auto"/>
              <w:rPr>
                <w:rFonts w:ascii="宋体"/>
                <w:color w:val="auto"/>
                <w:szCs w:val="21"/>
                <w:highlight w:val="none"/>
              </w:rPr>
            </w:pPr>
            <w:r>
              <w:rPr>
                <w:rFonts w:hint="eastAsia" w:ascii="宋体"/>
                <w:color w:val="auto"/>
                <w:highlight w:val="none"/>
              </w:rPr>
              <w:t xml:space="preserve">■ </w:t>
            </w:r>
            <w:r>
              <w:rPr>
                <w:rFonts w:hint="eastAsia" w:ascii="宋体"/>
                <w:color w:val="auto"/>
                <w:szCs w:val="21"/>
                <w:highlight w:val="none"/>
              </w:rPr>
              <w:t>本项目拒绝采购进口产品</w:t>
            </w:r>
          </w:p>
          <w:p w14:paraId="29560074">
            <w:pPr>
              <w:snapToGrid w:val="0"/>
              <w:spacing w:line="360" w:lineRule="auto"/>
              <w:rPr>
                <w:rFonts w:ascii="宋体"/>
                <w:color w:val="auto"/>
                <w:szCs w:val="21"/>
                <w:highlight w:val="none"/>
              </w:rPr>
            </w:pPr>
            <w:r>
              <w:rPr>
                <w:rFonts w:hint="eastAsia" w:ascii="宋体"/>
                <w:color w:val="auto"/>
                <w:szCs w:val="21"/>
                <w:highlight w:val="none"/>
              </w:rPr>
              <w:t>□ 本项目已经财政部门审核同意购买进口产品</w:t>
            </w:r>
          </w:p>
        </w:tc>
      </w:tr>
      <w:tr w14:paraId="390373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728" w:type="dxa"/>
            <w:noWrap w:val="0"/>
            <w:vAlign w:val="center"/>
          </w:tcPr>
          <w:p w14:paraId="7F491570">
            <w:pPr>
              <w:spacing w:line="360" w:lineRule="auto"/>
              <w:rPr>
                <w:rFonts w:ascii="宋体"/>
                <w:color w:val="auto"/>
                <w:szCs w:val="21"/>
                <w:highlight w:val="none"/>
              </w:rPr>
            </w:pPr>
            <w:r>
              <w:rPr>
                <w:rFonts w:hint="eastAsia" w:ascii="宋体"/>
                <w:color w:val="auto"/>
                <w:szCs w:val="21"/>
                <w:highlight w:val="none"/>
              </w:rPr>
              <w:t>第二章第9.1款</w:t>
            </w:r>
          </w:p>
        </w:tc>
        <w:tc>
          <w:tcPr>
            <w:tcW w:w="1601" w:type="dxa"/>
            <w:noWrap w:val="0"/>
            <w:vAlign w:val="center"/>
          </w:tcPr>
          <w:p w14:paraId="3E388C5D">
            <w:pPr>
              <w:snapToGrid w:val="0"/>
              <w:spacing w:line="360" w:lineRule="auto"/>
              <w:rPr>
                <w:rFonts w:ascii="宋体"/>
                <w:color w:val="auto"/>
                <w:highlight w:val="none"/>
              </w:rPr>
            </w:pPr>
            <w:r>
              <w:rPr>
                <w:rFonts w:hint="eastAsia" w:ascii="宋体"/>
                <w:color w:val="auto"/>
                <w:highlight w:val="none"/>
              </w:rPr>
              <w:t>政府采购强制采购：</w:t>
            </w:r>
          </w:p>
          <w:p w14:paraId="0E021255">
            <w:pPr>
              <w:adjustRightInd w:val="0"/>
              <w:snapToGrid w:val="0"/>
              <w:spacing w:line="360" w:lineRule="auto"/>
              <w:rPr>
                <w:rFonts w:ascii="宋体"/>
                <w:color w:val="auto"/>
                <w:highlight w:val="none"/>
              </w:rPr>
            </w:pPr>
            <w:r>
              <w:rPr>
                <w:rFonts w:hint="eastAsia" w:ascii="宋体"/>
                <w:color w:val="auto"/>
                <w:highlight w:val="none"/>
              </w:rPr>
              <w:t>1、强制采购的节能产品；</w:t>
            </w:r>
          </w:p>
          <w:p w14:paraId="4A55D459">
            <w:pPr>
              <w:adjustRightInd w:val="0"/>
              <w:snapToGrid w:val="0"/>
              <w:spacing w:line="360" w:lineRule="auto"/>
              <w:rPr>
                <w:rFonts w:ascii="宋体"/>
                <w:color w:val="auto"/>
                <w:highlight w:val="none"/>
              </w:rPr>
            </w:pPr>
            <w:r>
              <w:rPr>
                <w:rFonts w:hint="eastAsia" w:ascii="宋体"/>
                <w:color w:val="auto"/>
                <w:highlight w:val="none"/>
              </w:rPr>
              <w:t>2、其他。</w:t>
            </w:r>
          </w:p>
        </w:tc>
        <w:tc>
          <w:tcPr>
            <w:tcW w:w="6315" w:type="dxa"/>
            <w:noWrap w:val="0"/>
            <w:vAlign w:val="center"/>
          </w:tcPr>
          <w:p w14:paraId="69DE628D">
            <w:pPr>
              <w:spacing w:line="360" w:lineRule="auto"/>
              <w:rPr>
                <w:rFonts w:ascii="宋体"/>
                <w:color w:val="auto"/>
                <w:szCs w:val="21"/>
                <w:highlight w:val="none"/>
              </w:rPr>
            </w:pPr>
            <w:r>
              <w:rPr>
                <w:rFonts w:hint="eastAsia" w:ascii="宋体"/>
                <w:color w:val="auto"/>
                <w:highlight w:val="none"/>
              </w:rPr>
              <w:t xml:space="preserve">■ </w:t>
            </w:r>
            <w:r>
              <w:rPr>
                <w:rFonts w:hint="eastAsia" w:ascii="宋体"/>
                <w:color w:val="auto"/>
                <w:szCs w:val="21"/>
                <w:highlight w:val="none"/>
              </w:rPr>
              <w:t>否</w:t>
            </w:r>
          </w:p>
          <w:p w14:paraId="087E9BD5">
            <w:pPr>
              <w:adjustRightInd w:val="0"/>
              <w:snapToGrid w:val="0"/>
              <w:spacing w:line="360" w:lineRule="auto"/>
              <w:rPr>
                <w:rFonts w:ascii="宋体"/>
                <w:b/>
                <w:color w:val="auto"/>
                <w:szCs w:val="21"/>
                <w:highlight w:val="none"/>
              </w:rPr>
            </w:pPr>
            <w:r>
              <w:rPr>
                <w:rFonts w:hint="eastAsia" w:ascii="宋体"/>
                <w:color w:val="auto"/>
                <w:szCs w:val="21"/>
                <w:highlight w:val="none"/>
              </w:rPr>
              <w:t>□ 是，采购《节能产品政府采购清单》（第</w:t>
            </w:r>
            <w:r>
              <w:rPr>
                <w:rFonts w:hint="eastAsia" w:ascii="宋体"/>
                <w:color w:val="auto"/>
                <w:szCs w:val="21"/>
                <w:highlight w:val="none"/>
                <w:u w:val="single"/>
              </w:rPr>
              <w:t xml:space="preserve"> / </w:t>
            </w:r>
            <w:r>
              <w:rPr>
                <w:rFonts w:hint="eastAsia" w:ascii="宋体"/>
                <w:color w:val="auto"/>
                <w:szCs w:val="21"/>
                <w:highlight w:val="none"/>
              </w:rPr>
              <w:t>期）内标记★符号的节能产品。</w:t>
            </w:r>
          </w:p>
        </w:tc>
      </w:tr>
      <w:tr w14:paraId="11D197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89" w:hRule="atLeast"/>
          <w:jc w:val="center"/>
        </w:trPr>
        <w:tc>
          <w:tcPr>
            <w:tcW w:w="1728" w:type="dxa"/>
            <w:noWrap w:val="0"/>
            <w:vAlign w:val="center"/>
          </w:tcPr>
          <w:p w14:paraId="246E9AEF">
            <w:pPr>
              <w:spacing w:line="360" w:lineRule="auto"/>
              <w:rPr>
                <w:rFonts w:ascii="宋体"/>
                <w:color w:val="auto"/>
                <w:szCs w:val="21"/>
                <w:highlight w:val="none"/>
              </w:rPr>
            </w:pPr>
            <w:r>
              <w:rPr>
                <w:rFonts w:hint="eastAsia" w:ascii="宋体"/>
                <w:color w:val="auto"/>
                <w:highlight w:val="none"/>
              </w:rPr>
              <w:t>第二章第9.2款</w:t>
            </w:r>
          </w:p>
        </w:tc>
        <w:tc>
          <w:tcPr>
            <w:tcW w:w="1601" w:type="dxa"/>
            <w:noWrap w:val="0"/>
            <w:vAlign w:val="center"/>
          </w:tcPr>
          <w:p w14:paraId="01DEEB36">
            <w:pPr>
              <w:spacing w:line="360" w:lineRule="auto"/>
              <w:rPr>
                <w:rFonts w:ascii="宋体"/>
                <w:color w:val="auto"/>
                <w:highlight w:val="none"/>
              </w:rPr>
            </w:pPr>
            <w:r>
              <w:rPr>
                <w:rFonts w:hint="eastAsia" w:ascii="宋体"/>
                <w:color w:val="auto"/>
                <w:highlight w:val="none"/>
              </w:rPr>
              <w:t>政府采购优先采购：</w:t>
            </w:r>
          </w:p>
          <w:p w14:paraId="1D9702E1">
            <w:pPr>
              <w:adjustRightInd w:val="0"/>
              <w:snapToGrid w:val="0"/>
              <w:spacing w:line="360" w:lineRule="auto"/>
              <w:rPr>
                <w:rFonts w:ascii="宋体"/>
                <w:color w:val="auto"/>
                <w:highlight w:val="none"/>
              </w:rPr>
            </w:pPr>
            <w:r>
              <w:rPr>
                <w:rFonts w:hint="eastAsia" w:ascii="宋体"/>
                <w:color w:val="auto"/>
                <w:highlight w:val="none"/>
              </w:rPr>
              <w:t>1、非强制采购的节能产品；</w:t>
            </w:r>
          </w:p>
          <w:p w14:paraId="48A718A9">
            <w:pPr>
              <w:adjustRightInd w:val="0"/>
              <w:snapToGrid w:val="0"/>
              <w:spacing w:line="360" w:lineRule="auto"/>
              <w:rPr>
                <w:rFonts w:ascii="宋体"/>
                <w:color w:val="auto"/>
                <w:highlight w:val="none"/>
              </w:rPr>
            </w:pPr>
            <w:r>
              <w:rPr>
                <w:rFonts w:hint="eastAsia" w:ascii="宋体"/>
                <w:color w:val="auto"/>
                <w:highlight w:val="none"/>
              </w:rPr>
              <w:t>2、环境标志产品；</w:t>
            </w:r>
          </w:p>
          <w:p w14:paraId="012F959B">
            <w:pPr>
              <w:adjustRightInd w:val="0"/>
              <w:snapToGrid w:val="0"/>
              <w:spacing w:line="360" w:lineRule="auto"/>
              <w:rPr>
                <w:rFonts w:ascii="宋体"/>
                <w:color w:val="auto"/>
                <w:highlight w:val="none"/>
              </w:rPr>
            </w:pPr>
            <w:r>
              <w:rPr>
                <w:rFonts w:hint="eastAsia" w:ascii="宋体"/>
                <w:color w:val="auto"/>
                <w:highlight w:val="none"/>
                <w:lang w:val="en-US" w:eastAsia="zh-CN"/>
              </w:rPr>
              <w:t>3</w:t>
            </w:r>
            <w:r>
              <w:rPr>
                <w:rFonts w:hint="eastAsia" w:ascii="宋体"/>
                <w:color w:val="auto"/>
                <w:highlight w:val="none"/>
              </w:rPr>
              <w:t>、支持小微企业发展；</w:t>
            </w:r>
          </w:p>
          <w:p w14:paraId="0C97F57F">
            <w:pPr>
              <w:adjustRightInd w:val="0"/>
              <w:snapToGrid w:val="0"/>
              <w:spacing w:line="360" w:lineRule="auto"/>
              <w:rPr>
                <w:rFonts w:ascii="宋体"/>
                <w:color w:val="auto"/>
                <w:highlight w:val="none"/>
              </w:rPr>
            </w:pPr>
            <w:r>
              <w:rPr>
                <w:rFonts w:hint="eastAsia" w:ascii="宋体"/>
                <w:color w:val="auto"/>
                <w:highlight w:val="none"/>
                <w:lang w:val="en-US" w:eastAsia="zh-CN"/>
              </w:rPr>
              <w:t>4</w:t>
            </w:r>
            <w:r>
              <w:rPr>
                <w:rFonts w:hint="eastAsia" w:ascii="宋体"/>
                <w:color w:val="auto"/>
                <w:highlight w:val="none"/>
              </w:rPr>
              <w:t>、其他。</w:t>
            </w:r>
          </w:p>
        </w:tc>
        <w:tc>
          <w:tcPr>
            <w:tcW w:w="6315" w:type="dxa"/>
            <w:noWrap w:val="0"/>
            <w:vAlign w:val="center"/>
          </w:tcPr>
          <w:p w14:paraId="71301B8D">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1、采购产品为</w:t>
            </w:r>
            <w:r>
              <w:rPr>
                <w:rFonts w:hint="eastAsia" w:ascii="宋体" w:hAnsi="宋体" w:cs="宋体"/>
                <w:b/>
                <w:color w:val="auto"/>
                <w:szCs w:val="21"/>
                <w:highlight w:val="none"/>
              </w:rPr>
              <w:t>《节能产品政府采购品目清单》</w:t>
            </w:r>
            <w:r>
              <w:rPr>
                <w:rFonts w:hint="eastAsia" w:ascii="宋体" w:hAnsi="宋体" w:cs="宋体"/>
                <w:color w:val="auto"/>
                <w:szCs w:val="21"/>
                <w:highlight w:val="none"/>
              </w:rPr>
              <w:t>(财库〔2019〕19号)内非标记★符号的： (1)采用综合评分法时，对于技术和价格分，应分别给予总分值4%-8%的加分。本项目具体加分比例分别为：技术</w:t>
            </w:r>
            <w:r>
              <w:rPr>
                <w:rFonts w:hint="eastAsia" w:ascii="宋体"/>
                <w:color w:val="auto"/>
                <w:szCs w:val="21"/>
                <w:highlight w:val="none"/>
                <w:u w:val="single"/>
              </w:rPr>
              <w:t xml:space="preserve">/ </w:t>
            </w:r>
            <w:r>
              <w:rPr>
                <w:rFonts w:hint="eastAsia" w:ascii="宋体" w:hAnsi="宋体" w:cs="宋体"/>
                <w:color w:val="auto"/>
                <w:szCs w:val="21"/>
                <w:highlight w:val="none"/>
              </w:rPr>
              <w:t>%、价格</w:t>
            </w:r>
            <w:r>
              <w:rPr>
                <w:rFonts w:hint="eastAsia" w:ascii="宋体"/>
                <w:color w:val="auto"/>
                <w:szCs w:val="21"/>
                <w:highlight w:val="none"/>
                <w:u w:val="single"/>
              </w:rPr>
              <w:t xml:space="preserve">/ </w:t>
            </w:r>
            <w:r>
              <w:rPr>
                <w:rFonts w:hint="eastAsia" w:ascii="宋体" w:hAnsi="宋体" w:cs="宋体"/>
                <w:color w:val="auto"/>
                <w:szCs w:val="21"/>
                <w:highlight w:val="none"/>
              </w:rPr>
              <w:t>%。</w:t>
            </w:r>
          </w:p>
          <w:p w14:paraId="40D22901">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2、采购产品为</w:t>
            </w:r>
            <w:r>
              <w:rPr>
                <w:rFonts w:hint="eastAsia" w:ascii="宋体" w:hAnsi="宋体" w:cs="宋体"/>
                <w:b/>
                <w:color w:val="auto"/>
                <w:szCs w:val="21"/>
                <w:highlight w:val="none"/>
              </w:rPr>
              <w:t>《环境标志产品政府采购品目清单》</w:t>
            </w:r>
            <w:r>
              <w:rPr>
                <w:rFonts w:hint="eastAsia" w:ascii="宋体" w:hAnsi="宋体" w:cs="宋体"/>
                <w:color w:val="auto"/>
                <w:szCs w:val="21"/>
                <w:highlight w:val="none"/>
              </w:rPr>
              <w:t>(财库〔2019〕18号)内的：(1)采用综合评分法时，对于技术和价格分，应分别给予总分值4%-8%的加分。本项目具体加分比例分别为 ：技术</w:t>
            </w:r>
            <w:r>
              <w:rPr>
                <w:rFonts w:hint="eastAsia" w:ascii="宋体"/>
                <w:color w:val="auto"/>
                <w:szCs w:val="21"/>
                <w:highlight w:val="none"/>
                <w:u w:val="single"/>
              </w:rPr>
              <w:t xml:space="preserve">/ </w:t>
            </w:r>
            <w:r>
              <w:rPr>
                <w:rFonts w:hint="eastAsia" w:ascii="宋体" w:hAnsi="宋体" w:cs="宋体"/>
                <w:color w:val="auto"/>
                <w:szCs w:val="21"/>
                <w:highlight w:val="none"/>
              </w:rPr>
              <w:t>%、价格</w:t>
            </w:r>
            <w:r>
              <w:rPr>
                <w:rFonts w:hint="eastAsia" w:ascii="宋体"/>
                <w:color w:val="auto"/>
                <w:szCs w:val="21"/>
                <w:highlight w:val="none"/>
                <w:u w:val="single"/>
              </w:rPr>
              <w:t xml:space="preserve">/ </w:t>
            </w:r>
            <w:r>
              <w:rPr>
                <w:rFonts w:hint="eastAsia" w:ascii="宋体" w:hAnsi="宋体" w:cs="宋体"/>
                <w:color w:val="auto"/>
                <w:szCs w:val="21"/>
                <w:highlight w:val="none"/>
              </w:rPr>
              <w:t>%。</w:t>
            </w:r>
          </w:p>
          <w:p w14:paraId="6B747B9E">
            <w:pPr>
              <w:pStyle w:val="3"/>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、同时为节能、环境标志的，由供应商选择其一享受评审优惠。</w:t>
            </w:r>
          </w:p>
          <w:p w14:paraId="375D4BA9">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、非专门面向中小企业采购，且符合政府采购促进中小企业发展相关规定的：</w:t>
            </w:r>
          </w:p>
          <w:p w14:paraId="6DE38771">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eastAsia="宋体"/>
                <w:color w:val="auto"/>
                <w:szCs w:val="21"/>
                <w:highlight w:val="none"/>
              </w:rPr>
              <w:t>给予小型和微型企业产品的价格给予10%-20%（工程项目3%-5%）</w:t>
            </w:r>
            <w:r>
              <w:rPr>
                <w:rFonts w:hint="eastAsia" w:ascii="宋体" w:hAnsi="宋体" w:eastAsia="宋体" w:cs="宋体"/>
                <w:color w:val="auto"/>
                <w:szCs w:val="21"/>
                <w:highlight w:val="none"/>
              </w:rPr>
              <w:t>的扣除，用扣除后的价格参与评审，本项目具体扣除比例为</w:t>
            </w:r>
            <w:r>
              <w:rPr>
                <w:rFonts w:hint="eastAsia" w:ascii="宋体" w:hAnsi="宋体" w:eastAsia="宋体" w:cs="宋体"/>
                <w:color w:val="auto"/>
                <w:szCs w:val="21"/>
                <w:highlight w:val="none"/>
                <w:u w:val="single"/>
                <w:lang w:val="en-US" w:eastAsia="zh-CN"/>
              </w:rPr>
              <w:t>/</w:t>
            </w:r>
            <w:r>
              <w:rPr>
                <w:rFonts w:hint="eastAsia" w:ascii="宋体" w:hAnsi="宋体" w:cs="宋体"/>
                <w:color w:val="auto"/>
                <w:szCs w:val="21"/>
                <w:highlight w:val="none"/>
              </w:rPr>
              <w:t>。</w:t>
            </w:r>
          </w:p>
          <w:p w14:paraId="17651285">
            <w:p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（2）给予联合体2%-3%的价格扣除，用扣除后的价格参与评审，本项目具体扣除比例为/％。</w:t>
            </w:r>
          </w:p>
          <w:p w14:paraId="6312E35A">
            <w:pPr>
              <w:adjustRightInd w:val="0"/>
              <w:snapToGrid w:val="0"/>
              <w:spacing w:line="360" w:lineRule="auto"/>
              <w:rPr>
                <w:rFonts w:hint="eastAsia" w:ascii="宋体" w:hAnsi="宋体" w:cs="宋体"/>
                <w:color w:val="auto"/>
                <w:spacing w:val="6"/>
                <w:kern w:val="0"/>
                <w:highlight w:val="none"/>
              </w:rPr>
            </w:pPr>
            <w:r>
              <w:rPr>
                <w:rFonts w:hint="eastAsia" w:ascii="宋体" w:hAnsi="宋体" w:cs="宋体"/>
                <w:color w:val="auto"/>
                <w:spacing w:val="6"/>
                <w:kern w:val="0"/>
                <w:highlight w:val="none"/>
              </w:rPr>
              <w:t>（3）监狱企业、残疾人福利性单位视同小型、微型企业。</w:t>
            </w:r>
          </w:p>
          <w:p w14:paraId="4D992356">
            <w:pPr>
              <w:adjustRightInd w:val="0"/>
              <w:snapToGrid w:val="0"/>
              <w:spacing w:line="400" w:lineRule="exact"/>
              <w:rPr>
                <w:rFonts w:ascii="Times New Roman" w:hAnsi="Times New Roman" w:eastAsia="宋体" w:cs="Times New Roman"/>
                <w:color w:val="auto"/>
                <w:highlight w:val="none"/>
              </w:rPr>
            </w:pPr>
            <w:r>
              <w:rPr>
                <w:rFonts w:hint="eastAsia" w:ascii="Times New Roman" w:hAnsi="Times New Roman" w:eastAsia="宋体" w:cs="Times New Roman"/>
                <w:b/>
                <w:color w:val="auto"/>
                <w:highlight w:val="none"/>
              </w:rPr>
              <w:t>本项目专门面向中小微企业采购，且符合政府采购促进中小企业发展相关规定的</w:t>
            </w:r>
            <w:r>
              <w:rPr>
                <w:rFonts w:hint="eastAsia" w:ascii="Times New Roman" w:hAnsi="Times New Roman" w:eastAsia="宋体" w:cs="Times New Roman"/>
                <w:color w:val="auto"/>
                <w:highlight w:val="none"/>
              </w:rPr>
              <w:t>：</w:t>
            </w:r>
          </w:p>
          <w:p w14:paraId="56BA3FB6">
            <w:pPr>
              <w:adjustRightInd w:val="0"/>
              <w:snapToGrid w:val="0"/>
              <w:spacing w:line="400" w:lineRule="exac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1、本项目为专门面向中小微企业采购项目，各供应商应按《政府采购促进中小企业发展管理办法》（财库﹝2020﹞46 号）相关规定及采购文件的响应文件组成中的“《中小企业声明函》”格式填写并在响应文件中提供《中小企业声明函》，否则视为无效响应。</w:t>
            </w:r>
          </w:p>
          <w:p w14:paraId="6D00D44B">
            <w:pPr>
              <w:adjustRightInd w:val="0"/>
              <w:snapToGrid w:val="0"/>
              <w:spacing w:line="360" w:lineRule="exac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2、如供应商提供的《中小企业声明函》内容不实的，属于提供虚假材料谋取成交，依照《中华人民共和国政府采购法》等国家有关规定追究相应责任。</w:t>
            </w:r>
          </w:p>
          <w:p w14:paraId="236A9B3D">
            <w:pPr>
              <w:adjustRightInd w:val="0"/>
              <w:snapToGrid w:val="0"/>
              <w:spacing w:line="400" w:lineRule="exac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扶持中小企业：</w:t>
            </w:r>
          </w:p>
          <w:p w14:paraId="6792FD42">
            <w:pPr>
              <w:adjustRightInd w:val="0"/>
              <w:snapToGrid w:val="0"/>
              <w:spacing w:line="400" w:lineRule="exact"/>
              <w:rPr>
                <w:rFonts w:ascii="Times New Roman" w:hAnsi="Times New Roman" w:eastAsia="宋体" w:cs="Times New Roman"/>
                <w:b/>
                <w:color w:val="auto"/>
                <w:highlight w:val="none"/>
                <w:u w:val="single"/>
              </w:rPr>
            </w:pPr>
            <w:r>
              <w:rPr>
                <w:rFonts w:hint="eastAsia" w:ascii="Times New Roman" w:hAnsi="Times New Roman" w:eastAsia="宋体" w:cs="Times New Roman"/>
                <w:b/>
                <w:color w:val="auto"/>
                <w:highlight w:val="none"/>
              </w:rPr>
              <w:t>本项目中小企业划分标准所属行业</w:t>
            </w:r>
            <w:r>
              <w:rPr>
                <w:rFonts w:hint="eastAsia" w:ascii="Times New Roman" w:hAnsi="Times New Roman" w:eastAsia="宋体" w:cs="Times New Roman"/>
                <w:b/>
                <w:color w:val="auto"/>
                <w:highlight w:val="none"/>
                <w:u w:val="single"/>
              </w:rPr>
              <w:t>（三）建筑业</w:t>
            </w:r>
          </w:p>
          <w:p w14:paraId="047072BB">
            <w:pPr>
              <w:adjustRightInd w:val="0"/>
              <w:snapToGrid w:val="0"/>
              <w:spacing w:line="400" w:lineRule="exac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（一）农、林、牧、渔业</w:t>
            </w:r>
          </w:p>
          <w:p w14:paraId="1FAE3929">
            <w:pPr>
              <w:adjustRightInd w:val="0"/>
              <w:snapToGrid w:val="0"/>
              <w:spacing w:line="400" w:lineRule="exac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（二）工业</w:t>
            </w:r>
          </w:p>
          <w:p w14:paraId="11D4E4E4">
            <w:pPr>
              <w:adjustRightInd w:val="0"/>
              <w:snapToGrid w:val="0"/>
              <w:spacing w:line="400" w:lineRule="exac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（三）建筑业</w:t>
            </w:r>
          </w:p>
          <w:p w14:paraId="5D60B56D">
            <w:pPr>
              <w:adjustRightInd w:val="0"/>
              <w:snapToGrid w:val="0"/>
              <w:spacing w:line="400" w:lineRule="exac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（四）批发业</w:t>
            </w:r>
          </w:p>
          <w:p w14:paraId="39F1F6CC">
            <w:pPr>
              <w:adjustRightInd w:val="0"/>
              <w:snapToGrid w:val="0"/>
              <w:spacing w:line="400" w:lineRule="exac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（五）零售业</w:t>
            </w:r>
          </w:p>
          <w:p w14:paraId="232E7090">
            <w:pPr>
              <w:adjustRightInd w:val="0"/>
              <w:snapToGrid w:val="0"/>
              <w:spacing w:line="400" w:lineRule="exac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（六）交通运输业</w:t>
            </w:r>
          </w:p>
          <w:p w14:paraId="374AD52F">
            <w:pPr>
              <w:adjustRightInd w:val="0"/>
              <w:snapToGrid w:val="0"/>
              <w:spacing w:line="400" w:lineRule="exac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（七）仓储业</w:t>
            </w:r>
          </w:p>
          <w:p w14:paraId="232EFAFC">
            <w:pPr>
              <w:adjustRightInd w:val="0"/>
              <w:snapToGrid w:val="0"/>
              <w:spacing w:line="400" w:lineRule="exac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（八）邮政业</w:t>
            </w:r>
          </w:p>
          <w:p w14:paraId="2EB7A859">
            <w:pPr>
              <w:adjustRightInd w:val="0"/>
              <w:snapToGrid w:val="0"/>
              <w:spacing w:line="400" w:lineRule="exac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（九）住宿业</w:t>
            </w:r>
          </w:p>
          <w:p w14:paraId="1B5CCD37">
            <w:pPr>
              <w:adjustRightInd w:val="0"/>
              <w:snapToGrid w:val="0"/>
              <w:spacing w:line="400" w:lineRule="exac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（十）餐饮业</w:t>
            </w:r>
          </w:p>
          <w:p w14:paraId="6185C3EA">
            <w:pPr>
              <w:adjustRightInd w:val="0"/>
              <w:snapToGrid w:val="0"/>
              <w:spacing w:line="400" w:lineRule="exac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（十一）信息传输业</w:t>
            </w:r>
          </w:p>
          <w:p w14:paraId="21F7515E">
            <w:pPr>
              <w:adjustRightInd w:val="0"/>
              <w:snapToGrid w:val="0"/>
              <w:spacing w:line="400" w:lineRule="exac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（十二）软件和信息技术服务业</w:t>
            </w:r>
          </w:p>
          <w:p w14:paraId="00AB678B">
            <w:pPr>
              <w:adjustRightInd w:val="0"/>
              <w:snapToGrid w:val="0"/>
              <w:spacing w:line="400" w:lineRule="exac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（十三）房地产开发经营</w:t>
            </w:r>
          </w:p>
          <w:p w14:paraId="102C7682">
            <w:pPr>
              <w:adjustRightInd w:val="0"/>
              <w:snapToGrid w:val="0"/>
              <w:spacing w:line="400" w:lineRule="exac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（十四）物业管理</w:t>
            </w:r>
          </w:p>
          <w:p w14:paraId="476975D3">
            <w:pPr>
              <w:adjustRightInd w:val="0"/>
              <w:snapToGrid w:val="0"/>
              <w:spacing w:line="400" w:lineRule="exac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（十五）租赁和商务服务业</w:t>
            </w:r>
          </w:p>
          <w:p w14:paraId="15E33038">
            <w:pPr>
              <w:pStyle w:val="2"/>
              <w:ind w:left="0" w:leftChars="0" w:firstLine="0" w:firstLineChars="0"/>
              <w:rPr>
                <w:color w:val="auto"/>
                <w:highlight w:val="none"/>
              </w:rPr>
            </w:pPr>
            <w:r>
              <w:rPr>
                <w:rFonts w:hint="eastAsia" w:ascii="Times New Roman" w:hAnsi="Times New Roman" w:eastAsia="宋体" w:cs="Times New Roman"/>
                <w:color w:val="auto"/>
                <w:kern w:val="2"/>
                <w:sz w:val="21"/>
                <w:szCs w:val="24"/>
                <w:highlight w:val="none"/>
                <w:lang w:val="en-US" w:eastAsia="zh-CN" w:bidi="ar-SA"/>
              </w:rPr>
              <w:t>（十六）其他未列明行业</w:t>
            </w:r>
          </w:p>
        </w:tc>
      </w:tr>
      <w:tr w14:paraId="423544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728" w:type="dxa"/>
            <w:vMerge w:val="restart"/>
            <w:noWrap w:val="0"/>
            <w:vAlign w:val="center"/>
          </w:tcPr>
          <w:p w14:paraId="0F8B205B">
            <w:pPr>
              <w:spacing w:line="360" w:lineRule="auto"/>
              <w:rPr>
                <w:rFonts w:ascii="宋体"/>
                <w:color w:val="auto"/>
                <w:highlight w:val="none"/>
              </w:rPr>
            </w:pPr>
            <w:r>
              <w:rPr>
                <w:rFonts w:hint="eastAsia" w:ascii="宋体"/>
                <w:color w:val="auto"/>
                <w:szCs w:val="21"/>
                <w:highlight w:val="none"/>
              </w:rPr>
              <w:t>第二章第9.6款</w:t>
            </w:r>
          </w:p>
        </w:tc>
        <w:tc>
          <w:tcPr>
            <w:tcW w:w="1601" w:type="dxa"/>
            <w:noWrap w:val="0"/>
            <w:vAlign w:val="center"/>
          </w:tcPr>
          <w:p w14:paraId="3216D855">
            <w:pPr>
              <w:spacing w:line="360" w:lineRule="auto"/>
              <w:rPr>
                <w:rFonts w:ascii="宋体"/>
                <w:color w:val="auto"/>
                <w:szCs w:val="21"/>
                <w:highlight w:val="none"/>
              </w:rPr>
            </w:pPr>
            <w:r>
              <w:rPr>
                <w:rFonts w:hint="eastAsia" w:ascii="宋体"/>
                <w:bCs/>
                <w:color w:val="auto"/>
                <w:szCs w:val="21"/>
                <w:highlight w:val="none"/>
              </w:rPr>
              <w:t>政府采购支持小微企业融资</w:t>
            </w:r>
          </w:p>
        </w:tc>
        <w:tc>
          <w:tcPr>
            <w:tcW w:w="6315" w:type="dxa"/>
            <w:noWrap w:val="0"/>
            <w:vAlign w:val="center"/>
          </w:tcPr>
          <w:p w14:paraId="428E5771">
            <w:pPr>
              <w:adjustRightInd w:val="0"/>
              <w:snapToGrid w:val="0"/>
              <w:spacing w:line="360" w:lineRule="auto"/>
              <w:rPr>
                <w:rFonts w:ascii="宋体"/>
                <w:color w:val="auto"/>
                <w:szCs w:val="21"/>
                <w:highlight w:val="none"/>
              </w:rPr>
            </w:pPr>
            <w:r>
              <w:rPr>
                <w:rFonts w:hint="eastAsia" w:ascii="宋体"/>
                <w:color w:val="auto"/>
                <w:szCs w:val="21"/>
                <w:highlight w:val="none"/>
              </w:rPr>
              <w:t>有融资需求的，可向本附表附页1所列银行咨询或登陆中国湖南政府采购网查询。</w:t>
            </w:r>
          </w:p>
        </w:tc>
      </w:tr>
      <w:tr w14:paraId="7CF8E3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728" w:type="dxa"/>
            <w:vMerge w:val="continue"/>
            <w:noWrap w:val="0"/>
            <w:vAlign w:val="center"/>
          </w:tcPr>
          <w:p w14:paraId="625028C4">
            <w:pPr>
              <w:spacing w:line="360" w:lineRule="auto"/>
              <w:rPr>
                <w:rFonts w:ascii="宋体"/>
                <w:color w:val="auto"/>
                <w:highlight w:val="none"/>
              </w:rPr>
            </w:pPr>
          </w:p>
        </w:tc>
        <w:tc>
          <w:tcPr>
            <w:tcW w:w="1601" w:type="dxa"/>
            <w:noWrap w:val="0"/>
            <w:vAlign w:val="center"/>
          </w:tcPr>
          <w:p w14:paraId="5D21F9E5">
            <w:pPr>
              <w:spacing w:line="360" w:lineRule="auto"/>
              <w:rPr>
                <w:rFonts w:ascii="宋体"/>
                <w:bCs/>
                <w:color w:val="auto"/>
                <w:szCs w:val="21"/>
                <w:highlight w:val="none"/>
              </w:rPr>
            </w:pPr>
            <w:r>
              <w:rPr>
                <w:rFonts w:hint="eastAsia" w:ascii="宋体"/>
                <w:bCs/>
                <w:color w:val="auto"/>
                <w:szCs w:val="21"/>
                <w:highlight w:val="none"/>
              </w:rPr>
              <w:t>政府采购信用担保</w:t>
            </w:r>
          </w:p>
        </w:tc>
        <w:tc>
          <w:tcPr>
            <w:tcW w:w="6315" w:type="dxa"/>
            <w:noWrap w:val="0"/>
            <w:vAlign w:val="center"/>
          </w:tcPr>
          <w:p w14:paraId="06A320E0">
            <w:pPr>
              <w:spacing w:line="360" w:lineRule="auto"/>
              <w:rPr>
                <w:rFonts w:ascii="宋体"/>
                <w:color w:val="auto"/>
                <w:szCs w:val="21"/>
                <w:highlight w:val="none"/>
              </w:rPr>
            </w:pPr>
            <w:r>
              <w:rPr>
                <w:rFonts w:hint="eastAsia" w:ascii="宋体"/>
                <w:color w:val="auto"/>
                <w:szCs w:val="21"/>
                <w:highlight w:val="none"/>
              </w:rPr>
              <w:t>有履约担保或融资担保需求的，可向本附表附页2所列担保机构咨询或登陆中国湖南政府采购网查询，格式见附页3。</w:t>
            </w:r>
          </w:p>
        </w:tc>
      </w:tr>
      <w:tr w14:paraId="394CF3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644" w:type="dxa"/>
            <w:gridSpan w:val="3"/>
            <w:noWrap w:val="0"/>
            <w:vAlign w:val="center"/>
          </w:tcPr>
          <w:p w14:paraId="411961D9">
            <w:pPr>
              <w:adjustRightInd w:val="0"/>
              <w:snapToGrid w:val="0"/>
              <w:spacing w:line="360" w:lineRule="auto"/>
              <w:rPr>
                <w:rFonts w:ascii="宋体"/>
                <w:b/>
                <w:color w:val="auto"/>
                <w:szCs w:val="21"/>
                <w:highlight w:val="none"/>
              </w:rPr>
            </w:pPr>
            <w:r>
              <w:rPr>
                <w:rFonts w:hint="eastAsia" w:ascii="宋体"/>
                <w:b/>
                <w:color w:val="auto"/>
                <w:szCs w:val="21"/>
                <w:highlight w:val="none"/>
              </w:rPr>
              <w:t>二、磋商文件</w:t>
            </w:r>
          </w:p>
        </w:tc>
      </w:tr>
      <w:tr w14:paraId="4EEF72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728" w:type="dxa"/>
            <w:noWrap w:val="0"/>
            <w:vAlign w:val="center"/>
          </w:tcPr>
          <w:p w14:paraId="6A394E33">
            <w:pPr>
              <w:adjustRightInd w:val="0"/>
              <w:snapToGrid w:val="0"/>
              <w:spacing w:line="360" w:lineRule="auto"/>
              <w:jc w:val="center"/>
              <w:rPr>
                <w:rFonts w:ascii="宋体"/>
                <w:color w:val="auto"/>
                <w:szCs w:val="21"/>
                <w:highlight w:val="none"/>
              </w:rPr>
            </w:pPr>
            <w:r>
              <w:rPr>
                <w:rFonts w:hint="eastAsia" w:ascii="宋体"/>
                <w:color w:val="auto"/>
                <w:szCs w:val="21"/>
                <w:highlight w:val="none"/>
              </w:rPr>
              <w:t>第二章第10.2款</w:t>
            </w:r>
          </w:p>
        </w:tc>
        <w:tc>
          <w:tcPr>
            <w:tcW w:w="1601" w:type="dxa"/>
            <w:noWrap w:val="0"/>
            <w:vAlign w:val="center"/>
          </w:tcPr>
          <w:p w14:paraId="20A83BB6">
            <w:pPr>
              <w:adjustRightInd w:val="0"/>
              <w:snapToGrid w:val="0"/>
              <w:spacing w:line="360" w:lineRule="auto"/>
              <w:jc w:val="left"/>
              <w:rPr>
                <w:rFonts w:ascii="宋体"/>
                <w:color w:val="auto"/>
                <w:szCs w:val="21"/>
                <w:highlight w:val="none"/>
              </w:rPr>
            </w:pPr>
            <w:r>
              <w:rPr>
                <w:rFonts w:hint="eastAsia" w:ascii="宋体"/>
                <w:color w:val="auto"/>
                <w:szCs w:val="21"/>
                <w:highlight w:val="none"/>
              </w:rPr>
              <w:t>磋商文件的可能实质性变动内容</w:t>
            </w:r>
          </w:p>
        </w:tc>
        <w:tc>
          <w:tcPr>
            <w:tcW w:w="6315" w:type="dxa"/>
            <w:noWrap w:val="0"/>
            <w:vAlign w:val="center"/>
          </w:tcPr>
          <w:p w14:paraId="028F937D">
            <w:pPr>
              <w:adjustRightInd w:val="0"/>
              <w:snapToGrid w:val="0"/>
              <w:spacing w:line="360" w:lineRule="auto"/>
              <w:jc w:val="left"/>
              <w:rPr>
                <w:rFonts w:ascii="宋体"/>
                <w:color w:val="auto"/>
                <w:szCs w:val="21"/>
                <w:highlight w:val="none"/>
              </w:rPr>
            </w:pPr>
            <w:r>
              <w:rPr>
                <w:rFonts w:hint="eastAsia" w:ascii="宋体" w:hAnsi="宋体" w:cs="宋体"/>
                <w:color w:val="auto"/>
                <w:szCs w:val="21"/>
                <w:highlight w:val="none"/>
              </w:rPr>
              <w:t>技术、服务要求以及合同草案</w:t>
            </w:r>
          </w:p>
        </w:tc>
      </w:tr>
      <w:tr w14:paraId="2AC816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728" w:type="dxa"/>
            <w:shd w:val="clear" w:color="auto" w:fill="auto"/>
            <w:noWrap w:val="0"/>
            <w:vAlign w:val="center"/>
          </w:tcPr>
          <w:p w14:paraId="190901E2">
            <w:pPr>
              <w:adjustRightInd w:val="0"/>
              <w:snapToGrid w:val="0"/>
              <w:spacing w:line="360" w:lineRule="auto"/>
              <w:jc w:val="center"/>
              <w:rPr>
                <w:rFonts w:ascii="宋体"/>
                <w:color w:val="auto"/>
                <w:szCs w:val="21"/>
                <w:highlight w:val="none"/>
              </w:rPr>
            </w:pPr>
            <w:r>
              <w:rPr>
                <w:rFonts w:hint="eastAsia" w:ascii="宋体"/>
                <w:color w:val="auto"/>
                <w:szCs w:val="21"/>
                <w:highlight w:val="none"/>
              </w:rPr>
              <w:t>第二章第11.1款</w:t>
            </w:r>
          </w:p>
        </w:tc>
        <w:tc>
          <w:tcPr>
            <w:tcW w:w="1601" w:type="dxa"/>
            <w:shd w:val="clear" w:color="auto" w:fill="FFFFFF"/>
            <w:noWrap w:val="0"/>
            <w:vAlign w:val="center"/>
          </w:tcPr>
          <w:p w14:paraId="68B35860">
            <w:pPr>
              <w:adjustRightInd w:val="0"/>
              <w:snapToGrid w:val="0"/>
              <w:spacing w:line="360" w:lineRule="auto"/>
              <w:jc w:val="left"/>
              <w:rPr>
                <w:rFonts w:ascii="宋体"/>
                <w:color w:val="auto"/>
                <w:szCs w:val="21"/>
                <w:highlight w:val="none"/>
              </w:rPr>
            </w:pPr>
            <w:r>
              <w:rPr>
                <w:rFonts w:hint="eastAsia" w:ascii="宋体"/>
                <w:color w:val="auto"/>
                <w:szCs w:val="21"/>
                <w:highlight w:val="none"/>
              </w:rPr>
              <w:t>提供磋商文件期限</w:t>
            </w:r>
          </w:p>
        </w:tc>
        <w:tc>
          <w:tcPr>
            <w:tcW w:w="6315" w:type="dxa"/>
            <w:shd w:val="clear" w:color="auto" w:fill="FFFFFF"/>
            <w:noWrap w:val="0"/>
            <w:vAlign w:val="center"/>
          </w:tcPr>
          <w:p w14:paraId="38362574">
            <w:pPr>
              <w:adjustRightInd w:val="0"/>
              <w:snapToGrid w:val="0"/>
              <w:spacing w:line="360" w:lineRule="auto"/>
              <w:jc w:val="left"/>
              <w:rPr>
                <w:rFonts w:ascii="宋体"/>
                <w:color w:val="auto"/>
                <w:szCs w:val="21"/>
                <w:highlight w:val="none"/>
                <w:u w:val="single"/>
              </w:rPr>
            </w:pPr>
            <w:r>
              <w:rPr>
                <w:rFonts w:hint="eastAsia" w:ascii="宋体"/>
                <w:color w:val="auto"/>
                <w:szCs w:val="22"/>
                <w:highlight w:val="none"/>
                <w:u w:val="single"/>
              </w:rPr>
              <w:t>202</w:t>
            </w:r>
            <w:r>
              <w:rPr>
                <w:rFonts w:hint="eastAsia" w:ascii="宋体"/>
                <w:color w:val="auto"/>
                <w:szCs w:val="22"/>
                <w:highlight w:val="none"/>
                <w:u w:val="single"/>
                <w:lang w:val="en-US" w:eastAsia="zh-CN"/>
              </w:rPr>
              <w:t>5</w:t>
            </w:r>
            <w:r>
              <w:rPr>
                <w:rFonts w:hint="eastAsia" w:ascii="宋体"/>
                <w:color w:val="auto"/>
                <w:szCs w:val="22"/>
                <w:highlight w:val="none"/>
              </w:rPr>
              <w:t>年</w:t>
            </w:r>
            <w:r>
              <w:rPr>
                <w:rFonts w:hint="eastAsia" w:ascii="宋体"/>
                <w:color w:val="auto"/>
                <w:szCs w:val="22"/>
                <w:highlight w:val="none"/>
                <w:u w:val="single"/>
                <w:lang w:val="en-US" w:eastAsia="zh-CN"/>
              </w:rPr>
              <w:t>5</w:t>
            </w:r>
            <w:r>
              <w:rPr>
                <w:rFonts w:hint="eastAsia" w:ascii="宋体"/>
                <w:color w:val="auto"/>
                <w:szCs w:val="22"/>
                <w:highlight w:val="none"/>
              </w:rPr>
              <w:t>月</w:t>
            </w:r>
            <w:r>
              <w:rPr>
                <w:rFonts w:hint="eastAsia" w:ascii="宋体"/>
                <w:color w:val="auto"/>
                <w:szCs w:val="22"/>
                <w:highlight w:val="none"/>
                <w:u w:val="single"/>
                <w:lang w:val="en-US" w:eastAsia="zh-CN"/>
              </w:rPr>
              <w:t>28</w:t>
            </w:r>
            <w:r>
              <w:rPr>
                <w:rFonts w:hint="eastAsia" w:ascii="宋体"/>
                <w:color w:val="auto"/>
                <w:szCs w:val="22"/>
                <w:highlight w:val="none"/>
              </w:rPr>
              <w:t>日起至</w:t>
            </w:r>
            <w:r>
              <w:rPr>
                <w:rFonts w:hint="eastAsia" w:ascii="宋体"/>
                <w:color w:val="auto"/>
                <w:szCs w:val="22"/>
                <w:highlight w:val="none"/>
                <w:u w:val="single"/>
              </w:rPr>
              <w:t>202</w:t>
            </w:r>
            <w:r>
              <w:rPr>
                <w:rFonts w:hint="eastAsia" w:ascii="宋体"/>
                <w:color w:val="auto"/>
                <w:szCs w:val="22"/>
                <w:highlight w:val="none"/>
                <w:u w:val="single"/>
                <w:lang w:val="en-US" w:eastAsia="zh-CN"/>
              </w:rPr>
              <w:t>5</w:t>
            </w:r>
            <w:r>
              <w:rPr>
                <w:rFonts w:hint="eastAsia" w:ascii="宋体"/>
                <w:color w:val="auto"/>
                <w:szCs w:val="22"/>
                <w:highlight w:val="none"/>
              </w:rPr>
              <w:t>年</w:t>
            </w:r>
            <w:r>
              <w:rPr>
                <w:rFonts w:hint="eastAsia" w:ascii="宋体"/>
                <w:color w:val="auto"/>
                <w:szCs w:val="22"/>
                <w:highlight w:val="none"/>
                <w:u w:val="single"/>
                <w:lang w:val="en-US" w:eastAsia="zh-CN"/>
              </w:rPr>
              <w:t xml:space="preserve"> 6 </w:t>
            </w:r>
            <w:r>
              <w:rPr>
                <w:rFonts w:hint="eastAsia" w:ascii="宋体"/>
                <w:color w:val="auto"/>
                <w:szCs w:val="22"/>
                <w:highlight w:val="none"/>
              </w:rPr>
              <w:t>月</w:t>
            </w:r>
            <w:r>
              <w:rPr>
                <w:rFonts w:hint="eastAsia" w:ascii="宋体"/>
                <w:color w:val="auto"/>
                <w:szCs w:val="22"/>
                <w:highlight w:val="none"/>
                <w:u w:val="single"/>
                <w:lang w:val="en-US" w:eastAsia="zh-CN"/>
              </w:rPr>
              <w:t xml:space="preserve"> 5 </w:t>
            </w:r>
            <w:r>
              <w:rPr>
                <w:rFonts w:hint="eastAsia" w:ascii="宋体"/>
                <w:color w:val="auto"/>
                <w:szCs w:val="22"/>
                <w:highlight w:val="none"/>
              </w:rPr>
              <w:t>日</w:t>
            </w:r>
          </w:p>
        </w:tc>
      </w:tr>
      <w:tr w14:paraId="5C64CF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728" w:type="dxa"/>
            <w:noWrap w:val="0"/>
            <w:vAlign w:val="center"/>
          </w:tcPr>
          <w:p w14:paraId="0D8800B2">
            <w:pPr>
              <w:adjustRightInd w:val="0"/>
              <w:snapToGrid w:val="0"/>
              <w:spacing w:line="360" w:lineRule="auto"/>
              <w:jc w:val="center"/>
              <w:rPr>
                <w:rFonts w:ascii="宋体"/>
                <w:color w:val="auto"/>
                <w:szCs w:val="21"/>
                <w:highlight w:val="none"/>
              </w:rPr>
            </w:pPr>
            <w:r>
              <w:rPr>
                <w:rFonts w:hint="eastAsia" w:ascii="宋体"/>
                <w:color w:val="auto"/>
                <w:szCs w:val="21"/>
                <w:highlight w:val="none"/>
              </w:rPr>
              <w:t>第二章第11.2款</w:t>
            </w:r>
          </w:p>
        </w:tc>
        <w:tc>
          <w:tcPr>
            <w:tcW w:w="1601" w:type="dxa"/>
            <w:noWrap w:val="0"/>
            <w:vAlign w:val="center"/>
          </w:tcPr>
          <w:p w14:paraId="2DC59F2F">
            <w:pPr>
              <w:adjustRightInd w:val="0"/>
              <w:snapToGrid w:val="0"/>
              <w:spacing w:line="360" w:lineRule="auto"/>
              <w:jc w:val="left"/>
              <w:rPr>
                <w:rFonts w:ascii="宋体"/>
                <w:color w:val="auto"/>
                <w:szCs w:val="21"/>
                <w:highlight w:val="none"/>
              </w:rPr>
            </w:pPr>
            <w:r>
              <w:rPr>
                <w:rFonts w:hint="eastAsia" w:ascii="宋体"/>
                <w:color w:val="auto"/>
                <w:szCs w:val="21"/>
                <w:highlight w:val="none"/>
              </w:rPr>
              <w:t>领取或购买磋商文件时应提供的资料</w:t>
            </w:r>
          </w:p>
        </w:tc>
        <w:tc>
          <w:tcPr>
            <w:tcW w:w="6315" w:type="dxa"/>
            <w:noWrap w:val="0"/>
            <w:vAlign w:val="center"/>
          </w:tcPr>
          <w:p w14:paraId="5BA92FE0">
            <w:pPr>
              <w:snapToGrid w:val="0"/>
              <w:spacing w:line="360" w:lineRule="auto"/>
              <w:rPr>
                <w:rFonts w:ascii="宋体"/>
                <w:b/>
                <w:color w:val="auto"/>
                <w:szCs w:val="21"/>
                <w:highlight w:val="none"/>
                <w:u w:val="single"/>
              </w:rPr>
            </w:pPr>
            <w:r>
              <w:rPr>
                <w:rFonts w:hint="eastAsia" w:ascii="宋体"/>
                <w:color w:val="auto"/>
                <w:szCs w:val="21"/>
                <w:highlight w:val="none"/>
              </w:rPr>
              <w:t>法定代表人身份证明（委托代理人购买磋商文件：授权委托书附法定代表人身份证明及授权委托人身份证明复印件)、本人身份证原件加盖单位公章。</w:t>
            </w:r>
          </w:p>
        </w:tc>
      </w:tr>
      <w:tr w14:paraId="2B6C77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28" w:type="dxa"/>
            <w:noWrap w:val="0"/>
            <w:vAlign w:val="center"/>
          </w:tcPr>
          <w:p w14:paraId="4FDC1672">
            <w:pPr>
              <w:adjustRightInd w:val="0"/>
              <w:snapToGrid w:val="0"/>
              <w:spacing w:line="360" w:lineRule="auto"/>
              <w:jc w:val="center"/>
              <w:rPr>
                <w:rFonts w:ascii="宋体"/>
                <w:color w:val="auto"/>
                <w:szCs w:val="21"/>
                <w:highlight w:val="none"/>
              </w:rPr>
            </w:pPr>
            <w:r>
              <w:rPr>
                <w:rFonts w:hint="eastAsia" w:ascii="宋体"/>
                <w:color w:val="auto"/>
                <w:szCs w:val="21"/>
                <w:highlight w:val="none"/>
              </w:rPr>
              <w:t>第二章第12.1款</w:t>
            </w:r>
          </w:p>
        </w:tc>
        <w:tc>
          <w:tcPr>
            <w:tcW w:w="1601" w:type="dxa"/>
            <w:noWrap w:val="0"/>
            <w:vAlign w:val="center"/>
          </w:tcPr>
          <w:p w14:paraId="4D438D7C">
            <w:pPr>
              <w:adjustRightInd w:val="0"/>
              <w:snapToGrid w:val="0"/>
              <w:spacing w:line="360" w:lineRule="auto"/>
              <w:rPr>
                <w:rFonts w:ascii="宋体"/>
                <w:color w:val="auto"/>
                <w:szCs w:val="21"/>
                <w:highlight w:val="none"/>
              </w:rPr>
            </w:pPr>
            <w:r>
              <w:rPr>
                <w:rFonts w:hint="eastAsia" w:ascii="宋体"/>
                <w:color w:val="auto"/>
                <w:szCs w:val="21"/>
                <w:highlight w:val="none"/>
              </w:rPr>
              <w:t>提交首次响应文件的截止时间</w:t>
            </w:r>
          </w:p>
        </w:tc>
        <w:tc>
          <w:tcPr>
            <w:tcW w:w="6315" w:type="dxa"/>
            <w:noWrap w:val="0"/>
            <w:vAlign w:val="center"/>
          </w:tcPr>
          <w:p w14:paraId="1D587CE3">
            <w:pPr>
              <w:pStyle w:val="38"/>
              <w:spacing w:line="360" w:lineRule="auto"/>
              <w:rPr>
                <w:rFonts w:ascii="宋体" w:hAnsi="宋体" w:cs="宋体"/>
                <w:color w:val="auto"/>
                <w:highlight w:val="none"/>
              </w:rPr>
            </w:pPr>
            <w:r>
              <w:rPr>
                <w:rFonts w:hint="eastAsia" w:ascii="宋体"/>
                <w:color w:val="auto"/>
                <w:szCs w:val="22"/>
                <w:highlight w:val="none"/>
                <w:u w:val="single"/>
              </w:rPr>
              <w:t>202</w:t>
            </w:r>
            <w:r>
              <w:rPr>
                <w:rFonts w:hint="eastAsia" w:ascii="宋体"/>
                <w:color w:val="auto"/>
                <w:szCs w:val="22"/>
                <w:highlight w:val="none"/>
                <w:u w:val="single"/>
                <w:lang w:val="en-US" w:eastAsia="zh-CN"/>
              </w:rPr>
              <w:t>5</w:t>
            </w:r>
            <w:r>
              <w:rPr>
                <w:rFonts w:hint="eastAsia" w:ascii="宋体"/>
                <w:color w:val="auto"/>
                <w:szCs w:val="22"/>
                <w:highlight w:val="none"/>
              </w:rPr>
              <w:t>年</w:t>
            </w:r>
            <w:r>
              <w:rPr>
                <w:rFonts w:hint="eastAsia" w:ascii="宋体"/>
                <w:color w:val="auto"/>
                <w:szCs w:val="22"/>
                <w:highlight w:val="none"/>
                <w:u w:val="single"/>
                <w:lang w:val="en-US" w:eastAsia="zh-CN"/>
              </w:rPr>
              <w:t xml:space="preserve"> 6</w:t>
            </w:r>
            <w:r>
              <w:rPr>
                <w:rFonts w:hint="eastAsia" w:ascii="宋体"/>
                <w:color w:val="auto"/>
                <w:szCs w:val="22"/>
                <w:highlight w:val="none"/>
              </w:rPr>
              <w:t>月</w:t>
            </w:r>
            <w:r>
              <w:rPr>
                <w:rFonts w:hint="eastAsia" w:ascii="宋体"/>
                <w:color w:val="auto"/>
                <w:szCs w:val="22"/>
                <w:highlight w:val="none"/>
                <w:u w:val="single"/>
                <w:lang w:val="en-US" w:eastAsia="zh-CN"/>
              </w:rPr>
              <w:t xml:space="preserve"> 9</w:t>
            </w:r>
            <w:r>
              <w:rPr>
                <w:rFonts w:hint="eastAsia" w:ascii="宋体"/>
                <w:color w:val="auto"/>
                <w:szCs w:val="22"/>
                <w:highlight w:val="none"/>
              </w:rPr>
              <w:t>日</w:t>
            </w:r>
            <w:r>
              <w:rPr>
                <w:rFonts w:hint="eastAsia" w:ascii="宋体"/>
                <w:color w:val="auto"/>
                <w:szCs w:val="22"/>
                <w:highlight w:val="none"/>
                <w:u w:val="single"/>
                <w:lang w:val="en-US" w:eastAsia="zh-CN"/>
              </w:rPr>
              <w:t>09</w:t>
            </w:r>
            <w:r>
              <w:rPr>
                <w:rFonts w:hint="eastAsia" w:ascii="宋体"/>
                <w:color w:val="auto"/>
                <w:szCs w:val="22"/>
                <w:highlight w:val="none"/>
              </w:rPr>
              <w:t>时</w:t>
            </w:r>
            <w:r>
              <w:rPr>
                <w:rFonts w:hint="eastAsia" w:ascii="宋体"/>
                <w:color w:val="auto"/>
                <w:szCs w:val="22"/>
                <w:highlight w:val="none"/>
                <w:u w:val="single"/>
                <w:lang w:val="en-US" w:eastAsia="zh-CN"/>
              </w:rPr>
              <w:t>3</w:t>
            </w:r>
            <w:r>
              <w:rPr>
                <w:rFonts w:hint="eastAsia" w:ascii="宋体"/>
                <w:color w:val="auto"/>
                <w:szCs w:val="22"/>
                <w:highlight w:val="none"/>
                <w:u w:val="single"/>
              </w:rPr>
              <w:t>0</w:t>
            </w:r>
            <w:r>
              <w:rPr>
                <w:rFonts w:hint="eastAsia" w:ascii="宋体"/>
                <w:color w:val="auto"/>
                <w:szCs w:val="22"/>
                <w:highlight w:val="none"/>
              </w:rPr>
              <w:t>分</w:t>
            </w:r>
            <w:r>
              <w:rPr>
                <w:rFonts w:hint="eastAsia" w:ascii="宋体" w:hAnsi="宋体" w:cs="宋体"/>
                <w:color w:val="auto"/>
                <w:highlight w:val="none"/>
              </w:rPr>
              <w:t>(北京时间)</w:t>
            </w:r>
          </w:p>
        </w:tc>
      </w:tr>
      <w:tr w14:paraId="4951D7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9644" w:type="dxa"/>
            <w:gridSpan w:val="3"/>
            <w:noWrap w:val="0"/>
            <w:vAlign w:val="center"/>
          </w:tcPr>
          <w:p w14:paraId="2F800E0B">
            <w:pPr>
              <w:adjustRightInd w:val="0"/>
              <w:snapToGrid w:val="0"/>
              <w:spacing w:line="360" w:lineRule="auto"/>
              <w:rPr>
                <w:rFonts w:ascii="宋体"/>
                <w:color w:val="auto"/>
                <w:szCs w:val="21"/>
                <w:highlight w:val="none"/>
              </w:rPr>
            </w:pPr>
            <w:r>
              <w:rPr>
                <w:rFonts w:hint="eastAsia" w:ascii="宋体"/>
                <w:b/>
                <w:color w:val="auto"/>
                <w:szCs w:val="21"/>
                <w:highlight w:val="none"/>
              </w:rPr>
              <w:t>三、响应文件的编写</w:t>
            </w:r>
          </w:p>
        </w:tc>
      </w:tr>
      <w:tr w14:paraId="1EBF0D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1" w:hRule="atLeast"/>
          <w:jc w:val="center"/>
        </w:trPr>
        <w:tc>
          <w:tcPr>
            <w:tcW w:w="1728" w:type="dxa"/>
            <w:noWrap w:val="0"/>
            <w:vAlign w:val="center"/>
          </w:tcPr>
          <w:p w14:paraId="7A8562FB">
            <w:pPr>
              <w:adjustRightInd w:val="0"/>
              <w:snapToGrid w:val="0"/>
              <w:spacing w:line="360" w:lineRule="auto"/>
              <w:jc w:val="center"/>
              <w:rPr>
                <w:rFonts w:ascii="宋体"/>
                <w:color w:val="auto"/>
                <w:szCs w:val="21"/>
                <w:highlight w:val="none"/>
              </w:rPr>
            </w:pPr>
            <w:r>
              <w:rPr>
                <w:rFonts w:hint="eastAsia" w:ascii="宋体"/>
                <w:color w:val="auto"/>
                <w:szCs w:val="21"/>
                <w:highlight w:val="none"/>
              </w:rPr>
              <w:t>第二章第16.4款</w:t>
            </w:r>
          </w:p>
        </w:tc>
        <w:tc>
          <w:tcPr>
            <w:tcW w:w="1601" w:type="dxa"/>
            <w:noWrap w:val="0"/>
            <w:vAlign w:val="center"/>
          </w:tcPr>
          <w:p w14:paraId="61005251">
            <w:pPr>
              <w:adjustRightInd w:val="0"/>
              <w:snapToGrid w:val="0"/>
              <w:spacing w:line="360" w:lineRule="auto"/>
              <w:jc w:val="center"/>
              <w:rPr>
                <w:rFonts w:ascii="宋体"/>
                <w:color w:val="auto"/>
                <w:szCs w:val="21"/>
                <w:highlight w:val="none"/>
              </w:rPr>
            </w:pPr>
            <w:r>
              <w:rPr>
                <w:rFonts w:hint="eastAsia" w:ascii="宋体"/>
                <w:color w:val="auto"/>
                <w:szCs w:val="21"/>
                <w:highlight w:val="none"/>
              </w:rPr>
              <w:t>采购项目预算</w:t>
            </w:r>
          </w:p>
        </w:tc>
        <w:tc>
          <w:tcPr>
            <w:tcW w:w="6315" w:type="dxa"/>
            <w:noWrap w:val="0"/>
            <w:vAlign w:val="center"/>
          </w:tcPr>
          <w:p w14:paraId="4E72901E">
            <w:pPr>
              <w:adjustRightInd w:val="0"/>
              <w:snapToGrid w:val="0"/>
              <w:spacing w:line="360" w:lineRule="auto"/>
              <w:jc w:val="left"/>
              <w:rPr>
                <w:color w:val="auto"/>
                <w:sz w:val="21"/>
                <w:szCs w:val="21"/>
                <w:highlight w:val="none"/>
              </w:rPr>
            </w:pPr>
            <w:r>
              <w:rPr>
                <w:rFonts w:hint="eastAsia" w:ascii="宋体"/>
                <w:color w:val="auto"/>
                <w:sz w:val="21"/>
                <w:szCs w:val="21"/>
                <w:highlight w:val="none"/>
                <w:lang w:eastAsia="zh-CN"/>
              </w:rPr>
              <w:t xml:space="preserve"> 3791177.72</w:t>
            </w:r>
            <w:r>
              <w:rPr>
                <w:rFonts w:hint="eastAsia"/>
                <w:color w:val="auto"/>
                <w:sz w:val="21"/>
                <w:szCs w:val="21"/>
                <w:highlight w:val="none"/>
              </w:rPr>
              <w:t>元，</w:t>
            </w:r>
            <w:r>
              <w:rPr>
                <w:rFonts w:hint="eastAsia" w:ascii="宋体" w:hAnsi="宋体"/>
                <w:color w:val="auto"/>
                <w:sz w:val="21"/>
                <w:szCs w:val="21"/>
                <w:highlight w:val="none"/>
              </w:rPr>
              <w:t>详见工程量清单。</w:t>
            </w:r>
          </w:p>
          <w:p w14:paraId="0B182556">
            <w:pPr>
              <w:pStyle w:val="34"/>
              <w:rPr>
                <w:rFonts w:hint="eastAsia" w:ascii="宋体" w:hAnsi="宋体"/>
                <w:color w:val="auto"/>
                <w:sz w:val="21"/>
                <w:szCs w:val="21"/>
                <w:highlight w:val="none"/>
              </w:rPr>
            </w:pPr>
            <w:r>
              <w:rPr>
                <w:rFonts w:hint="eastAsia" w:ascii="宋体" w:hAnsi="宋体"/>
                <w:color w:val="auto"/>
                <w:sz w:val="21"/>
                <w:szCs w:val="21"/>
                <w:highlight w:val="none"/>
              </w:rPr>
              <w:t>包括完成本项目所有工作的一切费用。投标报价不得超过采购预算（含单价预算）或者最高限价，否则在评标时将视为无效投标。</w:t>
            </w:r>
          </w:p>
          <w:p w14:paraId="0D1FEEC2">
            <w:pPr>
              <w:snapToGrid w:val="0"/>
              <w:spacing w:line="360" w:lineRule="auto"/>
              <w:rPr>
                <w:rFonts w:hint="eastAsia" w:ascii="宋体" w:hAnsi="宋体"/>
                <w:color w:val="auto"/>
                <w:sz w:val="21"/>
                <w:szCs w:val="21"/>
                <w:highlight w:val="none"/>
              </w:rPr>
            </w:pPr>
            <w:r>
              <w:rPr>
                <w:rFonts w:hint="eastAsia" w:ascii="宋体" w:hAnsi="宋体" w:eastAsia="宋体" w:cs="宋体"/>
                <w:b/>
                <w:bCs/>
                <w:color w:val="auto"/>
                <w:szCs w:val="21"/>
                <w:highlight w:val="none"/>
                <w:lang w:val="en-US" w:eastAsia="zh-CN"/>
              </w:rPr>
              <w:t>注：</w:t>
            </w:r>
            <w:r>
              <w:rPr>
                <w:rFonts w:hint="eastAsia" w:ascii="宋体" w:hAnsi="宋体" w:eastAsia="宋体" w:cs="宋体"/>
                <w:b/>
                <w:bCs/>
                <w:color w:val="auto"/>
                <w:szCs w:val="21"/>
                <w:highlight w:val="none"/>
              </w:rPr>
              <w:t>投标报价的绿色施工安全措施费费率、暂列金额（不可预见费）和暂估价、清单编码、数量、名称、单位必须与公布的招标工程量清单一致，否则按废标处理</w:t>
            </w:r>
            <w:r>
              <w:rPr>
                <w:rFonts w:hint="eastAsia" w:ascii="宋体" w:hAnsi="宋体" w:eastAsia="宋体" w:cs="宋体"/>
                <w:b/>
                <w:bCs/>
                <w:color w:val="auto"/>
                <w:szCs w:val="21"/>
                <w:highlight w:val="none"/>
                <w:lang w:eastAsia="zh-CN"/>
              </w:rPr>
              <w:t>。</w:t>
            </w:r>
          </w:p>
        </w:tc>
      </w:tr>
      <w:tr w14:paraId="07674B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1728" w:type="dxa"/>
            <w:noWrap w:val="0"/>
            <w:vAlign w:val="center"/>
          </w:tcPr>
          <w:p w14:paraId="065F3B92">
            <w:pPr>
              <w:adjustRightInd w:val="0"/>
              <w:snapToGrid w:val="0"/>
              <w:spacing w:line="360" w:lineRule="auto"/>
              <w:jc w:val="center"/>
              <w:rPr>
                <w:rFonts w:ascii="宋体"/>
                <w:color w:val="auto"/>
                <w:szCs w:val="21"/>
                <w:highlight w:val="none"/>
              </w:rPr>
            </w:pPr>
            <w:r>
              <w:rPr>
                <w:rFonts w:hint="eastAsia" w:ascii="宋体"/>
                <w:color w:val="auto"/>
                <w:szCs w:val="21"/>
                <w:highlight w:val="none"/>
              </w:rPr>
              <w:t>第二章第19.1款</w:t>
            </w:r>
          </w:p>
        </w:tc>
        <w:tc>
          <w:tcPr>
            <w:tcW w:w="1601" w:type="dxa"/>
            <w:noWrap w:val="0"/>
            <w:vAlign w:val="center"/>
          </w:tcPr>
          <w:p w14:paraId="3E25F8D1">
            <w:pPr>
              <w:adjustRightInd w:val="0"/>
              <w:snapToGrid w:val="0"/>
              <w:spacing w:line="360" w:lineRule="auto"/>
              <w:ind w:left="-533" w:leftChars="-254" w:firstLine="533" w:firstLineChars="254"/>
              <w:rPr>
                <w:rFonts w:ascii="宋体"/>
                <w:color w:val="auto"/>
                <w:szCs w:val="21"/>
                <w:highlight w:val="none"/>
              </w:rPr>
            </w:pPr>
            <w:r>
              <w:rPr>
                <w:rFonts w:hint="eastAsia" w:ascii="宋体"/>
                <w:color w:val="auto"/>
                <w:szCs w:val="21"/>
                <w:highlight w:val="none"/>
              </w:rPr>
              <w:t>磋商保证金</w:t>
            </w:r>
          </w:p>
        </w:tc>
        <w:tc>
          <w:tcPr>
            <w:tcW w:w="6315" w:type="dxa"/>
            <w:noWrap w:val="0"/>
            <w:vAlign w:val="center"/>
          </w:tcPr>
          <w:p w14:paraId="44E6DAA8">
            <w:pPr>
              <w:snapToGrid w:val="0"/>
              <w:spacing w:line="360" w:lineRule="auto"/>
              <w:rPr>
                <w:rFonts w:ascii="宋体"/>
                <w:color w:val="auto"/>
                <w:highlight w:val="none"/>
              </w:rPr>
            </w:pPr>
            <w:r>
              <w:rPr>
                <w:rFonts w:hint="eastAsia" w:ascii="宋体"/>
                <w:bCs/>
                <w:color w:val="auto"/>
                <w:szCs w:val="21"/>
                <w:highlight w:val="none"/>
                <w:lang w:eastAsia="zh-CN"/>
              </w:rPr>
              <w:t>☑</w:t>
            </w:r>
            <w:r>
              <w:rPr>
                <w:rFonts w:hint="eastAsia" w:ascii="宋体"/>
                <w:color w:val="auto"/>
                <w:highlight w:val="none"/>
              </w:rPr>
              <w:t>不要求提供</w:t>
            </w:r>
          </w:p>
          <w:p w14:paraId="5AED0942">
            <w:pPr>
              <w:snapToGrid w:val="0"/>
              <w:spacing w:line="360" w:lineRule="auto"/>
              <w:rPr>
                <w:rFonts w:hint="eastAsia" w:ascii="宋体"/>
                <w:color w:val="auto"/>
                <w:highlight w:val="none"/>
              </w:rPr>
            </w:pPr>
            <w:r>
              <w:rPr>
                <w:rFonts w:hint="eastAsia" w:ascii="宋体"/>
                <w:color w:val="auto"/>
                <w:highlight w:val="none"/>
                <w:lang w:eastAsia="zh-CN"/>
              </w:rPr>
              <w:t>□</w:t>
            </w:r>
            <w:r>
              <w:rPr>
                <w:rFonts w:hint="eastAsia" w:ascii="宋体"/>
                <w:color w:val="auto"/>
                <w:highlight w:val="none"/>
              </w:rPr>
              <w:t>要求提供</w:t>
            </w:r>
          </w:p>
          <w:p w14:paraId="1237CE79">
            <w:pPr>
              <w:snapToGrid w:val="0"/>
              <w:spacing w:line="360" w:lineRule="auto"/>
              <w:rPr>
                <w:rFonts w:ascii="宋体"/>
                <w:color w:val="auto"/>
                <w:highlight w:val="none"/>
              </w:rPr>
            </w:pPr>
            <w:r>
              <w:rPr>
                <w:rFonts w:hint="eastAsia" w:ascii="宋体"/>
                <w:color w:val="auto"/>
                <w:highlight w:val="none"/>
                <w:lang w:val="en-US" w:eastAsia="zh-CN"/>
              </w:rPr>
              <w:t>1</w:t>
            </w:r>
            <w:r>
              <w:rPr>
                <w:rFonts w:ascii="宋体"/>
                <w:color w:val="auto"/>
                <w:highlight w:val="none"/>
              </w:rPr>
              <w:t>、保证金数额：</w:t>
            </w:r>
            <w:r>
              <w:rPr>
                <w:rFonts w:hint="eastAsia" w:ascii="宋体"/>
                <w:b/>
                <w:bCs/>
                <w:color w:val="auto"/>
                <w:highlight w:val="none"/>
                <w:lang w:val="en-US" w:eastAsia="zh-CN"/>
              </w:rPr>
              <w:t>/</w:t>
            </w:r>
            <w:r>
              <w:rPr>
                <w:rFonts w:ascii="宋体"/>
                <w:b/>
                <w:bCs/>
                <w:color w:val="auto"/>
                <w:highlight w:val="none"/>
              </w:rPr>
              <w:t xml:space="preserve"> </w:t>
            </w:r>
            <w:r>
              <w:rPr>
                <w:rFonts w:ascii="宋体"/>
                <w:color w:val="auto"/>
                <w:highlight w:val="none"/>
              </w:rPr>
              <w:t>元（人民币）</w:t>
            </w:r>
          </w:p>
          <w:p w14:paraId="6187FAA5">
            <w:pPr>
              <w:snapToGrid w:val="0"/>
              <w:spacing w:line="360" w:lineRule="auto"/>
              <w:rPr>
                <w:rFonts w:ascii="宋体"/>
                <w:color w:val="auto"/>
                <w:highlight w:val="none"/>
              </w:rPr>
            </w:pPr>
            <w:r>
              <w:rPr>
                <w:rFonts w:ascii="宋体"/>
                <w:color w:val="auto"/>
                <w:highlight w:val="none"/>
              </w:rPr>
              <w:t>2、缴纳方式：银行转账、银行电汇或银行汇票，从各投标单位账户缴入到如下账户，并在转账票据用途栏或备注栏中注明所投项目简称或项目编号。</w:t>
            </w:r>
          </w:p>
          <w:p w14:paraId="1A883BA1">
            <w:pPr>
              <w:snapToGrid w:val="0"/>
              <w:spacing w:line="360" w:lineRule="auto"/>
              <w:rPr>
                <w:rFonts w:hint="eastAsia" w:ascii="宋体" w:eastAsia="宋体"/>
                <w:color w:val="auto"/>
                <w:highlight w:val="none"/>
                <w:lang w:eastAsia="zh-CN"/>
              </w:rPr>
            </w:pPr>
            <w:r>
              <w:rPr>
                <w:rFonts w:hint="eastAsia" w:ascii="宋体"/>
                <w:color w:val="auto"/>
                <w:highlight w:val="none"/>
              </w:rPr>
              <w:t>开户名称：</w:t>
            </w:r>
            <w:r>
              <w:rPr>
                <w:rFonts w:hint="eastAsia" w:ascii="宋体"/>
                <w:color w:val="auto"/>
                <w:highlight w:val="none"/>
                <w:lang w:val="en-US" w:eastAsia="zh-CN"/>
              </w:rPr>
              <w:t>/</w:t>
            </w:r>
          </w:p>
          <w:p w14:paraId="753C5309">
            <w:pPr>
              <w:snapToGrid w:val="0"/>
              <w:spacing w:line="360" w:lineRule="auto"/>
              <w:rPr>
                <w:rFonts w:ascii="宋体"/>
                <w:color w:val="auto"/>
                <w:highlight w:val="none"/>
              </w:rPr>
            </w:pPr>
            <w:r>
              <w:rPr>
                <w:rFonts w:hint="eastAsia" w:ascii="宋体"/>
                <w:color w:val="auto"/>
                <w:highlight w:val="none"/>
              </w:rPr>
              <w:t>开户银行：/</w:t>
            </w:r>
          </w:p>
          <w:p w14:paraId="75313DD5">
            <w:pPr>
              <w:snapToGrid w:val="0"/>
              <w:spacing w:line="360" w:lineRule="auto"/>
              <w:rPr>
                <w:rFonts w:ascii="宋体"/>
                <w:color w:val="auto"/>
                <w:highlight w:val="none"/>
              </w:rPr>
            </w:pPr>
            <w:r>
              <w:rPr>
                <w:rFonts w:hint="eastAsia" w:ascii="宋体"/>
                <w:color w:val="auto"/>
                <w:highlight w:val="none"/>
              </w:rPr>
              <w:t>银行账号：</w:t>
            </w:r>
            <w:r>
              <w:rPr>
                <w:rFonts w:ascii="宋体"/>
                <w:color w:val="auto"/>
                <w:highlight w:val="none"/>
              </w:rPr>
              <w:t>/</w:t>
            </w:r>
          </w:p>
          <w:p w14:paraId="4EAD24EC">
            <w:pPr>
              <w:snapToGrid w:val="0"/>
              <w:spacing w:line="360" w:lineRule="auto"/>
              <w:rPr>
                <w:rFonts w:ascii="宋体"/>
                <w:color w:val="auto"/>
                <w:highlight w:val="none"/>
              </w:rPr>
            </w:pPr>
            <w:r>
              <w:rPr>
                <w:rFonts w:ascii="宋体"/>
                <w:color w:val="auto"/>
                <w:highlight w:val="none"/>
              </w:rPr>
              <w:t>3、缴纳截止时间：同投标截止时间，以银行到账回单为准。</w:t>
            </w:r>
          </w:p>
          <w:p w14:paraId="64E2FD50">
            <w:pPr>
              <w:snapToGrid w:val="0"/>
              <w:spacing w:line="360" w:lineRule="auto"/>
              <w:rPr>
                <w:color w:val="auto"/>
                <w:highlight w:val="none"/>
              </w:rPr>
            </w:pPr>
            <w:r>
              <w:rPr>
                <w:rFonts w:ascii="宋体"/>
                <w:color w:val="auto"/>
                <w:highlight w:val="none"/>
              </w:rPr>
              <w:t>4、未按时足额缴纳保证金的，其响应文件将被拒绝。</w:t>
            </w:r>
          </w:p>
        </w:tc>
      </w:tr>
      <w:tr w14:paraId="25E5C5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728" w:type="dxa"/>
            <w:noWrap w:val="0"/>
            <w:vAlign w:val="center"/>
          </w:tcPr>
          <w:p w14:paraId="618D38C8">
            <w:pPr>
              <w:adjustRightInd w:val="0"/>
              <w:snapToGrid w:val="0"/>
              <w:spacing w:line="360" w:lineRule="auto"/>
              <w:jc w:val="center"/>
              <w:rPr>
                <w:rFonts w:ascii="宋体"/>
                <w:color w:val="auto"/>
                <w:szCs w:val="21"/>
                <w:highlight w:val="none"/>
              </w:rPr>
            </w:pPr>
            <w:r>
              <w:rPr>
                <w:rFonts w:hint="eastAsia" w:ascii="宋体"/>
                <w:color w:val="auto"/>
                <w:szCs w:val="21"/>
                <w:highlight w:val="none"/>
              </w:rPr>
              <w:t>第二章第20.1款</w:t>
            </w:r>
          </w:p>
        </w:tc>
        <w:tc>
          <w:tcPr>
            <w:tcW w:w="1601" w:type="dxa"/>
            <w:noWrap w:val="0"/>
            <w:vAlign w:val="center"/>
          </w:tcPr>
          <w:p w14:paraId="4AE2C061">
            <w:pPr>
              <w:adjustRightInd w:val="0"/>
              <w:snapToGrid w:val="0"/>
              <w:spacing w:line="360" w:lineRule="auto"/>
              <w:rPr>
                <w:rFonts w:ascii="宋体"/>
                <w:bCs/>
                <w:color w:val="auto"/>
                <w:szCs w:val="21"/>
                <w:highlight w:val="none"/>
              </w:rPr>
            </w:pPr>
            <w:r>
              <w:rPr>
                <w:rFonts w:hint="eastAsia" w:ascii="宋体"/>
                <w:bCs/>
                <w:color w:val="auto"/>
                <w:szCs w:val="21"/>
                <w:highlight w:val="none"/>
              </w:rPr>
              <w:t>响应文件有效期</w:t>
            </w:r>
          </w:p>
        </w:tc>
        <w:tc>
          <w:tcPr>
            <w:tcW w:w="6315" w:type="dxa"/>
            <w:noWrap w:val="0"/>
            <w:vAlign w:val="center"/>
          </w:tcPr>
          <w:p w14:paraId="4BD31959">
            <w:pPr>
              <w:adjustRightInd w:val="0"/>
              <w:snapToGrid w:val="0"/>
              <w:spacing w:line="360" w:lineRule="auto"/>
              <w:rPr>
                <w:rFonts w:ascii="宋体"/>
                <w:bCs/>
                <w:color w:val="auto"/>
                <w:szCs w:val="21"/>
                <w:highlight w:val="none"/>
              </w:rPr>
            </w:pPr>
            <w:r>
              <w:rPr>
                <w:rFonts w:hint="eastAsia" w:ascii="宋体"/>
                <w:color w:val="auto"/>
                <w:szCs w:val="21"/>
                <w:highlight w:val="none"/>
                <w:u w:val="single"/>
              </w:rPr>
              <w:t xml:space="preserve"> 90 </w:t>
            </w:r>
            <w:r>
              <w:rPr>
                <w:rFonts w:hint="eastAsia" w:ascii="宋体"/>
                <w:color w:val="auto"/>
                <w:szCs w:val="21"/>
                <w:highlight w:val="none"/>
              </w:rPr>
              <w:t>日（日历日）</w:t>
            </w:r>
          </w:p>
        </w:tc>
      </w:tr>
      <w:tr w14:paraId="79D70F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7" w:hRule="atLeast"/>
          <w:jc w:val="center"/>
        </w:trPr>
        <w:tc>
          <w:tcPr>
            <w:tcW w:w="1728" w:type="dxa"/>
            <w:noWrap w:val="0"/>
            <w:vAlign w:val="center"/>
          </w:tcPr>
          <w:p w14:paraId="6E9F7C35">
            <w:pPr>
              <w:adjustRightInd w:val="0"/>
              <w:snapToGrid w:val="0"/>
              <w:spacing w:line="360" w:lineRule="auto"/>
              <w:jc w:val="center"/>
              <w:rPr>
                <w:rFonts w:ascii="宋体"/>
                <w:color w:val="auto"/>
                <w:szCs w:val="21"/>
                <w:highlight w:val="none"/>
              </w:rPr>
            </w:pPr>
            <w:r>
              <w:rPr>
                <w:rFonts w:hint="eastAsia" w:ascii="宋体"/>
                <w:color w:val="auto"/>
                <w:szCs w:val="21"/>
                <w:highlight w:val="none"/>
              </w:rPr>
              <w:t>第二章第21.1款</w:t>
            </w:r>
          </w:p>
        </w:tc>
        <w:tc>
          <w:tcPr>
            <w:tcW w:w="1601" w:type="dxa"/>
            <w:noWrap w:val="0"/>
            <w:vAlign w:val="center"/>
          </w:tcPr>
          <w:p w14:paraId="681B5250">
            <w:pPr>
              <w:adjustRightInd w:val="0"/>
              <w:snapToGrid w:val="0"/>
              <w:spacing w:line="360" w:lineRule="auto"/>
              <w:rPr>
                <w:rFonts w:ascii="宋体"/>
                <w:color w:val="auto"/>
                <w:szCs w:val="21"/>
                <w:highlight w:val="none"/>
              </w:rPr>
            </w:pPr>
            <w:r>
              <w:rPr>
                <w:rFonts w:hint="eastAsia" w:ascii="宋体"/>
                <w:bCs/>
                <w:color w:val="auto"/>
                <w:szCs w:val="21"/>
                <w:highlight w:val="none"/>
              </w:rPr>
              <w:t>响应</w:t>
            </w:r>
            <w:r>
              <w:rPr>
                <w:rFonts w:hint="eastAsia" w:ascii="宋体"/>
                <w:color w:val="auto"/>
                <w:szCs w:val="21"/>
                <w:highlight w:val="none"/>
              </w:rPr>
              <w:t>文件副本份数</w:t>
            </w:r>
          </w:p>
        </w:tc>
        <w:tc>
          <w:tcPr>
            <w:tcW w:w="6315" w:type="dxa"/>
            <w:noWrap w:val="0"/>
            <w:vAlign w:val="center"/>
          </w:tcPr>
          <w:p w14:paraId="5C184587">
            <w:pPr>
              <w:adjustRightInd w:val="0"/>
              <w:snapToGrid w:val="0"/>
              <w:spacing w:line="360" w:lineRule="exact"/>
              <w:rPr>
                <w:rFonts w:ascii="Times New Roman" w:hAnsi="宋体" w:eastAsia="宋体" w:cs="Times New Roman"/>
                <w:b/>
                <w:color w:val="auto"/>
                <w:highlight w:val="none"/>
              </w:rPr>
            </w:pPr>
            <w:r>
              <w:rPr>
                <w:rFonts w:hint="eastAsia" w:ascii="Times New Roman" w:hAnsi="宋体" w:eastAsia="宋体" w:cs="Times New Roman"/>
                <w:color w:val="auto"/>
                <w:highlight w:val="none"/>
              </w:rPr>
              <w:t>1、响应文件正本一份，副本份数二份；响应文件电子文档U盘一份</w:t>
            </w:r>
            <w:r>
              <w:rPr>
                <w:rFonts w:hint="eastAsia" w:hAnsi="宋体" w:eastAsia="宋体" w:cs="Times New Roman"/>
                <w:color w:val="auto"/>
                <w:highlight w:val="none"/>
                <w:lang w:eastAsia="zh-CN"/>
              </w:rPr>
              <w:t>（</w:t>
            </w:r>
            <w:r>
              <w:rPr>
                <w:rFonts w:hint="eastAsia" w:hAnsi="宋体" w:eastAsia="宋体" w:cs="Times New Roman"/>
                <w:color w:val="auto"/>
                <w:highlight w:val="none"/>
                <w:lang w:val="en-US" w:eastAsia="zh-CN"/>
              </w:rPr>
              <w:t>盖章扫描件</w:t>
            </w:r>
            <w:r>
              <w:rPr>
                <w:rFonts w:hint="eastAsia" w:hAnsi="宋体" w:eastAsia="宋体" w:cs="Times New Roman"/>
                <w:color w:val="auto"/>
                <w:highlight w:val="none"/>
                <w:lang w:eastAsia="zh-CN"/>
              </w:rPr>
              <w:t>）</w:t>
            </w:r>
            <w:r>
              <w:rPr>
                <w:rFonts w:hint="eastAsia" w:ascii="Times New Roman" w:hAnsi="宋体" w:eastAsia="宋体" w:cs="Times New Roman"/>
                <w:b/>
                <w:color w:val="auto"/>
                <w:highlight w:val="none"/>
              </w:rPr>
              <w:t>。</w:t>
            </w:r>
          </w:p>
          <w:p w14:paraId="1981955A">
            <w:pPr>
              <w:adjustRightInd w:val="0"/>
              <w:snapToGrid w:val="0"/>
              <w:spacing w:line="360" w:lineRule="exact"/>
              <w:rPr>
                <w:rFonts w:ascii="Times New Roman" w:hAnsi="宋体" w:eastAsia="宋体" w:cs="Times New Roman"/>
                <w:color w:val="auto"/>
                <w:highlight w:val="none"/>
              </w:rPr>
            </w:pPr>
            <w:r>
              <w:rPr>
                <w:rFonts w:hint="eastAsia" w:ascii="Times New Roman" w:hAnsi="宋体" w:eastAsia="宋体" w:cs="Times New Roman"/>
                <w:color w:val="auto"/>
                <w:highlight w:val="none"/>
              </w:rPr>
              <w:t>2、纸质响应文件须清楚地注明“正本”或“副本”的字样。若副本和正本不一致或电子版文件和纸质正本文件不一致时，以纸质正本文件为准。</w:t>
            </w:r>
          </w:p>
          <w:p w14:paraId="362A46CF">
            <w:pPr>
              <w:adjustRightInd w:val="0"/>
              <w:snapToGrid w:val="0"/>
              <w:spacing w:line="360" w:lineRule="auto"/>
              <w:rPr>
                <w:rFonts w:ascii="宋体"/>
                <w:bCs/>
                <w:color w:val="auto"/>
                <w:szCs w:val="21"/>
                <w:highlight w:val="none"/>
              </w:rPr>
            </w:pPr>
            <w:r>
              <w:rPr>
                <w:rFonts w:hint="eastAsia" w:ascii="Times New Roman" w:hAnsi="宋体" w:eastAsia="宋体" w:cs="Times New Roman"/>
                <w:color w:val="auto"/>
                <w:highlight w:val="none"/>
              </w:rPr>
              <w:t>3、响应文件的正本与副本应分别胶装成册，并编制目录。响应文件的副本可为正本的复印件，提倡双面打印。</w:t>
            </w:r>
          </w:p>
        </w:tc>
      </w:tr>
      <w:tr w14:paraId="3D84EF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 w:hRule="atLeast"/>
          <w:jc w:val="center"/>
        </w:trPr>
        <w:tc>
          <w:tcPr>
            <w:tcW w:w="9644" w:type="dxa"/>
            <w:gridSpan w:val="3"/>
            <w:noWrap w:val="0"/>
            <w:vAlign w:val="center"/>
          </w:tcPr>
          <w:p w14:paraId="5E5454A9">
            <w:pPr>
              <w:adjustRightInd w:val="0"/>
              <w:snapToGrid w:val="0"/>
              <w:spacing w:line="360" w:lineRule="auto"/>
              <w:rPr>
                <w:rFonts w:ascii="宋体"/>
                <w:b/>
                <w:bCs/>
                <w:color w:val="auto"/>
                <w:szCs w:val="21"/>
                <w:highlight w:val="none"/>
              </w:rPr>
            </w:pPr>
            <w:r>
              <w:rPr>
                <w:rFonts w:hint="eastAsia" w:ascii="宋体"/>
                <w:b/>
                <w:color w:val="auto"/>
                <w:szCs w:val="21"/>
                <w:highlight w:val="none"/>
              </w:rPr>
              <w:t>四、响应文件的递交</w:t>
            </w:r>
          </w:p>
        </w:tc>
      </w:tr>
      <w:tr w14:paraId="2A2B70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4" w:hRule="atLeast"/>
          <w:jc w:val="center"/>
        </w:trPr>
        <w:tc>
          <w:tcPr>
            <w:tcW w:w="1728" w:type="dxa"/>
            <w:noWrap w:val="0"/>
            <w:vAlign w:val="center"/>
          </w:tcPr>
          <w:p w14:paraId="4070757D">
            <w:pPr>
              <w:adjustRightInd w:val="0"/>
              <w:snapToGrid w:val="0"/>
              <w:spacing w:line="360" w:lineRule="auto"/>
              <w:jc w:val="center"/>
              <w:rPr>
                <w:rFonts w:ascii="宋体"/>
                <w:color w:val="auto"/>
                <w:szCs w:val="21"/>
                <w:highlight w:val="none"/>
              </w:rPr>
            </w:pPr>
            <w:r>
              <w:rPr>
                <w:rFonts w:hint="eastAsia" w:ascii="宋体"/>
                <w:color w:val="auto"/>
                <w:szCs w:val="21"/>
                <w:highlight w:val="none"/>
              </w:rPr>
              <w:t>第二章第22.2款</w:t>
            </w:r>
          </w:p>
        </w:tc>
        <w:tc>
          <w:tcPr>
            <w:tcW w:w="1601" w:type="dxa"/>
            <w:noWrap w:val="0"/>
            <w:vAlign w:val="center"/>
          </w:tcPr>
          <w:p w14:paraId="4D6BE106">
            <w:pPr>
              <w:adjustRightInd w:val="0"/>
              <w:snapToGrid w:val="0"/>
              <w:spacing w:line="360" w:lineRule="auto"/>
              <w:rPr>
                <w:rFonts w:ascii="宋体"/>
                <w:color w:val="auto"/>
                <w:szCs w:val="21"/>
                <w:highlight w:val="none"/>
              </w:rPr>
            </w:pPr>
            <w:r>
              <w:rPr>
                <w:rFonts w:hint="eastAsia" w:ascii="宋体"/>
                <w:color w:val="auto"/>
                <w:szCs w:val="21"/>
                <w:highlight w:val="none"/>
              </w:rPr>
              <w:t>封套上应载明的信息</w:t>
            </w:r>
          </w:p>
        </w:tc>
        <w:tc>
          <w:tcPr>
            <w:tcW w:w="6315" w:type="dxa"/>
            <w:noWrap w:val="0"/>
            <w:vAlign w:val="center"/>
          </w:tcPr>
          <w:p w14:paraId="708527E5">
            <w:pPr>
              <w:adjustRightInd w:val="0"/>
              <w:snapToGrid w:val="0"/>
              <w:spacing w:line="360" w:lineRule="auto"/>
              <w:rPr>
                <w:rFonts w:ascii="宋体"/>
                <w:color w:val="auto"/>
                <w:szCs w:val="21"/>
                <w:highlight w:val="none"/>
              </w:rPr>
            </w:pPr>
            <w:r>
              <w:rPr>
                <w:rFonts w:hint="eastAsia" w:ascii="宋体"/>
                <w:color w:val="auto"/>
                <w:szCs w:val="21"/>
                <w:highlight w:val="none"/>
                <w:u w:val="single"/>
              </w:rPr>
              <w:t xml:space="preserve">            </w:t>
            </w:r>
            <w:r>
              <w:rPr>
                <w:rFonts w:hint="eastAsia" w:ascii="宋体"/>
                <w:color w:val="auto"/>
                <w:szCs w:val="21"/>
                <w:highlight w:val="none"/>
              </w:rPr>
              <w:t>采购项目响应文件</w:t>
            </w:r>
          </w:p>
          <w:p w14:paraId="11D484A4">
            <w:pPr>
              <w:adjustRightInd w:val="0"/>
              <w:snapToGrid w:val="0"/>
              <w:spacing w:line="360" w:lineRule="auto"/>
              <w:rPr>
                <w:rFonts w:ascii="宋体"/>
                <w:color w:val="auto"/>
                <w:szCs w:val="21"/>
                <w:highlight w:val="none"/>
              </w:rPr>
            </w:pPr>
            <w:r>
              <w:rPr>
                <w:rFonts w:hint="eastAsia" w:ascii="宋体"/>
                <w:color w:val="auto"/>
                <w:szCs w:val="21"/>
                <w:highlight w:val="none"/>
              </w:rPr>
              <w:t>政府采购计划编号：</w:t>
            </w:r>
            <w:r>
              <w:rPr>
                <w:rFonts w:hint="eastAsia" w:ascii="宋体"/>
                <w:color w:val="auto"/>
                <w:szCs w:val="21"/>
                <w:highlight w:val="none"/>
                <w:u w:val="single"/>
              </w:rPr>
              <w:t xml:space="preserve">            </w:t>
            </w:r>
          </w:p>
          <w:p w14:paraId="31A005CB">
            <w:pPr>
              <w:adjustRightInd w:val="0"/>
              <w:snapToGrid w:val="0"/>
              <w:spacing w:line="360" w:lineRule="auto"/>
              <w:rPr>
                <w:rFonts w:ascii="宋体"/>
                <w:color w:val="auto"/>
                <w:szCs w:val="21"/>
                <w:highlight w:val="none"/>
              </w:rPr>
            </w:pPr>
            <w:r>
              <w:rPr>
                <w:rFonts w:hint="eastAsia" w:ascii="宋体"/>
                <w:color w:val="auto"/>
                <w:szCs w:val="21"/>
                <w:highlight w:val="none"/>
              </w:rPr>
              <w:t>供应商名称：</w:t>
            </w:r>
            <w:r>
              <w:rPr>
                <w:rFonts w:hint="eastAsia" w:ascii="宋体"/>
                <w:color w:val="auto"/>
                <w:szCs w:val="21"/>
                <w:highlight w:val="none"/>
                <w:u w:val="single"/>
              </w:rPr>
              <w:t xml:space="preserve">            </w:t>
            </w:r>
          </w:p>
          <w:p w14:paraId="3676CA64">
            <w:pPr>
              <w:adjustRightInd w:val="0"/>
              <w:snapToGrid w:val="0"/>
              <w:spacing w:line="360" w:lineRule="auto"/>
              <w:rPr>
                <w:rFonts w:ascii="宋体"/>
                <w:color w:val="auto"/>
                <w:szCs w:val="21"/>
                <w:highlight w:val="none"/>
              </w:rPr>
            </w:pPr>
            <w:r>
              <w:rPr>
                <w:rFonts w:hint="eastAsia" w:ascii="宋体"/>
                <w:color w:val="auto"/>
                <w:szCs w:val="21"/>
                <w:highlight w:val="none"/>
              </w:rPr>
              <w:t>在</w:t>
            </w:r>
            <w:r>
              <w:rPr>
                <w:rFonts w:hint="eastAsia" w:ascii="宋体"/>
                <w:color w:val="auto"/>
                <w:szCs w:val="21"/>
                <w:highlight w:val="none"/>
                <w:u w:val="single"/>
              </w:rPr>
              <w:t xml:space="preserve">    </w:t>
            </w:r>
            <w:r>
              <w:rPr>
                <w:rFonts w:hint="eastAsia" w:ascii="宋体"/>
                <w:color w:val="auto"/>
                <w:szCs w:val="21"/>
                <w:highlight w:val="none"/>
              </w:rPr>
              <w:t>年</w:t>
            </w:r>
            <w:r>
              <w:rPr>
                <w:rFonts w:hint="eastAsia" w:ascii="宋体"/>
                <w:color w:val="auto"/>
                <w:szCs w:val="21"/>
                <w:highlight w:val="none"/>
                <w:u w:val="single"/>
              </w:rPr>
              <w:t xml:space="preserve">   </w:t>
            </w:r>
            <w:r>
              <w:rPr>
                <w:rFonts w:hint="eastAsia" w:ascii="宋体"/>
                <w:color w:val="auto"/>
                <w:szCs w:val="21"/>
                <w:highlight w:val="none"/>
              </w:rPr>
              <w:t>月</w:t>
            </w:r>
            <w:r>
              <w:rPr>
                <w:rFonts w:hint="eastAsia" w:ascii="宋体"/>
                <w:color w:val="auto"/>
                <w:szCs w:val="21"/>
                <w:highlight w:val="none"/>
                <w:u w:val="single"/>
              </w:rPr>
              <w:t xml:space="preserve">   </w:t>
            </w:r>
            <w:r>
              <w:rPr>
                <w:rFonts w:hint="eastAsia" w:ascii="宋体"/>
                <w:color w:val="auto"/>
                <w:szCs w:val="21"/>
                <w:highlight w:val="none"/>
              </w:rPr>
              <w:t>日（星期</w:t>
            </w:r>
            <w:r>
              <w:rPr>
                <w:rFonts w:hint="eastAsia" w:ascii="宋体"/>
                <w:color w:val="auto"/>
                <w:szCs w:val="21"/>
                <w:highlight w:val="none"/>
                <w:u w:val="single"/>
              </w:rPr>
              <w:t xml:space="preserve">   </w:t>
            </w:r>
            <w:r>
              <w:rPr>
                <w:rFonts w:hint="eastAsia" w:ascii="宋体"/>
                <w:color w:val="auto"/>
                <w:szCs w:val="21"/>
                <w:highlight w:val="none"/>
              </w:rPr>
              <w:t>）</w:t>
            </w:r>
            <w:r>
              <w:rPr>
                <w:rFonts w:hint="eastAsia" w:ascii="宋体"/>
                <w:color w:val="auto"/>
                <w:szCs w:val="21"/>
                <w:highlight w:val="none"/>
                <w:u w:val="single"/>
              </w:rPr>
              <w:t xml:space="preserve">    </w:t>
            </w:r>
            <w:r>
              <w:rPr>
                <w:rFonts w:hint="eastAsia" w:ascii="宋体"/>
                <w:color w:val="auto"/>
                <w:szCs w:val="21"/>
                <w:highlight w:val="none"/>
              </w:rPr>
              <w:t>时</w:t>
            </w:r>
            <w:r>
              <w:rPr>
                <w:rFonts w:hint="eastAsia" w:ascii="宋体"/>
                <w:color w:val="auto"/>
                <w:szCs w:val="21"/>
                <w:highlight w:val="none"/>
                <w:u w:val="single"/>
              </w:rPr>
              <w:t xml:space="preserve">   </w:t>
            </w:r>
            <w:r>
              <w:rPr>
                <w:rFonts w:hint="eastAsia" w:ascii="宋体"/>
                <w:color w:val="auto"/>
                <w:szCs w:val="21"/>
                <w:highlight w:val="none"/>
              </w:rPr>
              <w:t>分之前不得启封</w:t>
            </w:r>
          </w:p>
        </w:tc>
      </w:tr>
      <w:tr w14:paraId="70108F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728" w:type="dxa"/>
            <w:noWrap w:val="0"/>
            <w:vAlign w:val="center"/>
          </w:tcPr>
          <w:p w14:paraId="3C9FFE43">
            <w:pPr>
              <w:adjustRightInd w:val="0"/>
              <w:snapToGrid w:val="0"/>
              <w:spacing w:line="360" w:lineRule="auto"/>
              <w:jc w:val="center"/>
              <w:rPr>
                <w:rFonts w:ascii="宋体"/>
                <w:color w:val="auto"/>
                <w:szCs w:val="21"/>
                <w:highlight w:val="none"/>
              </w:rPr>
            </w:pPr>
            <w:r>
              <w:rPr>
                <w:rFonts w:hint="eastAsia" w:ascii="宋体"/>
                <w:color w:val="auto"/>
                <w:szCs w:val="21"/>
                <w:highlight w:val="none"/>
              </w:rPr>
              <w:t>第二章第24.1款</w:t>
            </w:r>
          </w:p>
        </w:tc>
        <w:tc>
          <w:tcPr>
            <w:tcW w:w="1601" w:type="dxa"/>
            <w:noWrap w:val="0"/>
            <w:vAlign w:val="center"/>
          </w:tcPr>
          <w:p w14:paraId="1D06C990">
            <w:pPr>
              <w:adjustRightInd w:val="0"/>
              <w:snapToGrid w:val="0"/>
              <w:spacing w:line="360" w:lineRule="auto"/>
              <w:rPr>
                <w:rFonts w:ascii="宋体"/>
                <w:color w:val="auto"/>
                <w:szCs w:val="21"/>
                <w:highlight w:val="none"/>
              </w:rPr>
            </w:pPr>
            <w:r>
              <w:rPr>
                <w:rFonts w:hint="eastAsia" w:ascii="宋体"/>
                <w:color w:val="auto"/>
                <w:szCs w:val="21"/>
                <w:highlight w:val="none"/>
              </w:rPr>
              <w:t>响应文件的递交地点</w:t>
            </w:r>
          </w:p>
        </w:tc>
        <w:tc>
          <w:tcPr>
            <w:tcW w:w="6315" w:type="dxa"/>
            <w:noWrap w:val="0"/>
            <w:vAlign w:val="center"/>
          </w:tcPr>
          <w:p w14:paraId="6D7EA6BB">
            <w:pPr>
              <w:adjustRightInd w:val="0"/>
              <w:snapToGrid w:val="0"/>
              <w:spacing w:line="360" w:lineRule="auto"/>
              <w:rPr>
                <w:rFonts w:ascii="宋体"/>
                <w:bCs/>
                <w:color w:val="auto"/>
                <w:szCs w:val="21"/>
                <w:highlight w:val="none"/>
              </w:rPr>
            </w:pPr>
            <w:r>
              <w:rPr>
                <w:rFonts w:hint="eastAsia" w:ascii="宋体"/>
                <w:color w:val="auto"/>
                <w:szCs w:val="21"/>
                <w:highlight w:val="none"/>
                <w:lang w:eastAsia="zh-CN"/>
              </w:rPr>
              <w:t>永信和瑞工程咨询有限公司</w:t>
            </w:r>
            <w:r>
              <w:rPr>
                <w:rFonts w:hint="eastAsia" w:ascii="宋体"/>
                <w:color w:val="auto"/>
                <w:szCs w:val="21"/>
                <w:highlight w:val="none"/>
              </w:rPr>
              <w:t>（长沙市岳麓山国家大学科技城岳麓街道麻园路中建智慧谷产业园二区11号栋一楼开标室）</w:t>
            </w:r>
          </w:p>
        </w:tc>
      </w:tr>
      <w:tr w14:paraId="16687A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644" w:type="dxa"/>
            <w:gridSpan w:val="3"/>
            <w:noWrap w:val="0"/>
            <w:vAlign w:val="center"/>
          </w:tcPr>
          <w:p w14:paraId="4B1A92EB">
            <w:pPr>
              <w:adjustRightInd w:val="0"/>
              <w:snapToGrid w:val="0"/>
              <w:spacing w:line="360" w:lineRule="auto"/>
              <w:rPr>
                <w:rFonts w:ascii="宋体"/>
                <w:b/>
                <w:bCs/>
                <w:color w:val="auto"/>
                <w:szCs w:val="21"/>
                <w:highlight w:val="none"/>
              </w:rPr>
            </w:pPr>
            <w:r>
              <w:rPr>
                <w:rFonts w:hint="eastAsia" w:ascii="宋体"/>
                <w:b/>
                <w:bCs/>
                <w:color w:val="auto"/>
                <w:szCs w:val="21"/>
                <w:highlight w:val="none"/>
              </w:rPr>
              <w:t>五、响应文件的磋商与评审</w:t>
            </w:r>
          </w:p>
        </w:tc>
      </w:tr>
      <w:tr w14:paraId="5E4890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728" w:type="dxa"/>
            <w:noWrap w:val="0"/>
            <w:vAlign w:val="center"/>
          </w:tcPr>
          <w:p w14:paraId="7670D49A">
            <w:pPr>
              <w:adjustRightInd w:val="0"/>
              <w:snapToGrid w:val="0"/>
              <w:spacing w:line="360" w:lineRule="auto"/>
              <w:jc w:val="center"/>
              <w:rPr>
                <w:rFonts w:ascii="宋体"/>
                <w:color w:val="auto"/>
                <w:szCs w:val="21"/>
                <w:highlight w:val="none"/>
              </w:rPr>
            </w:pPr>
            <w:r>
              <w:rPr>
                <w:rFonts w:hint="eastAsia" w:ascii="宋体"/>
                <w:color w:val="auto"/>
                <w:szCs w:val="21"/>
                <w:highlight w:val="none"/>
              </w:rPr>
              <w:t>第二章第31.2款</w:t>
            </w:r>
          </w:p>
        </w:tc>
        <w:tc>
          <w:tcPr>
            <w:tcW w:w="1601" w:type="dxa"/>
            <w:noWrap w:val="0"/>
            <w:vAlign w:val="center"/>
          </w:tcPr>
          <w:p w14:paraId="3EF84A33">
            <w:pPr>
              <w:adjustRightInd w:val="0"/>
              <w:snapToGrid w:val="0"/>
              <w:spacing w:line="360" w:lineRule="auto"/>
              <w:jc w:val="center"/>
              <w:rPr>
                <w:rFonts w:ascii="宋体"/>
                <w:color w:val="auto"/>
                <w:szCs w:val="21"/>
                <w:highlight w:val="none"/>
              </w:rPr>
            </w:pPr>
            <w:r>
              <w:rPr>
                <w:rFonts w:hint="eastAsia" w:ascii="宋体"/>
                <w:color w:val="auto"/>
                <w:szCs w:val="21"/>
                <w:highlight w:val="none"/>
              </w:rPr>
              <w:t>评审因素和标准</w:t>
            </w:r>
          </w:p>
        </w:tc>
        <w:tc>
          <w:tcPr>
            <w:tcW w:w="6315" w:type="dxa"/>
            <w:noWrap w:val="0"/>
            <w:vAlign w:val="center"/>
          </w:tcPr>
          <w:p w14:paraId="73F9729F">
            <w:pPr>
              <w:spacing w:line="360" w:lineRule="auto"/>
              <w:rPr>
                <w:rFonts w:ascii="宋体"/>
                <w:b/>
                <w:color w:val="auto"/>
                <w:szCs w:val="21"/>
                <w:highlight w:val="none"/>
              </w:rPr>
            </w:pPr>
            <w:r>
              <w:rPr>
                <w:rFonts w:hint="eastAsia" w:ascii="宋体"/>
                <w:bCs/>
                <w:color w:val="auto"/>
                <w:szCs w:val="21"/>
                <w:highlight w:val="none"/>
              </w:rPr>
              <w:t>见附页4</w:t>
            </w:r>
          </w:p>
        </w:tc>
      </w:tr>
      <w:tr w14:paraId="172F53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4" w:hRule="atLeast"/>
          <w:jc w:val="center"/>
        </w:trPr>
        <w:tc>
          <w:tcPr>
            <w:tcW w:w="1728" w:type="dxa"/>
            <w:noWrap w:val="0"/>
            <w:vAlign w:val="center"/>
          </w:tcPr>
          <w:p w14:paraId="7399DE68">
            <w:pPr>
              <w:adjustRightInd w:val="0"/>
              <w:snapToGrid w:val="0"/>
              <w:jc w:val="center"/>
              <w:rPr>
                <w:rFonts w:ascii="宋体"/>
                <w:color w:val="auto"/>
                <w:szCs w:val="21"/>
                <w:highlight w:val="none"/>
              </w:rPr>
            </w:pPr>
            <w:r>
              <w:rPr>
                <w:rFonts w:hint="eastAsia" w:ascii="宋体"/>
                <w:color w:val="auto"/>
                <w:szCs w:val="21"/>
                <w:highlight w:val="none"/>
              </w:rPr>
              <w:t>第二章第31.3款</w:t>
            </w:r>
          </w:p>
        </w:tc>
        <w:tc>
          <w:tcPr>
            <w:tcW w:w="1601" w:type="dxa"/>
            <w:noWrap w:val="0"/>
            <w:vAlign w:val="center"/>
          </w:tcPr>
          <w:p w14:paraId="4A16AEC9">
            <w:pPr>
              <w:adjustRightInd w:val="0"/>
              <w:snapToGrid w:val="0"/>
              <w:jc w:val="center"/>
              <w:rPr>
                <w:rFonts w:ascii="宋体"/>
                <w:color w:val="auto"/>
                <w:szCs w:val="21"/>
                <w:highlight w:val="none"/>
              </w:rPr>
            </w:pPr>
            <w:r>
              <w:rPr>
                <w:rFonts w:hint="eastAsia" w:ascii="宋体"/>
                <w:color w:val="auto"/>
                <w:szCs w:val="21"/>
                <w:highlight w:val="none"/>
              </w:rPr>
              <w:t>最后报价调整</w:t>
            </w:r>
          </w:p>
        </w:tc>
        <w:tc>
          <w:tcPr>
            <w:tcW w:w="6315" w:type="dxa"/>
            <w:noWrap w:val="0"/>
            <w:vAlign w:val="center"/>
          </w:tcPr>
          <w:p w14:paraId="71A0F733">
            <w:pPr>
              <w:adjustRightInd w:val="0"/>
              <w:snapToGrid w:val="0"/>
              <w:spacing w:line="36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政府采购支持中小企业发展（货物类供应商和产品制造商应同时满足中小微企业的条件）：小型或微型企业，最后报价扣除比例为</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％；中型企业，最后报价扣除比例为</w:t>
            </w:r>
            <w:r>
              <w:rPr>
                <w:rFonts w:hint="eastAsia"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％；联合体参与磋商的，最后报价扣除比例为</w:t>
            </w:r>
            <w:r>
              <w:rPr>
                <w:rFonts w:hint="eastAsia" w:ascii="宋体" w:hAnsi="宋体" w:eastAsia="宋体" w:cs="Times New Roman"/>
                <w:color w:val="auto"/>
                <w:szCs w:val="21"/>
                <w:highlight w:val="none"/>
                <w:u w:val="single"/>
              </w:rPr>
              <w:t xml:space="preserve"> /  </w:t>
            </w:r>
            <w:r>
              <w:rPr>
                <w:rFonts w:hint="eastAsia" w:ascii="宋体" w:hAnsi="宋体" w:eastAsia="宋体" w:cs="Times New Roman"/>
                <w:color w:val="auto"/>
                <w:szCs w:val="21"/>
                <w:highlight w:val="none"/>
              </w:rPr>
              <w:t>%。评审时，用扣除后的最后报价计算价格分。</w:t>
            </w:r>
          </w:p>
        </w:tc>
      </w:tr>
      <w:tr w14:paraId="713F32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728" w:type="dxa"/>
            <w:noWrap w:val="0"/>
            <w:vAlign w:val="center"/>
          </w:tcPr>
          <w:p w14:paraId="4D2CC5AE">
            <w:pPr>
              <w:adjustRightInd w:val="0"/>
              <w:snapToGrid w:val="0"/>
              <w:spacing w:line="360" w:lineRule="auto"/>
              <w:jc w:val="center"/>
              <w:rPr>
                <w:rFonts w:ascii="宋体"/>
                <w:color w:val="auto"/>
                <w:szCs w:val="21"/>
                <w:highlight w:val="none"/>
              </w:rPr>
            </w:pPr>
            <w:r>
              <w:rPr>
                <w:rFonts w:hint="eastAsia" w:ascii="宋体"/>
                <w:color w:val="auto"/>
                <w:szCs w:val="21"/>
                <w:highlight w:val="none"/>
              </w:rPr>
              <w:t>第二章第31.5款</w:t>
            </w:r>
          </w:p>
        </w:tc>
        <w:tc>
          <w:tcPr>
            <w:tcW w:w="1601" w:type="dxa"/>
            <w:noWrap w:val="0"/>
            <w:vAlign w:val="center"/>
          </w:tcPr>
          <w:p w14:paraId="1BA13B6E">
            <w:pPr>
              <w:adjustRightInd w:val="0"/>
              <w:snapToGrid w:val="0"/>
              <w:spacing w:before="156" w:beforeLines="50" w:line="360" w:lineRule="auto"/>
              <w:jc w:val="center"/>
              <w:rPr>
                <w:rFonts w:ascii="宋体"/>
                <w:color w:val="auto"/>
                <w:szCs w:val="21"/>
                <w:highlight w:val="none"/>
              </w:rPr>
            </w:pPr>
            <w:r>
              <w:rPr>
                <w:rFonts w:hint="eastAsia" w:ascii="宋体"/>
                <w:color w:val="auto"/>
                <w:szCs w:val="21"/>
                <w:highlight w:val="none"/>
              </w:rPr>
              <w:t>技术、商务、价格得分或总得分调整</w:t>
            </w:r>
          </w:p>
        </w:tc>
        <w:tc>
          <w:tcPr>
            <w:tcW w:w="6315" w:type="dxa"/>
            <w:noWrap w:val="0"/>
            <w:vAlign w:val="center"/>
          </w:tcPr>
          <w:p w14:paraId="71F844F4">
            <w:pPr>
              <w:adjustRightInd w:val="0"/>
              <w:snapToGrid w:val="0"/>
              <w:spacing w:line="36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符合第二章第9.1款规定，按第二章第31.6款规定及本款分值调整：</w:t>
            </w:r>
          </w:p>
          <w:p w14:paraId="6F7935D9">
            <w:pPr>
              <w:adjustRightInd w:val="0"/>
              <w:snapToGrid w:val="0"/>
              <w:spacing w:line="36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1、</w:t>
            </w:r>
            <w:r>
              <w:rPr>
                <w:rFonts w:hint="eastAsia" w:ascii="宋体" w:hAnsi="宋体" w:eastAsia="宋体" w:cs="Times New Roman"/>
                <w:color w:val="auto"/>
                <w:szCs w:val="21"/>
                <w:highlight w:val="none"/>
              </w:rPr>
              <w:t>节能产品：</w:t>
            </w:r>
          </w:p>
          <w:p w14:paraId="0FACE472">
            <w:pPr>
              <w:adjustRightInd w:val="0"/>
              <w:snapToGrid w:val="0"/>
              <w:spacing w:line="36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技术加分＝技术分值× 加分比例（比例见前附表第38.1项,下同）×（节能产品最后报价÷最后总报价）；</w:t>
            </w:r>
          </w:p>
          <w:p w14:paraId="5C0AECA5">
            <w:pPr>
              <w:adjustRightInd w:val="0"/>
              <w:snapToGrid w:val="0"/>
              <w:spacing w:line="36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价格加分＝价格分值×加分比例×（节能产品最后报价÷最后总报价）。</w:t>
            </w:r>
          </w:p>
          <w:p w14:paraId="30FB844D">
            <w:pPr>
              <w:adjustRightInd w:val="0"/>
              <w:snapToGrid w:val="0"/>
              <w:spacing w:line="36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2、环境标志产品：</w:t>
            </w:r>
          </w:p>
          <w:p w14:paraId="034A4606">
            <w:pPr>
              <w:adjustRightInd w:val="0"/>
              <w:snapToGrid w:val="0"/>
              <w:spacing w:line="36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技术加分＝技术分值× 加分比例×（环境标志产品最后报价÷最后总报价）；</w:t>
            </w:r>
          </w:p>
          <w:p w14:paraId="2C7B431C">
            <w:pPr>
              <w:adjustRightInd w:val="0"/>
              <w:snapToGrid w:val="0"/>
              <w:spacing w:line="36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价格加分＝价格分值×加分比例×（环境标志产品最后报价÷最后总报价）。</w:t>
            </w:r>
          </w:p>
          <w:p w14:paraId="7CD4CE8D">
            <w:pPr>
              <w:adjustRightInd w:val="0"/>
              <w:snapToGrid w:val="0"/>
              <w:spacing w:line="36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3、两型产品：</w:t>
            </w:r>
          </w:p>
          <w:p w14:paraId="5CA928DE">
            <w:pPr>
              <w:adjustRightInd w:val="0"/>
              <w:snapToGrid w:val="0"/>
              <w:spacing w:line="36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商务加分＝商务分值×加分比例×（两型产品最后报价÷最后总报价）；</w:t>
            </w:r>
          </w:p>
          <w:p w14:paraId="55D51755">
            <w:pPr>
              <w:adjustRightInd w:val="0"/>
              <w:snapToGrid w:val="0"/>
              <w:spacing w:line="36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技术加分＝技术分值×加分比例×（两型产品最后报价÷最后总报价）；</w:t>
            </w:r>
          </w:p>
          <w:p w14:paraId="2F506315">
            <w:pPr>
              <w:adjustRightInd w:val="0"/>
              <w:snapToGrid w:val="0"/>
              <w:spacing w:line="36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价格加分＝价格分值×加分比例×（两型产品最后报价÷最后总报价）。</w:t>
            </w:r>
          </w:p>
        </w:tc>
      </w:tr>
      <w:tr w14:paraId="027622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728" w:type="dxa"/>
            <w:noWrap w:val="0"/>
            <w:vAlign w:val="center"/>
          </w:tcPr>
          <w:p w14:paraId="2B51C418">
            <w:pPr>
              <w:adjustRightInd w:val="0"/>
              <w:snapToGrid w:val="0"/>
              <w:spacing w:line="360" w:lineRule="auto"/>
              <w:jc w:val="center"/>
              <w:rPr>
                <w:rFonts w:ascii="宋体"/>
                <w:color w:val="auto"/>
                <w:szCs w:val="21"/>
                <w:highlight w:val="none"/>
              </w:rPr>
            </w:pPr>
            <w:r>
              <w:rPr>
                <w:rFonts w:hint="eastAsia" w:ascii="宋体"/>
                <w:color w:val="auto"/>
                <w:highlight w:val="none"/>
              </w:rPr>
              <w:t>第二章第31.6款</w:t>
            </w:r>
          </w:p>
        </w:tc>
        <w:tc>
          <w:tcPr>
            <w:tcW w:w="1601" w:type="dxa"/>
            <w:noWrap w:val="0"/>
            <w:vAlign w:val="center"/>
          </w:tcPr>
          <w:p w14:paraId="639BC3A1">
            <w:pPr>
              <w:adjustRightInd w:val="0"/>
              <w:snapToGrid w:val="0"/>
              <w:spacing w:before="50" w:line="360" w:lineRule="auto"/>
              <w:jc w:val="center"/>
              <w:rPr>
                <w:rFonts w:ascii="宋体"/>
                <w:color w:val="auto"/>
                <w:szCs w:val="21"/>
                <w:highlight w:val="none"/>
              </w:rPr>
            </w:pPr>
            <w:r>
              <w:rPr>
                <w:rFonts w:hint="eastAsia" w:ascii="宋体"/>
                <w:color w:val="auto"/>
                <w:szCs w:val="21"/>
                <w:highlight w:val="none"/>
              </w:rPr>
              <w:t>多处或部分获得政府采购政策优惠的计算方法</w:t>
            </w:r>
          </w:p>
        </w:tc>
        <w:tc>
          <w:tcPr>
            <w:tcW w:w="6315" w:type="dxa"/>
            <w:noWrap w:val="0"/>
            <w:vAlign w:val="center"/>
          </w:tcPr>
          <w:p w14:paraId="0ED2EFB7">
            <w:pPr>
              <w:adjustRightInd w:val="0"/>
              <w:snapToGrid w:val="0"/>
              <w:spacing w:line="360" w:lineRule="auto"/>
              <w:rPr>
                <w:rFonts w:hint="eastAsia" w:ascii="宋体"/>
                <w:color w:val="auto"/>
                <w:szCs w:val="21"/>
                <w:highlight w:val="none"/>
                <w:lang w:eastAsia="zh-CN"/>
              </w:rPr>
            </w:pPr>
            <w:r>
              <w:rPr>
                <w:rFonts w:hint="eastAsia" w:ascii="宋体"/>
                <w:color w:val="auto"/>
                <w:szCs w:val="21"/>
                <w:highlight w:val="none"/>
                <w:lang w:eastAsia="zh-CN"/>
              </w:rPr>
              <w:t>1、符合政府采购优先采购政策的，产品只能享受节能产品、环境标志产品、两型产品等产品优惠中的一项(由供应商在响应文件中选择并填报政策功能编码，选择优惠范围最多的优惠政策进行评审) 。</w:t>
            </w:r>
          </w:p>
          <w:p w14:paraId="7AF34EE5">
            <w:pPr>
              <w:adjustRightInd w:val="0"/>
              <w:snapToGrid w:val="0"/>
              <w:spacing w:line="360" w:lineRule="auto"/>
              <w:rPr>
                <w:rFonts w:hint="eastAsia" w:ascii="宋体"/>
                <w:color w:val="auto"/>
                <w:szCs w:val="21"/>
                <w:highlight w:val="none"/>
                <w:lang w:eastAsia="zh-CN"/>
              </w:rPr>
            </w:pPr>
            <w:r>
              <w:rPr>
                <w:rFonts w:hint="eastAsia" w:ascii="宋体"/>
                <w:color w:val="auto"/>
                <w:szCs w:val="21"/>
                <w:highlight w:val="none"/>
                <w:lang w:eastAsia="zh-CN"/>
              </w:rPr>
              <w:t>2、供应商享受支持中小企业发展政策优惠的，可以与同时享受节能产品、环境标志产品、两型产品等产品优惠中的一项累加。</w:t>
            </w:r>
          </w:p>
          <w:p w14:paraId="0D1146CF">
            <w:pPr>
              <w:adjustRightInd w:val="0"/>
              <w:snapToGrid w:val="0"/>
              <w:spacing w:line="360" w:lineRule="auto"/>
              <w:rPr>
                <w:rFonts w:hint="eastAsia" w:ascii="宋体"/>
                <w:color w:val="auto"/>
                <w:szCs w:val="21"/>
                <w:highlight w:val="none"/>
                <w:lang w:eastAsia="zh-CN"/>
              </w:rPr>
            </w:pPr>
            <w:r>
              <w:rPr>
                <w:rFonts w:hint="eastAsia" w:ascii="宋体"/>
                <w:color w:val="auto"/>
                <w:szCs w:val="21"/>
                <w:highlight w:val="none"/>
                <w:lang w:eastAsia="zh-CN"/>
              </w:rPr>
              <w:t>3、同一项目中部分产品属于优先采购政策的，评审时只对该部分产品的报价实行价格扣除或加分（按该部分产品的报价占总报价的百分比调整）。</w:t>
            </w:r>
          </w:p>
          <w:p w14:paraId="053E8130">
            <w:pPr>
              <w:adjustRightInd w:val="0"/>
              <w:snapToGrid w:val="0"/>
              <w:spacing w:line="360" w:lineRule="auto"/>
              <w:rPr>
                <w:rFonts w:ascii="宋体"/>
                <w:color w:val="auto"/>
                <w:szCs w:val="21"/>
                <w:highlight w:val="none"/>
              </w:rPr>
            </w:pPr>
            <w:r>
              <w:rPr>
                <w:rFonts w:hint="eastAsia" w:ascii="宋体"/>
                <w:color w:val="auto"/>
                <w:szCs w:val="21"/>
                <w:highlight w:val="none"/>
                <w:lang w:eastAsia="zh-CN"/>
              </w:rPr>
              <w:t>4、监狱企业、残疾人福利性单位属于小型、微型企业的，不重复享受扶持中小企业发展的优惠政策。</w:t>
            </w:r>
          </w:p>
        </w:tc>
      </w:tr>
      <w:tr w14:paraId="279980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9644" w:type="dxa"/>
            <w:gridSpan w:val="3"/>
            <w:noWrap w:val="0"/>
            <w:vAlign w:val="center"/>
          </w:tcPr>
          <w:p w14:paraId="4EE333F4">
            <w:pPr>
              <w:adjustRightInd w:val="0"/>
              <w:snapToGrid w:val="0"/>
              <w:spacing w:line="360" w:lineRule="auto"/>
              <w:rPr>
                <w:rFonts w:ascii="宋体"/>
                <w:color w:val="auto"/>
                <w:szCs w:val="21"/>
                <w:highlight w:val="none"/>
              </w:rPr>
            </w:pPr>
            <w:r>
              <w:rPr>
                <w:rFonts w:hint="eastAsia" w:ascii="宋体"/>
                <w:b/>
                <w:color w:val="auto"/>
                <w:szCs w:val="21"/>
                <w:highlight w:val="none"/>
              </w:rPr>
              <w:t>六、成交结果信息公布与授予合同</w:t>
            </w:r>
          </w:p>
        </w:tc>
      </w:tr>
      <w:tr w14:paraId="61CE5B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15" w:hRule="atLeast"/>
          <w:jc w:val="center"/>
        </w:trPr>
        <w:tc>
          <w:tcPr>
            <w:tcW w:w="1728" w:type="dxa"/>
            <w:noWrap w:val="0"/>
            <w:vAlign w:val="center"/>
          </w:tcPr>
          <w:p w14:paraId="6EC3751A">
            <w:pPr>
              <w:adjustRightInd w:val="0"/>
              <w:snapToGrid w:val="0"/>
              <w:spacing w:line="360" w:lineRule="auto"/>
              <w:jc w:val="center"/>
              <w:rPr>
                <w:rFonts w:ascii="宋体"/>
                <w:color w:val="auto"/>
                <w:szCs w:val="21"/>
                <w:highlight w:val="none"/>
              </w:rPr>
            </w:pPr>
            <w:r>
              <w:rPr>
                <w:rFonts w:hint="eastAsia" w:ascii="宋体"/>
                <w:color w:val="auto"/>
                <w:szCs w:val="21"/>
                <w:highlight w:val="none"/>
              </w:rPr>
              <w:t>第二章第37.1款</w:t>
            </w:r>
          </w:p>
        </w:tc>
        <w:tc>
          <w:tcPr>
            <w:tcW w:w="1601" w:type="dxa"/>
            <w:noWrap w:val="0"/>
            <w:vAlign w:val="center"/>
          </w:tcPr>
          <w:p w14:paraId="4E6F4AA0">
            <w:pPr>
              <w:adjustRightInd w:val="0"/>
              <w:snapToGrid w:val="0"/>
              <w:spacing w:line="360" w:lineRule="auto"/>
              <w:rPr>
                <w:rFonts w:ascii="宋体"/>
                <w:color w:val="auto"/>
                <w:szCs w:val="21"/>
                <w:highlight w:val="none"/>
              </w:rPr>
            </w:pPr>
            <w:r>
              <w:rPr>
                <w:rFonts w:hint="eastAsia" w:ascii="宋体"/>
                <w:color w:val="auto"/>
                <w:szCs w:val="21"/>
                <w:highlight w:val="none"/>
              </w:rPr>
              <w:t>财政部门指定的媒体</w:t>
            </w:r>
          </w:p>
        </w:tc>
        <w:tc>
          <w:tcPr>
            <w:tcW w:w="6315" w:type="dxa"/>
            <w:noWrap w:val="0"/>
            <w:vAlign w:val="center"/>
          </w:tcPr>
          <w:p w14:paraId="5596C962">
            <w:pPr>
              <w:adjustRightInd w:val="0"/>
              <w:snapToGrid w:val="0"/>
              <w:spacing w:line="360" w:lineRule="auto"/>
              <w:jc w:val="left"/>
              <w:rPr>
                <w:rFonts w:ascii="宋体"/>
                <w:color w:val="auto"/>
                <w:szCs w:val="21"/>
                <w:highlight w:val="none"/>
                <w:u w:val="single"/>
              </w:rPr>
            </w:pPr>
            <w:r>
              <w:rPr>
                <w:rFonts w:hint="eastAsia" w:ascii="宋体"/>
                <w:color w:val="auto"/>
                <w:highlight w:val="none"/>
              </w:rPr>
              <w:t>中国湖南政府采购网（http://www.ccgp-hunan.gov.cn/）</w:t>
            </w:r>
          </w:p>
        </w:tc>
      </w:tr>
      <w:tr w14:paraId="2074EA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728" w:type="dxa"/>
            <w:noWrap w:val="0"/>
            <w:vAlign w:val="center"/>
          </w:tcPr>
          <w:p w14:paraId="71122087">
            <w:pPr>
              <w:adjustRightInd w:val="0"/>
              <w:snapToGrid w:val="0"/>
              <w:spacing w:line="360" w:lineRule="auto"/>
              <w:jc w:val="center"/>
              <w:rPr>
                <w:rFonts w:ascii="宋体"/>
                <w:color w:val="auto"/>
                <w:szCs w:val="21"/>
                <w:highlight w:val="none"/>
              </w:rPr>
            </w:pPr>
            <w:r>
              <w:rPr>
                <w:rFonts w:hint="eastAsia" w:ascii="宋体"/>
                <w:color w:val="auto"/>
                <w:szCs w:val="21"/>
                <w:highlight w:val="none"/>
              </w:rPr>
              <w:t>第二章第39.3款</w:t>
            </w:r>
          </w:p>
        </w:tc>
        <w:tc>
          <w:tcPr>
            <w:tcW w:w="1601" w:type="dxa"/>
            <w:noWrap w:val="0"/>
            <w:vAlign w:val="center"/>
          </w:tcPr>
          <w:p w14:paraId="1E6AB3EA">
            <w:pPr>
              <w:adjustRightInd w:val="0"/>
              <w:snapToGrid w:val="0"/>
              <w:spacing w:line="360" w:lineRule="auto"/>
              <w:rPr>
                <w:rFonts w:ascii="宋体"/>
                <w:color w:val="auto"/>
                <w:szCs w:val="21"/>
                <w:highlight w:val="none"/>
              </w:rPr>
            </w:pPr>
            <w:r>
              <w:rPr>
                <w:rFonts w:hint="eastAsia" w:ascii="宋体"/>
                <w:color w:val="auto"/>
                <w:szCs w:val="21"/>
                <w:highlight w:val="none"/>
              </w:rPr>
              <w:t>履约担保</w:t>
            </w:r>
          </w:p>
        </w:tc>
        <w:tc>
          <w:tcPr>
            <w:tcW w:w="6315" w:type="dxa"/>
            <w:noWrap w:val="0"/>
            <w:vAlign w:val="center"/>
          </w:tcPr>
          <w:p w14:paraId="58675E8F">
            <w:pPr>
              <w:adjustRightInd w:val="0"/>
              <w:snapToGrid w:val="0"/>
              <w:spacing w:line="360" w:lineRule="auto"/>
              <w:rPr>
                <w:color w:val="auto"/>
                <w:highlight w:val="none"/>
              </w:rPr>
            </w:pPr>
            <w:r>
              <w:rPr>
                <w:rFonts w:hint="eastAsia"/>
                <w:color w:val="auto"/>
                <w:highlight w:val="none"/>
              </w:rPr>
              <w:t>□不要求提供</w:t>
            </w:r>
          </w:p>
          <w:p w14:paraId="6DF980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s="Times New Roman"/>
                <w:color w:val="auto"/>
                <w:highlight w:val="none"/>
                <w:lang w:val="en-US" w:eastAsia="zh-CN"/>
              </w:rPr>
            </w:pPr>
            <w:r>
              <w:rPr>
                <w:rFonts w:hint="eastAsia" w:ascii="Times New Roman" w:hAnsi="Times New Roman" w:eastAsia="宋体" w:cs="Times New Roman"/>
                <w:color w:val="auto"/>
                <w:highlight w:val="none"/>
                <w:lang w:val="en-US" w:eastAsia="zh-CN"/>
              </w:rPr>
              <w:t>■要求提供 履约保证金金额：中标金额的5%</w:t>
            </w:r>
            <w:r>
              <w:rPr>
                <w:rFonts w:hint="eastAsia" w:cs="Times New Roman"/>
                <w:color w:val="auto"/>
                <w:highlight w:val="none"/>
                <w:lang w:val="en-US" w:eastAsia="zh-CN"/>
              </w:rPr>
              <w:t>。</w:t>
            </w:r>
          </w:p>
          <w:p w14:paraId="54DC904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eastAsia="宋体"/>
                <w:b w:val="0"/>
                <w:bCs w:val="0"/>
                <w:color w:val="auto"/>
                <w:highlight w:val="none"/>
                <w:lang w:val="en-US" w:eastAsia="zh-CN"/>
              </w:rPr>
            </w:pPr>
            <w:r>
              <w:rPr>
                <w:rFonts w:hint="eastAsia" w:ascii="Times New Roman" w:hAnsi="Times New Roman" w:eastAsia="宋体" w:cs="Times New Roman"/>
                <w:b w:val="0"/>
                <w:bCs w:val="0"/>
                <w:color w:val="auto"/>
                <w:highlight w:val="none"/>
                <w:lang w:val="en-US" w:eastAsia="zh-CN"/>
              </w:rPr>
              <w:t>递交时间：签定合同前</w:t>
            </w:r>
            <w:r>
              <w:rPr>
                <w:rFonts w:hint="eastAsia" w:cs="Times New Roman"/>
                <w:b w:val="0"/>
                <w:bCs w:val="0"/>
                <w:color w:val="auto"/>
                <w:highlight w:val="none"/>
                <w:lang w:val="en-US" w:eastAsia="zh-CN"/>
              </w:rPr>
              <w:t>。</w:t>
            </w:r>
            <w:r>
              <w:rPr>
                <w:rFonts w:hint="eastAsia" w:ascii="Times New Roman" w:hAnsi="Times New Roman" w:eastAsia="宋体" w:cs="Times New Roman"/>
                <w:b w:val="0"/>
                <w:bCs w:val="0"/>
                <w:color w:val="auto"/>
                <w:highlight w:val="none"/>
                <w:lang w:val="en-US" w:eastAsia="zh-CN"/>
              </w:rPr>
              <w:t>递交形式：以支票、汇票、本票或者金融机构、担保机构出具的保函等非现金形式提交。退还方式：经采购人验收合格，履约保证金不计息一次性退还给投标供应商。</w:t>
            </w:r>
          </w:p>
          <w:p w14:paraId="534C1C77">
            <w:pPr>
              <w:pStyle w:val="34"/>
              <w:rPr>
                <w:rFonts w:hint="default"/>
                <w:color w:val="auto"/>
                <w:highlight w:val="none"/>
                <w:lang w:val="en-US" w:eastAsia="zh-CN"/>
              </w:rPr>
            </w:pPr>
            <w:r>
              <w:rPr>
                <w:rFonts w:hint="eastAsia"/>
                <w:b w:val="0"/>
                <w:bCs w:val="0"/>
                <w:color w:val="auto"/>
                <w:highlight w:val="none"/>
              </w:rPr>
              <w:t>保函形式：</w:t>
            </w:r>
            <w:r>
              <w:rPr>
                <w:rFonts w:hint="eastAsia"/>
                <w:b w:val="0"/>
                <w:bCs w:val="0"/>
                <w:color w:val="auto"/>
                <w:highlight w:val="none"/>
                <w:lang w:val="en-US" w:eastAsia="zh-CN"/>
              </w:rPr>
              <w:t>银行业金融机构保函、担保公司担保、保险公司保证保险</w:t>
            </w:r>
          </w:p>
        </w:tc>
      </w:tr>
      <w:tr w14:paraId="0343F2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9644" w:type="dxa"/>
            <w:gridSpan w:val="3"/>
            <w:noWrap w:val="0"/>
            <w:vAlign w:val="center"/>
          </w:tcPr>
          <w:p w14:paraId="33E0D626">
            <w:pPr>
              <w:adjustRightInd w:val="0"/>
              <w:snapToGrid w:val="0"/>
              <w:spacing w:line="360" w:lineRule="auto"/>
              <w:rPr>
                <w:rFonts w:ascii="宋体"/>
                <w:b/>
                <w:color w:val="auto"/>
                <w:szCs w:val="21"/>
                <w:highlight w:val="none"/>
              </w:rPr>
            </w:pPr>
            <w:r>
              <w:rPr>
                <w:rFonts w:hint="eastAsia" w:ascii="宋体"/>
                <w:b/>
                <w:color w:val="auto"/>
                <w:szCs w:val="21"/>
                <w:highlight w:val="none"/>
              </w:rPr>
              <w:t>七、其他规定</w:t>
            </w:r>
          </w:p>
        </w:tc>
      </w:tr>
      <w:tr w14:paraId="3AE9D0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728" w:type="dxa"/>
            <w:noWrap w:val="0"/>
            <w:vAlign w:val="center"/>
          </w:tcPr>
          <w:p w14:paraId="022EF6F3">
            <w:pPr>
              <w:adjustRightInd w:val="0"/>
              <w:snapToGrid w:val="0"/>
              <w:spacing w:line="360" w:lineRule="auto"/>
              <w:jc w:val="center"/>
              <w:rPr>
                <w:rFonts w:ascii="宋体"/>
                <w:color w:val="auto"/>
                <w:szCs w:val="21"/>
                <w:highlight w:val="none"/>
              </w:rPr>
            </w:pPr>
            <w:r>
              <w:rPr>
                <w:rFonts w:hint="eastAsia" w:ascii="宋体"/>
                <w:color w:val="auto"/>
                <w:szCs w:val="21"/>
                <w:highlight w:val="none"/>
              </w:rPr>
              <w:t>第二章第41.1款</w:t>
            </w:r>
          </w:p>
        </w:tc>
        <w:tc>
          <w:tcPr>
            <w:tcW w:w="1601" w:type="dxa"/>
            <w:noWrap w:val="0"/>
            <w:vAlign w:val="center"/>
          </w:tcPr>
          <w:p w14:paraId="08873320">
            <w:pPr>
              <w:adjustRightInd w:val="0"/>
              <w:snapToGrid w:val="0"/>
              <w:spacing w:line="360" w:lineRule="auto"/>
              <w:rPr>
                <w:rFonts w:ascii="宋体"/>
                <w:color w:val="auto"/>
                <w:szCs w:val="21"/>
                <w:highlight w:val="none"/>
              </w:rPr>
            </w:pPr>
            <w:r>
              <w:rPr>
                <w:rFonts w:hint="eastAsia" w:ascii="宋体"/>
                <w:color w:val="auto"/>
                <w:szCs w:val="21"/>
                <w:highlight w:val="none"/>
              </w:rPr>
              <w:t>采购代理服务费</w:t>
            </w:r>
          </w:p>
        </w:tc>
        <w:tc>
          <w:tcPr>
            <w:tcW w:w="6315" w:type="dxa"/>
            <w:noWrap w:val="0"/>
            <w:vAlign w:val="center"/>
          </w:tcPr>
          <w:p w14:paraId="28C965C6">
            <w:pPr>
              <w:pStyle w:val="34"/>
              <w:rPr>
                <w:color w:val="auto"/>
                <w:highlight w:val="none"/>
              </w:rPr>
            </w:pPr>
            <w:r>
              <w:rPr>
                <w:rFonts w:hint="eastAsia"/>
                <w:color w:val="auto"/>
                <w:highlight w:val="none"/>
              </w:rPr>
              <w:t>招标代理服务费最高</w:t>
            </w:r>
            <w:r>
              <w:rPr>
                <w:color w:val="auto"/>
                <w:highlight w:val="none"/>
              </w:rPr>
              <w:t>不超过</w:t>
            </w:r>
            <w:r>
              <w:rPr>
                <w:rFonts w:hint="eastAsia" w:ascii="宋体" w:hAnsi="宋体"/>
                <w:color w:val="auto"/>
                <w:szCs w:val="21"/>
                <w:highlight w:val="none"/>
                <w:lang w:val="en-US" w:eastAsia="zh-CN"/>
              </w:rPr>
              <w:t>23630</w:t>
            </w:r>
            <w:r>
              <w:rPr>
                <w:rFonts w:hint="eastAsia"/>
                <w:color w:val="auto"/>
                <w:highlight w:val="none"/>
              </w:rPr>
              <w:t>元，招标代理服务费，由采购人支付。</w:t>
            </w:r>
          </w:p>
        </w:tc>
      </w:tr>
      <w:tr w14:paraId="7D1C56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1728" w:type="dxa"/>
            <w:noWrap w:val="0"/>
            <w:vAlign w:val="center"/>
          </w:tcPr>
          <w:p w14:paraId="5610790F">
            <w:pPr>
              <w:adjustRightInd w:val="0"/>
              <w:snapToGrid w:val="0"/>
              <w:spacing w:line="360" w:lineRule="auto"/>
              <w:jc w:val="center"/>
              <w:rPr>
                <w:rFonts w:ascii="宋体"/>
                <w:color w:val="auto"/>
                <w:szCs w:val="21"/>
                <w:highlight w:val="none"/>
              </w:rPr>
            </w:pPr>
            <w:r>
              <w:rPr>
                <w:rFonts w:hint="eastAsia" w:ascii="宋体"/>
                <w:color w:val="auto"/>
                <w:szCs w:val="21"/>
                <w:highlight w:val="none"/>
              </w:rPr>
              <w:t>第二章第42.1款</w:t>
            </w:r>
          </w:p>
        </w:tc>
        <w:tc>
          <w:tcPr>
            <w:tcW w:w="1601" w:type="dxa"/>
            <w:noWrap w:val="0"/>
            <w:vAlign w:val="center"/>
          </w:tcPr>
          <w:p w14:paraId="3B38FA2F">
            <w:pPr>
              <w:adjustRightInd w:val="0"/>
              <w:snapToGrid w:val="0"/>
              <w:spacing w:line="360" w:lineRule="auto"/>
              <w:rPr>
                <w:rFonts w:ascii="宋体"/>
                <w:color w:val="auto"/>
                <w:szCs w:val="21"/>
                <w:highlight w:val="none"/>
              </w:rPr>
            </w:pPr>
            <w:r>
              <w:rPr>
                <w:rFonts w:hint="eastAsia" w:ascii="宋体"/>
                <w:color w:val="auto"/>
                <w:szCs w:val="21"/>
                <w:highlight w:val="none"/>
              </w:rPr>
              <w:t>其他规定</w:t>
            </w:r>
          </w:p>
        </w:tc>
        <w:tc>
          <w:tcPr>
            <w:tcW w:w="6315" w:type="dxa"/>
            <w:noWrap w:val="0"/>
            <w:vAlign w:val="center"/>
          </w:tcPr>
          <w:p w14:paraId="1A3A4C34">
            <w:pPr>
              <w:adjustRightInd w:val="0"/>
              <w:snapToGrid w:val="0"/>
              <w:spacing w:line="360" w:lineRule="auto"/>
              <w:rPr>
                <w:rFonts w:ascii="宋体"/>
                <w:color w:val="auto"/>
                <w:szCs w:val="21"/>
                <w:highlight w:val="none"/>
              </w:rPr>
            </w:pPr>
            <w:r>
              <w:rPr>
                <w:rFonts w:hint="eastAsia" w:ascii="宋体"/>
                <w:color w:val="auto"/>
                <w:szCs w:val="21"/>
                <w:highlight w:val="none"/>
              </w:rPr>
              <w:t>根据相关文件要求，对列入失信被执行人、重大税收违法案件当事人名单、政府采购严重违法失信行为记录名单及其他不符合《中华人民共和国政府采购法》第二十二条规定条件的供应商，应当拒绝其参与政府采购活动。</w:t>
            </w:r>
          </w:p>
          <w:p w14:paraId="4227A682">
            <w:pPr>
              <w:adjustRightInd w:val="0"/>
              <w:snapToGrid w:val="0"/>
              <w:spacing w:line="360" w:lineRule="auto"/>
              <w:rPr>
                <w:rFonts w:ascii="宋体"/>
                <w:color w:val="auto"/>
                <w:szCs w:val="21"/>
                <w:highlight w:val="none"/>
              </w:rPr>
            </w:pPr>
            <w:r>
              <w:rPr>
                <w:rFonts w:hint="eastAsia" w:ascii="宋体"/>
                <w:color w:val="auto"/>
                <w:szCs w:val="21"/>
                <w:highlight w:val="none"/>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740D9730">
            <w:pPr>
              <w:wordWrap w:val="0"/>
              <w:adjustRightInd w:val="0"/>
              <w:snapToGrid w:val="0"/>
              <w:spacing w:line="360" w:lineRule="auto"/>
              <w:rPr>
                <w:rFonts w:ascii="宋体"/>
                <w:color w:val="auto"/>
                <w:szCs w:val="21"/>
                <w:highlight w:val="none"/>
              </w:rPr>
            </w:pPr>
            <w:r>
              <w:rPr>
                <w:rFonts w:hint="eastAsia" w:ascii="宋体"/>
                <w:color w:val="auto"/>
                <w:szCs w:val="21"/>
                <w:highlight w:val="none"/>
              </w:rPr>
              <w:t>1、信用信息查询的查询渠道：“信用中国”网站（www.creditchina.gov.cn）、中国政府采购网（www.ccgp.gov.cn）、信用湖南网（www.hncredit.gov.cn）。</w:t>
            </w:r>
          </w:p>
          <w:p w14:paraId="6FAE7013">
            <w:pPr>
              <w:wordWrap w:val="0"/>
              <w:adjustRightInd w:val="0"/>
              <w:snapToGrid w:val="0"/>
              <w:spacing w:line="360" w:lineRule="auto"/>
              <w:rPr>
                <w:rFonts w:ascii="宋体"/>
                <w:color w:val="auto"/>
                <w:szCs w:val="21"/>
                <w:highlight w:val="none"/>
              </w:rPr>
            </w:pPr>
            <w:r>
              <w:rPr>
                <w:rFonts w:hint="eastAsia" w:ascii="宋体"/>
                <w:color w:val="auto"/>
                <w:szCs w:val="21"/>
                <w:highlight w:val="none"/>
              </w:rPr>
              <w:t>2、信用信息查询的截止时点：至本项目投标截止时间止。</w:t>
            </w:r>
          </w:p>
          <w:p w14:paraId="308B493A">
            <w:pPr>
              <w:adjustRightInd w:val="0"/>
              <w:snapToGrid w:val="0"/>
              <w:spacing w:line="360" w:lineRule="auto"/>
              <w:rPr>
                <w:rFonts w:ascii="宋体"/>
                <w:color w:val="auto"/>
                <w:szCs w:val="21"/>
                <w:highlight w:val="none"/>
              </w:rPr>
            </w:pPr>
            <w:r>
              <w:rPr>
                <w:rFonts w:hint="eastAsia" w:ascii="宋体"/>
                <w:color w:val="auto"/>
                <w:szCs w:val="21"/>
                <w:highlight w:val="none"/>
              </w:rPr>
              <w:t>3、信用信息查询记录的具体方式：由采购人或采购代理机构在规定的查询渠道进行查询。</w:t>
            </w:r>
          </w:p>
          <w:p w14:paraId="190D0ED3">
            <w:pPr>
              <w:adjustRightInd w:val="0"/>
              <w:snapToGrid w:val="0"/>
              <w:spacing w:line="360" w:lineRule="auto"/>
              <w:rPr>
                <w:rFonts w:ascii="宋体"/>
                <w:color w:val="auto"/>
                <w:szCs w:val="21"/>
                <w:highlight w:val="none"/>
              </w:rPr>
            </w:pPr>
            <w:r>
              <w:rPr>
                <w:rFonts w:hint="eastAsia" w:ascii="宋体"/>
                <w:color w:val="auto"/>
                <w:szCs w:val="21"/>
                <w:highlight w:val="none"/>
              </w:rPr>
              <w:t>4、信用信息查询记录证据留存的具体方式：查询记录的网上打印件。</w:t>
            </w:r>
          </w:p>
          <w:p w14:paraId="5F22A246">
            <w:pPr>
              <w:adjustRightInd w:val="0"/>
              <w:snapToGrid w:val="0"/>
              <w:spacing w:line="360" w:lineRule="auto"/>
              <w:rPr>
                <w:rFonts w:ascii="宋体"/>
                <w:color w:val="auto"/>
                <w:szCs w:val="21"/>
                <w:highlight w:val="none"/>
              </w:rPr>
            </w:pPr>
            <w:r>
              <w:rPr>
                <w:rFonts w:hint="eastAsia" w:ascii="宋体"/>
                <w:color w:val="auto"/>
                <w:szCs w:val="21"/>
                <w:highlight w:val="none"/>
              </w:rPr>
              <w:t>5、信用信息的使用规则：留存备查。</w:t>
            </w:r>
          </w:p>
        </w:tc>
      </w:tr>
      <w:tr w14:paraId="716320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 w:hRule="atLeast"/>
          <w:jc w:val="center"/>
        </w:trPr>
        <w:tc>
          <w:tcPr>
            <w:tcW w:w="3329" w:type="dxa"/>
            <w:gridSpan w:val="2"/>
            <w:noWrap w:val="0"/>
            <w:vAlign w:val="center"/>
          </w:tcPr>
          <w:p w14:paraId="0B9982FD">
            <w:pPr>
              <w:adjustRightInd w:val="0"/>
              <w:snapToGrid w:val="0"/>
              <w:spacing w:line="360" w:lineRule="auto"/>
              <w:jc w:val="center"/>
              <w:rPr>
                <w:rFonts w:hint="default" w:ascii="宋体" w:eastAsia="宋体"/>
                <w:color w:val="auto"/>
                <w:szCs w:val="21"/>
                <w:highlight w:val="none"/>
                <w:lang w:val="en-US" w:eastAsia="zh-CN"/>
              </w:rPr>
            </w:pPr>
            <w:r>
              <w:rPr>
                <w:rFonts w:hint="eastAsia" w:ascii="宋体"/>
                <w:color w:val="auto"/>
                <w:szCs w:val="21"/>
                <w:highlight w:val="none"/>
                <w:lang w:val="en-US" w:eastAsia="zh-CN"/>
              </w:rPr>
              <w:t>付款方式</w:t>
            </w:r>
          </w:p>
        </w:tc>
        <w:tc>
          <w:tcPr>
            <w:tcW w:w="6315" w:type="dxa"/>
            <w:noWrap w:val="0"/>
            <w:vAlign w:val="center"/>
          </w:tcPr>
          <w:p w14:paraId="591F360D">
            <w:pPr>
              <w:adjustRightInd w:val="0"/>
              <w:snapToGrid w:val="0"/>
              <w:spacing w:before="120" w:beforeLines="50" w:line="360" w:lineRule="auto"/>
              <w:rPr>
                <w:rFonts w:hint="default" w:eastAsia="宋体"/>
                <w:color w:val="auto"/>
                <w:highlight w:val="none"/>
                <w:lang w:val="en-US" w:eastAsia="zh-CN"/>
              </w:rPr>
            </w:pPr>
            <w:r>
              <w:rPr>
                <w:rFonts w:hint="eastAsia" w:ascii="宋体" w:eastAsia="宋体"/>
                <w:b/>
                <w:bCs/>
                <w:color w:val="auto"/>
                <w:szCs w:val="21"/>
                <w:highlight w:val="none"/>
              </w:rPr>
              <w:t>工程竣工验收合格之日起甲方支付至合同</w:t>
            </w:r>
            <w:r>
              <w:rPr>
                <w:rFonts w:hint="eastAsia" w:ascii="宋体"/>
                <w:b/>
                <w:bCs/>
                <w:color w:val="auto"/>
                <w:szCs w:val="21"/>
                <w:highlight w:val="none"/>
                <w:lang w:val="en-US" w:eastAsia="zh-CN"/>
              </w:rPr>
              <w:t>总</w:t>
            </w:r>
            <w:r>
              <w:rPr>
                <w:rFonts w:hint="eastAsia" w:ascii="宋体" w:eastAsia="宋体"/>
                <w:b/>
                <w:bCs/>
                <w:color w:val="auto"/>
                <w:szCs w:val="21"/>
                <w:highlight w:val="none"/>
                <w:lang w:val="en-US" w:eastAsia="zh-CN"/>
              </w:rPr>
              <w:t>价款</w:t>
            </w:r>
            <w:r>
              <w:rPr>
                <w:rFonts w:hint="eastAsia" w:ascii="宋体" w:eastAsia="宋体"/>
                <w:b/>
                <w:bCs/>
                <w:color w:val="auto"/>
                <w:szCs w:val="21"/>
                <w:highlight w:val="none"/>
              </w:rPr>
              <w:t>的</w:t>
            </w:r>
            <w:r>
              <w:rPr>
                <w:rFonts w:hint="eastAsia" w:ascii="宋体" w:eastAsia="宋体"/>
                <w:b/>
                <w:bCs/>
                <w:color w:val="auto"/>
                <w:szCs w:val="21"/>
                <w:highlight w:val="none"/>
                <w:lang w:val="en-US" w:eastAsia="zh-CN"/>
              </w:rPr>
              <w:t>3</w:t>
            </w:r>
            <w:r>
              <w:rPr>
                <w:rFonts w:hint="eastAsia" w:ascii="宋体" w:eastAsia="宋体"/>
                <w:b/>
                <w:bCs/>
                <w:color w:val="auto"/>
                <w:szCs w:val="21"/>
                <w:highlight w:val="none"/>
              </w:rPr>
              <w:t>0%</w:t>
            </w:r>
            <w:r>
              <w:rPr>
                <w:rFonts w:hint="eastAsia" w:ascii="宋体" w:eastAsia="宋体"/>
                <w:b/>
                <w:bCs/>
                <w:color w:val="auto"/>
                <w:szCs w:val="21"/>
                <w:highlight w:val="none"/>
                <w:lang w:val="en-US" w:eastAsia="zh-CN"/>
              </w:rPr>
              <w:t>；</w:t>
            </w:r>
            <w:r>
              <w:rPr>
                <w:rFonts w:hint="eastAsia" w:ascii="宋体" w:eastAsia="宋体"/>
                <w:b/>
                <w:bCs/>
                <w:color w:val="auto"/>
                <w:szCs w:val="21"/>
                <w:highlight w:val="none"/>
              </w:rPr>
              <w:t>湖南省财政投资评审中心</w:t>
            </w:r>
            <w:r>
              <w:rPr>
                <w:rFonts w:hint="eastAsia" w:ascii="宋体"/>
                <w:b/>
                <w:bCs/>
                <w:color w:val="auto"/>
                <w:szCs w:val="21"/>
                <w:highlight w:val="none"/>
                <w:lang w:val="en-US" w:eastAsia="zh-CN"/>
              </w:rPr>
              <w:t>或具备资质要求的第三方审计机构对本项目</w:t>
            </w:r>
            <w:r>
              <w:rPr>
                <w:rFonts w:hint="eastAsia" w:ascii="宋体" w:eastAsia="宋体"/>
                <w:b/>
                <w:bCs/>
                <w:color w:val="auto"/>
                <w:szCs w:val="21"/>
                <w:highlight w:val="none"/>
              </w:rPr>
              <w:t>评审结果</w:t>
            </w:r>
            <w:r>
              <w:rPr>
                <w:rFonts w:hint="eastAsia" w:ascii="宋体" w:eastAsia="宋体"/>
                <w:b/>
                <w:bCs/>
                <w:color w:val="auto"/>
                <w:szCs w:val="21"/>
                <w:highlight w:val="none"/>
                <w:lang w:val="en-US" w:eastAsia="zh-CN"/>
              </w:rPr>
              <w:t>出具</w:t>
            </w:r>
            <w:r>
              <w:rPr>
                <w:rFonts w:hint="eastAsia" w:ascii="宋体" w:eastAsia="宋体"/>
                <w:b/>
                <w:bCs/>
                <w:color w:val="auto"/>
                <w:szCs w:val="21"/>
                <w:highlight w:val="none"/>
              </w:rPr>
              <w:t>后</w:t>
            </w:r>
            <w:r>
              <w:rPr>
                <w:rFonts w:hint="eastAsia" w:ascii="宋体" w:eastAsia="宋体"/>
                <w:b/>
                <w:bCs/>
                <w:color w:val="auto"/>
                <w:szCs w:val="21"/>
                <w:highlight w:val="none"/>
                <w:lang w:eastAsia="zh-CN"/>
              </w:rPr>
              <w:t>，</w:t>
            </w:r>
            <w:r>
              <w:rPr>
                <w:rFonts w:hint="eastAsia" w:ascii="宋体" w:eastAsia="宋体"/>
                <w:b/>
                <w:bCs/>
                <w:color w:val="auto"/>
                <w:szCs w:val="21"/>
                <w:highlight w:val="none"/>
                <w:lang w:val="en-US" w:eastAsia="zh-CN"/>
              </w:rPr>
              <w:t>甲方</w:t>
            </w:r>
            <w:r>
              <w:rPr>
                <w:rFonts w:hint="eastAsia" w:ascii="宋体" w:eastAsia="宋体"/>
                <w:b/>
                <w:bCs/>
                <w:color w:val="auto"/>
                <w:szCs w:val="21"/>
                <w:highlight w:val="none"/>
              </w:rPr>
              <w:t>支付</w:t>
            </w:r>
            <w:r>
              <w:rPr>
                <w:rFonts w:hint="eastAsia" w:ascii="宋体" w:eastAsia="宋体"/>
                <w:b/>
                <w:bCs/>
                <w:color w:val="auto"/>
                <w:szCs w:val="21"/>
                <w:highlight w:val="none"/>
                <w:lang w:val="en-US" w:eastAsia="zh-CN"/>
              </w:rPr>
              <w:t>至工程结算</w:t>
            </w:r>
            <w:r>
              <w:rPr>
                <w:rFonts w:hint="eastAsia" w:ascii="宋体"/>
                <w:b/>
                <w:bCs/>
                <w:color w:val="auto"/>
                <w:szCs w:val="21"/>
                <w:highlight w:val="none"/>
                <w:lang w:val="en-US" w:eastAsia="zh-CN"/>
              </w:rPr>
              <w:t>总</w:t>
            </w:r>
            <w:r>
              <w:rPr>
                <w:rFonts w:hint="eastAsia" w:ascii="宋体" w:eastAsia="宋体"/>
                <w:b/>
                <w:bCs/>
                <w:color w:val="auto"/>
                <w:szCs w:val="21"/>
                <w:highlight w:val="none"/>
                <w:lang w:val="en-US" w:eastAsia="zh-CN"/>
              </w:rPr>
              <w:t>价款的</w:t>
            </w:r>
            <w:r>
              <w:rPr>
                <w:rFonts w:hint="eastAsia" w:ascii="宋体"/>
                <w:b/>
                <w:bCs/>
                <w:color w:val="auto"/>
                <w:szCs w:val="21"/>
                <w:highlight w:val="none"/>
                <w:lang w:val="en-US" w:eastAsia="zh-CN"/>
              </w:rPr>
              <w:t>97</w:t>
            </w:r>
            <w:r>
              <w:rPr>
                <w:rFonts w:hint="eastAsia" w:ascii="宋体" w:eastAsia="宋体"/>
                <w:b/>
                <w:bCs/>
                <w:color w:val="auto"/>
                <w:szCs w:val="21"/>
                <w:highlight w:val="none"/>
                <w:lang w:val="en-US" w:eastAsia="zh-CN"/>
              </w:rPr>
              <w:t>%</w:t>
            </w:r>
            <w:r>
              <w:rPr>
                <w:rFonts w:hint="eastAsia" w:ascii="宋体" w:eastAsia="宋体"/>
                <w:b/>
                <w:bCs/>
                <w:color w:val="auto"/>
                <w:szCs w:val="21"/>
                <w:highlight w:val="none"/>
              </w:rPr>
              <w:t>，</w:t>
            </w:r>
            <w:r>
              <w:rPr>
                <w:rFonts w:hint="eastAsia" w:ascii="宋体"/>
                <w:b/>
                <w:bCs/>
                <w:color w:val="auto"/>
                <w:szCs w:val="21"/>
                <w:highlight w:val="none"/>
                <w:lang w:val="en-US" w:eastAsia="zh-CN"/>
              </w:rPr>
              <w:t>剩余</w:t>
            </w:r>
            <w:r>
              <w:rPr>
                <w:rFonts w:hint="eastAsia" w:ascii="宋体" w:eastAsia="宋体"/>
                <w:b/>
                <w:bCs/>
                <w:color w:val="auto"/>
                <w:szCs w:val="21"/>
                <w:highlight w:val="none"/>
              </w:rPr>
              <w:t>3%</w:t>
            </w:r>
            <w:r>
              <w:rPr>
                <w:rFonts w:hint="eastAsia" w:ascii="宋体"/>
                <w:b/>
                <w:bCs/>
                <w:color w:val="auto"/>
                <w:szCs w:val="21"/>
                <w:highlight w:val="none"/>
                <w:lang w:val="en-US" w:eastAsia="zh-CN"/>
              </w:rPr>
              <w:t>作为本项目</w:t>
            </w:r>
            <w:r>
              <w:rPr>
                <w:rFonts w:hint="eastAsia" w:ascii="宋体" w:eastAsia="宋体"/>
                <w:b/>
                <w:bCs/>
                <w:color w:val="auto"/>
                <w:szCs w:val="21"/>
                <w:highlight w:val="none"/>
              </w:rPr>
              <w:t>的质保金。质保期满无质量问题的，质保金不计息退还。每次付款乙方必须提供合法有效的完税发票。</w:t>
            </w:r>
          </w:p>
        </w:tc>
      </w:tr>
    </w:tbl>
    <w:p w14:paraId="454E2A0A">
      <w:pPr>
        <w:pStyle w:val="3"/>
        <w:spacing w:line="360" w:lineRule="auto"/>
        <w:rPr>
          <w:color w:val="auto"/>
          <w:highlight w:val="none"/>
        </w:rPr>
        <w:sectPr>
          <w:pgSz w:w="11906" w:h="16838"/>
          <w:pgMar w:top="1440" w:right="1800" w:bottom="1440" w:left="1800" w:header="851" w:footer="992" w:gutter="0"/>
          <w:pgNumType w:fmt="decimal"/>
          <w:cols w:space="720" w:num="1"/>
          <w:docGrid w:type="lines" w:linePitch="312" w:charSpace="0"/>
        </w:sectPr>
      </w:pPr>
    </w:p>
    <w:p w14:paraId="68E12979">
      <w:pPr>
        <w:spacing w:line="360" w:lineRule="auto"/>
        <w:rPr>
          <w:b/>
          <w:bCs/>
          <w:color w:val="auto"/>
          <w:szCs w:val="21"/>
          <w:highlight w:val="none"/>
        </w:rPr>
      </w:pPr>
      <w:r>
        <w:rPr>
          <w:b/>
          <w:bCs/>
          <w:color w:val="auto"/>
          <w:szCs w:val="21"/>
          <w:highlight w:val="none"/>
        </w:rPr>
        <w:t>附页1</w:t>
      </w:r>
    </w:p>
    <w:p w14:paraId="0A5713F7">
      <w:pPr>
        <w:adjustRightInd w:val="0"/>
        <w:snapToGrid w:val="0"/>
        <w:spacing w:line="360" w:lineRule="auto"/>
        <w:jc w:val="center"/>
        <w:rPr>
          <w:b/>
          <w:bCs/>
          <w:color w:val="auto"/>
          <w:sz w:val="28"/>
          <w:szCs w:val="28"/>
          <w:highlight w:val="none"/>
        </w:rPr>
      </w:pPr>
      <w:r>
        <w:rPr>
          <w:b/>
          <w:bCs/>
          <w:color w:val="auto"/>
          <w:kern w:val="0"/>
          <w:sz w:val="28"/>
          <w:szCs w:val="28"/>
          <w:highlight w:val="none"/>
        </w:rPr>
        <w:t>湖南省政府采购支持中小企业融资合作银行及联系人名单</w:t>
      </w:r>
    </w:p>
    <w:tbl>
      <w:tblPr>
        <w:tblStyle w:val="24"/>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700"/>
        <w:gridCol w:w="1080"/>
        <w:gridCol w:w="3060"/>
        <w:gridCol w:w="2340"/>
      </w:tblGrid>
      <w:tr w14:paraId="194C74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0" w:hRule="atLeast"/>
        </w:trPr>
        <w:tc>
          <w:tcPr>
            <w:tcW w:w="2700" w:type="dxa"/>
            <w:noWrap w:val="0"/>
            <w:vAlign w:val="center"/>
          </w:tcPr>
          <w:p w14:paraId="2A46549C">
            <w:pPr>
              <w:adjustRightInd w:val="0"/>
              <w:snapToGrid w:val="0"/>
              <w:spacing w:before="156" w:beforeLines="50" w:line="360" w:lineRule="auto"/>
              <w:jc w:val="center"/>
              <w:rPr>
                <w:b/>
                <w:color w:val="auto"/>
                <w:szCs w:val="21"/>
                <w:highlight w:val="none"/>
              </w:rPr>
            </w:pPr>
            <w:r>
              <w:rPr>
                <w:b/>
                <w:bCs/>
                <w:color w:val="auto"/>
                <w:kern w:val="0"/>
                <w:szCs w:val="21"/>
                <w:highlight w:val="none"/>
              </w:rPr>
              <w:t>银行名称</w:t>
            </w:r>
          </w:p>
        </w:tc>
        <w:tc>
          <w:tcPr>
            <w:tcW w:w="1080" w:type="dxa"/>
            <w:noWrap w:val="0"/>
            <w:vAlign w:val="center"/>
          </w:tcPr>
          <w:p w14:paraId="02175A6F">
            <w:pPr>
              <w:adjustRightInd w:val="0"/>
              <w:snapToGrid w:val="0"/>
              <w:spacing w:before="156" w:beforeLines="50" w:line="360" w:lineRule="auto"/>
              <w:jc w:val="center"/>
              <w:rPr>
                <w:b/>
                <w:color w:val="auto"/>
                <w:szCs w:val="21"/>
                <w:highlight w:val="none"/>
              </w:rPr>
            </w:pPr>
            <w:r>
              <w:rPr>
                <w:b/>
                <w:bCs/>
                <w:color w:val="auto"/>
                <w:kern w:val="0"/>
                <w:szCs w:val="21"/>
                <w:highlight w:val="none"/>
              </w:rPr>
              <w:t>联系人</w:t>
            </w:r>
          </w:p>
        </w:tc>
        <w:tc>
          <w:tcPr>
            <w:tcW w:w="3060" w:type="dxa"/>
            <w:noWrap w:val="0"/>
            <w:vAlign w:val="center"/>
          </w:tcPr>
          <w:p w14:paraId="00229AFA">
            <w:pPr>
              <w:adjustRightInd w:val="0"/>
              <w:snapToGrid w:val="0"/>
              <w:spacing w:before="156" w:beforeLines="50" w:line="360" w:lineRule="auto"/>
              <w:jc w:val="center"/>
              <w:rPr>
                <w:b/>
                <w:color w:val="auto"/>
                <w:szCs w:val="21"/>
                <w:highlight w:val="none"/>
              </w:rPr>
            </w:pPr>
            <w:r>
              <w:rPr>
                <w:b/>
                <w:bCs/>
                <w:color w:val="auto"/>
                <w:kern w:val="0"/>
                <w:szCs w:val="21"/>
                <w:highlight w:val="none"/>
              </w:rPr>
              <w:t>职 务</w:t>
            </w:r>
          </w:p>
        </w:tc>
        <w:tc>
          <w:tcPr>
            <w:tcW w:w="2340" w:type="dxa"/>
            <w:noWrap w:val="0"/>
            <w:vAlign w:val="center"/>
          </w:tcPr>
          <w:p w14:paraId="36BA06DD">
            <w:pPr>
              <w:adjustRightInd w:val="0"/>
              <w:snapToGrid w:val="0"/>
              <w:spacing w:before="156" w:beforeLines="50" w:line="360" w:lineRule="auto"/>
              <w:jc w:val="center"/>
              <w:rPr>
                <w:b/>
                <w:color w:val="auto"/>
                <w:szCs w:val="21"/>
                <w:highlight w:val="none"/>
              </w:rPr>
            </w:pPr>
            <w:r>
              <w:rPr>
                <w:b/>
                <w:bCs/>
                <w:color w:val="auto"/>
                <w:kern w:val="0"/>
                <w:szCs w:val="21"/>
                <w:highlight w:val="none"/>
              </w:rPr>
              <w:t>联系电话</w:t>
            </w:r>
          </w:p>
        </w:tc>
      </w:tr>
      <w:tr w14:paraId="3DA79E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2700" w:type="dxa"/>
            <w:noWrap w:val="0"/>
            <w:vAlign w:val="center"/>
          </w:tcPr>
          <w:p w14:paraId="51CDAD24">
            <w:pPr>
              <w:adjustRightInd w:val="0"/>
              <w:snapToGrid w:val="0"/>
              <w:spacing w:before="156" w:beforeLines="50" w:line="360" w:lineRule="auto"/>
              <w:rPr>
                <w:color w:val="auto"/>
                <w:szCs w:val="21"/>
                <w:highlight w:val="none"/>
              </w:rPr>
            </w:pPr>
            <w:r>
              <w:rPr>
                <w:color w:val="auto"/>
                <w:kern w:val="0"/>
                <w:szCs w:val="21"/>
                <w:highlight w:val="none"/>
              </w:rPr>
              <w:t>交通银行湖南省分行</w:t>
            </w:r>
          </w:p>
        </w:tc>
        <w:tc>
          <w:tcPr>
            <w:tcW w:w="1080" w:type="dxa"/>
            <w:noWrap w:val="0"/>
            <w:vAlign w:val="center"/>
          </w:tcPr>
          <w:p w14:paraId="6862A124">
            <w:pPr>
              <w:adjustRightInd w:val="0"/>
              <w:snapToGrid w:val="0"/>
              <w:spacing w:before="156" w:beforeLines="50" w:line="360" w:lineRule="auto"/>
              <w:jc w:val="center"/>
              <w:rPr>
                <w:color w:val="auto"/>
                <w:szCs w:val="21"/>
                <w:highlight w:val="none"/>
              </w:rPr>
            </w:pPr>
            <w:r>
              <w:rPr>
                <w:color w:val="auto"/>
                <w:kern w:val="0"/>
                <w:szCs w:val="21"/>
                <w:highlight w:val="none"/>
              </w:rPr>
              <w:t>刘  波</w:t>
            </w:r>
          </w:p>
        </w:tc>
        <w:tc>
          <w:tcPr>
            <w:tcW w:w="3060" w:type="dxa"/>
            <w:noWrap w:val="0"/>
            <w:vAlign w:val="center"/>
          </w:tcPr>
          <w:p w14:paraId="5960B1A5">
            <w:pPr>
              <w:adjustRightInd w:val="0"/>
              <w:snapToGrid w:val="0"/>
              <w:spacing w:before="156" w:beforeLines="50" w:line="360" w:lineRule="auto"/>
              <w:rPr>
                <w:color w:val="auto"/>
                <w:szCs w:val="21"/>
                <w:highlight w:val="none"/>
              </w:rPr>
            </w:pPr>
            <w:r>
              <w:rPr>
                <w:color w:val="auto"/>
                <w:kern w:val="0"/>
                <w:szCs w:val="21"/>
                <w:highlight w:val="none"/>
              </w:rPr>
              <w:t>名城支行客户经理</w:t>
            </w:r>
          </w:p>
        </w:tc>
        <w:tc>
          <w:tcPr>
            <w:tcW w:w="2340" w:type="dxa"/>
            <w:noWrap w:val="0"/>
            <w:vAlign w:val="center"/>
          </w:tcPr>
          <w:p w14:paraId="1B8DBB21">
            <w:pPr>
              <w:adjustRightInd w:val="0"/>
              <w:snapToGrid w:val="0"/>
              <w:spacing w:before="156" w:beforeLines="50" w:line="360" w:lineRule="auto"/>
              <w:jc w:val="center"/>
              <w:rPr>
                <w:color w:val="auto"/>
                <w:szCs w:val="21"/>
                <w:highlight w:val="none"/>
              </w:rPr>
            </w:pPr>
            <w:r>
              <w:rPr>
                <w:color w:val="auto"/>
                <w:kern w:val="0"/>
                <w:szCs w:val="21"/>
                <w:highlight w:val="none"/>
              </w:rPr>
              <w:t>13874998873</w:t>
            </w:r>
          </w:p>
        </w:tc>
      </w:tr>
      <w:tr w14:paraId="305AF1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0" w:hRule="atLeast"/>
        </w:trPr>
        <w:tc>
          <w:tcPr>
            <w:tcW w:w="2700" w:type="dxa"/>
            <w:noWrap w:val="0"/>
            <w:vAlign w:val="center"/>
          </w:tcPr>
          <w:p w14:paraId="0A46DFC2">
            <w:pPr>
              <w:adjustRightInd w:val="0"/>
              <w:snapToGrid w:val="0"/>
              <w:spacing w:before="156" w:beforeLines="50" w:line="360" w:lineRule="auto"/>
              <w:rPr>
                <w:color w:val="auto"/>
                <w:szCs w:val="21"/>
                <w:highlight w:val="none"/>
              </w:rPr>
            </w:pPr>
            <w:r>
              <w:rPr>
                <w:color w:val="auto"/>
                <w:kern w:val="0"/>
                <w:szCs w:val="21"/>
                <w:highlight w:val="none"/>
              </w:rPr>
              <w:t>交通银行湖南省分行</w:t>
            </w:r>
          </w:p>
        </w:tc>
        <w:tc>
          <w:tcPr>
            <w:tcW w:w="1080" w:type="dxa"/>
            <w:noWrap w:val="0"/>
            <w:vAlign w:val="center"/>
          </w:tcPr>
          <w:p w14:paraId="4D9E968A">
            <w:pPr>
              <w:adjustRightInd w:val="0"/>
              <w:snapToGrid w:val="0"/>
              <w:spacing w:before="156" w:beforeLines="50" w:line="360" w:lineRule="auto"/>
              <w:jc w:val="center"/>
              <w:rPr>
                <w:color w:val="auto"/>
                <w:szCs w:val="21"/>
                <w:highlight w:val="none"/>
              </w:rPr>
            </w:pPr>
            <w:r>
              <w:rPr>
                <w:color w:val="auto"/>
                <w:kern w:val="0"/>
                <w:szCs w:val="21"/>
                <w:highlight w:val="none"/>
              </w:rPr>
              <w:t>肖勇光</w:t>
            </w:r>
          </w:p>
        </w:tc>
        <w:tc>
          <w:tcPr>
            <w:tcW w:w="3060" w:type="dxa"/>
            <w:noWrap w:val="0"/>
            <w:vAlign w:val="center"/>
          </w:tcPr>
          <w:p w14:paraId="73558849">
            <w:pPr>
              <w:adjustRightInd w:val="0"/>
              <w:snapToGrid w:val="0"/>
              <w:spacing w:before="156" w:beforeLines="50" w:line="360" w:lineRule="auto"/>
              <w:rPr>
                <w:color w:val="auto"/>
                <w:szCs w:val="21"/>
                <w:highlight w:val="none"/>
              </w:rPr>
            </w:pPr>
            <w:r>
              <w:rPr>
                <w:color w:val="auto"/>
                <w:kern w:val="0"/>
                <w:szCs w:val="21"/>
                <w:highlight w:val="none"/>
              </w:rPr>
              <w:t>分行高级经理</w:t>
            </w:r>
          </w:p>
        </w:tc>
        <w:tc>
          <w:tcPr>
            <w:tcW w:w="2340" w:type="dxa"/>
            <w:noWrap w:val="0"/>
            <w:vAlign w:val="center"/>
          </w:tcPr>
          <w:p w14:paraId="2C781558">
            <w:pPr>
              <w:adjustRightInd w:val="0"/>
              <w:snapToGrid w:val="0"/>
              <w:spacing w:before="156" w:beforeLines="50" w:line="360" w:lineRule="auto"/>
              <w:jc w:val="center"/>
              <w:rPr>
                <w:color w:val="auto"/>
                <w:szCs w:val="21"/>
                <w:highlight w:val="none"/>
              </w:rPr>
            </w:pPr>
            <w:r>
              <w:rPr>
                <w:color w:val="auto"/>
                <w:kern w:val="0"/>
                <w:szCs w:val="21"/>
                <w:highlight w:val="none"/>
              </w:rPr>
              <w:t>13755192647</w:t>
            </w:r>
          </w:p>
        </w:tc>
      </w:tr>
      <w:tr w14:paraId="208AA1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2700" w:type="dxa"/>
            <w:noWrap w:val="0"/>
            <w:vAlign w:val="center"/>
          </w:tcPr>
          <w:p w14:paraId="148B1A57">
            <w:pPr>
              <w:adjustRightInd w:val="0"/>
              <w:snapToGrid w:val="0"/>
              <w:spacing w:before="156" w:beforeLines="50" w:line="360" w:lineRule="auto"/>
              <w:rPr>
                <w:color w:val="auto"/>
                <w:szCs w:val="21"/>
                <w:highlight w:val="none"/>
              </w:rPr>
            </w:pPr>
            <w:r>
              <w:rPr>
                <w:color w:val="auto"/>
                <w:kern w:val="0"/>
                <w:szCs w:val="21"/>
                <w:highlight w:val="none"/>
              </w:rPr>
              <w:t>中国民生银行长沙分行</w:t>
            </w:r>
          </w:p>
        </w:tc>
        <w:tc>
          <w:tcPr>
            <w:tcW w:w="1080" w:type="dxa"/>
            <w:noWrap w:val="0"/>
            <w:vAlign w:val="center"/>
          </w:tcPr>
          <w:p w14:paraId="3452254D">
            <w:pPr>
              <w:adjustRightInd w:val="0"/>
              <w:snapToGrid w:val="0"/>
              <w:spacing w:before="156" w:beforeLines="50" w:line="360" w:lineRule="auto"/>
              <w:jc w:val="center"/>
              <w:rPr>
                <w:color w:val="auto"/>
                <w:szCs w:val="21"/>
                <w:highlight w:val="none"/>
              </w:rPr>
            </w:pPr>
            <w:r>
              <w:rPr>
                <w:color w:val="auto"/>
                <w:kern w:val="0"/>
                <w:szCs w:val="21"/>
                <w:highlight w:val="none"/>
              </w:rPr>
              <w:t>黄飞燕</w:t>
            </w:r>
          </w:p>
        </w:tc>
        <w:tc>
          <w:tcPr>
            <w:tcW w:w="3060" w:type="dxa"/>
            <w:noWrap w:val="0"/>
            <w:vAlign w:val="center"/>
          </w:tcPr>
          <w:p w14:paraId="2C2FF2AA">
            <w:pPr>
              <w:adjustRightInd w:val="0"/>
              <w:snapToGrid w:val="0"/>
              <w:spacing w:before="156" w:beforeLines="50" w:line="360" w:lineRule="auto"/>
              <w:rPr>
                <w:color w:val="auto"/>
                <w:szCs w:val="21"/>
                <w:highlight w:val="none"/>
              </w:rPr>
            </w:pPr>
            <w:r>
              <w:rPr>
                <w:color w:val="auto"/>
                <w:kern w:val="0"/>
                <w:szCs w:val="21"/>
                <w:highlight w:val="none"/>
              </w:rPr>
              <w:t>营业部总经理</w:t>
            </w:r>
          </w:p>
        </w:tc>
        <w:tc>
          <w:tcPr>
            <w:tcW w:w="2340" w:type="dxa"/>
            <w:noWrap w:val="0"/>
            <w:vAlign w:val="center"/>
          </w:tcPr>
          <w:p w14:paraId="22DC44EE">
            <w:pPr>
              <w:adjustRightInd w:val="0"/>
              <w:snapToGrid w:val="0"/>
              <w:spacing w:before="156" w:beforeLines="50" w:line="360" w:lineRule="auto"/>
              <w:jc w:val="center"/>
              <w:rPr>
                <w:color w:val="auto"/>
                <w:szCs w:val="21"/>
                <w:highlight w:val="none"/>
              </w:rPr>
            </w:pPr>
            <w:r>
              <w:rPr>
                <w:color w:val="auto"/>
                <w:kern w:val="0"/>
                <w:szCs w:val="21"/>
                <w:highlight w:val="none"/>
              </w:rPr>
              <w:t>13308463468</w:t>
            </w:r>
          </w:p>
        </w:tc>
      </w:tr>
      <w:tr w14:paraId="0EBFDD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2700" w:type="dxa"/>
            <w:noWrap w:val="0"/>
            <w:vAlign w:val="center"/>
          </w:tcPr>
          <w:p w14:paraId="33589774">
            <w:pPr>
              <w:adjustRightInd w:val="0"/>
              <w:snapToGrid w:val="0"/>
              <w:spacing w:before="156" w:beforeLines="50" w:line="360" w:lineRule="auto"/>
              <w:rPr>
                <w:color w:val="auto"/>
                <w:szCs w:val="21"/>
                <w:highlight w:val="none"/>
              </w:rPr>
            </w:pPr>
            <w:r>
              <w:rPr>
                <w:color w:val="auto"/>
                <w:kern w:val="0"/>
                <w:szCs w:val="21"/>
                <w:highlight w:val="none"/>
              </w:rPr>
              <w:t>中国民生银行长沙分行</w:t>
            </w:r>
          </w:p>
        </w:tc>
        <w:tc>
          <w:tcPr>
            <w:tcW w:w="1080" w:type="dxa"/>
            <w:noWrap w:val="0"/>
            <w:vAlign w:val="center"/>
          </w:tcPr>
          <w:p w14:paraId="21ECCCBD">
            <w:pPr>
              <w:adjustRightInd w:val="0"/>
              <w:snapToGrid w:val="0"/>
              <w:spacing w:before="156" w:beforeLines="50" w:line="360" w:lineRule="auto"/>
              <w:jc w:val="center"/>
              <w:rPr>
                <w:color w:val="auto"/>
                <w:szCs w:val="21"/>
                <w:highlight w:val="none"/>
              </w:rPr>
            </w:pPr>
            <w:r>
              <w:rPr>
                <w:color w:val="auto"/>
                <w:kern w:val="0"/>
                <w:szCs w:val="21"/>
                <w:highlight w:val="none"/>
              </w:rPr>
              <w:t>蒋寒奇</w:t>
            </w:r>
          </w:p>
        </w:tc>
        <w:tc>
          <w:tcPr>
            <w:tcW w:w="3060" w:type="dxa"/>
            <w:noWrap w:val="0"/>
            <w:vAlign w:val="center"/>
          </w:tcPr>
          <w:p w14:paraId="220CAAFF">
            <w:pPr>
              <w:adjustRightInd w:val="0"/>
              <w:snapToGrid w:val="0"/>
              <w:spacing w:before="156" w:beforeLines="50" w:line="360" w:lineRule="auto"/>
              <w:rPr>
                <w:color w:val="auto"/>
                <w:szCs w:val="21"/>
                <w:highlight w:val="none"/>
              </w:rPr>
            </w:pPr>
            <w:r>
              <w:rPr>
                <w:color w:val="auto"/>
                <w:kern w:val="0"/>
                <w:szCs w:val="21"/>
                <w:highlight w:val="none"/>
              </w:rPr>
              <w:t>营业部中小企业客户经理</w:t>
            </w:r>
          </w:p>
        </w:tc>
        <w:tc>
          <w:tcPr>
            <w:tcW w:w="2340" w:type="dxa"/>
            <w:noWrap w:val="0"/>
            <w:vAlign w:val="center"/>
          </w:tcPr>
          <w:p w14:paraId="7710F381">
            <w:pPr>
              <w:adjustRightInd w:val="0"/>
              <w:snapToGrid w:val="0"/>
              <w:spacing w:before="156" w:beforeLines="50" w:line="360" w:lineRule="auto"/>
              <w:jc w:val="center"/>
              <w:rPr>
                <w:color w:val="auto"/>
                <w:szCs w:val="21"/>
                <w:highlight w:val="none"/>
              </w:rPr>
            </w:pPr>
            <w:r>
              <w:rPr>
                <w:color w:val="auto"/>
                <w:kern w:val="0"/>
                <w:szCs w:val="21"/>
                <w:highlight w:val="none"/>
              </w:rPr>
              <w:t>13548982975</w:t>
            </w:r>
          </w:p>
        </w:tc>
      </w:tr>
      <w:tr w14:paraId="071E5E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0" w:hRule="atLeast"/>
        </w:trPr>
        <w:tc>
          <w:tcPr>
            <w:tcW w:w="2700" w:type="dxa"/>
            <w:noWrap w:val="0"/>
            <w:vAlign w:val="center"/>
          </w:tcPr>
          <w:p w14:paraId="16909570">
            <w:pPr>
              <w:adjustRightInd w:val="0"/>
              <w:snapToGrid w:val="0"/>
              <w:spacing w:before="156" w:beforeLines="50" w:line="360" w:lineRule="auto"/>
              <w:rPr>
                <w:color w:val="auto"/>
                <w:szCs w:val="21"/>
                <w:highlight w:val="none"/>
              </w:rPr>
            </w:pPr>
            <w:r>
              <w:rPr>
                <w:color w:val="auto"/>
                <w:kern w:val="0"/>
                <w:szCs w:val="21"/>
                <w:highlight w:val="none"/>
              </w:rPr>
              <w:t>兴业银行长沙分行</w:t>
            </w:r>
          </w:p>
        </w:tc>
        <w:tc>
          <w:tcPr>
            <w:tcW w:w="1080" w:type="dxa"/>
            <w:noWrap w:val="0"/>
            <w:vAlign w:val="center"/>
          </w:tcPr>
          <w:p w14:paraId="38889D95">
            <w:pPr>
              <w:adjustRightInd w:val="0"/>
              <w:snapToGrid w:val="0"/>
              <w:spacing w:before="156" w:beforeLines="50" w:line="360" w:lineRule="auto"/>
              <w:jc w:val="center"/>
              <w:rPr>
                <w:color w:val="auto"/>
                <w:szCs w:val="21"/>
                <w:highlight w:val="none"/>
              </w:rPr>
            </w:pPr>
            <w:r>
              <w:rPr>
                <w:color w:val="auto"/>
                <w:kern w:val="0"/>
                <w:szCs w:val="21"/>
                <w:highlight w:val="none"/>
              </w:rPr>
              <w:t>刘栅延</w:t>
            </w:r>
          </w:p>
        </w:tc>
        <w:tc>
          <w:tcPr>
            <w:tcW w:w="3060" w:type="dxa"/>
            <w:noWrap w:val="0"/>
            <w:vAlign w:val="center"/>
          </w:tcPr>
          <w:p w14:paraId="6FB31856">
            <w:pPr>
              <w:adjustRightInd w:val="0"/>
              <w:snapToGrid w:val="0"/>
              <w:spacing w:before="156" w:beforeLines="50" w:line="360" w:lineRule="auto"/>
              <w:rPr>
                <w:color w:val="auto"/>
                <w:szCs w:val="21"/>
                <w:highlight w:val="none"/>
              </w:rPr>
            </w:pPr>
            <w:r>
              <w:rPr>
                <w:color w:val="auto"/>
                <w:kern w:val="0"/>
                <w:szCs w:val="21"/>
                <w:highlight w:val="none"/>
              </w:rPr>
              <w:t>支行行长</w:t>
            </w:r>
          </w:p>
        </w:tc>
        <w:tc>
          <w:tcPr>
            <w:tcW w:w="2340" w:type="dxa"/>
            <w:noWrap w:val="0"/>
            <w:vAlign w:val="center"/>
          </w:tcPr>
          <w:p w14:paraId="0DC7D8CA">
            <w:pPr>
              <w:adjustRightInd w:val="0"/>
              <w:snapToGrid w:val="0"/>
              <w:spacing w:before="156" w:beforeLines="50" w:line="360" w:lineRule="auto"/>
              <w:jc w:val="center"/>
              <w:rPr>
                <w:color w:val="auto"/>
                <w:szCs w:val="21"/>
                <w:highlight w:val="none"/>
              </w:rPr>
            </w:pPr>
            <w:r>
              <w:rPr>
                <w:color w:val="auto"/>
                <w:kern w:val="0"/>
                <w:szCs w:val="21"/>
                <w:highlight w:val="none"/>
              </w:rPr>
              <w:t>13337316405</w:t>
            </w:r>
          </w:p>
        </w:tc>
      </w:tr>
      <w:tr w14:paraId="28C8D0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2700" w:type="dxa"/>
            <w:noWrap w:val="0"/>
            <w:vAlign w:val="center"/>
          </w:tcPr>
          <w:p w14:paraId="4F6901A6">
            <w:pPr>
              <w:adjustRightInd w:val="0"/>
              <w:snapToGrid w:val="0"/>
              <w:spacing w:before="156" w:beforeLines="50" w:line="360" w:lineRule="auto"/>
              <w:rPr>
                <w:color w:val="auto"/>
                <w:szCs w:val="21"/>
                <w:highlight w:val="none"/>
              </w:rPr>
            </w:pPr>
            <w:r>
              <w:rPr>
                <w:color w:val="auto"/>
                <w:kern w:val="0"/>
                <w:szCs w:val="21"/>
                <w:highlight w:val="none"/>
              </w:rPr>
              <w:t>兴业银行长沙分行</w:t>
            </w:r>
          </w:p>
        </w:tc>
        <w:tc>
          <w:tcPr>
            <w:tcW w:w="1080" w:type="dxa"/>
            <w:noWrap w:val="0"/>
            <w:vAlign w:val="center"/>
          </w:tcPr>
          <w:p w14:paraId="0C1DB6AC">
            <w:pPr>
              <w:adjustRightInd w:val="0"/>
              <w:snapToGrid w:val="0"/>
              <w:spacing w:before="156" w:beforeLines="50" w:line="360" w:lineRule="auto"/>
              <w:jc w:val="center"/>
              <w:rPr>
                <w:color w:val="auto"/>
                <w:szCs w:val="21"/>
                <w:highlight w:val="none"/>
              </w:rPr>
            </w:pPr>
            <w:r>
              <w:rPr>
                <w:color w:val="auto"/>
                <w:kern w:val="0"/>
                <w:szCs w:val="21"/>
                <w:highlight w:val="none"/>
              </w:rPr>
              <w:t>蒋修远</w:t>
            </w:r>
          </w:p>
        </w:tc>
        <w:tc>
          <w:tcPr>
            <w:tcW w:w="3060" w:type="dxa"/>
            <w:noWrap w:val="0"/>
            <w:vAlign w:val="center"/>
          </w:tcPr>
          <w:p w14:paraId="665443DA">
            <w:pPr>
              <w:adjustRightInd w:val="0"/>
              <w:snapToGrid w:val="0"/>
              <w:spacing w:before="156" w:beforeLines="50" w:line="360" w:lineRule="auto"/>
              <w:rPr>
                <w:color w:val="auto"/>
                <w:szCs w:val="21"/>
                <w:highlight w:val="none"/>
              </w:rPr>
            </w:pPr>
            <w:r>
              <w:rPr>
                <w:color w:val="auto"/>
                <w:kern w:val="0"/>
                <w:szCs w:val="21"/>
                <w:highlight w:val="none"/>
              </w:rPr>
              <w:t>支行客户经理</w:t>
            </w:r>
          </w:p>
        </w:tc>
        <w:tc>
          <w:tcPr>
            <w:tcW w:w="2340" w:type="dxa"/>
            <w:noWrap w:val="0"/>
            <w:vAlign w:val="center"/>
          </w:tcPr>
          <w:p w14:paraId="63716393">
            <w:pPr>
              <w:adjustRightInd w:val="0"/>
              <w:snapToGrid w:val="0"/>
              <w:spacing w:before="156" w:beforeLines="50" w:line="360" w:lineRule="auto"/>
              <w:jc w:val="center"/>
              <w:rPr>
                <w:color w:val="auto"/>
                <w:szCs w:val="21"/>
                <w:highlight w:val="none"/>
              </w:rPr>
            </w:pPr>
            <w:r>
              <w:rPr>
                <w:color w:val="auto"/>
                <w:kern w:val="0"/>
                <w:szCs w:val="21"/>
                <w:highlight w:val="none"/>
              </w:rPr>
              <w:t>18607310422</w:t>
            </w:r>
          </w:p>
        </w:tc>
      </w:tr>
      <w:tr w14:paraId="79694B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25" w:hRule="atLeast"/>
        </w:trPr>
        <w:tc>
          <w:tcPr>
            <w:tcW w:w="2700" w:type="dxa"/>
            <w:noWrap w:val="0"/>
            <w:vAlign w:val="center"/>
          </w:tcPr>
          <w:p w14:paraId="43FDC847">
            <w:pPr>
              <w:adjustRightInd w:val="0"/>
              <w:snapToGrid w:val="0"/>
              <w:spacing w:before="156" w:beforeLines="50" w:line="360" w:lineRule="auto"/>
              <w:rPr>
                <w:color w:val="auto"/>
                <w:szCs w:val="21"/>
                <w:highlight w:val="none"/>
              </w:rPr>
            </w:pPr>
            <w:r>
              <w:rPr>
                <w:color w:val="auto"/>
                <w:kern w:val="0"/>
                <w:szCs w:val="21"/>
                <w:highlight w:val="none"/>
              </w:rPr>
              <w:t>中国光大银行长沙分行</w:t>
            </w:r>
          </w:p>
        </w:tc>
        <w:tc>
          <w:tcPr>
            <w:tcW w:w="1080" w:type="dxa"/>
            <w:noWrap w:val="0"/>
            <w:vAlign w:val="center"/>
          </w:tcPr>
          <w:p w14:paraId="338EEF24">
            <w:pPr>
              <w:adjustRightInd w:val="0"/>
              <w:snapToGrid w:val="0"/>
              <w:spacing w:before="156" w:beforeLines="50" w:line="360" w:lineRule="auto"/>
              <w:jc w:val="center"/>
              <w:rPr>
                <w:color w:val="auto"/>
                <w:szCs w:val="21"/>
                <w:highlight w:val="none"/>
              </w:rPr>
            </w:pPr>
            <w:r>
              <w:rPr>
                <w:color w:val="auto"/>
                <w:kern w:val="0"/>
                <w:szCs w:val="21"/>
                <w:highlight w:val="none"/>
              </w:rPr>
              <w:t>邓永胜</w:t>
            </w:r>
          </w:p>
        </w:tc>
        <w:tc>
          <w:tcPr>
            <w:tcW w:w="3060" w:type="dxa"/>
            <w:noWrap w:val="0"/>
            <w:vAlign w:val="center"/>
          </w:tcPr>
          <w:p w14:paraId="2A4C2CDD">
            <w:pPr>
              <w:adjustRightInd w:val="0"/>
              <w:snapToGrid w:val="0"/>
              <w:spacing w:before="156" w:beforeLines="50" w:line="360" w:lineRule="auto"/>
              <w:rPr>
                <w:color w:val="auto"/>
                <w:szCs w:val="21"/>
                <w:highlight w:val="none"/>
              </w:rPr>
            </w:pPr>
            <w:r>
              <w:rPr>
                <w:color w:val="auto"/>
                <w:kern w:val="0"/>
                <w:szCs w:val="21"/>
                <w:highlight w:val="none"/>
              </w:rPr>
              <w:t>岳麓支行副行长</w:t>
            </w:r>
          </w:p>
        </w:tc>
        <w:tc>
          <w:tcPr>
            <w:tcW w:w="2340" w:type="dxa"/>
            <w:noWrap w:val="0"/>
            <w:vAlign w:val="center"/>
          </w:tcPr>
          <w:p w14:paraId="3E7456DA">
            <w:pPr>
              <w:adjustRightInd w:val="0"/>
              <w:snapToGrid w:val="0"/>
              <w:spacing w:before="156" w:beforeLines="50" w:line="360" w:lineRule="auto"/>
              <w:jc w:val="center"/>
              <w:rPr>
                <w:color w:val="auto"/>
                <w:szCs w:val="21"/>
                <w:highlight w:val="none"/>
              </w:rPr>
            </w:pPr>
            <w:r>
              <w:rPr>
                <w:color w:val="auto"/>
                <w:kern w:val="0"/>
                <w:szCs w:val="21"/>
                <w:highlight w:val="none"/>
              </w:rPr>
              <w:t>13617319650</w:t>
            </w:r>
          </w:p>
        </w:tc>
      </w:tr>
      <w:tr w14:paraId="324E7E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2700" w:type="dxa"/>
            <w:noWrap w:val="0"/>
            <w:vAlign w:val="center"/>
          </w:tcPr>
          <w:p w14:paraId="083B6FA3">
            <w:pPr>
              <w:adjustRightInd w:val="0"/>
              <w:snapToGrid w:val="0"/>
              <w:spacing w:before="156" w:beforeLines="50" w:line="360" w:lineRule="auto"/>
              <w:rPr>
                <w:color w:val="auto"/>
                <w:szCs w:val="21"/>
                <w:highlight w:val="none"/>
              </w:rPr>
            </w:pPr>
            <w:r>
              <w:rPr>
                <w:color w:val="auto"/>
                <w:kern w:val="0"/>
                <w:szCs w:val="21"/>
                <w:highlight w:val="none"/>
              </w:rPr>
              <w:t>中信银行长沙分行</w:t>
            </w:r>
          </w:p>
        </w:tc>
        <w:tc>
          <w:tcPr>
            <w:tcW w:w="1080" w:type="dxa"/>
            <w:noWrap w:val="0"/>
            <w:vAlign w:val="center"/>
          </w:tcPr>
          <w:p w14:paraId="56C72779">
            <w:pPr>
              <w:adjustRightInd w:val="0"/>
              <w:snapToGrid w:val="0"/>
              <w:spacing w:before="156" w:beforeLines="50" w:line="360" w:lineRule="auto"/>
              <w:jc w:val="center"/>
              <w:rPr>
                <w:color w:val="auto"/>
                <w:szCs w:val="21"/>
                <w:highlight w:val="none"/>
              </w:rPr>
            </w:pPr>
            <w:r>
              <w:rPr>
                <w:color w:val="auto"/>
                <w:kern w:val="0"/>
                <w:szCs w:val="21"/>
                <w:highlight w:val="none"/>
              </w:rPr>
              <w:t>蔡学军</w:t>
            </w:r>
          </w:p>
        </w:tc>
        <w:tc>
          <w:tcPr>
            <w:tcW w:w="3060" w:type="dxa"/>
            <w:noWrap w:val="0"/>
            <w:vAlign w:val="center"/>
          </w:tcPr>
          <w:p w14:paraId="7651C33D">
            <w:pPr>
              <w:adjustRightInd w:val="0"/>
              <w:snapToGrid w:val="0"/>
              <w:spacing w:before="156" w:beforeLines="50" w:line="360" w:lineRule="auto"/>
              <w:rPr>
                <w:color w:val="auto"/>
                <w:szCs w:val="21"/>
                <w:highlight w:val="none"/>
              </w:rPr>
            </w:pPr>
            <w:r>
              <w:rPr>
                <w:color w:val="auto"/>
                <w:kern w:val="0"/>
                <w:szCs w:val="21"/>
                <w:highlight w:val="none"/>
              </w:rPr>
              <w:t>公司银行部负</w:t>
            </w:r>
            <w:bookmarkStart w:id="318" w:name="_GoBack"/>
            <w:bookmarkEnd w:id="318"/>
            <w:r>
              <w:rPr>
                <w:color w:val="auto"/>
                <w:kern w:val="0"/>
                <w:szCs w:val="21"/>
                <w:highlight w:val="none"/>
              </w:rPr>
              <w:t>责人</w:t>
            </w:r>
          </w:p>
        </w:tc>
        <w:tc>
          <w:tcPr>
            <w:tcW w:w="2340" w:type="dxa"/>
            <w:noWrap w:val="0"/>
            <w:vAlign w:val="center"/>
          </w:tcPr>
          <w:p w14:paraId="667439FC">
            <w:pPr>
              <w:adjustRightInd w:val="0"/>
              <w:snapToGrid w:val="0"/>
              <w:spacing w:before="156" w:beforeLines="50" w:line="360" w:lineRule="auto"/>
              <w:jc w:val="center"/>
              <w:rPr>
                <w:color w:val="auto"/>
                <w:szCs w:val="21"/>
                <w:highlight w:val="none"/>
              </w:rPr>
            </w:pPr>
            <w:r>
              <w:rPr>
                <w:color w:val="auto"/>
                <w:kern w:val="0"/>
                <w:szCs w:val="21"/>
                <w:highlight w:val="none"/>
              </w:rPr>
              <w:t>13055167195</w:t>
            </w:r>
          </w:p>
        </w:tc>
      </w:tr>
      <w:tr w14:paraId="2B0F37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2700" w:type="dxa"/>
            <w:noWrap w:val="0"/>
            <w:vAlign w:val="center"/>
          </w:tcPr>
          <w:p w14:paraId="54EC552E">
            <w:pPr>
              <w:adjustRightInd w:val="0"/>
              <w:snapToGrid w:val="0"/>
              <w:spacing w:before="156" w:beforeLines="50" w:line="360" w:lineRule="auto"/>
              <w:rPr>
                <w:color w:val="auto"/>
                <w:szCs w:val="21"/>
                <w:highlight w:val="none"/>
              </w:rPr>
            </w:pPr>
            <w:r>
              <w:rPr>
                <w:color w:val="auto"/>
                <w:kern w:val="0"/>
                <w:szCs w:val="21"/>
                <w:highlight w:val="none"/>
              </w:rPr>
              <w:t>中信银行长沙分行</w:t>
            </w:r>
          </w:p>
        </w:tc>
        <w:tc>
          <w:tcPr>
            <w:tcW w:w="1080" w:type="dxa"/>
            <w:noWrap w:val="0"/>
            <w:vAlign w:val="center"/>
          </w:tcPr>
          <w:p w14:paraId="4AA69A86">
            <w:pPr>
              <w:adjustRightInd w:val="0"/>
              <w:snapToGrid w:val="0"/>
              <w:spacing w:before="156" w:beforeLines="50" w:line="360" w:lineRule="auto"/>
              <w:jc w:val="center"/>
              <w:rPr>
                <w:color w:val="auto"/>
                <w:szCs w:val="21"/>
                <w:highlight w:val="none"/>
              </w:rPr>
            </w:pPr>
            <w:r>
              <w:rPr>
                <w:color w:val="auto"/>
                <w:kern w:val="0"/>
                <w:szCs w:val="21"/>
                <w:highlight w:val="none"/>
              </w:rPr>
              <w:t>宋学农</w:t>
            </w:r>
          </w:p>
        </w:tc>
        <w:tc>
          <w:tcPr>
            <w:tcW w:w="3060" w:type="dxa"/>
            <w:noWrap w:val="0"/>
            <w:vAlign w:val="center"/>
          </w:tcPr>
          <w:p w14:paraId="74F462F1">
            <w:pPr>
              <w:adjustRightInd w:val="0"/>
              <w:snapToGrid w:val="0"/>
              <w:spacing w:before="156" w:beforeLines="50" w:line="360" w:lineRule="auto"/>
              <w:rPr>
                <w:color w:val="auto"/>
                <w:szCs w:val="21"/>
                <w:highlight w:val="none"/>
              </w:rPr>
            </w:pPr>
            <w:r>
              <w:rPr>
                <w:color w:val="auto"/>
                <w:kern w:val="0"/>
                <w:szCs w:val="21"/>
                <w:highlight w:val="none"/>
              </w:rPr>
              <w:t>银行部综合管理部副总经理</w:t>
            </w:r>
          </w:p>
        </w:tc>
        <w:tc>
          <w:tcPr>
            <w:tcW w:w="2340" w:type="dxa"/>
            <w:noWrap w:val="0"/>
            <w:vAlign w:val="center"/>
          </w:tcPr>
          <w:p w14:paraId="19C1982C">
            <w:pPr>
              <w:adjustRightInd w:val="0"/>
              <w:snapToGrid w:val="0"/>
              <w:spacing w:before="156" w:beforeLines="50" w:line="360" w:lineRule="auto"/>
              <w:jc w:val="center"/>
              <w:rPr>
                <w:color w:val="auto"/>
                <w:szCs w:val="21"/>
                <w:highlight w:val="none"/>
              </w:rPr>
            </w:pPr>
            <w:r>
              <w:rPr>
                <w:color w:val="auto"/>
                <w:kern w:val="0"/>
                <w:szCs w:val="21"/>
                <w:highlight w:val="none"/>
              </w:rPr>
              <w:t>0731-845822141</w:t>
            </w:r>
          </w:p>
        </w:tc>
      </w:tr>
    </w:tbl>
    <w:p w14:paraId="7F5D2DF3">
      <w:pPr>
        <w:adjustRightInd w:val="0"/>
        <w:snapToGrid w:val="0"/>
        <w:spacing w:line="360" w:lineRule="auto"/>
        <w:rPr>
          <w:b/>
          <w:bCs/>
          <w:color w:val="auto"/>
          <w:szCs w:val="21"/>
          <w:highlight w:val="none"/>
        </w:rPr>
      </w:pPr>
    </w:p>
    <w:p w14:paraId="00820380">
      <w:pPr>
        <w:adjustRightInd w:val="0"/>
        <w:snapToGrid w:val="0"/>
        <w:spacing w:line="360" w:lineRule="auto"/>
        <w:rPr>
          <w:b/>
          <w:bCs/>
          <w:color w:val="auto"/>
          <w:szCs w:val="21"/>
          <w:highlight w:val="none"/>
        </w:rPr>
      </w:pPr>
      <w:r>
        <w:rPr>
          <w:b/>
          <w:bCs/>
          <w:color w:val="auto"/>
          <w:szCs w:val="21"/>
          <w:highlight w:val="none"/>
        </w:rPr>
        <w:t>附页2</w:t>
      </w:r>
    </w:p>
    <w:p w14:paraId="6CD36732">
      <w:pPr>
        <w:adjustRightInd w:val="0"/>
        <w:snapToGrid w:val="0"/>
        <w:spacing w:line="360" w:lineRule="auto"/>
        <w:jc w:val="center"/>
        <w:rPr>
          <w:b/>
          <w:bCs/>
          <w:color w:val="auto"/>
          <w:sz w:val="28"/>
          <w:szCs w:val="28"/>
          <w:highlight w:val="none"/>
        </w:rPr>
      </w:pPr>
      <w:r>
        <w:rPr>
          <w:b/>
          <w:bCs/>
          <w:color w:val="auto"/>
          <w:kern w:val="0"/>
          <w:sz w:val="28"/>
          <w:szCs w:val="28"/>
          <w:highlight w:val="none"/>
        </w:rPr>
        <w:t>湖南省政府采购信用担保试点工作的</w:t>
      </w:r>
      <w:r>
        <w:rPr>
          <w:b/>
          <w:color w:val="auto"/>
          <w:sz w:val="28"/>
          <w:szCs w:val="28"/>
          <w:highlight w:val="none"/>
        </w:rPr>
        <w:t>信用担保机构名单</w:t>
      </w:r>
    </w:p>
    <w:tbl>
      <w:tblPr>
        <w:tblStyle w:val="24"/>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320"/>
        <w:gridCol w:w="1080"/>
        <w:gridCol w:w="3780"/>
      </w:tblGrid>
      <w:tr w14:paraId="10639F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0" w:hRule="atLeast"/>
        </w:trPr>
        <w:tc>
          <w:tcPr>
            <w:tcW w:w="4320" w:type="dxa"/>
            <w:noWrap w:val="0"/>
            <w:vAlign w:val="center"/>
          </w:tcPr>
          <w:p w14:paraId="22C1DF5E">
            <w:pPr>
              <w:adjustRightInd w:val="0"/>
              <w:snapToGrid w:val="0"/>
              <w:spacing w:line="360" w:lineRule="auto"/>
              <w:jc w:val="center"/>
              <w:rPr>
                <w:b/>
                <w:bCs/>
                <w:color w:val="auto"/>
                <w:kern w:val="0"/>
                <w:szCs w:val="21"/>
                <w:highlight w:val="none"/>
              </w:rPr>
            </w:pPr>
            <w:r>
              <w:rPr>
                <w:b/>
                <w:color w:val="auto"/>
                <w:szCs w:val="21"/>
                <w:highlight w:val="none"/>
              </w:rPr>
              <w:t>信用担保机构</w:t>
            </w:r>
          </w:p>
        </w:tc>
        <w:tc>
          <w:tcPr>
            <w:tcW w:w="1080" w:type="dxa"/>
            <w:noWrap w:val="0"/>
            <w:vAlign w:val="center"/>
          </w:tcPr>
          <w:p w14:paraId="33913DB7">
            <w:pPr>
              <w:adjustRightInd w:val="0"/>
              <w:snapToGrid w:val="0"/>
              <w:spacing w:line="360" w:lineRule="auto"/>
              <w:jc w:val="center"/>
              <w:rPr>
                <w:b/>
                <w:bCs/>
                <w:color w:val="auto"/>
                <w:kern w:val="0"/>
                <w:szCs w:val="21"/>
                <w:highlight w:val="none"/>
              </w:rPr>
            </w:pPr>
            <w:r>
              <w:rPr>
                <w:b/>
                <w:color w:val="auto"/>
                <w:szCs w:val="21"/>
                <w:highlight w:val="none"/>
              </w:rPr>
              <w:t>联系人</w:t>
            </w:r>
          </w:p>
        </w:tc>
        <w:tc>
          <w:tcPr>
            <w:tcW w:w="3780" w:type="dxa"/>
            <w:noWrap w:val="0"/>
            <w:vAlign w:val="center"/>
          </w:tcPr>
          <w:p w14:paraId="532198B8">
            <w:pPr>
              <w:adjustRightInd w:val="0"/>
              <w:snapToGrid w:val="0"/>
              <w:spacing w:line="360" w:lineRule="auto"/>
              <w:jc w:val="center"/>
              <w:rPr>
                <w:b/>
                <w:bCs/>
                <w:color w:val="auto"/>
                <w:kern w:val="0"/>
                <w:szCs w:val="21"/>
                <w:highlight w:val="none"/>
              </w:rPr>
            </w:pPr>
            <w:r>
              <w:rPr>
                <w:b/>
                <w:color w:val="auto"/>
                <w:szCs w:val="21"/>
                <w:highlight w:val="none"/>
              </w:rPr>
              <w:t>联系电话</w:t>
            </w:r>
          </w:p>
        </w:tc>
      </w:tr>
      <w:tr w14:paraId="6A262B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4320" w:type="dxa"/>
            <w:noWrap w:val="0"/>
            <w:vAlign w:val="center"/>
          </w:tcPr>
          <w:p w14:paraId="3A1995A4">
            <w:pPr>
              <w:adjustRightInd w:val="0"/>
              <w:snapToGrid w:val="0"/>
              <w:spacing w:line="360" w:lineRule="auto"/>
              <w:jc w:val="left"/>
              <w:rPr>
                <w:rFonts w:ascii="宋体" w:hAnsi="宋体" w:cs="宋体"/>
                <w:bCs/>
                <w:color w:val="auto"/>
                <w:kern w:val="0"/>
                <w:szCs w:val="21"/>
                <w:highlight w:val="none"/>
              </w:rPr>
            </w:pPr>
            <w:r>
              <w:rPr>
                <w:rFonts w:hint="eastAsia" w:ascii="宋体" w:hAnsi="宋体" w:cs="宋体"/>
                <w:color w:val="auto"/>
                <w:szCs w:val="21"/>
                <w:highlight w:val="none"/>
              </w:rPr>
              <w:t>中国投资担保公司</w:t>
            </w:r>
          </w:p>
        </w:tc>
        <w:tc>
          <w:tcPr>
            <w:tcW w:w="1080" w:type="dxa"/>
            <w:noWrap w:val="0"/>
            <w:vAlign w:val="center"/>
          </w:tcPr>
          <w:p w14:paraId="42A50A39">
            <w:pPr>
              <w:adjustRightInd w:val="0"/>
              <w:snapToGrid w:val="0"/>
              <w:spacing w:line="360" w:lineRule="auto"/>
              <w:jc w:val="center"/>
              <w:rPr>
                <w:rFonts w:ascii="宋体" w:hAnsi="宋体" w:cs="宋体"/>
                <w:bCs/>
                <w:color w:val="auto"/>
                <w:kern w:val="0"/>
                <w:szCs w:val="21"/>
                <w:highlight w:val="none"/>
              </w:rPr>
            </w:pPr>
            <w:r>
              <w:rPr>
                <w:rFonts w:hint="eastAsia" w:ascii="宋体" w:hAnsi="宋体" w:cs="宋体"/>
                <w:color w:val="auto"/>
                <w:szCs w:val="21"/>
                <w:highlight w:val="none"/>
              </w:rPr>
              <w:t>何  嘉</w:t>
            </w:r>
          </w:p>
        </w:tc>
        <w:tc>
          <w:tcPr>
            <w:tcW w:w="3780" w:type="dxa"/>
            <w:noWrap w:val="0"/>
            <w:vAlign w:val="center"/>
          </w:tcPr>
          <w:p w14:paraId="2E4DAEE2">
            <w:pPr>
              <w:adjustRightInd w:val="0"/>
              <w:snapToGrid w:val="0"/>
              <w:spacing w:line="360" w:lineRule="auto"/>
              <w:jc w:val="left"/>
              <w:rPr>
                <w:rFonts w:ascii="宋体" w:hAnsi="宋体" w:cs="宋体"/>
                <w:bCs/>
                <w:color w:val="auto"/>
                <w:kern w:val="0"/>
                <w:szCs w:val="21"/>
                <w:highlight w:val="none"/>
              </w:rPr>
            </w:pPr>
            <w:r>
              <w:rPr>
                <w:rFonts w:hint="eastAsia" w:ascii="宋体" w:hAnsi="宋体" w:cs="宋体"/>
                <w:color w:val="auto"/>
                <w:szCs w:val="21"/>
                <w:highlight w:val="none"/>
              </w:rPr>
              <w:t>010-88822659/13718642233</w:t>
            </w:r>
          </w:p>
        </w:tc>
      </w:tr>
      <w:tr w14:paraId="2A86D2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5" w:hRule="atLeast"/>
        </w:trPr>
        <w:tc>
          <w:tcPr>
            <w:tcW w:w="4320" w:type="dxa"/>
            <w:noWrap w:val="0"/>
            <w:vAlign w:val="center"/>
          </w:tcPr>
          <w:p w14:paraId="18B5FDD3">
            <w:pPr>
              <w:adjustRightInd w:val="0"/>
              <w:snapToGrid w:val="0"/>
              <w:spacing w:line="360" w:lineRule="auto"/>
              <w:jc w:val="left"/>
              <w:rPr>
                <w:rFonts w:ascii="宋体" w:hAnsi="宋体" w:cs="宋体"/>
                <w:bCs/>
                <w:color w:val="auto"/>
                <w:kern w:val="0"/>
                <w:szCs w:val="21"/>
                <w:highlight w:val="none"/>
              </w:rPr>
            </w:pPr>
            <w:r>
              <w:rPr>
                <w:rFonts w:hint="eastAsia" w:ascii="宋体" w:hAnsi="宋体" w:cs="宋体"/>
                <w:color w:val="auto"/>
                <w:szCs w:val="21"/>
                <w:highlight w:val="none"/>
              </w:rPr>
              <w:t>湖南省中小企业信用担保有限责任公司</w:t>
            </w:r>
          </w:p>
        </w:tc>
        <w:tc>
          <w:tcPr>
            <w:tcW w:w="1080" w:type="dxa"/>
            <w:noWrap w:val="0"/>
            <w:vAlign w:val="center"/>
          </w:tcPr>
          <w:p w14:paraId="5F32BDC2">
            <w:pPr>
              <w:adjustRightInd w:val="0"/>
              <w:snapToGrid w:val="0"/>
              <w:spacing w:line="360" w:lineRule="auto"/>
              <w:jc w:val="center"/>
              <w:rPr>
                <w:rFonts w:ascii="宋体" w:hAnsi="宋体" w:cs="宋体"/>
                <w:bCs/>
                <w:color w:val="auto"/>
                <w:kern w:val="0"/>
                <w:szCs w:val="21"/>
                <w:highlight w:val="none"/>
              </w:rPr>
            </w:pPr>
            <w:r>
              <w:rPr>
                <w:rFonts w:hint="eastAsia" w:ascii="宋体" w:hAnsi="宋体" w:cs="宋体"/>
                <w:color w:val="auto"/>
                <w:szCs w:val="21"/>
                <w:highlight w:val="none"/>
              </w:rPr>
              <w:t>蔡建雄</w:t>
            </w:r>
          </w:p>
        </w:tc>
        <w:tc>
          <w:tcPr>
            <w:tcW w:w="3780" w:type="dxa"/>
            <w:noWrap w:val="0"/>
            <w:vAlign w:val="center"/>
          </w:tcPr>
          <w:p w14:paraId="0251F8EC">
            <w:pPr>
              <w:adjustRightInd w:val="0"/>
              <w:snapToGrid w:val="0"/>
              <w:spacing w:line="360" w:lineRule="auto"/>
              <w:jc w:val="left"/>
              <w:rPr>
                <w:rFonts w:ascii="宋体" w:hAnsi="宋体" w:cs="宋体"/>
                <w:bCs/>
                <w:color w:val="auto"/>
                <w:kern w:val="0"/>
                <w:szCs w:val="21"/>
                <w:highlight w:val="none"/>
              </w:rPr>
            </w:pPr>
            <w:r>
              <w:rPr>
                <w:rFonts w:hint="eastAsia" w:ascii="宋体" w:hAnsi="宋体" w:cs="宋体"/>
                <w:color w:val="auto"/>
                <w:szCs w:val="21"/>
                <w:highlight w:val="none"/>
              </w:rPr>
              <w:t>0731-84172390-201/15573193555</w:t>
            </w:r>
          </w:p>
        </w:tc>
      </w:tr>
      <w:tr w14:paraId="5CD60D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8" w:hRule="atLeast"/>
        </w:trPr>
        <w:tc>
          <w:tcPr>
            <w:tcW w:w="4320" w:type="dxa"/>
            <w:noWrap w:val="0"/>
            <w:vAlign w:val="center"/>
          </w:tcPr>
          <w:p w14:paraId="73B27159">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湖南农业信用担保有限公司</w:t>
            </w:r>
          </w:p>
        </w:tc>
        <w:tc>
          <w:tcPr>
            <w:tcW w:w="1080" w:type="dxa"/>
            <w:noWrap w:val="0"/>
            <w:vAlign w:val="center"/>
          </w:tcPr>
          <w:p w14:paraId="3FD80E3C">
            <w:pPr>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彭  球</w:t>
            </w:r>
          </w:p>
          <w:p w14:paraId="4D6CE420">
            <w:pPr>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邓霞英</w:t>
            </w:r>
          </w:p>
        </w:tc>
        <w:tc>
          <w:tcPr>
            <w:tcW w:w="3780" w:type="dxa"/>
            <w:noWrap w:val="0"/>
            <w:vAlign w:val="center"/>
          </w:tcPr>
          <w:p w14:paraId="5BAA6070">
            <w:pPr>
              <w:adjustRightInd w:val="0"/>
              <w:snapToGrid w:val="0"/>
              <w:spacing w:line="360" w:lineRule="auto"/>
              <w:jc w:val="left"/>
              <w:rPr>
                <w:rFonts w:ascii="宋体" w:hAnsi="宋体" w:cs="宋体"/>
                <w:color w:val="auto"/>
                <w:szCs w:val="21"/>
                <w:highlight w:val="none"/>
              </w:rPr>
            </w:pPr>
            <w:r>
              <w:rPr>
                <w:rFonts w:hint="eastAsia" w:ascii="宋体" w:hAnsi="宋体" w:cs="宋体"/>
                <w:color w:val="auto"/>
                <w:szCs w:val="21"/>
                <w:highlight w:val="none"/>
              </w:rPr>
              <w:t>0731-89761702/13875980906 0731-89761706/13574125851</w:t>
            </w:r>
          </w:p>
        </w:tc>
      </w:tr>
    </w:tbl>
    <w:p w14:paraId="0D9B9CAA">
      <w:pPr>
        <w:adjustRightInd w:val="0"/>
        <w:snapToGrid w:val="0"/>
        <w:spacing w:line="360" w:lineRule="auto"/>
        <w:rPr>
          <w:rFonts w:ascii="宋体" w:hAnsi="宋体"/>
          <w:b/>
          <w:color w:val="auto"/>
          <w:szCs w:val="21"/>
          <w:highlight w:val="none"/>
        </w:rPr>
        <w:sectPr>
          <w:pgSz w:w="11906" w:h="16838"/>
          <w:pgMar w:top="1417" w:right="1417" w:bottom="1417" w:left="1417" w:header="851" w:footer="992" w:gutter="0"/>
          <w:pgNumType w:fmt="decimal"/>
          <w:cols w:space="720" w:num="1"/>
          <w:docGrid w:type="lines" w:linePitch="312" w:charSpace="0"/>
        </w:sectPr>
      </w:pPr>
    </w:p>
    <w:p w14:paraId="24833339">
      <w:p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附页3</w:t>
      </w:r>
    </w:p>
    <w:p w14:paraId="1AD3826A">
      <w:pPr>
        <w:adjustRightInd w:val="0"/>
        <w:snapToGrid w:val="0"/>
        <w:spacing w:line="360" w:lineRule="auto"/>
        <w:jc w:val="center"/>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政府采购履约担保函</w:t>
      </w:r>
    </w:p>
    <w:p w14:paraId="1477272A">
      <w:pPr>
        <w:adjustRightInd w:val="0"/>
        <w:snapToGrid w:val="0"/>
        <w:spacing w:line="360" w:lineRule="auto"/>
        <w:ind w:firstLine="6510" w:firstLineChars="3100"/>
        <w:rPr>
          <w:rFonts w:ascii="宋体" w:hAnsi="宋体" w:cs="宋体"/>
          <w:b/>
          <w:color w:val="auto"/>
          <w:kern w:val="0"/>
          <w:szCs w:val="21"/>
          <w:highlight w:val="none"/>
        </w:rPr>
      </w:pPr>
      <w:r>
        <w:rPr>
          <w:rFonts w:hint="eastAsia" w:ascii="宋体" w:hAnsi="宋体" w:cs="宋体"/>
          <w:color w:val="auto"/>
          <w:kern w:val="0"/>
          <w:szCs w:val="21"/>
          <w:highlight w:val="none"/>
        </w:rPr>
        <w:t>编号：</w:t>
      </w:r>
      <w:r>
        <w:rPr>
          <w:rFonts w:hint="eastAsia" w:ascii="宋体" w:hAnsi="宋体" w:cs="宋体"/>
          <w:color w:val="auto"/>
          <w:kern w:val="0"/>
          <w:szCs w:val="21"/>
          <w:highlight w:val="none"/>
          <w:u w:val="single"/>
        </w:rPr>
        <w:t xml:space="preserve">              </w:t>
      </w:r>
    </w:p>
    <w:p w14:paraId="6C6C05BA">
      <w:pPr>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（采购人）： </w:t>
      </w:r>
    </w:p>
    <w:p w14:paraId="1F9F3142">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鉴于你方与</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（以下简称供应商）于</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日签定编号为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的《</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政府采购合同》（以下简称主合同），且依据该合同的约定，供应商应在</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日前向你方交纳履约保证金，且可以履约担保函的形式交纳履约保证金。应供应商的申请，我方以保证的方式向你方提供如下履约保证金担保：</w:t>
      </w:r>
    </w:p>
    <w:p w14:paraId="36341147">
      <w:pPr>
        <w:adjustRightInd w:val="0"/>
        <w:snapToGrid w:val="0"/>
        <w:spacing w:line="360" w:lineRule="auto"/>
        <w:ind w:firstLine="422" w:firstLineChars="200"/>
        <w:rPr>
          <w:rFonts w:ascii="宋体" w:hAnsi="宋体" w:cs="宋体"/>
          <w:b/>
          <w:color w:val="auto"/>
          <w:kern w:val="0"/>
          <w:szCs w:val="21"/>
          <w:highlight w:val="none"/>
        </w:rPr>
      </w:pPr>
      <w:r>
        <w:rPr>
          <w:rFonts w:hint="eastAsia" w:ascii="宋体" w:hAnsi="宋体" w:cs="宋体"/>
          <w:b/>
          <w:color w:val="auto"/>
          <w:kern w:val="0"/>
          <w:szCs w:val="21"/>
          <w:highlight w:val="none"/>
        </w:rPr>
        <w:t>一、保证责任的情形及保证金额</w:t>
      </w:r>
    </w:p>
    <w:p w14:paraId="66EC2A01">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（一）在供应商出现下列情形之一时，我方承担保证责任：</w:t>
      </w:r>
    </w:p>
    <w:p w14:paraId="639D98BE">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1．将中标项目转让给他人，或者在投标文件中未说明，且未经采购人同意，将中标项目分包给他人的；</w:t>
      </w:r>
    </w:p>
    <w:p w14:paraId="22A8BB64">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 xml:space="preserve">2．主合同约定的应当缴纳履约保证金的情形: </w:t>
      </w:r>
    </w:p>
    <w:p w14:paraId="56ED239D">
      <w:pPr>
        <w:adjustRightInd w:val="0"/>
        <w:snapToGrid w:val="0"/>
        <w:spacing w:line="360" w:lineRule="auto"/>
        <w:ind w:firstLine="420" w:firstLineChars="200"/>
        <w:rPr>
          <w:rFonts w:ascii="宋体" w:hAnsi="宋体" w:cs="宋体"/>
          <w:b/>
          <w:color w:val="auto"/>
          <w:kern w:val="0"/>
          <w:szCs w:val="21"/>
          <w:highlight w:val="none"/>
        </w:rPr>
      </w:pPr>
      <w:r>
        <w:rPr>
          <w:rFonts w:hint="eastAsia" w:ascii="宋体" w:hAnsi="宋体" w:cs="宋体"/>
          <w:color w:val="auto"/>
          <w:kern w:val="0"/>
          <w:szCs w:val="21"/>
          <w:highlight w:val="none"/>
        </w:rPr>
        <w:t xml:space="preserve">（1）未按主合同约定的质量、数量和期限供应货物/提供服务/完成工程的； </w:t>
      </w:r>
    </w:p>
    <w:p w14:paraId="4338CDA7">
      <w:pPr>
        <w:adjustRightInd w:val="0"/>
        <w:snapToGrid w:val="0"/>
        <w:spacing w:line="360" w:lineRule="auto"/>
        <w:ind w:firstLine="420" w:firstLineChars="200"/>
        <w:rPr>
          <w:rFonts w:ascii="宋体" w:hAnsi="宋体" w:cs="宋体"/>
          <w:color w:val="auto"/>
          <w:kern w:val="0"/>
          <w:szCs w:val="21"/>
          <w:highlight w:val="none"/>
          <w:u w:val="single"/>
        </w:rPr>
      </w:pPr>
      <w:r>
        <w:rPr>
          <w:rFonts w:hint="eastAsia" w:ascii="宋体" w:hAnsi="宋体" w:cs="宋体"/>
          <w:color w:val="auto"/>
          <w:kern w:val="0"/>
          <w:szCs w:val="21"/>
          <w:highlight w:val="none"/>
        </w:rPr>
        <w:t>（2）</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w:t>
      </w:r>
    </w:p>
    <w:p w14:paraId="6DB328CF">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（二）我方的保证范围是主合同约定的合同价款总额的</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%数额为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元（大写</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），币种为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。（即主合同履约保证金金额）</w:t>
      </w:r>
    </w:p>
    <w:p w14:paraId="51A8ACB2">
      <w:pPr>
        <w:adjustRightInd w:val="0"/>
        <w:snapToGrid w:val="0"/>
        <w:spacing w:line="360" w:lineRule="auto"/>
        <w:ind w:firstLine="422" w:firstLineChars="200"/>
        <w:rPr>
          <w:rFonts w:ascii="宋体" w:hAnsi="宋体" w:cs="宋体"/>
          <w:b/>
          <w:color w:val="auto"/>
          <w:kern w:val="0"/>
          <w:szCs w:val="21"/>
          <w:highlight w:val="none"/>
        </w:rPr>
      </w:pPr>
      <w:r>
        <w:rPr>
          <w:rFonts w:hint="eastAsia" w:ascii="宋体" w:hAnsi="宋体" w:cs="宋体"/>
          <w:b/>
          <w:color w:val="auto"/>
          <w:kern w:val="0"/>
          <w:szCs w:val="21"/>
          <w:highlight w:val="none"/>
        </w:rPr>
        <w:t xml:space="preserve">二、保证的方式及保证期间 </w:t>
      </w:r>
    </w:p>
    <w:p w14:paraId="20667635">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 xml:space="preserve">我方保证的方式为：连带责任保证。 </w:t>
      </w:r>
    </w:p>
    <w:p w14:paraId="013B0C5C">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我方保证的期间为：自本合同生效之日起至供应商按照主合同约定的供货/完工期限届满后</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日内。</w:t>
      </w:r>
    </w:p>
    <w:p w14:paraId="2426BD94">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 xml:space="preserve">如果供应商未按主合同约定向贵方供应货物/提供服务/完成工程的，由我方在保证金额内向你方支付上述款项。 </w:t>
      </w:r>
    </w:p>
    <w:p w14:paraId="3181B552">
      <w:pPr>
        <w:adjustRightInd w:val="0"/>
        <w:snapToGrid w:val="0"/>
        <w:spacing w:line="360" w:lineRule="auto"/>
        <w:ind w:firstLine="422" w:firstLineChars="200"/>
        <w:rPr>
          <w:rFonts w:ascii="宋体" w:hAnsi="宋体" w:cs="宋体"/>
          <w:b/>
          <w:color w:val="auto"/>
          <w:kern w:val="0"/>
          <w:szCs w:val="21"/>
          <w:highlight w:val="none"/>
        </w:rPr>
      </w:pPr>
      <w:r>
        <w:rPr>
          <w:rFonts w:hint="eastAsia" w:ascii="宋体" w:hAnsi="宋体" w:cs="宋体"/>
          <w:b/>
          <w:color w:val="auto"/>
          <w:kern w:val="0"/>
          <w:szCs w:val="21"/>
          <w:highlight w:val="none"/>
        </w:rPr>
        <w:t>三、承担保证责任的程序</w:t>
      </w:r>
    </w:p>
    <w:p w14:paraId="7CF2210D">
      <w:pPr>
        <w:adjustRightInd w:val="0"/>
        <w:snapToGrid w:val="0"/>
        <w:spacing w:line="360" w:lineRule="auto"/>
        <w:ind w:firstLine="420" w:firstLineChars="200"/>
        <w:rPr>
          <w:rFonts w:ascii="宋体" w:hAnsi="宋体" w:cs="宋体"/>
          <w:b/>
          <w:color w:val="auto"/>
          <w:kern w:val="0"/>
          <w:szCs w:val="21"/>
          <w:highlight w:val="none"/>
        </w:rPr>
      </w:pPr>
      <w:r>
        <w:rPr>
          <w:rFonts w:hint="eastAsia" w:ascii="宋体" w:hAnsi="宋体" w:cs="宋体"/>
          <w:color w:val="auto"/>
          <w:kern w:val="0"/>
          <w:szCs w:val="21"/>
          <w:highlight w:val="none"/>
        </w:rPr>
        <w:t xml:space="preserve">1．你方要求我方承担保证责任的，应在本保函保证期间内向我方发出书面索赔通知。索赔通知应写明要求索赔的金额，支付款项应到达的帐号。并附有证明供应商违约事实的证明材料。 </w:t>
      </w:r>
    </w:p>
    <w:p w14:paraId="3BB68468">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如果你方与供应商因货物质量问题产生争议，你方还需同时提供</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部门出具的质量检测报告，或经诉讼（仲裁）程序裁决后的裁决书、调解书，本保证人即按照检测结果或裁决书、调解书决定是否承担保证责任。</w:t>
      </w:r>
    </w:p>
    <w:p w14:paraId="2FAA733F">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2．我方收到你方的书面索赔通知及相应证明材料，在</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工作日内进行核定后按照本保函的承诺承担保证责任。</w:t>
      </w:r>
    </w:p>
    <w:p w14:paraId="7D94CE5A">
      <w:pPr>
        <w:adjustRightInd w:val="0"/>
        <w:snapToGrid w:val="0"/>
        <w:spacing w:line="360" w:lineRule="auto"/>
        <w:ind w:firstLine="422" w:firstLineChars="200"/>
        <w:rPr>
          <w:rFonts w:ascii="宋体" w:hAnsi="宋体" w:cs="宋体"/>
          <w:b/>
          <w:color w:val="auto"/>
          <w:kern w:val="0"/>
          <w:szCs w:val="21"/>
          <w:highlight w:val="none"/>
        </w:rPr>
      </w:pPr>
      <w:r>
        <w:rPr>
          <w:rFonts w:hint="eastAsia" w:ascii="宋体" w:hAnsi="宋体" w:cs="宋体"/>
          <w:b/>
          <w:color w:val="auto"/>
          <w:kern w:val="0"/>
          <w:szCs w:val="21"/>
          <w:highlight w:val="none"/>
        </w:rPr>
        <w:t>四、保证责任的终止</w:t>
      </w:r>
    </w:p>
    <w:p w14:paraId="75351C11">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07FF8C87">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2．我方按照本保函向你方履行了保证责任后，自我方向你方支付款项（支付款项从我方账户划出）之日起，保证责任即终止。</w:t>
      </w:r>
    </w:p>
    <w:p w14:paraId="47DC5C00">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3．按照法律法规的规定或出现应终止我方保证责任的其它情形的，我方在本保函项下的保证责任亦终止。</w:t>
      </w:r>
    </w:p>
    <w:p w14:paraId="6496D88B">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78A43B07">
      <w:pPr>
        <w:adjustRightInd w:val="0"/>
        <w:snapToGrid w:val="0"/>
        <w:spacing w:line="360" w:lineRule="auto"/>
        <w:ind w:firstLine="422" w:firstLineChars="200"/>
        <w:rPr>
          <w:rFonts w:ascii="宋体" w:hAnsi="宋体" w:cs="宋体"/>
          <w:b/>
          <w:color w:val="auto"/>
          <w:kern w:val="0"/>
          <w:szCs w:val="21"/>
          <w:highlight w:val="none"/>
        </w:rPr>
      </w:pPr>
      <w:r>
        <w:rPr>
          <w:rFonts w:hint="eastAsia" w:ascii="宋体" w:hAnsi="宋体" w:cs="宋体"/>
          <w:b/>
          <w:color w:val="auto"/>
          <w:kern w:val="0"/>
          <w:szCs w:val="21"/>
          <w:highlight w:val="none"/>
        </w:rPr>
        <w:t>五、免责条款</w:t>
      </w:r>
    </w:p>
    <w:p w14:paraId="576B07DF">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1．因你方违反主合同约定致使供应商不能履行义务的，我方不承担保证责任。</w:t>
      </w:r>
    </w:p>
    <w:p w14:paraId="41885D88">
      <w:pPr>
        <w:adjustRightInd w:val="0"/>
        <w:snapToGrid w:val="0"/>
        <w:spacing w:line="360" w:lineRule="auto"/>
        <w:ind w:firstLine="420" w:firstLineChars="200"/>
        <w:rPr>
          <w:rFonts w:ascii="宋体" w:hAnsi="宋体" w:cs="宋体"/>
          <w:b/>
          <w:color w:val="auto"/>
          <w:kern w:val="0"/>
          <w:szCs w:val="21"/>
          <w:highlight w:val="none"/>
        </w:rPr>
      </w:pPr>
      <w:r>
        <w:rPr>
          <w:rFonts w:hint="eastAsia" w:ascii="宋体" w:hAnsi="宋体" w:cs="宋体"/>
          <w:color w:val="auto"/>
          <w:kern w:val="0"/>
          <w:szCs w:val="21"/>
          <w:highlight w:val="none"/>
        </w:rPr>
        <w:t>2．依照法律法规的规定或你方与供应商的另行约定，全部或者部分免除供应商应缴纳的保证金义务的，我方亦免除相应的保证责任。</w:t>
      </w:r>
    </w:p>
    <w:p w14:paraId="1CE2FDF2">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3．因不可抗力造成供应商不能履行供货义务的，我方不承担保证责任。</w:t>
      </w:r>
    </w:p>
    <w:p w14:paraId="70686B8B">
      <w:pPr>
        <w:adjustRightInd w:val="0"/>
        <w:snapToGrid w:val="0"/>
        <w:spacing w:line="360" w:lineRule="auto"/>
        <w:ind w:firstLine="422" w:firstLineChars="200"/>
        <w:rPr>
          <w:rFonts w:ascii="宋体" w:hAnsi="宋体" w:cs="宋体"/>
          <w:b/>
          <w:color w:val="auto"/>
          <w:kern w:val="0"/>
          <w:szCs w:val="21"/>
          <w:highlight w:val="none"/>
        </w:rPr>
      </w:pPr>
      <w:r>
        <w:rPr>
          <w:rFonts w:hint="eastAsia" w:ascii="宋体" w:hAnsi="宋体" w:cs="宋体"/>
          <w:b/>
          <w:color w:val="auto"/>
          <w:kern w:val="0"/>
          <w:szCs w:val="21"/>
          <w:highlight w:val="none"/>
        </w:rPr>
        <w:t>六、争议的解决</w:t>
      </w:r>
    </w:p>
    <w:p w14:paraId="3C163622">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因本保函发生的纠纷，由你我双方协商解决，协商不成的，通过诉讼程序解决，诉讼管辖地法院为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法院。</w:t>
      </w:r>
    </w:p>
    <w:p w14:paraId="160739AE">
      <w:pPr>
        <w:adjustRightInd w:val="0"/>
        <w:snapToGrid w:val="0"/>
        <w:spacing w:line="360" w:lineRule="auto"/>
        <w:ind w:firstLine="422" w:firstLineChars="200"/>
        <w:rPr>
          <w:rFonts w:ascii="宋体" w:hAnsi="宋体" w:cs="宋体"/>
          <w:b/>
          <w:color w:val="auto"/>
          <w:kern w:val="0"/>
          <w:szCs w:val="21"/>
          <w:highlight w:val="none"/>
        </w:rPr>
      </w:pPr>
      <w:r>
        <w:rPr>
          <w:rFonts w:hint="eastAsia" w:ascii="宋体" w:hAnsi="宋体" w:cs="宋体"/>
          <w:b/>
          <w:color w:val="auto"/>
          <w:kern w:val="0"/>
          <w:szCs w:val="21"/>
          <w:highlight w:val="none"/>
        </w:rPr>
        <w:t xml:space="preserve">七、保函的生效 </w:t>
      </w:r>
    </w:p>
    <w:p w14:paraId="04A66201">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 xml:space="preserve">本保函自我方加盖公章之日起生效。 </w:t>
      </w:r>
    </w:p>
    <w:p w14:paraId="6C93AE7F">
      <w:pPr>
        <w:tabs>
          <w:tab w:val="left" w:pos="2850"/>
        </w:tabs>
        <w:adjustRightInd w:val="0"/>
        <w:snapToGrid w:val="0"/>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 xml:space="preserve"> </w:t>
      </w:r>
      <w:r>
        <w:rPr>
          <w:rFonts w:ascii="宋体" w:hAnsi="宋体" w:cs="宋体"/>
          <w:color w:val="auto"/>
          <w:kern w:val="0"/>
          <w:szCs w:val="21"/>
          <w:highlight w:val="none"/>
        </w:rPr>
        <w:tab/>
      </w:r>
      <w:r>
        <w:rPr>
          <w:rFonts w:hint="eastAsia" w:ascii="宋体" w:hAnsi="宋体" w:cs="宋体"/>
          <w:color w:val="auto"/>
          <w:kern w:val="0"/>
          <w:szCs w:val="21"/>
          <w:highlight w:val="none"/>
        </w:rPr>
        <w:t xml:space="preserve">                            保证人：（公章） </w:t>
      </w:r>
    </w:p>
    <w:p w14:paraId="3D8D39A9">
      <w:pPr>
        <w:adjustRightInd w:val="0"/>
        <w:snapToGrid w:val="0"/>
        <w:spacing w:line="360" w:lineRule="auto"/>
        <w:rPr>
          <w:rFonts w:ascii="宋体" w:hAnsi="宋体" w:cs="宋体"/>
          <w:color w:val="auto"/>
          <w:kern w:val="0"/>
          <w:szCs w:val="21"/>
          <w:highlight w:val="none"/>
        </w:rPr>
        <w:sectPr>
          <w:pgSz w:w="11906" w:h="16838"/>
          <w:pgMar w:top="1440" w:right="1531" w:bottom="1440" w:left="1531" w:header="851" w:footer="992" w:gutter="0"/>
          <w:pgNumType w:fmt="decimal"/>
          <w:cols w:space="720" w:num="1"/>
          <w:docGrid w:type="lines" w:linePitch="312" w:charSpace="0"/>
        </w:sectPr>
      </w:pP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日</w:t>
      </w:r>
    </w:p>
    <w:p w14:paraId="1716464A">
      <w:pPr>
        <w:spacing w:line="360" w:lineRule="auto"/>
        <w:rPr>
          <w:rFonts w:hint="eastAsia" w:ascii="宋体" w:hAnsi="宋体"/>
          <w:b/>
          <w:bCs/>
          <w:color w:val="auto"/>
          <w:szCs w:val="21"/>
          <w:highlight w:val="none"/>
        </w:rPr>
      </w:pPr>
      <w:r>
        <w:rPr>
          <w:rFonts w:hint="eastAsia" w:ascii="宋体" w:hAnsi="宋体"/>
          <w:b/>
          <w:bCs/>
          <w:color w:val="auto"/>
          <w:szCs w:val="21"/>
          <w:highlight w:val="none"/>
        </w:rPr>
        <w:t>附页4</w:t>
      </w:r>
    </w:p>
    <w:p w14:paraId="02BFDF92">
      <w:pPr>
        <w:pStyle w:val="2"/>
        <w:ind w:left="0" w:leftChars="0" w:firstLine="0" w:firstLineChars="0"/>
        <w:jc w:val="center"/>
        <w:rPr>
          <w:color w:val="auto"/>
          <w:highlight w:val="none"/>
        </w:rPr>
      </w:pPr>
      <w:r>
        <w:rPr>
          <w:rFonts w:hint="eastAsia" w:ascii="宋体" w:hAnsi="宋体" w:cs="宋体"/>
          <w:b/>
          <w:color w:val="auto"/>
          <w:kern w:val="0"/>
          <w:sz w:val="28"/>
          <w:szCs w:val="28"/>
          <w:highlight w:val="none"/>
        </w:rPr>
        <w:t>评审因素和标准</w:t>
      </w:r>
    </w:p>
    <w:tbl>
      <w:tblPr>
        <w:tblStyle w:val="24"/>
        <w:tblpPr w:leftFromText="180" w:rightFromText="180" w:vertAnchor="text" w:horzAnchor="page" w:tblpXSpec="center" w:tblpY="535"/>
        <w:tblOverlap w:val="never"/>
        <w:tblW w:w="9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8"/>
        <w:gridCol w:w="1075"/>
        <w:gridCol w:w="699"/>
        <w:gridCol w:w="6180"/>
      </w:tblGrid>
      <w:tr w14:paraId="7D391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298" w:type="dxa"/>
            <w:noWrap w:val="0"/>
            <w:vAlign w:val="center"/>
          </w:tcPr>
          <w:p w14:paraId="39CC2776">
            <w:pPr>
              <w:pageBreakBefore w:val="0"/>
              <w:widowControl w:val="0"/>
              <w:kinsoku/>
              <w:wordWrap/>
              <w:overflowPunct/>
              <w:topLinePunct w:val="0"/>
              <w:autoSpaceDE/>
              <w:autoSpaceDN/>
              <w:bidi w:val="0"/>
              <w:adjustRightInd/>
              <w:spacing w:line="360" w:lineRule="exact"/>
              <w:jc w:val="center"/>
              <w:textAlignment w:val="auto"/>
              <w:rPr>
                <w:rFonts w:hint="eastAsia" w:ascii="宋体" w:hAnsi="宋体" w:cs="宋体"/>
                <w:color w:val="auto"/>
                <w:highlight w:val="none"/>
              </w:rPr>
            </w:pPr>
            <w:bookmarkStart w:id="47" w:name="_Toc485821379"/>
            <w:bookmarkStart w:id="48" w:name="_Toc17929"/>
            <w:r>
              <w:rPr>
                <w:rFonts w:hint="eastAsia" w:ascii="宋体" w:hAnsi="宋体" w:cs="宋体"/>
                <w:b/>
                <w:bCs/>
                <w:color w:val="auto"/>
                <w:szCs w:val="21"/>
                <w:highlight w:val="none"/>
              </w:rPr>
              <w:t>评审因素</w:t>
            </w:r>
          </w:p>
        </w:tc>
        <w:tc>
          <w:tcPr>
            <w:tcW w:w="1075" w:type="dxa"/>
            <w:noWrap w:val="0"/>
            <w:vAlign w:val="center"/>
          </w:tcPr>
          <w:p w14:paraId="531D6601">
            <w:pPr>
              <w:pageBreakBefore w:val="0"/>
              <w:widowControl w:val="0"/>
              <w:kinsoku/>
              <w:wordWrap/>
              <w:overflowPunct/>
              <w:topLinePunct w:val="0"/>
              <w:autoSpaceDE/>
              <w:autoSpaceDN/>
              <w:bidi w:val="0"/>
              <w:adjustRightInd/>
              <w:spacing w:line="360" w:lineRule="exact"/>
              <w:jc w:val="center"/>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计分因素</w:t>
            </w:r>
          </w:p>
        </w:tc>
        <w:tc>
          <w:tcPr>
            <w:tcW w:w="699" w:type="dxa"/>
            <w:noWrap w:val="0"/>
            <w:vAlign w:val="center"/>
          </w:tcPr>
          <w:p w14:paraId="16B77011">
            <w:pPr>
              <w:pageBreakBefore w:val="0"/>
              <w:widowControl w:val="0"/>
              <w:kinsoku/>
              <w:wordWrap/>
              <w:overflowPunct/>
              <w:topLinePunct w:val="0"/>
              <w:autoSpaceDE/>
              <w:autoSpaceDN/>
              <w:bidi w:val="0"/>
              <w:adjustRightInd/>
              <w:spacing w:line="360" w:lineRule="exact"/>
              <w:jc w:val="center"/>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分值</w:t>
            </w:r>
          </w:p>
        </w:tc>
        <w:tc>
          <w:tcPr>
            <w:tcW w:w="6180" w:type="dxa"/>
            <w:noWrap w:val="0"/>
            <w:vAlign w:val="center"/>
          </w:tcPr>
          <w:p w14:paraId="39E17DB8">
            <w:pPr>
              <w:pageBreakBefore w:val="0"/>
              <w:widowControl w:val="0"/>
              <w:kinsoku/>
              <w:wordWrap/>
              <w:overflowPunct/>
              <w:topLinePunct w:val="0"/>
              <w:autoSpaceDE/>
              <w:autoSpaceDN/>
              <w:bidi w:val="0"/>
              <w:adjustRightInd/>
              <w:spacing w:line="360" w:lineRule="exact"/>
              <w:jc w:val="center"/>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评分标准</w:t>
            </w:r>
          </w:p>
        </w:tc>
      </w:tr>
      <w:tr w14:paraId="535C8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98" w:type="dxa"/>
            <w:noWrap w:val="0"/>
            <w:vAlign w:val="center"/>
          </w:tcPr>
          <w:p w14:paraId="3E034ECF">
            <w:pPr>
              <w:pageBreakBefore w:val="0"/>
              <w:widowControl w:val="0"/>
              <w:kinsoku/>
              <w:wordWrap/>
              <w:overflowPunct/>
              <w:topLinePunct w:val="0"/>
              <w:autoSpaceDE/>
              <w:autoSpaceDN/>
              <w:bidi w:val="0"/>
              <w:adjustRightInd/>
              <w:spacing w:line="360" w:lineRule="exact"/>
              <w:jc w:val="center"/>
              <w:textAlignment w:val="auto"/>
              <w:rPr>
                <w:rFonts w:hint="eastAsia" w:ascii="宋体" w:hAnsi="宋体" w:cs="宋体"/>
                <w:color w:val="auto"/>
                <w:highlight w:val="none"/>
              </w:rPr>
            </w:pPr>
            <w:r>
              <w:rPr>
                <w:rFonts w:hint="eastAsia" w:ascii="宋体" w:hAnsi="宋体" w:cs="宋体"/>
                <w:color w:val="auto"/>
                <w:highlight w:val="none"/>
              </w:rPr>
              <w:t>价格部分</w:t>
            </w:r>
          </w:p>
          <w:p w14:paraId="12B79493">
            <w:pPr>
              <w:pageBreakBefore w:val="0"/>
              <w:widowControl w:val="0"/>
              <w:kinsoku/>
              <w:wordWrap/>
              <w:overflowPunct/>
              <w:topLinePunct w:val="0"/>
              <w:autoSpaceDE/>
              <w:autoSpaceDN/>
              <w:bidi w:val="0"/>
              <w:adjustRightInd/>
              <w:spacing w:line="360" w:lineRule="exact"/>
              <w:textAlignment w:val="auto"/>
              <w:rPr>
                <w:rFonts w:ascii="宋体" w:hAnsi="宋体" w:cs="宋体"/>
                <w:color w:val="auto"/>
                <w:highlight w:val="none"/>
              </w:rPr>
            </w:pPr>
            <w:r>
              <w:rPr>
                <w:rFonts w:hint="eastAsia" w:ascii="宋体" w:hAnsi="宋体" w:cs="宋体"/>
                <w:b/>
                <w:bCs/>
                <w:color w:val="auto"/>
                <w:highlight w:val="none"/>
              </w:rPr>
              <w:t>（</w:t>
            </w:r>
            <w:r>
              <w:rPr>
                <w:rFonts w:hint="eastAsia" w:ascii="宋体" w:hAnsi="宋体" w:cs="宋体"/>
                <w:b/>
                <w:bCs/>
                <w:color w:val="auto"/>
                <w:highlight w:val="none"/>
                <w:lang w:val="en-US" w:eastAsia="zh-CN"/>
              </w:rPr>
              <w:t>50</w:t>
            </w:r>
            <w:r>
              <w:rPr>
                <w:rFonts w:hint="eastAsia" w:ascii="宋体" w:hAnsi="宋体" w:cs="宋体"/>
                <w:b/>
                <w:bCs/>
                <w:color w:val="auto"/>
                <w:highlight w:val="none"/>
              </w:rPr>
              <w:t>分）</w:t>
            </w:r>
          </w:p>
        </w:tc>
        <w:tc>
          <w:tcPr>
            <w:tcW w:w="1075" w:type="dxa"/>
            <w:noWrap w:val="0"/>
            <w:vAlign w:val="center"/>
          </w:tcPr>
          <w:p w14:paraId="46009D96">
            <w:pPr>
              <w:pageBreakBefore w:val="0"/>
              <w:widowControl w:val="0"/>
              <w:kinsoku/>
              <w:wordWrap/>
              <w:overflowPunct/>
              <w:topLinePunct w:val="0"/>
              <w:autoSpaceDE/>
              <w:autoSpaceDN/>
              <w:bidi w:val="0"/>
              <w:adjustRightInd/>
              <w:spacing w:line="360" w:lineRule="exact"/>
              <w:jc w:val="center"/>
              <w:textAlignment w:val="auto"/>
              <w:rPr>
                <w:rFonts w:ascii="宋体" w:hAnsi="宋体" w:cs="宋体"/>
                <w:color w:val="auto"/>
                <w:highlight w:val="none"/>
              </w:rPr>
            </w:pPr>
            <w:r>
              <w:rPr>
                <w:rFonts w:hint="eastAsia" w:ascii="宋体" w:hAnsi="宋体" w:cs="宋体"/>
                <w:color w:val="auto"/>
                <w:highlight w:val="none"/>
              </w:rPr>
              <w:t>投标报价</w:t>
            </w:r>
          </w:p>
        </w:tc>
        <w:tc>
          <w:tcPr>
            <w:tcW w:w="699" w:type="dxa"/>
            <w:noWrap w:val="0"/>
            <w:vAlign w:val="center"/>
          </w:tcPr>
          <w:p w14:paraId="681FF59A">
            <w:pPr>
              <w:pageBreakBefore w:val="0"/>
              <w:widowControl w:val="0"/>
              <w:kinsoku/>
              <w:wordWrap/>
              <w:overflowPunct/>
              <w:topLinePunct w:val="0"/>
              <w:autoSpaceDE/>
              <w:autoSpaceDN/>
              <w:bidi w:val="0"/>
              <w:adjustRightInd/>
              <w:spacing w:line="360" w:lineRule="exact"/>
              <w:jc w:val="center"/>
              <w:textAlignment w:val="auto"/>
              <w:rPr>
                <w:rFonts w:ascii="宋体" w:hAnsi="宋体" w:cs="宋体"/>
                <w:color w:val="auto"/>
                <w:highlight w:val="none"/>
              </w:rPr>
            </w:pPr>
            <w:r>
              <w:rPr>
                <w:rFonts w:hint="eastAsia" w:ascii="宋体" w:hAnsi="宋体" w:cs="宋体"/>
                <w:b/>
                <w:bCs/>
                <w:color w:val="auto"/>
                <w:highlight w:val="none"/>
                <w:lang w:val="en-US" w:eastAsia="zh-CN"/>
              </w:rPr>
              <w:t>50</w:t>
            </w:r>
            <w:r>
              <w:rPr>
                <w:rFonts w:hint="eastAsia" w:ascii="宋体" w:hAnsi="宋体" w:cs="宋体"/>
                <w:b/>
                <w:bCs/>
                <w:color w:val="auto"/>
                <w:highlight w:val="none"/>
              </w:rPr>
              <w:t>分</w:t>
            </w:r>
          </w:p>
        </w:tc>
        <w:tc>
          <w:tcPr>
            <w:tcW w:w="6180" w:type="dxa"/>
            <w:noWrap w:val="0"/>
            <w:vAlign w:val="center"/>
          </w:tcPr>
          <w:p w14:paraId="57B63A41">
            <w:pPr>
              <w:pageBreakBefore w:val="0"/>
              <w:widowControl w:val="0"/>
              <w:kinsoku/>
              <w:wordWrap/>
              <w:overflowPunct/>
              <w:topLinePunct w:val="0"/>
              <w:autoSpaceDE/>
              <w:autoSpaceDN/>
              <w:bidi w:val="0"/>
              <w:adjustRightInd/>
              <w:spacing w:line="360" w:lineRule="exact"/>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满足磋商文件要求且投标报价中最低的投标报价为评标基准价其价格分为满分；其他投标供应商的价格分统一按照以下公式计算：投标报价计分=（评标基准价/投标报价）×</w:t>
            </w:r>
            <w:r>
              <w:rPr>
                <w:rFonts w:hint="eastAsia" w:ascii="宋体" w:hAnsi="宋体" w:cs="宋体"/>
                <w:color w:val="auto"/>
                <w:szCs w:val="21"/>
                <w:highlight w:val="none"/>
                <w:lang w:val="en-US" w:eastAsia="zh-CN"/>
              </w:rPr>
              <w:t>50</w:t>
            </w:r>
          </w:p>
          <w:p w14:paraId="739BADCC">
            <w:pPr>
              <w:pageBreakBefore w:val="0"/>
              <w:widowControl w:val="0"/>
              <w:kinsoku/>
              <w:wordWrap/>
              <w:overflowPunct/>
              <w:topLinePunct w:val="0"/>
              <w:autoSpaceDE/>
              <w:autoSpaceDN/>
              <w:bidi w:val="0"/>
              <w:adjustRightInd/>
              <w:spacing w:line="360" w:lineRule="exact"/>
              <w:textAlignment w:val="auto"/>
              <w:rPr>
                <w:rFonts w:ascii="宋体" w:hAnsi="宋体" w:cs="宋体"/>
                <w:color w:val="auto"/>
                <w:szCs w:val="21"/>
                <w:highlight w:val="none"/>
              </w:rPr>
            </w:pPr>
            <w:r>
              <w:rPr>
                <w:rFonts w:hint="eastAsia" w:ascii="宋体" w:hAnsi="宋体" w:cs="宋体"/>
                <w:color w:val="auto"/>
                <w:szCs w:val="21"/>
                <w:highlight w:val="none"/>
              </w:rPr>
              <w:t>注：磋商小组认为供应商报价明显过低，有可能影响服务质量或者不能诚信履约的，将被要求其在磋商现场合理时间内提供书面说明，必要时提交相关证明材料；不能证明其报价合理性的，磋商小组将其作为无效文件处理。</w:t>
            </w:r>
          </w:p>
        </w:tc>
      </w:tr>
      <w:tr w14:paraId="30A38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98" w:type="dxa"/>
            <w:vMerge w:val="restart"/>
            <w:noWrap w:val="0"/>
            <w:vAlign w:val="center"/>
          </w:tcPr>
          <w:p w14:paraId="090F4E6F">
            <w:pPr>
              <w:pageBreakBefore w:val="0"/>
              <w:widowControl w:val="0"/>
              <w:kinsoku/>
              <w:wordWrap/>
              <w:overflowPunct/>
              <w:topLinePunct w:val="0"/>
              <w:autoSpaceDE/>
              <w:autoSpaceDN/>
              <w:bidi w:val="0"/>
              <w:adjustRightInd/>
              <w:spacing w:line="360" w:lineRule="exact"/>
              <w:jc w:val="center"/>
              <w:textAlignment w:val="auto"/>
              <w:rPr>
                <w:rFonts w:ascii="宋体" w:hAnsi="宋体" w:cs="宋体"/>
                <w:color w:val="auto"/>
                <w:highlight w:val="none"/>
              </w:rPr>
            </w:pPr>
            <w:r>
              <w:rPr>
                <w:rFonts w:hint="eastAsia" w:ascii="宋体" w:hAnsi="宋体" w:cs="宋体"/>
                <w:color w:val="auto"/>
                <w:highlight w:val="none"/>
              </w:rPr>
              <w:t>技术部分</w:t>
            </w:r>
          </w:p>
          <w:p w14:paraId="39734DF6">
            <w:pPr>
              <w:pageBreakBefore w:val="0"/>
              <w:widowControl w:val="0"/>
              <w:kinsoku/>
              <w:wordWrap/>
              <w:overflowPunct/>
              <w:topLinePunct w:val="0"/>
              <w:autoSpaceDE/>
              <w:autoSpaceDN/>
              <w:bidi w:val="0"/>
              <w:adjustRightInd/>
              <w:spacing w:line="360" w:lineRule="exact"/>
              <w:jc w:val="center"/>
              <w:textAlignment w:val="auto"/>
              <w:rPr>
                <w:rFonts w:ascii="宋体" w:hAnsi="宋体" w:cs="宋体"/>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35</w:t>
            </w:r>
            <w:r>
              <w:rPr>
                <w:rFonts w:hint="eastAsia" w:ascii="宋体" w:hAnsi="宋体" w:cs="宋体"/>
                <w:color w:val="auto"/>
                <w:highlight w:val="none"/>
              </w:rPr>
              <w:t>分）</w:t>
            </w:r>
          </w:p>
        </w:tc>
        <w:tc>
          <w:tcPr>
            <w:tcW w:w="1075" w:type="dxa"/>
            <w:noWrap w:val="0"/>
            <w:vAlign w:val="center"/>
          </w:tcPr>
          <w:p w14:paraId="1F181460">
            <w:pPr>
              <w:pStyle w:val="34"/>
              <w:pageBreakBefore w:val="0"/>
              <w:widowControl w:val="0"/>
              <w:kinsoku/>
              <w:wordWrap/>
              <w:overflowPunct/>
              <w:topLinePunct w:val="0"/>
              <w:autoSpaceDE/>
              <w:autoSpaceDN/>
              <w:bidi w:val="0"/>
              <w:adjustRightInd/>
              <w:spacing w:line="360" w:lineRule="exact"/>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施工方案与技术措施</w:t>
            </w:r>
          </w:p>
        </w:tc>
        <w:tc>
          <w:tcPr>
            <w:tcW w:w="699" w:type="dxa"/>
            <w:noWrap w:val="0"/>
            <w:vAlign w:val="center"/>
          </w:tcPr>
          <w:p w14:paraId="542D1B38">
            <w:pPr>
              <w:pStyle w:val="34"/>
              <w:pageBreakBefore w:val="0"/>
              <w:widowControl w:val="0"/>
              <w:kinsoku/>
              <w:wordWrap/>
              <w:overflowPunct/>
              <w:topLinePunct w:val="0"/>
              <w:autoSpaceDE/>
              <w:autoSpaceDN/>
              <w:bidi w:val="0"/>
              <w:adjustRightInd/>
              <w:spacing w:line="360" w:lineRule="exact"/>
              <w:jc w:val="center"/>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12</w:t>
            </w:r>
            <w:r>
              <w:rPr>
                <w:rFonts w:hint="eastAsia" w:ascii="宋体" w:hAnsi="宋体" w:cs="宋体"/>
                <w:color w:val="auto"/>
                <w:szCs w:val="21"/>
                <w:highlight w:val="none"/>
              </w:rPr>
              <w:t>分</w:t>
            </w:r>
          </w:p>
        </w:tc>
        <w:tc>
          <w:tcPr>
            <w:tcW w:w="6180" w:type="dxa"/>
            <w:noWrap w:val="0"/>
            <w:vAlign w:val="center"/>
          </w:tcPr>
          <w:p w14:paraId="540BB53A">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olor w:val="auto"/>
                <w:highlight w:val="none"/>
              </w:rPr>
            </w:pPr>
            <w:r>
              <w:rPr>
                <w:rFonts w:hint="eastAsia" w:ascii="宋体" w:hAnsi="宋体"/>
                <w:color w:val="auto"/>
                <w:highlight w:val="none"/>
              </w:rPr>
              <w:t>供应商根据本项目的特点编制施工方案及技术措施，包括但不限于：</w:t>
            </w:r>
          </w:p>
          <w:p w14:paraId="02CC75A6">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olor w:val="auto"/>
                <w:highlight w:val="none"/>
              </w:rPr>
            </w:pPr>
            <w:r>
              <w:rPr>
                <w:rFonts w:hint="eastAsia" w:ascii="宋体" w:hAnsi="宋体"/>
                <w:color w:val="auto"/>
                <w:highlight w:val="none"/>
              </w:rPr>
              <w:t>1、施工总体部署及施工总体流程；</w:t>
            </w:r>
          </w:p>
          <w:p w14:paraId="62D1BE89">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olor w:val="auto"/>
                <w:highlight w:val="none"/>
              </w:rPr>
            </w:pPr>
            <w:r>
              <w:rPr>
                <w:rFonts w:hint="eastAsia" w:ascii="宋体" w:hAnsi="宋体"/>
                <w:color w:val="auto"/>
                <w:highlight w:val="none"/>
              </w:rPr>
              <w:t>2、施工顺序及施工工艺；</w:t>
            </w:r>
          </w:p>
          <w:p w14:paraId="2B0A75E9">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olor w:val="auto"/>
                <w:highlight w:val="none"/>
              </w:rPr>
            </w:pPr>
            <w:r>
              <w:rPr>
                <w:rFonts w:hint="eastAsia" w:ascii="宋体" w:hAnsi="宋体"/>
                <w:color w:val="auto"/>
                <w:highlight w:val="none"/>
              </w:rPr>
              <w:t>3、作业方法、作业流程及操作要领等。</w:t>
            </w:r>
          </w:p>
          <w:p w14:paraId="06CA2950">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olor w:val="auto"/>
                <w:highlight w:val="none"/>
              </w:rPr>
            </w:pPr>
            <w:r>
              <w:rPr>
                <w:rFonts w:hint="eastAsia" w:ascii="宋体" w:hAnsi="宋体"/>
                <w:color w:val="auto"/>
                <w:highlight w:val="none"/>
              </w:rPr>
              <w:t>方案完全符合采购需求且没有缺漏项的计</w:t>
            </w:r>
            <w:r>
              <w:rPr>
                <w:rFonts w:hint="eastAsia" w:ascii="宋体" w:hAnsi="宋体"/>
                <w:color w:val="auto"/>
                <w:highlight w:val="none"/>
                <w:lang w:val="en-US" w:eastAsia="zh-CN"/>
              </w:rPr>
              <w:t>12</w:t>
            </w:r>
            <w:r>
              <w:rPr>
                <w:rFonts w:hint="eastAsia" w:ascii="宋体" w:hAnsi="宋体"/>
                <w:color w:val="auto"/>
                <w:highlight w:val="none"/>
              </w:rPr>
              <w:t>分， 缺漏项的每处扣</w:t>
            </w:r>
            <w:r>
              <w:rPr>
                <w:rFonts w:hint="eastAsia" w:ascii="宋体" w:hAnsi="宋体"/>
                <w:color w:val="auto"/>
                <w:highlight w:val="none"/>
                <w:lang w:val="en-US" w:eastAsia="zh-CN"/>
              </w:rPr>
              <w:t>4</w:t>
            </w:r>
            <w:r>
              <w:rPr>
                <w:rFonts w:hint="eastAsia" w:ascii="宋体" w:hAnsi="宋体"/>
                <w:color w:val="auto"/>
                <w:highlight w:val="none"/>
              </w:rPr>
              <w:t>分，</w:t>
            </w:r>
            <w:r>
              <w:rPr>
                <w:rFonts w:hint="eastAsia" w:ascii="宋体" w:hAnsi="宋体"/>
                <w:color w:val="auto"/>
                <w:highlight w:val="none"/>
                <w:lang w:val="en-US" w:eastAsia="zh-CN"/>
              </w:rPr>
              <w:t>有不合理或不完善</w:t>
            </w:r>
            <w:r>
              <w:rPr>
                <w:rFonts w:hint="eastAsia" w:ascii="宋体" w:hAnsi="宋体"/>
                <w:color w:val="auto"/>
                <w:highlight w:val="none"/>
              </w:rPr>
              <w:t>的每处扣</w:t>
            </w:r>
            <w:r>
              <w:rPr>
                <w:rFonts w:hint="eastAsia" w:ascii="宋体" w:hAnsi="宋体"/>
                <w:color w:val="auto"/>
                <w:highlight w:val="none"/>
                <w:lang w:val="en-US" w:eastAsia="zh-CN"/>
              </w:rPr>
              <w:t>2</w:t>
            </w:r>
            <w:r>
              <w:rPr>
                <w:rFonts w:hint="eastAsia" w:ascii="宋体" w:hAnsi="宋体"/>
                <w:color w:val="auto"/>
                <w:highlight w:val="none"/>
              </w:rPr>
              <w:t>分，扣完为止，未提供不计分。</w:t>
            </w:r>
          </w:p>
          <w:p w14:paraId="371539FB">
            <w:pPr>
              <w:pStyle w:val="34"/>
              <w:pageBreakBefore w:val="0"/>
              <w:widowControl w:val="0"/>
              <w:kinsoku/>
              <w:wordWrap/>
              <w:overflowPunct/>
              <w:topLinePunct w:val="0"/>
              <w:autoSpaceDE/>
              <w:autoSpaceDN/>
              <w:bidi w:val="0"/>
              <w:adjustRightInd/>
              <w:spacing w:line="360" w:lineRule="exact"/>
              <w:jc w:val="left"/>
              <w:textAlignment w:val="auto"/>
              <w:rPr>
                <w:rFonts w:hint="eastAsia" w:ascii="宋体" w:hAnsi="宋体"/>
                <w:color w:val="auto"/>
                <w:highlight w:val="none"/>
              </w:rPr>
            </w:pPr>
            <w:r>
              <w:rPr>
                <w:rFonts w:hint="eastAsia" w:ascii="宋体" w:hAnsi="宋体"/>
                <w:color w:val="auto"/>
                <w:highlight w:val="none"/>
                <w:lang w:val="en-US" w:eastAsia="zh-CN"/>
              </w:rPr>
              <w:t>不合理或不完善</w:t>
            </w:r>
            <w:r>
              <w:rPr>
                <w:rFonts w:hint="eastAsia" w:ascii="宋体" w:hAnsi="宋体"/>
                <w:color w:val="auto"/>
                <w:highlight w:val="none"/>
              </w:rPr>
              <w:t>是指:非专门针对本项目或不适用项目特性的情形、内容不完整或缺少关键节点、套用其他项目方案、内容前后矛盾、涉及的规范及标准错误、不利于项目实施、不可能实现的情形等任意一种情形。</w:t>
            </w:r>
          </w:p>
        </w:tc>
      </w:tr>
      <w:tr w14:paraId="7D6B0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98" w:type="dxa"/>
            <w:vMerge w:val="continue"/>
            <w:noWrap w:val="0"/>
            <w:vAlign w:val="center"/>
          </w:tcPr>
          <w:p w14:paraId="2A28783E">
            <w:pPr>
              <w:pageBreakBefore w:val="0"/>
              <w:widowControl w:val="0"/>
              <w:kinsoku/>
              <w:wordWrap/>
              <w:overflowPunct/>
              <w:topLinePunct w:val="0"/>
              <w:autoSpaceDE/>
              <w:autoSpaceDN/>
              <w:bidi w:val="0"/>
              <w:adjustRightInd/>
              <w:spacing w:line="360" w:lineRule="exact"/>
              <w:jc w:val="center"/>
              <w:textAlignment w:val="auto"/>
              <w:rPr>
                <w:rFonts w:ascii="宋体" w:hAnsi="宋体" w:cs="宋体"/>
                <w:color w:val="auto"/>
                <w:highlight w:val="none"/>
              </w:rPr>
            </w:pPr>
          </w:p>
        </w:tc>
        <w:tc>
          <w:tcPr>
            <w:tcW w:w="1075" w:type="dxa"/>
            <w:noWrap w:val="0"/>
            <w:vAlign w:val="center"/>
          </w:tcPr>
          <w:p w14:paraId="78A239B6">
            <w:pPr>
              <w:pStyle w:val="34"/>
              <w:pageBreakBefore w:val="0"/>
              <w:widowControl w:val="0"/>
              <w:kinsoku/>
              <w:wordWrap/>
              <w:overflowPunct/>
              <w:topLinePunct w:val="0"/>
              <w:autoSpaceDE/>
              <w:autoSpaceDN/>
              <w:bidi w:val="0"/>
              <w:adjustRightInd/>
              <w:spacing w:line="360" w:lineRule="exact"/>
              <w:jc w:val="center"/>
              <w:textAlignment w:val="auto"/>
              <w:rPr>
                <w:rFonts w:ascii="宋体" w:hAnsi="宋体" w:cs="宋体"/>
                <w:color w:val="auto"/>
                <w:kern w:val="0"/>
                <w:szCs w:val="21"/>
                <w:highlight w:val="none"/>
              </w:rPr>
            </w:pPr>
            <w:r>
              <w:rPr>
                <w:rFonts w:hint="eastAsia" w:ascii="宋体" w:hAnsi="宋体" w:cs="宋体"/>
                <w:color w:val="auto"/>
                <w:szCs w:val="21"/>
                <w:highlight w:val="none"/>
              </w:rPr>
              <w:t>工程进度计划与保障措施</w:t>
            </w:r>
          </w:p>
        </w:tc>
        <w:tc>
          <w:tcPr>
            <w:tcW w:w="699" w:type="dxa"/>
            <w:noWrap w:val="0"/>
            <w:vAlign w:val="center"/>
          </w:tcPr>
          <w:p w14:paraId="1ADE0094">
            <w:pPr>
              <w:pStyle w:val="34"/>
              <w:pageBreakBefore w:val="0"/>
              <w:widowControl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kern w:val="0"/>
                <w:szCs w:val="21"/>
                <w:highlight w:val="none"/>
                <w:lang w:val="en-US" w:eastAsia="zh-CN"/>
              </w:rPr>
            </w:pPr>
            <w:r>
              <w:rPr>
                <w:rFonts w:hint="eastAsia" w:ascii="宋体" w:hAnsi="宋体" w:cs="宋体"/>
                <w:color w:val="auto"/>
                <w:szCs w:val="21"/>
                <w:highlight w:val="none"/>
                <w:lang w:val="en-US" w:eastAsia="zh-CN"/>
              </w:rPr>
              <w:t>6</w:t>
            </w:r>
          </w:p>
        </w:tc>
        <w:tc>
          <w:tcPr>
            <w:tcW w:w="6180" w:type="dxa"/>
            <w:noWrap w:val="0"/>
            <w:vAlign w:val="center"/>
          </w:tcPr>
          <w:p w14:paraId="62A8D5A6">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olor w:val="auto"/>
                <w:highlight w:val="none"/>
              </w:rPr>
            </w:pPr>
            <w:r>
              <w:rPr>
                <w:rFonts w:hint="eastAsia" w:ascii="宋体" w:hAnsi="宋体"/>
                <w:color w:val="auto"/>
                <w:highlight w:val="none"/>
              </w:rPr>
              <w:t>供应商根据本项目的特点编制施工方案及技术措施，包括但不限于：</w:t>
            </w:r>
          </w:p>
          <w:p w14:paraId="70F4740B">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olor w:val="auto"/>
                <w:highlight w:val="none"/>
              </w:rPr>
            </w:pPr>
            <w:r>
              <w:rPr>
                <w:rFonts w:hint="eastAsia" w:ascii="宋体" w:hAnsi="宋体"/>
                <w:color w:val="auto"/>
                <w:highlight w:val="none"/>
              </w:rPr>
              <w:t>1、</w:t>
            </w:r>
            <w:r>
              <w:rPr>
                <w:rFonts w:hint="eastAsia" w:ascii="宋体" w:hAnsi="宋体"/>
                <w:color w:val="auto"/>
                <w:highlight w:val="none"/>
                <w:lang w:val="en-US" w:eastAsia="zh-CN"/>
              </w:rPr>
              <w:t>工期要求</w:t>
            </w:r>
            <w:r>
              <w:rPr>
                <w:rFonts w:hint="eastAsia" w:ascii="宋体" w:hAnsi="宋体"/>
                <w:color w:val="auto"/>
                <w:highlight w:val="none"/>
              </w:rPr>
              <w:t>优于招标采购文件的要求；</w:t>
            </w:r>
          </w:p>
          <w:p w14:paraId="67512032">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olor w:val="auto"/>
                <w:highlight w:val="none"/>
              </w:rPr>
            </w:pPr>
            <w:r>
              <w:rPr>
                <w:rFonts w:hint="eastAsia" w:ascii="宋体" w:hAnsi="宋体"/>
                <w:color w:val="auto"/>
                <w:highlight w:val="none"/>
              </w:rPr>
              <w:t>2、施工进度计划内容全面，线路清晰、准确、完整，计划编制合理、可行；</w:t>
            </w:r>
          </w:p>
          <w:p w14:paraId="2EB05932">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olor w:val="auto"/>
                <w:highlight w:val="none"/>
              </w:rPr>
            </w:pPr>
            <w:r>
              <w:rPr>
                <w:rFonts w:hint="eastAsia" w:ascii="宋体" w:hAnsi="宋体"/>
                <w:color w:val="auto"/>
                <w:highlight w:val="none"/>
              </w:rPr>
              <w:t>3、施工措施有力、合理、可行。</w:t>
            </w:r>
          </w:p>
          <w:p w14:paraId="75DB99AF">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olor w:val="auto"/>
                <w:highlight w:val="none"/>
              </w:rPr>
            </w:pPr>
            <w:r>
              <w:rPr>
                <w:rFonts w:hint="eastAsia" w:ascii="宋体" w:hAnsi="宋体"/>
                <w:color w:val="auto"/>
                <w:highlight w:val="none"/>
              </w:rPr>
              <w:t>方案完全符合采购需求且没有缺漏项的计</w:t>
            </w:r>
            <w:r>
              <w:rPr>
                <w:rFonts w:hint="eastAsia" w:ascii="宋体" w:hAnsi="宋体"/>
                <w:color w:val="auto"/>
                <w:highlight w:val="none"/>
                <w:lang w:val="en-US" w:eastAsia="zh-CN"/>
              </w:rPr>
              <w:t>6</w:t>
            </w:r>
            <w:r>
              <w:rPr>
                <w:rFonts w:hint="eastAsia" w:ascii="宋体" w:hAnsi="宋体"/>
                <w:color w:val="auto"/>
                <w:highlight w:val="none"/>
              </w:rPr>
              <w:t>分， 缺漏项的每处扣</w:t>
            </w:r>
            <w:r>
              <w:rPr>
                <w:rFonts w:hint="eastAsia" w:ascii="宋体" w:hAnsi="宋体"/>
                <w:color w:val="auto"/>
                <w:highlight w:val="none"/>
                <w:lang w:val="en-US" w:eastAsia="zh-CN"/>
              </w:rPr>
              <w:t>2</w:t>
            </w:r>
            <w:r>
              <w:rPr>
                <w:rFonts w:hint="eastAsia" w:ascii="宋体" w:hAnsi="宋体"/>
                <w:color w:val="auto"/>
                <w:highlight w:val="none"/>
              </w:rPr>
              <w:t>分，</w:t>
            </w:r>
            <w:r>
              <w:rPr>
                <w:rFonts w:hint="eastAsia" w:ascii="宋体" w:hAnsi="宋体"/>
                <w:color w:val="auto"/>
                <w:highlight w:val="none"/>
                <w:lang w:val="en-US" w:eastAsia="zh-CN"/>
              </w:rPr>
              <w:t>有不合理或不完善</w:t>
            </w:r>
            <w:r>
              <w:rPr>
                <w:rFonts w:hint="eastAsia" w:ascii="宋体" w:hAnsi="宋体"/>
                <w:color w:val="auto"/>
                <w:highlight w:val="none"/>
              </w:rPr>
              <w:t>的每处扣</w:t>
            </w:r>
            <w:r>
              <w:rPr>
                <w:rFonts w:hint="eastAsia" w:ascii="宋体" w:hAnsi="宋体"/>
                <w:color w:val="auto"/>
                <w:highlight w:val="none"/>
                <w:lang w:val="en-US" w:eastAsia="zh-CN"/>
              </w:rPr>
              <w:t>1</w:t>
            </w:r>
            <w:r>
              <w:rPr>
                <w:rFonts w:hint="eastAsia" w:ascii="宋体" w:hAnsi="宋体"/>
                <w:color w:val="auto"/>
                <w:highlight w:val="none"/>
              </w:rPr>
              <w:t>分，扣完为止，未提供不计分。</w:t>
            </w:r>
          </w:p>
          <w:p w14:paraId="1CD70E44">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s="宋体"/>
                <w:bCs/>
                <w:color w:val="auto"/>
                <w:szCs w:val="21"/>
                <w:highlight w:val="none"/>
              </w:rPr>
            </w:pPr>
            <w:r>
              <w:rPr>
                <w:rFonts w:hint="eastAsia" w:ascii="宋体" w:hAnsi="宋体"/>
                <w:color w:val="auto"/>
                <w:highlight w:val="none"/>
                <w:lang w:val="en-US" w:eastAsia="zh-CN"/>
              </w:rPr>
              <w:t>不合理或不完善</w:t>
            </w:r>
            <w:r>
              <w:rPr>
                <w:rFonts w:hint="eastAsia" w:ascii="宋体" w:hAnsi="宋体"/>
                <w:color w:val="auto"/>
                <w:highlight w:val="none"/>
              </w:rPr>
              <w:t>是指:非专门针对本项目或不适用项目特性的情形、内容不完整或缺少关键节点、套用其他项目方案、内容前后矛盾、涉及的规范及标准错误、不利于项目实施、不可能实现的情形等任意一种情形。</w:t>
            </w:r>
          </w:p>
        </w:tc>
      </w:tr>
      <w:tr w14:paraId="41AF3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98" w:type="dxa"/>
            <w:vMerge w:val="continue"/>
            <w:noWrap w:val="0"/>
            <w:vAlign w:val="center"/>
          </w:tcPr>
          <w:p w14:paraId="66EEC509">
            <w:pPr>
              <w:pStyle w:val="39"/>
              <w:pageBreakBefore w:val="0"/>
              <w:widowControl w:val="0"/>
              <w:kinsoku/>
              <w:wordWrap/>
              <w:overflowPunct/>
              <w:topLinePunct w:val="0"/>
              <w:autoSpaceDE/>
              <w:autoSpaceDN/>
              <w:bidi w:val="0"/>
              <w:adjustRightInd/>
              <w:spacing w:line="360" w:lineRule="exact"/>
              <w:textAlignment w:val="auto"/>
              <w:rPr>
                <w:rFonts w:ascii="宋体" w:hAnsi="宋体" w:eastAsia="宋体" w:cs="宋体"/>
                <w:color w:val="auto"/>
                <w:highlight w:val="none"/>
              </w:rPr>
            </w:pPr>
          </w:p>
        </w:tc>
        <w:tc>
          <w:tcPr>
            <w:tcW w:w="1075" w:type="dxa"/>
            <w:noWrap w:val="0"/>
            <w:vAlign w:val="center"/>
          </w:tcPr>
          <w:p w14:paraId="4182911B">
            <w:pPr>
              <w:pStyle w:val="34"/>
              <w:pageBreakBefore w:val="0"/>
              <w:widowControl w:val="0"/>
              <w:kinsoku/>
              <w:wordWrap/>
              <w:overflowPunct/>
              <w:topLinePunct w:val="0"/>
              <w:autoSpaceDE/>
              <w:autoSpaceDN/>
              <w:bidi w:val="0"/>
              <w:adjustRightInd/>
              <w:spacing w:line="360" w:lineRule="exact"/>
              <w:jc w:val="center"/>
              <w:textAlignment w:val="auto"/>
              <w:rPr>
                <w:rFonts w:ascii="宋体" w:hAnsi="宋体" w:eastAsia="宋体" w:cs="宋体"/>
                <w:color w:val="auto"/>
                <w:kern w:val="2"/>
                <w:sz w:val="21"/>
                <w:szCs w:val="24"/>
                <w:highlight w:val="none"/>
                <w:lang w:val="en-US" w:eastAsia="zh-CN" w:bidi="ar-SA"/>
              </w:rPr>
            </w:pPr>
            <w:r>
              <w:rPr>
                <w:rFonts w:hint="eastAsia" w:ascii="宋体" w:hAnsi="宋体" w:cs="宋体"/>
                <w:color w:val="auto"/>
                <w:szCs w:val="21"/>
                <w:highlight w:val="none"/>
              </w:rPr>
              <w:t>质量管理体系与措施</w:t>
            </w:r>
          </w:p>
        </w:tc>
        <w:tc>
          <w:tcPr>
            <w:tcW w:w="699" w:type="dxa"/>
            <w:noWrap w:val="0"/>
            <w:vAlign w:val="center"/>
          </w:tcPr>
          <w:p w14:paraId="4CDCA10D">
            <w:pPr>
              <w:pStyle w:val="34"/>
              <w:pageBreakBefore w:val="0"/>
              <w:widowControl w:val="0"/>
              <w:kinsoku/>
              <w:wordWrap/>
              <w:overflowPunct/>
              <w:topLinePunct w:val="0"/>
              <w:autoSpaceDE/>
              <w:autoSpaceDN/>
              <w:bidi w:val="0"/>
              <w:adjustRightInd/>
              <w:spacing w:line="360" w:lineRule="exact"/>
              <w:jc w:val="center"/>
              <w:textAlignment w:val="auto"/>
              <w:rPr>
                <w:rFonts w:ascii="宋体" w:hAnsi="宋体" w:eastAsia="宋体" w:cs="宋体"/>
                <w:bCs/>
                <w:color w:val="auto"/>
                <w:kern w:val="2"/>
                <w:sz w:val="21"/>
                <w:szCs w:val="21"/>
                <w:highlight w:val="none"/>
                <w:lang w:val="en-US" w:eastAsia="zh-CN" w:bidi="ar-SA"/>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tc>
        <w:tc>
          <w:tcPr>
            <w:tcW w:w="6180" w:type="dxa"/>
            <w:noWrap w:val="0"/>
            <w:vAlign w:val="center"/>
          </w:tcPr>
          <w:p w14:paraId="33CC53BB">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s="宋体"/>
                <w:bCs/>
                <w:color w:val="auto"/>
                <w:kern w:val="0"/>
                <w:szCs w:val="21"/>
                <w:highlight w:val="none"/>
              </w:rPr>
            </w:pPr>
            <w:r>
              <w:rPr>
                <w:rFonts w:hint="eastAsia" w:ascii="宋体" w:hAnsi="宋体" w:cs="宋体"/>
                <w:color w:val="auto"/>
                <w:szCs w:val="21"/>
                <w:highlight w:val="none"/>
              </w:rPr>
              <w:t>供应商根据本项目的特点编制质量管理方案</w:t>
            </w:r>
            <w:r>
              <w:rPr>
                <w:rFonts w:hint="eastAsia" w:ascii="宋体" w:hAnsi="宋体" w:cs="宋体"/>
                <w:bCs/>
                <w:color w:val="auto"/>
                <w:kern w:val="0"/>
                <w:szCs w:val="21"/>
                <w:highlight w:val="none"/>
              </w:rPr>
              <w:t>，包括但不限于：</w:t>
            </w:r>
          </w:p>
          <w:p w14:paraId="111E3B3E">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olor w:val="auto"/>
                <w:highlight w:val="none"/>
              </w:rPr>
            </w:pPr>
            <w:r>
              <w:rPr>
                <w:rFonts w:hint="eastAsia" w:ascii="宋体" w:hAnsi="宋体" w:cs="宋体"/>
                <w:bCs/>
                <w:color w:val="auto"/>
                <w:kern w:val="0"/>
                <w:szCs w:val="21"/>
                <w:highlight w:val="none"/>
              </w:rPr>
              <w:t>1、质量保证体系及</w:t>
            </w:r>
            <w:r>
              <w:rPr>
                <w:rFonts w:hint="eastAsia" w:ascii="宋体" w:hAnsi="宋体"/>
                <w:color w:val="auto"/>
                <w:highlight w:val="none"/>
              </w:rPr>
              <w:t>质量管理制度；</w:t>
            </w:r>
          </w:p>
          <w:p w14:paraId="4D2DCE92">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olor w:val="auto"/>
                <w:highlight w:val="none"/>
              </w:rPr>
            </w:pPr>
            <w:r>
              <w:rPr>
                <w:rFonts w:hint="eastAsia" w:ascii="宋体" w:hAnsi="宋体"/>
                <w:color w:val="auto"/>
                <w:highlight w:val="none"/>
              </w:rPr>
              <w:t>2</w:t>
            </w:r>
            <w:r>
              <w:rPr>
                <w:rFonts w:hint="eastAsia" w:ascii="宋体" w:hAnsi="宋体" w:cs="宋体"/>
                <w:bCs/>
                <w:color w:val="auto"/>
                <w:kern w:val="0"/>
                <w:szCs w:val="21"/>
                <w:highlight w:val="none"/>
              </w:rPr>
              <w:t>、</w:t>
            </w:r>
            <w:r>
              <w:rPr>
                <w:rFonts w:hint="eastAsia" w:ascii="宋体" w:hAnsi="宋体"/>
                <w:color w:val="auto"/>
                <w:highlight w:val="none"/>
              </w:rPr>
              <w:t>质量控制措施；</w:t>
            </w:r>
          </w:p>
          <w:p w14:paraId="7AB588DA">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s="宋体"/>
                <w:bCs/>
                <w:color w:val="auto"/>
                <w:kern w:val="0"/>
                <w:szCs w:val="21"/>
                <w:highlight w:val="none"/>
              </w:rPr>
            </w:pPr>
            <w:r>
              <w:rPr>
                <w:rFonts w:hint="eastAsia" w:ascii="宋体" w:hAnsi="宋体"/>
                <w:color w:val="auto"/>
                <w:highlight w:val="none"/>
              </w:rPr>
              <w:t>3</w:t>
            </w:r>
            <w:r>
              <w:rPr>
                <w:rFonts w:hint="eastAsia" w:ascii="宋体" w:hAnsi="宋体" w:cs="宋体"/>
                <w:bCs/>
                <w:color w:val="auto"/>
                <w:kern w:val="0"/>
                <w:szCs w:val="21"/>
                <w:highlight w:val="none"/>
              </w:rPr>
              <w:t>、材料的质量检测、过程保管及使用等。</w:t>
            </w:r>
          </w:p>
          <w:p w14:paraId="0768F8BF">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olor w:val="auto"/>
                <w:highlight w:val="none"/>
              </w:rPr>
            </w:pPr>
            <w:r>
              <w:rPr>
                <w:rFonts w:hint="eastAsia" w:ascii="宋体" w:hAnsi="宋体"/>
                <w:color w:val="auto"/>
                <w:highlight w:val="none"/>
              </w:rPr>
              <w:t>方案完全符合采购需求且没有缺漏项的计</w:t>
            </w:r>
            <w:r>
              <w:rPr>
                <w:rFonts w:hint="eastAsia" w:ascii="宋体" w:hAnsi="宋体"/>
                <w:color w:val="auto"/>
                <w:highlight w:val="none"/>
                <w:lang w:val="en-US" w:eastAsia="zh-CN"/>
              </w:rPr>
              <w:t>6</w:t>
            </w:r>
            <w:r>
              <w:rPr>
                <w:rFonts w:hint="eastAsia" w:ascii="宋体" w:hAnsi="宋体"/>
                <w:color w:val="auto"/>
                <w:highlight w:val="none"/>
              </w:rPr>
              <w:t>分， 缺漏项的每处扣</w:t>
            </w:r>
            <w:r>
              <w:rPr>
                <w:rFonts w:hint="eastAsia" w:ascii="宋体" w:hAnsi="宋体"/>
                <w:color w:val="auto"/>
                <w:highlight w:val="none"/>
                <w:lang w:val="en-US" w:eastAsia="zh-CN"/>
              </w:rPr>
              <w:t>2</w:t>
            </w:r>
            <w:r>
              <w:rPr>
                <w:rFonts w:hint="eastAsia" w:ascii="宋体" w:hAnsi="宋体"/>
                <w:color w:val="auto"/>
                <w:highlight w:val="none"/>
              </w:rPr>
              <w:t>分，有</w:t>
            </w:r>
            <w:r>
              <w:rPr>
                <w:rFonts w:hint="eastAsia" w:ascii="宋体" w:hAnsi="宋体"/>
                <w:color w:val="auto"/>
                <w:highlight w:val="none"/>
                <w:lang w:val="en-US" w:eastAsia="zh-CN"/>
              </w:rPr>
              <w:t>不合理或不完善</w:t>
            </w:r>
            <w:r>
              <w:rPr>
                <w:rFonts w:hint="eastAsia" w:ascii="宋体" w:hAnsi="宋体"/>
                <w:color w:val="auto"/>
                <w:highlight w:val="none"/>
              </w:rPr>
              <w:t>的每处扣</w:t>
            </w:r>
            <w:r>
              <w:rPr>
                <w:rFonts w:hint="eastAsia" w:ascii="宋体" w:hAnsi="宋体"/>
                <w:color w:val="auto"/>
                <w:highlight w:val="none"/>
                <w:lang w:val="en-US" w:eastAsia="zh-CN"/>
              </w:rPr>
              <w:t>1</w:t>
            </w:r>
            <w:r>
              <w:rPr>
                <w:rFonts w:hint="eastAsia" w:ascii="宋体" w:hAnsi="宋体"/>
                <w:color w:val="auto"/>
                <w:highlight w:val="none"/>
              </w:rPr>
              <w:t>分，扣完为止，未提供不计分。</w:t>
            </w:r>
          </w:p>
          <w:p w14:paraId="332F4B3A">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eastAsia="宋体" w:cs="宋体"/>
                <w:bCs/>
                <w:color w:val="auto"/>
                <w:kern w:val="2"/>
                <w:sz w:val="21"/>
                <w:szCs w:val="21"/>
                <w:highlight w:val="none"/>
                <w:lang w:val="en-US" w:eastAsia="zh-CN" w:bidi="ar-SA"/>
              </w:rPr>
            </w:pPr>
            <w:r>
              <w:rPr>
                <w:rFonts w:hint="eastAsia" w:ascii="宋体" w:hAnsi="宋体"/>
                <w:color w:val="auto"/>
                <w:highlight w:val="none"/>
                <w:lang w:val="en-US" w:eastAsia="zh-CN"/>
              </w:rPr>
              <w:t>不合理或不完善</w:t>
            </w:r>
            <w:r>
              <w:rPr>
                <w:rFonts w:hint="eastAsia" w:ascii="宋体" w:hAnsi="宋体"/>
                <w:color w:val="auto"/>
                <w:highlight w:val="none"/>
              </w:rPr>
              <w:t>是指:非专门针对本项目或不适用项目特性的情形、内容不完整或缺少关键节点、套用其他项目方案、内容前后矛盾、涉及的规范及标准错误、不利于项目实施、不可能实现的情形等任意一种情形。</w:t>
            </w:r>
          </w:p>
        </w:tc>
      </w:tr>
      <w:tr w14:paraId="778A0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98" w:type="dxa"/>
            <w:vMerge w:val="continue"/>
            <w:noWrap w:val="0"/>
            <w:vAlign w:val="center"/>
          </w:tcPr>
          <w:p w14:paraId="4F677FF4">
            <w:pPr>
              <w:pageBreakBefore w:val="0"/>
              <w:widowControl w:val="0"/>
              <w:kinsoku/>
              <w:wordWrap/>
              <w:overflowPunct/>
              <w:topLinePunct w:val="0"/>
              <w:autoSpaceDE/>
              <w:autoSpaceDN/>
              <w:bidi w:val="0"/>
              <w:adjustRightInd/>
              <w:spacing w:line="360" w:lineRule="exact"/>
              <w:jc w:val="center"/>
              <w:textAlignment w:val="auto"/>
              <w:rPr>
                <w:rFonts w:ascii="宋体" w:hAnsi="宋体" w:cs="宋体"/>
                <w:color w:val="auto"/>
                <w:kern w:val="0"/>
                <w:szCs w:val="21"/>
                <w:highlight w:val="none"/>
              </w:rPr>
            </w:pPr>
          </w:p>
        </w:tc>
        <w:tc>
          <w:tcPr>
            <w:tcW w:w="1075" w:type="dxa"/>
            <w:noWrap w:val="0"/>
            <w:vAlign w:val="center"/>
          </w:tcPr>
          <w:p w14:paraId="48AAFDD7">
            <w:pPr>
              <w:pStyle w:val="34"/>
              <w:pageBreakBefore w:val="0"/>
              <w:widowControl w:val="0"/>
              <w:kinsoku/>
              <w:wordWrap/>
              <w:overflowPunct/>
              <w:topLinePunct w:val="0"/>
              <w:autoSpaceDE/>
              <w:autoSpaceDN/>
              <w:bidi w:val="0"/>
              <w:adjustRightInd/>
              <w:spacing w:line="360" w:lineRule="exact"/>
              <w:jc w:val="center"/>
              <w:textAlignment w:val="auto"/>
              <w:rPr>
                <w:rFonts w:ascii="宋体" w:hAnsi="宋体" w:eastAsia="宋体" w:cs="宋体"/>
                <w:color w:val="auto"/>
                <w:kern w:val="0"/>
                <w:sz w:val="21"/>
                <w:szCs w:val="21"/>
                <w:highlight w:val="none"/>
                <w:lang w:val="en-US" w:eastAsia="zh-CN" w:bidi="ar-SA"/>
              </w:rPr>
            </w:pPr>
            <w:r>
              <w:rPr>
                <w:rFonts w:hint="eastAsia" w:ascii="宋体" w:hAnsi="宋体" w:cs="宋体"/>
                <w:color w:val="auto"/>
                <w:szCs w:val="21"/>
                <w:highlight w:val="none"/>
              </w:rPr>
              <w:t>安全管理体系与措施</w:t>
            </w:r>
          </w:p>
        </w:tc>
        <w:tc>
          <w:tcPr>
            <w:tcW w:w="699" w:type="dxa"/>
            <w:noWrap w:val="0"/>
            <w:vAlign w:val="center"/>
          </w:tcPr>
          <w:p w14:paraId="4C7DCCB7">
            <w:pPr>
              <w:pStyle w:val="34"/>
              <w:pageBreakBefore w:val="0"/>
              <w:widowControl w:val="0"/>
              <w:kinsoku/>
              <w:wordWrap/>
              <w:overflowPunct/>
              <w:topLinePunct w:val="0"/>
              <w:autoSpaceDE/>
              <w:autoSpaceDN/>
              <w:bidi w:val="0"/>
              <w:adjustRightInd/>
              <w:spacing w:line="360" w:lineRule="exact"/>
              <w:jc w:val="center"/>
              <w:textAlignment w:val="auto"/>
              <w:rPr>
                <w:rFonts w:ascii="宋体" w:hAnsi="宋体" w:eastAsia="宋体" w:cs="宋体"/>
                <w:color w:val="auto"/>
                <w:kern w:val="0"/>
                <w:sz w:val="21"/>
                <w:szCs w:val="21"/>
                <w:highlight w:val="none"/>
                <w:lang w:val="en-US" w:eastAsia="zh-CN" w:bidi="ar-SA"/>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tc>
        <w:tc>
          <w:tcPr>
            <w:tcW w:w="6180" w:type="dxa"/>
            <w:noWrap w:val="0"/>
            <w:vAlign w:val="center"/>
          </w:tcPr>
          <w:p w14:paraId="7554CBB4">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s="宋体"/>
                <w:color w:val="auto"/>
                <w:szCs w:val="21"/>
                <w:highlight w:val="none"/>
              </w:rPr>
            </w:pPr>
            <w:r>
              <w:rPr>
                <w:rFonts w:hint="eastAsia" w:ascii="宋体" w:hAnsi="宋体" w:cs="宋体"/>
                <w:color w:val="auto"/>
                <w:szCs w:val="21"/>
                <w:highlight w:val="none"/>
              </w:rPr>
              <w:t>供应商根据本项目的特点编制安全管理方案，包括但不限于：</w:t>
            </w:r>
          </w:p>
          <w:p w14:paraId="7AC815FA">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olor w:val="auto"/>
                <w:highlight w:val="none"/>
              </w:rPr>
            </w:pPr>
            <w:r>
              <w:rPr>
                <w:rFonts w:hint="eastAsia" w:ascii="宋体" w:hAnsi="宋体" w:cs="宋体"/>
                <w:color w:val="auto"/>
                <w:szCs w:val="21"/>
                <w:highlight w:val="none"/>
              </w:rPr>
              <w:t>1</w:t>
            </w:r>
            <w:r>
              <w:rPr>
                <w:rFonts w:hint="eastAsia" w:ascii="宋体" w:hAnsi="宋体" w:cs="宋体"/>
                <w:bCs/>
                <w:color w:val="auto"/>
                <w:kern w:val="0"/>
                <w:szCs w:val="21"/>
                <w:highlight w:val="none"/>
              </w:rPr>
              <w:t>、</w:t>
            </w:r>
            <w:r>
              <w:rPr>
                <w:rFonts w:hint="eastAsia" w:ascii="宋体" w:hAnsi="宋体" w:cs="宋体"/>
                <w:color w:val="auto"/>
                <w:szCs w:val="21"/>
                <w:highlight w:val="none"/>
              </w:rPr>
              <w:t>安全管理体系及</w:t>
            </w:r>
            <w:r>
              <w:rPr>
                <w:rFonts w:hint="eastAsia" w:ascii="宋体" w:hAnsi="宋体"/>
                <w:color w:val="auto"/>
                <w:highlight w:val="none"/>
              </w:rPr>
              <w:t>安全管理制度；</w:t>
            </w:r>
          </w:p>
          <w:p w14:paraId="423CA0B7">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olor w:val="auto"/>
                <w:highlight w:val="none"/>
              </w:rPr>
            </w:pPr>
            <w:r>
              <w:rPr>
                <w:rFonts w:hint="eastAsia" w:ascii="宋体" w:hAnsi="宋体"/>
                <w:color w:val="auto"/>
                <w:highlight w:val="none"/>
              </w:rPr>
              <w:t>2</w:t>
            </w:r>
            <w:r>
              <w:rPr>
                <w:rFonts w:hint="eastAsia" w:ascii="宋体" w:hAnsi="宋体" w:cs="宋体"/>
                <w:bCs/>
                <w:color w:val="auto"/>
                <w:kern w:val="0"/>
                <w:szCs w:val="21"/>
                <w:highlight w:val="none"/>
              </w:rPr>
              <w:t>、</w:t>
            </w:r>
            <w:r>
              <w:rPr>
                <w:rFonts w:hint="eastAsia" w:ascii="宋体" w:hAnsi="宋体"/>
                <w:color w:val="auto"/>
                <w:highlight w:val="none"/>
              </w:rPr>
              <w:t>安全管理措施；</w:t>
            </w:r>
          </w:p>
          <w:p w14:paraId="154245FE">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olor w:val="auto"/>
                <w:highlight w:val="none"/>
              </w:rPr>
            </w:pPr>
            <w:r>
              <w:rPr>
                <w:rFonts w:hint="eastAsia" w:ascii="宋体" w:hAnsi="宋体"/>
                <w:color w:val="auto"/>
                <w:highlight w:val="none"/>
              </w:rPr>
              <w:t>3</w:t>
            </w:r>
            <w:r>
              <w:rPr>
                <w:rFonts w:hint="eastAsia" w:ascii="宋体" w:hAnsi="宋体" w:cs="宋体"/>
                <w:bCs/>
                <w:color w:val="auto"/>
                <w:kern w:val="0"/>
                <w:szCs w:val="21"/>
                <w:highlight w:val="none"/>
              </w:rPr>
              <w:t>、</w:t>
            </w:r>
            <w:r>
              <w:rPr>
                <w:rFonts w:hint="eastAsia" w:ascii="宋体" w:hAnsi="宋体"/>
                <w:color w:val="auto"/>
                <w:highlight w:val="none"/>
              </w:rPr>
              <w:t>应急预案及风险控制、危大工程安全管理等。</w:t>
            </w:r>
          </w:p>
          <w:p w14:paraId="4E3C8759">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olor w:val="auto"/>
                <w:highlight w:val="none"/>
              </w:rPr>
            </w:pPr>
            <w:r>
              <w:rPr>
                <w:rFonts w:hint="eastAsia" w:ascii="宋体" w:hAnsi="宋体"/>
                <w:color w:val="auto"/>
                <w:highlight w:val="none"/>
              </w:rPr>
              <w:t>方案完全符合采购需求且没有缺漏项的计</w:t>
            </w:r>
            <w:r>
              <w:rPr>
                <w:rFonts w:hint="eastAsia" w:ascii="宋体" w:hAnsi="宋体"/>
                <w:color w:val="auto"/>
                <w:highlight w:val="none"/>
                <w:lang w:val="en-US" w:eastAsia="zh-CN"/>
              </w:rPr>
              <w:t>6</w:t>
            </w:r>
            <w:r>
              <w:rPr>
                <w:rFonts w:hint="eastAsia" w:ascii="宋体" w:hAnsi="宋体"/>
                <w:color w:val="auto"/>
                <w:highlight w:val="none"/>
              </w:rPr>
              <w:t>分， 缺漏项的每处扣</w:t>
            </w:r>
            <w:r>
              <w:rPr>
                <w:rFonts w:hint="eastAsia" w:ascii="宋体" w:hAnsi="宋体"/>
                <w:color w:val="auto"/>
                <w:highlight w:val="none"/>
                <w:lang w:val="en-US" w:eastAsia="zh-CN"/>
              </w:rPr>
              <w:t>2</w:t>
            </w:r>
            <w:r>
              <w:rPr>
                <w:rFonts w:hint="eastAsia" w:ascii="宋体" w:hAnsi="宋体"/>
                <w:color w:val="auto"/>
                <w:highlight w:val="none"/>
              </w:rPr>
              <w:t>分，有</w:t>
            </w:r>
            <w:r>
              <w:rPr>
                <w:rFonts w:hint="eastAsia" w:ascii="宋体" w:hAnsi="宋体"/>
                <w:color w:val="auto"/>
                <w:highlight w:val="none"/>
                <w:lang w:val="en-US" w:eastAsia="zh-CN"/>
              </w:rPr>
              <w:t>不合理或不完善</w:t>
            </w:r>
            <w:r>
              <w:rPr>
                <w:rFonts w:hint="eastAsia" w:ascii="宋体" w:hAnsi="宋体"/>
                <w:color w:val="auto"/>
                <w:highlight w:val="none"/>
              </w:rPr>
              <w:t>的每处扣</w:t>
            </w:r>
            <w:r>
              <w:rPr>
                <w:rFonts w:hint="eastAsia" w:ascii="宋体" w:hAnsi="宋体"/>
                <w:color w:val="auto"/>
                <w:highlight w:val="none"/>
                <w:lang w:val="en-US" w:eastAsia="zh-CN"/>
              </w:rPr>
              <w:t>1</w:t>
            </w:r>
            <w:r>
              <w:rPr>
                <w:rFonts w:hint="eastAsia" w:ascii="宋体" w:hAnsi="宋体"/>
                <w:color w:val="auto"/>
                <w:highlight w:val="none"/>
              </w:rPr>
              <w:t>分，扣完为止，未提供不计分。</w:t>
            </w:r>
          </w:p>
          <w:p w14:paraId="0E6F554A">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eastAsia="宋体" w:cs="宋体"/>
                <w:bCs/>
                <w:color w:val="auto"/>
                <w:kern w:val="2"/>
                <w:sz w:val="21"/>
                <w:szCs w:val="21"/>
                <w:highlight w:val="none"/>
                <w:lang w:val="en-US" w:eastAsia="zh-CN" w:bidi="ar-SA"/>
              </w:rPr>
            </w:pPr>
            <w:r>
              <w:rPr>
                <w:rFonts w:hint="eastAsia" w:ascii="宋体" w:hAnsi="宋体"/>
                <w:color w:val="auto"/>
                <w:highlight w:val="none"/>
                <w:lang w:val="en-US" w:eastAsia="zh-CN"/>
              </w:rPr>
              <w:t>不合理或不完善</w:t>
            </w:r>
            <w:r>
              <w:rPr>
                <w:rFonts w:hint="eastAsia" w:ascii="宋体" w:hAnsi="宋体"/>
                <w:color w:val="auto"/>
                <w:highlight w:val="none"/>
              </w:rPr>
              <w:t>是指:非专门针对本项目或不适用项目特性的情形、内容不完整或缺少关键节点、套用其他项目方案、内容前后矛盾、涉及的规范及标准错误、不利于项目实施、不可能实现的情形等任意一种情形。</w:t>
            </w:r>
          </w:p>
        </w:tc>
      </w:tr>
      <w:tr w14:paraId="0F08B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98" w:type="dxa"/>
            <w:vMerge w:val="continue"/>
            <w:noWrap w:val="0"/>
            <w:vAlign w:val="center"/>
          </w:tcPr>
          <w:p w14:paraId="7A3A04EA">
            <w:pPr>
              <w:pageBreakBefore w:val="0"/>
              <w:widowControl w:val="0"/>
              <w:kinsoku/>
              <w:wordWrap/>
              <w:overflowPunct/>
              <w:topLinePunct w:val="0"/>
              <w:autoSpaceDE/>
              <w:autoSpaceDN/>
              <w:bidi w:val="0"/>
              <w:adjustRightInd/>
              <w:spacing w:line="360" w:lineRule="exact"/>
              <w:jc w:val="center"/>
              <w:textAlignment w:val="auto"/>
              <w:rPr>
                <w:rFonts w:ascii="宋体" w:hAnsi="宋体" w:cs="宋体"/>
                <w:color w:val="auto"/>
                <w:kern w:val="0"/>
                <w:szCs w:val="21"/>
                <w:highlight w:val="none"/>
              </w:rPr>
            </w:pPr>
          </w:p>
        </w:tc>
        <w:tc>
          <w:tcPr>
            <w:tcW w:w="1075" w:type="dxa"/>
            <w:noWrap w:val="0"/>
            <w:vAlign w:val="center"/>
          </w:tcPr>
          <w:p w14:paraId="4B949AF4">
            <w:pPr>
              <w:pStyle w:val="34"/>
              <w:pageBreakBefore w:val="0"/>
              <w:widowControl w:val="0"/>
              <w:kinsoku/>
              <w:wordWrap/>
              <w:overflowPunct/>
              <w:topLinePunct w:val="0"/>
              <w:autoSpaceDE/>
              <w:autoSpaceDN/>
              <w:bidi w:val="0"/>
              <w:adjustRightInd/>
              <w:spacing w:line="360" w:lineRule="exact"/>
              <w:jc w:val="center"/>
              <w:textAlignment w:val="auto"/>
              <w:rPr>
                <w:rFonts w:ascii="宋体" w:hAnsi="宋体" w:eastAsia="宋体" w:cs="宋体"/>
                <w:color w:val="auto"/>
                <w:kern w:val="0"/>
                <w:sz w:val="21"/>
                <w:szCs w:val="21"/>
                <w:highlight w:val="none"/>
                <w:lang w:val="en-US" w:eastAsia="zh-CN" w:bidi="ar-SA"/>
              </w:rPr>
            </w:pPr>
            <w:r>
              <w:rPr>
                <w:rFonts w:hint="eastAsia" w:ascii="宋体" w:hAnsi="宋体" w:cs="宋体"/>
                <w:color w:val="auto"/>
                <w:szCs w:val="21"/>
                <w:highlight w:val="none"/>
              </w:rPr>
              <w:t>文明施工及环境保护措施</w:t>
            </w:r>
          </w:p>
        </w:tc>
        <w:tc>
          <w:tcPr>
            <w:tcW w:w="699" w:type="dxa"/>
            <w:noWrap w:val="0"/>
            <w:vAlign w:val="center"/>
          </w:tcPr>
          <w:p w14:paraId="3F99026B">
            <w:pPr>
              <w:pStyle w:val="34"/>
              <w:pageBreakBefore w:val="0"/>
              <w:widowControl w:val="0"/>
              <w:kinsoku/>
              <w:wordWrap/>
              <w:overflowPunct/>
              <w:topLinePunct w:val="0"/>
              <w:autoSpaceDE/>
              <w:autoSpaceDN/>
              <w:bidi w:val="0"/>
              <w:adjustRightInd/>
              <w:spacing w:line="360" w:lineRule="exact"/>
              <w:jc w:val="center"/>
              <w:textAlignment w:val="auto"/>
              <w:rPr>
                <w:rFonts w:ascii="宋体" w:hAnsi="宋体" w:eastAsia="宋体" w:cs="宋体"/>
                <w:color w:val="auto"/>
                <w:kern w:val="0"/>
                <w:sz w:val="21"/>
                <w:szCs w:val="21"/>
                <w:highlight w:val="none"/>
                <w:lang w:val="en-US" w:eastAsia="zh-CN" w:bidi="ar-SA"/>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tc>
        <w:tc>
          <w:tcPr>
            <w:tcW w:w="6180" w:type="dxa"/>
            <w:noWrap w:val="0"/>
            <w:vAlign w:val="center"/>
          </w:tcPr>
          <w:p w14:paraId="218F314E">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s="宋体"/>
                <w:color w:val="auto"/>
                <w:szCs w:val="21"/>
                <w:highlight w:val="none"/>
              </w:rPr>
            </w:pPr>
            <w:r>
              <w:rPr>
                <w:rFonts w:hint="eastAsia" w:ascii="宋体" w:hAnsi="宋体" w:cs="宋体"/>
                <w:bCs/>
                <w:color w:val="auto"/>
                <w:kern w:val="0"/>
                <w:szCs w:val="21"/>
                <w:highlight w:val="none"/>
              </w:rPr>
              <w:t>供应商根据本工程的特点编制文明施工及环境保护方案，</w:t>
            </w:r>
            <w:r>
              <w:rPr>
                <w:rFonts w:hint="eastAsia" w:ascii="宋体" w:hAnsi="宋体" w:cs="宋体"/>
                <w:color w:val="auto"/>
                <w:szCs w:val="21"/>
                <w:highlight w:val="none"/>
              </w:rPr>
              <w:t>包括但不限于：</w:t>
            </w:r>
          </w:p>
          <w:p w14:paraId="2764A5C7">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s="宋体"/>
                <w:bCs/>
                <w:color w:val="auto"/>
                <w:kern w:val="0"/>
                <w:szCs w:val="21"/>
                <w:highlight w:val="none"/>
              </w:rPr>
            </w:pPr>
            <w:r>
              <w:rPr>
                <w:rFonts w:hint="eastAsia" w:ascii="宋体" w:hAnsi="宋体" w:cs="宋体"/>
                <w:color w:val="auto"/>
                <w:szCs w:val="21"/>
                <w:highlight w:val="none"/>
              </w:rPr>
              <w:t>1</w:t>
            </w:r>
            <w:r>
              <w:rPr>
                <w:rFonts w:hint="eastAsia" w:ascii="宋体" w:hAnsi="宋体" w:cs="宋体"/>
                <w:bCs/>
                <w:color w:val="auto"/>
                <w:kern w:val="0"/>
                <w:szCs w:val="21"/>
                <w:highlight w:val="none"/>
              </w:rPr>
              <w:t>、</w:t>
            </w:r>
            <w:r>
              <w:rPr>
                <w:rFonts w:hint="eastAsia" w:ascii="宋体" w:hAnsi="宋体" w:cs="宋体"/>
                <w:color w:val="auto"/>
                <w:szCs w:val="21"/>
                <w:highlight w:val="none"/>
              </w:rPr>
              <w:t>环境</w:t>
            </w:r>
            <w:r>
              <w:rPr>
                <w:rFonts w:hint="eastAsia" w:ascii="宋体" w:hAnsi="宋体" w:cs="宋体"/>
                <w:bCs/>
                <w:color w:val="auto"/>
                <w:kern w:val="0"/>
                <w:szCs w:val="21"/>
                <w:highlight w:val="none"/>
              </w:rPr>
              <w:t>管理制度；</w:t>
            </w:r>
          </w:p>
          <w:p w14:paraId="68975D61">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s="宋体"/>
                <w:bCs/>
                <w:color w:val="auto"/>
                <w:kern w:val="0"/>
                <w:szCs w:val="21"/>
                <w:highlight w:val="none"/>
              </w:rPr>
            </w:pPr>
            <w:r>
              <w:rPr>
                <w:rFonts w:hint="eastAsia" w:ascii="宋体" w:hAnsi="宋体" w:cs="宋体"/>
                <w:bCs/>
                <w:color w:val="auto"/>
                <w:kern w:val="0"/>
                <w:szCs w:val="21"/>
                <w:highlight w:val="none"/>
              </w:rPr>
              <w:t>2、现场文明施工管理；</w:t>
            </w:r>
          </w:p>
          <w:p w14:paraId="3BB15010">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s="宋体"/>
                <w:bCs/>
                <w:color w:val="auto"/>
                <w:kern w:val="0"/>
                <w:szCs w:val="21"/>
                <w:highlight w:val="none"/>
              </w:rPr>
            </w:pPr>
            <w:r>
              <w:rPr>
                <w:rFonts w:hint="eastAsia" w:ascii="宋体" w:hAnsi="宋体" w:cs="宋体"/>
                <w:bCs/>
                <w:color w:val="auto"/>
                <w:kern w:val="0"/>
                <w:szCs w:val="21"/>
                <w:highlight w:val="none"/>
              </w:rPr>
              <w:t>3、</w:t>
            </w:r>
            <w:r>
              <w:rPr>
                <w:rFonts w:hint="eastAsia" w:ascii="宋体" w:hAnsi="宋体" w:cs="宋体"/>
                <w:color w:val="auto"/>
                <w:szCs w:val="21"/>
                <w:highlight w:val="none"/>
              </w:rPr>
              <w:t>施工现场卫生与防疫</w:t>
            </w:r>
            <w:r>
              <w:rPr>
                <w:rFonts w:hint="eastAsia" w:ascii="宋体" w:hAnsi="宋体" w:cs="宋体"/>
                <w:color w:val="auto"/>
                <w:kern w:val="0"/>
                <w:szCs w:val="21"/>
                <w:highlight w:val="none"/>
              </w:rPr>
              <w:t>、噪音控制、污水控制、扬尘控制、材料堆放等</w:t>
            </w:r>
            <w:r>
              <w:rPr>
                <w:rFonts w:hint="eastAsia" w:ascii="宋体" w:hAnsi="宋体" w:cs="宋体"/>
                <w:bCs/>
                <w:color w:val="auto"/>
                <w:kern w:val="0"/>
                <w:szCs w:val="21"/>
                <w:highlight w:val="none"/>
              </w:rPr>
              <w:t>。</w:t>
            </w:r>
          </w:p>
          <w:p w14:paraId="03AD885F">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color w:val="auto"/>
                <w:highlight w:val="none"/>
              </w:rPr>
            </w:pPr>
            <w:r>
              <w:rPr>
                <w:rFonts w:hint="eastAsia" w:ascii="宋体" w:hAnsi="宋体"/>
                <w:color w:val="auto"/>
                <w:highlight w:val="none"/>
              </w:rPr>
              <w:t>方案完全符合采购需求且没有缺漏项的计</w:t>
            </w:r>
            <w:r>
              <w:rPr>
                <w:rFonts w:hint="eastAsia" w:ascii="宋体" w:hAnsi="宋体"/>
                <w:color w:val="auto"/>
                <w:highlight w:val="none"/>
                <w:lang w:val="en-US" w:eastAsia="zh-CN"/>
              </w:rPr>
              <w:t>5</w:t>
            </w:r>
            <w:r>
              <w:rPr>
                <w:rFonts w:hint="eastAsia" w:ascii="宋体" w:hAnsi="宋体"/>
                <w:color w:val="auto"/>
                <w:highlight w:val="none"/>
              </w:rPr>
              <w:t>分， 缺漏项的每处扣2分，有</w:t>
            </w:r>
            <w:r>
              <w:rPr>
                <w:rFonts w:hint="eastAsia" w:ascii="宋体" w:hAnsi="宋体"/>
                <w:color w:val="auto"/>
                <w:highlight w:val="none"/>
                <w:lang w:val="en-US" w:eastAsia="zh-CN"/>
              </w:rPr>
              <w:t>不合理或不完善</w:t>
            </w:r>
            <w:r>
              <w:rPr>
                <w:rFonts w:hint="eastAsia" w:ascii="宋体" w:hAnsi="宋体"/>
                <w:color w:val="auto"/>
                <w:highlight w:val="none"/>
              </w:rPr>
              <w:t>的每处扣1分，扣完为止，未提供不计分。</w:t>
            </w:r>
          </w:p>
          <w:p w14:paraId="06B809E7">
            <w:pPr>
              <w:pStyle w:val="34"/>
              <w:pageBreakBefore w:val="0"/>
              <w:widowControl w:val="0"/>
              <w:kinsoku/>
              <w:wordWrap/>
              <w:overflowPunct/>
              <w:topLinePunct w:val="0"/>
              <w:autoSpaceDE/>
              <w:autoSpaceDN/>
              <w:bidi w:val="0"/>
              <w:adjustRightInd/>
              <w:spacing w:line="360" w:lineRule="exact"/>
              <w:jc w:val="left"/>
              <w:textAlignment w:val="auto"/>
              <w:rPr>
                <w:rFonts w:ascii="宋体" w:hAnsi="宋体" w:eastAsia="宋体" w:cs="宋体"/>
                <w:bCs/>
                <w:color w:val="auto"/>
                <w:kern w:val="2"/>
                <w:sz w:val="21"/>
                <w:szCs w:val="21"/>
                <w:highlight w:val="none"/>
                <w:lang w:val="en-US" w:eastAsia="zh-CN" w:bidi="ar-SA"/>
              </w:rPr>
            </w:pPr>
            <w:r>
              <w:rPr>
                <w:rFonts w:hint="eastAsia" w:ascii="宋体" w:hAnsi="宋体"/>
                <w:color w:val="auto"/>
                <w:highlight w:val="none"/>
                <w:lang w:val="en-US" w:eastAsia="zh-CN"/>
              </w:rPr>
              <w:t>不合理或不完善</w:t>
            </w:r>
            <w:r>
              <w:rPr>
                <w:rFonts w:hint="eastAsia" w:ascii="宋体" w:hAnsi="宋体"/>
                <w:color w:val="auto"/>
                <w:highlight w:val="none"/>
              </w:rPr>
              <w:t>是指:非专门针对本项目或不适用项目特性的情形、内容不完整或缺少关键节点、套用其他项目方案、内容前后矛盾、涉及的规范及标准错误、不利于项目实施、不可能实现的情形等任意一种情形。</w:t>
            </w:r>
          </w:p>
        </w:tc>
      </w:tr>
      <w:tr w14:paraId="13116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1298" w:type="dxa"/>
            <w:noWrap w:val="0"/>
            <w:vAlign w:val="center"/>
          </w:tcPr>
          <w:p w14:paraId="0B54AAAC">
            <w:pPr>
              <w:pageBreakBefore w:val="0"/>
              <w:widowControl w:val="0"/>
              <w:kinsoku/>
              <w:wordWrap/>
              <w:overflowPunct/>
              <w:topLinePunct w:val="0"/>
              <w:autoSpaceDE/>
              <w:autoSpaceDN/>
              <w:bidi w:val="0"/>
              <w:adjustRightInd/>
              <w:spacing w:line="360" w:lineRule="exact"/>
              <w:jc w:val="center"/>
              <w:textAlignment w:val="auto"/>
              <w:rPr>
                <w:rFonts w:ascii="宋体" w:hAnsi="宋体"/>
                <w:color w:val="auto"/>
                <w:highlight w:val="none"/>
              </w:rPr>
            </w:pPr>
            <w:r>
              <w:rPr>
                <w:rFonts w:hint="eastAsia" w:ascii="宋体" w:hAnsi="宋体"/>
                <w:color w:val="auto"/>
                <w:highlight w:val="none"/>
              </w:rPr>
              <w:t>商务部分</w:t>
            </w:r>
          </w:p>
          <w:p w14:paraId="58DF1328">
            <w:pPr>
              <w:pageBreakBefore w:val="0"/>
              <w:widowControl w:val="0"/>
              <w:kinsoku/>
              <w:wordWrap/>
              <w:overflowPunct/>
              <w:topLinePunct w:val="0"/>
              <w:autoSpaceDE/>
              <w:autoSpaceDN/>
              <w:bidi w:val="0"/>
              <w:adjustRightInd/>
              <w:spacing w:line="360" w:lineRule="exact"/>
              <w:textAlignment w:val="auto"/>
              <w:rPr>
                <w:color w:val="auto"/>
                <w:highlight w:val="none"/>
              </w:rPr>
            </w:pPr>
            <w:r>
              <w:rPr>
                <w:rFonts w:hint="eastAsia" w:ascii="宋体" w:hAnsi="宋体"/>
                <w:color w:val="auto"/>
                <w:highlight w:val="none"/>
              </w:rPr>
              <w:t>（15分）</w:t>
            </w:r>
          </w:p>
        </w:tc>
        <w:tc>
          <w:tcPr>
            <w:tcW w:w="1075" w:type="dxa"/>
            <w:noWrap w:val="0"/>
            <w:vAlign w:val="center"/>
          </w:tcPr>
          <w:p w14:paraId="5308A5B5">
            <w:pPr>
              <w:pStyle w:val="34"/>
              <w:pageBreakBefore w:val="0"/>
              <w:widowControl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类似业绩</w:t>
            </w:r>
          </w:p>
        </w:tc>
        <w:tc>
          <w:tcPr>
            <w:tcW w:w="699" w:type="dxa"/>
            <w:noWrap w:val="0"/>
            <w:vAlign w:val="center"/>
          </w:tcPr>
          <w:p w14:paraId="017A64A8">
            <w:pPr>
              <w:pStyle w:val="34"/>
              <w:pageBreakBefore w:val="0"/>
              <w:widowControl w:val="0"/>
              <w:kinsoku/>
              <w:wordWrap/>
              <w:overflowPunct/>
              <w:topLinePunct w:val="0"/>
              <w:autoSpaceDE/>
              <w:autoSpaceDN/>
              <w:bidi w:val="0"/>
              <w:adjustRightInd/>
              <w:spacing w:line="360" w:lineRule="exact"/>
              <w:jc w:val="center"/>
              <w:textAlignment w:val="auto"/>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分</w:t>
            </w:r>
          </w:p>
        </w:tc>
        <w:tc>
          <w:tcPr>
            <w:tcW w:w="6180" w:type="dxa"/>
            <w:noWrap w:val="0"/>
            <w:vAlign w:val="center"/>
          </w:tcPr>
          <w:p w14:paraId="247E31F6">
            <w:pPr>
              <w:pageBreakBefore w:val="0"/>
              <w:widowControl w:val="0"/>
              <w:kinsoku/>
              <w:wordWrap/>
              <w:overflowPunct/>
              <w:topLinePunct w:val="0"/>
              <w:autoSpaceDE/>
              <w:autoSpaceDN/>
              <w:bidi w:val="0"/>
              <w:adjustRightInd/>
              <w:snapToGrid w:val="0"/>
              <w:spacing w:line="360" w:lineRule="exact"/>
              <w:jc w:val="left"/>
              <w:textAlignment w:val="auto"/>
              <w:rPr>
                <w:rFonts w:ascii="宋体" w:hAnsi="宋体" w:cs="宋体"/>
                <w:b/>
                <w:bCs/>
                <w:color w:val="auto"/>
                <w:kern w:val="0"/>
                <w:szCs w:val="21"/>
                <w:highlight w:val="none"/>
              </w:rPr>
            </w:pPr>
            <w:r>
              <w:rPr>
                <w:rFonts w:hint="eastAsia" w:ascii="宋体" w:hAnsi="宋体" w:cs="宋体"/>
                <w:bCs/>
                <w:color w:val="auto"/>
                <w:kern w:val="0"/>
                <w:szCs w:val="21"/>
                <w:highlight w:val="none"/>
              </w:rPr>
              <w:t>供应商</w:t>
            </w:r>
            <w:r>
              <w:rPr>
                <w:rFonts w:hint="eastAsia" w:ascii="宋体" w:hAnsi="宋体"/>
                <w:color w:val="auto"/>
                <w:szCs w:val="21"/>
                <w:highlight w:val="none"/>
              </w:rPr>
              <w:t>提供近三年（投标截止时间前1095天）</w:t>
            </w:r>
            <w:r>
              <w:rPr>
                <w:rFonts w:hint="eastAsia" w:ascii="宋体" w:hAnsi="宋体"/>
                <w:color w:val="auto"/>
                <w:highlight w:val="none"/>
              </w:rPr>
              <w:t>具有类似项目业绩的每</w:t>
            </w:r>
            <w:r>
              <w:rPr>
                <w:rFonts w:hint="eastAsia" w:ascii="宋体" w:hAnsi="宋体"/>
                <w:color w:val="auto"/>
                <w:szCs w:val="21"/>
                <w:highlight w:val="none"/>
              </w:rPr>
              <w:t>个计</w:t>
            </w:r>
            <w:r>
              <w:rPr>
                <w:rFonts w:hint="eastAsia" w:ascii="宋体" w:hAnsi="宋体"/>
                <w:color w:val="auto"/>
                <w:szCs w:val="21"/>
                <w:highlight w:val="none"/>
                <w:lang w:val="en-US" w:eastAsia="zh-CN"/>
              </w:rPr>
              <w:t>5</w:t>
            </w:r>
            <w:r>
              <w:rPr>
                <w:rFonts w:hint="eastAsia" w:ascii="宋体" w:hAnsi="宋体"/>
                <w:color w:val="auto"/>
                <w:szCs w:val="21"/>
                <w:highlight w:val="none"/>
              </w:rPr>
              <w:t>分，满分1</w:t>
            </w:r>
            <w:r>
              <w:rPr>
                <w:rFonts w:hint="eastAsia" w:ascii="宋体" w:hAnsi="宋体"/>
                <w:color w:val="auto"/>
                <w:szCs w:val="21"/>
                <w:highlight w:val="none"/>
                <w:lang w:val="en-US" w:eastAsia="zh-CN"/>
              </w:rPr>
              <w:t>5</w:t>
            </w:r>
            <w:r>
              <w:rPr>
                <w:rFonts w:hint="eastAsia" w:ascii="宋体" w:hAnsi="宋体"/>
                <w:color w:val="auto"/>
                <w:szCs w:val="21"/>
                <w:highlight w:val="none"/>
              </w:rPr>
              <w:t>分。（需提供中标通知书（招标工程提供）或合同复印件，否则不计分</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时间以合同签订时间为准</w:t>
            </w:r>
            <w:r>
              <w:rPr>
                <w:rFonts w:hint="eastAsia" w:ascii="宋体" w:hAnsi="宋体"/>
                <w:color w:val="auto"/>
                <w:szCs w:val="21"/>
                <w:highlight w:val="none"/>
              </w:rPr>
              <w:t>。）</w:t>
            </w:r>
          </w:p>
        </w:tc>
      </w:tr>
      <w:tr w14:paraId="30CEF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52" w:type="dxa"/>
            <w:gridSpan w:val="4"/>
            <w:noWrap w:val="0"/>
            <w:vAlign w:val="center"/>
          </w:tcPr>
          <w:p w14:paraId="03335E30">
            <w:pPr>
              <w:pageBreakBefore w:val="0"/>
              <w:widowControl w:val="0"/>
              <w:kinsoku/>
              <w:wordWrap/>
              <w:overflowPunct/>
              <w:topLinePunct w:val="0"/>
              <w:autoSpaceDE/>
              <w:autoSpaceDN/>
              <w:bidi w:val="0"/>
              <w:adjustRightInd/>
              <w:spacing w:line="360" w:lineRule="exact"/>
              <w:jc w:val="left"/>
              <w:textAlignment w:val="auto"/>
              <w:rPr>
                <w:rFonts w:ascii="宋体" w:hAnsi="宋体" w:cs="宋体"/>
                <w:color w:val="auto"/>
                <w:kern w:val="0"/>
                <w:szCs w:val="21"/>
                <w:highlight w:val="none"/>
              </w:rPr>
            </w:pPr>
            <w:r>
              <w:rPr>
                <w:rFonts w:hint="eastAsia" w:ascii="宋体" w:hAnsi="宋体" w:cs="宋体"/>
                <w:color w:val="auto"/>
                <w:kern w:val="0"/>
                <w:szCs w:val="21"/>
                <w:highlight w:val="none"/>
              </w:rPr>
              <w:t>说明：1、评分依据评标标准，对照响应文件进行。评标标准涉及要求提供扫描件的，响应文件中须附相关证书和证明文件的扫描件并加盖单位公章，否则相应计分项不予计分。</w:t>
            </w:r>
          </w:p>
          <w:p w14:paraId="15841130">
            <w:pPr>
              <w:pageBreakBefore w:val="0"/>
              <w:widowControl w:val="0"/>
              <w:kinsoku/>
              <w:wordWrap/>
              <w:overflowPunct/>
              <w:topLinePunct w:val="0"/>
              <w:autoSpaceDE/>
              <w:autoSpaceDN/>
              <w:bidi w:val="0"/>
              <w:adjustRightInd/>
              <w:spacing w:line="360" w:lineRule="exact"/>
              <w:jc w:val="left"/>
              <w:textAlignment w:val="auto"/>
              <w:rPr>
                <w:rFonts w:ascii="宋体" w:hAnsi="宋体" w:cs="宋体"/>
                <w:color w:val="auto"/>
                <w:kern w:val="0"/>
                <w:szCs w:val="21"/>
                <w:highlight w:val="none"/>
              </w:rPr>
            </w:pPr>
            <w:r>
              <w:rPr>
                <w:rFonts w:hint="eastAsia" w:ascii="宋体" w:hAnsi="宋体" w:cs="宋体"/>
                <w:color w:val="auto"/>
                <w:kern w:val="0"/>
                <w:szCs w:val="21"/>
                <w:highlight w:val="none"/>
              </w:rPr>
              <w:t>2、供应商参与政府采购应提供真实有效的证明材料，应当诚信守法、公平竞争。如提供虚假材料（包括但不限于虚假技术参数响应、虚假制造商产品彩页、虚假业绩、虚假证书等）、隐瞒失信信息等谋取中标的行为，一经发现，将报行政监管部门严肃查处。</w:t>
            </w:r>
          </w:p>
          <w:p w14:paraId="1EB1B7D7">
            <w:pPr>
              <w:pageBreakBefore w:val="0"/>
              <w:widowControl w:val="0"/>
              <w:kinsoku/>
              <w:wordWrap/>
              <w:overflowPunct/>
              <w:topLinePunct w:val="0"/>
              <w:autoSpaceDE/>
              <w:autoSpaceDN/>
              <w:bidi w:val="0"/>
              <w:adjustRightInd/>
              <w:spacing w:line="360" w:lineRule="exact"/>
              <w:jc w:val="left"/>
              <w:textAlignment w:val="auto"/>
              <w:rPr>
                <w:rFonts w:ascii="宋体" w:hAnsi="宋体" w:cs="宋体"/>
                <w:color w:val="auto"/>
                <w:kern w:val="0"/>
                <w:szCs w:val="21"/>
                <w:highlight w:val="none"/>
              </w:rPr>
            </w:pPr>
            <w:r>
              <w:rPr>
                <w:rFonts w:hint="eastAsia" w:ascii="宋体" w:hAnsi="宋体" w:cs="宋体"/>
                <w:color w:val="auto"/>
                <w:kern w:val="0"/>
                <w:szCs w:val="21"/>
                <w:highlight w:val="none"/>
              </w:rPr>
              <w:t>3、如评标委员会认为供应商报价明显低于其他通过符合性审查供应商的报价，有可能影响工程质量或不能诚信履约的，需提交相关证明材料；供应商不能证明其报价合理性的，评标委员会应当将其作为无效投标处理。</w:t>
            </w:r>
          </w:p>
        </w:tc>
      </w:tr>
      <w:bookmarkEnd w:id="47"/>
      <w:bookmarkEnd w:id="48"/>
    </w:tbl>
    <w:p w14:paraId="1372941D">
      <w:pPr>
        <w:adjustRightInd w:val="0"/>
        <w:snapToGrid w:val="0"/>
        <w:spacing w:line="360" w:lineRule="auto"/>
        <w:jc w:val="center"/>
        <w:rPr>
          <w:rFonts w:ascii="宋体" w:hAnsi="宋体" w:cs="宋体"/>
          <w:b/>
          <w:bCs/>
          <w:color w:val="auto"/>
          <w:sz w:val="28"/>
          <w:szCs w:val="28"/>
          <w:highlight w:val="none"/>
        </w:rPr>
      </w:pPr>
    </w:p>
    <w:p w14:paraId="3063C829">
      <w:pPr>
        <w:bidi w:val="0"/>
        <w:rPr>
          <w:rFonts w:hint="eastAsia"/>
          <w:color w:val="auto"/>
          <w:highlight w:val="none"/>
        </w:rPr>
      </w:pPr>
    </w:p>
    <w:p w14:paraId="2B13FEF5">
      <w:pPr>
        <w:rPr>
          <w:rFonts w:hint="eastAsia"/>
          <w:color w:val="auto"/>
          <w:highlight w:val="none"/>
        </w:rPr>
      </w:pPr>
    </w:p>
    <w:p w14:paraId="54C9B541">
      <w:pPr>
        <w:pStyle w:val="2"/>
        <w:rPr>
          <w:rFonts w:hint="eastAsia"/>
          <w:color w:val="auto"/>
          <w:highlight w:val="none"/>
        </w:rPr>
      </w:pPr>
    </w:p>
    <w:p w14:paraId="508514A2">
      <w:pPr>
        <w:pStyle w:val="4"/>
        <w:rPr>
          <w:rFonts w:hint="eastAsia"/>
          <w:color w:val="auto"/>
          <w:highlight w:val="none"/>
        </w:rPr>
      </w:pPr>
    </w:p>
    <w:p w14:paraId="6980A0A5">
      <w:pPr>
        <w:pStyle w:val="4"/>
        <w:ind w:left="0" w:leftChars="0" w:firstLine="0" w:firstLineChars="0"/>
        <w:rPr>
          <w:rFonts w:hint="eastAsia"/>
          <w:color w:val="auto"/>
          <w:highlight w:val="none"/>
        </w:rPr>
      </w:pPr>
    </w:p>
    <w:p w14:paraId="5B0CFC83">
      <w:pPr>
        <w:rPr>
          <w:rFonts w:hint="eastAsia"/>
          <w:color w:val="auto"/>
          <w:highlight w:val="none"/>
        </w:rPr>
      </w:pPr>
      <w:r>
        <w:rPr>
          <w:rFonts w:hint="eastAsia"/>
          <w:color w:val="auto"/>
          <w:highlight w:val="none"/>
        </w:rPr>
        <w:br w:type="page"/>
      </w:r>
    </w:p>
    <w:p w14:paraId="06C9AEEC">
      <w:pPr>
        <w:pStyle w:val="6"/>
        <w:bidi w:val="0"/>
        <w:jc w:val="center"/>
        <w:rPr>
          <w:rFonts w:hint="eastAsia"/>
          <w:color w:val="auto"/>
          <w:highlight w:val="none"/>
        </w:rPr>
      </w:pPr>
      <w:bookmarkStart w:id="49" w:name="_Toc32076"/>
      <w:r>
        <w:rPr>
          <w:rFonts w:hint="eastAsia"/>
          <w:color w:val="auto"/>
          <w:highlight w:val="none"/>
        </w:rPr>
        <w:t>磋商须知正文</w:t>
      </w:r>
      <w:bookmarkEnd w:id="49"/>
    </w:p>
    <w:p w14:paraId="6D1A5357">
      <w:pPr>
        <w:pStyle w:val="7"/>
        <w:bidi w:val="0"/>
        <w:rPr>
          <w:color w:val="auto"/>
          <w:highlight w:val="none"/>
        </w:rPr>
      </w:pPr>
      <w:bookmarkStart w:id="50" w:name="_Toc19722"/>
      <w:bookmarkStart w:id="51" w:name="_Toc22001"/>
      <w:bookmarkStart w:id="52" w:name="_Toc16878"/>
      <w:bookmarkStart w:id="53" w:name="_Toc18838"/>
      <w:bookmarkStart w:id="54" w:name="_Toc2070"/>
      <w:bookmarkStart w:id="55" w:name="_Toc17196"/>
      <w:bookmarkStart w:id="56" w:name="_Toc4072"/>
      <w:bookmarkStart w:id="57" w:name="_Toc10313"/>
      <w:bookmarkStart w:id="58" w:name="_Toc26612"/>
      <w:bookmarkStart w:id="59" w:name="_Toc53489354"/>
      <w:bookmarkStart w:id="60" w:name="_Toc24058"/>
      <w:r>
        <w:rPr>
          <w:rFonts w:hint="eastAsia"/>
          <w:color w:val="auto"/>
          <w:highlight w:val="none"/>
        </w:rPr>
        <w:t>一、说明</w:t>
      </w:r>
      <w:bookmarkEnd w:id="50"/>
      <w:bookmarkEnd w:id="51"/>
      <w:bookmarkEnd w:id="52"/>
      <w:bookmarkEnd w:id="53"/>
      <w:bookmarkEnd w:id="54"/>
      <w:bookmarkEnd w:id="55"/>
      <w:bookmarkEnd w:id="56"/>
      <w:bookmarkEnd w:id="57"/>
      <w:bookmarkEnd w:id="58"/>
      <w:bookmarkEnd w:id="59"/>
      <w:bookmarkEnd w:id="60"/>
    </w:p>
    <w:p w14:paraId="43D9ECEB">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1.适用范围</w:t>
      </w:r>
    </w:p>
    <w:p w14:paraId="47F5B459">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 本磋商文件仅适用于磋商须知前附表(以下简称</w:t>
      </w:r>
      <w:r>
        <w:rPr>
          <w:rFonts w:hint="eastAsia" w:ascii="宋体" w:hAnsi="宋体" w:cs="宋体"/>
          <w:b/>
          <w:color w:val="auto"/>
          <w:szCs w:val="21"/>
          <w:highlight w:val="none"/>
        </w:rPr>
        <w:t>磋商须知前附表)</w:t>
      </w:r>
      <w:r>
        <w:rPr>
          <w:rFonts w:hint="eastAsia" w:ascii="宋体" w:hAnsi="宋体" w:cs="宋体"/>
          <w:color w:val="auto"/>
          <w:szCs w:val="21"/>
          <w:highlight w:val="none"/>
        </w:rPr>
        <w:t>中所叙述的采购项目。</w:t>
      </w:r>
    </w:p>
    <w:p w14:paraId="403A1883">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2.定义</w:t>
      </w:r>
    </w:p>
    <w:p w14:paraId="01A58494">
      <w:pPr>
        <w:adjustRightInd w:val="0"/>
        <w:snapToGrid w:val="0"/>
        <w:spacing w:line="360" w:lineRule="auto"/>
        <w:ind w:firstLine="420" w:firstLineChars="200"/>
        <w:rPr>
          <w:rFonts w:ascii="宋体" w:hAnsi="宋体" w:cs="宋体"/>
          <w:b/>
          <w:color w:val="auto"/>
          <w:szCs w:val="21"/>
          <w:highlight w:val="none"/>
        </w:rPr>
      </w:pPr>
      <w:r>
        <w:rPr>
          <w:rFonts w:hint="eastAsia" w:ascii="宋体" w:hAnsi="宋体" w:cs="宋体"/>
          <w:color w:val="auto"/>
          <w:szCs w:val="21"/>
          <w:highlight w:val="none"/>
        </w:rPr>
        <w:t>2.1 “采购人”是指依法进行政府采购的国家机关、事业单位、团体组织。本次政府采购的采购人名称、地址、电话、联系人见</w:t>
      </w:r>
      <w:r>
        <w:rPr>
          <w:rFonts w:hint="eastAsia" w:ascii="宋体" w:hAnsi="宋体" w:cs="宋体"/>
          <w:b/>
          <w:color w:val="auto"/>
          <w:szCs w:val="21"/>
          <w:highlight w:val="none"/>
        </w:rPr>
        <w:t>磋商须知前附表</w:t>
      </w:r>
      <w:r>
        <w:rPr>
          <w:rFonts w:hint="eastAsia" w:ascii="宋体" w:hAnsi="宋体" w:cs="宋体"/>
          <w:color w:val="auto"/>
          <w:szCs w:val="21"/>
          <w:highlight w:val="none"/>
        </w:rPr>
        <w:t>。</w:t>
      </w:r>
    </w:p>
    <w:p w14:paraId="27F0A963">
      <w:pPr>
        <w:adjustRightInd w:val="0"/>
        <w:snapToGrid w:val="0"/>
        <w:spacing w:line="360" w:lineRule="auto"/>
        <w:ind w:firstLine="420" w:firstLineChars="200"/>
        <w:rPr>
          <w:rFonts w:ascii="宋体" w:hAnsi="宋体" w:cs="宋体"/>
          <w:b/>
          <w:color w:val="auto"/>
          <w:szCs w:val="21"/>
          <w:highlight w:val="none"/>
        </w:rPr>
      </w:pPr>
      <w:r>
        <w:rPr>
          <w:rFonts w:hint="eastAsia" w:ascii="宋体" w:hAnsi="宋体" w:cs="宋体"/>
          <w:color w:val="auto"/>
          <w:szCs w:val="21"/>
          <w:highlight w:val="none"/>
        </w:rPr>
        <w:t>2.2 “采购代理机构”是指接受采购人委托，代理采购项目的集中采购机构和其他采购代理机构。本次政府采购的采购代理机构名称、地址、电话、联系人见</w:t>
      </w:r>
      <w:r>
        <w:rPr>
          <w:rFonts w:hint="eastAsia" w:ascii="宋体" w:hAnsi="宋体" w:cs="宋体"/>
          <w:b/>
          <w:color w:val="auto"/>
          <w:szCs w:val="21"/>
          <w:highlight w:val="none"/>
        </w:rPr>
        <w:t>磋商须知前附表。</w:t>
      </w:r>
    </w:p>
    <w:p w14:paraId="0A46FA70">
      <w:pPr>
        <w:adjustRightInd w:val="0"/>
        <w:snapToGrid w:val="0"/>
        <w:spacing w:line="360" w:lineRule="auto"/>
        <w:ind w:firstLine="420" w:firstLineChars="200"/>
        <w:rPr>
          <w:rFonts w:ascii="宋体" w:hAnsi="宋体" w:cs="宋体"/>
          <w:bCs/>
          <w:color w:val="auto"/>
          <w:kern w:val="36"/>
          <w:szCs w:val="21"/>
          <w:highlight w:val="none"/>
        </w:rPr>
      </w:pPr>
      <w:r>
        <w:rPr>
          <w:rFonts w:hint="eastAsia" w:ascii="宋体" w:hAnsi="宋体" w:cs="宋体"/>
          <w:color w:val="auto"/>
          <w:szCs w:val="21"/>
          <w:highlight w:val="none"/>
        </w:rPr>
        <w:t>2.3 “供应商”是指响应磋商文件要求、参加竞争性磋商采购的法人、其他组织或者自然人。本次政府采购项目</w:t>
      </w:r>
      <w:r>
        <w:rPr>
          <w:rFonts w:hint="eastAsia" w:ascii="宋体" w:hAnsi="宋体" w:cs="宋体"/>
          <w:color w:val="auto"/>
          <w:kern w:val="0"/>
          <w:szCs w:val="21"/>
          <w:highlight w:val="none"/>
        </w:rPr>
        <w:t>邀请</w:t>
      </w:r>
      <w:r>
        <w:rPr>
          <w:rFonts w:hint="eastAsia" w:ascii="宋体" w:hAnsi="宋体" w:cs="宋体"/>
          <w:color w:val="auto"/>
          <w:szCs w:val="21"/>
          <w:highlight w:val="none"/>
        </w:rPr>
        <w:t>的</w:t>
      </w:r>
      <w:r>
        <w:rPr>
          <w:rFonts w:hint="eastAsia" w:ascii="宋体" w:hAnsi="宋体" w:cs="宋体"/>
          <w:color w:val="auto"/>
          <w:kern w:val="0"/>
          <w:szCs w:val="21"/>
          <w:highlight w:val="none"/>
        </w:rPr>
        <w:t>供应商通过</w:t>
      </w:r>
      <w:r>
        <w:rPr>
          <w:rFonts w:hint="eastAsia" w:ascii="宋体" w:hAnsi="宋体" w:cs="宋体"/>
          <w:b/>
          <w:color w:val="auto"/>
          <w:szCs w:val="21"/>
          <w:highlight w:val="none"/>
        </w:rPr>
        <w:t>磋商须知前附表</w:t>
      </w:r>
      <w:r>
        <w:rPr>
          <w:rFonts w:hint="eastAsia" w:ascii="宋体" w:hAnsi="宋体" w:cs="宋体"/>
          <w:color w:val="auto"/>
          <w:szCs w:val="21"/>
          <w:highlight w:val="none"/>
        </w:rPr>
        <w:t>所述方式</w:t>
      </w:r>
      <w:r>
        <w:rPr>
          <w:rFonts w:hint="eastAsia" w:ascii="宋体" w:hAnsi="宋体" w:cs="宋体"/>
          <w:color w:val="auto"/>
          <w:kern w:val="0"/>
          <w:szCs w:val="21"/>
          <w:highlight w:val="none"/>
        </w:rPr>
        <w:t>，邀请符合资格条件的供应商提交响应文件（含资格证明资料），参与竞争性磋商采购活动。</w:t>
      </w:r>
    </w:p>
    <w:p w14:paraId="655CC7D5">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szCs w:val="21"/>
          <w:highlight w:val="none"/>
        </w:rPr>
        <w:t>2.4 “磋商小组”是指</w:t>
      </w:r>
      <w:r>
        <w:rPr>
          <w:rFonts w:hint="eastAsia" w:ascii="宋体" w:hAnsi="宋体" w:cs="宋体"/>
          <w:color w:val="auto"/>
          <w:kern w:val="0"/>
          <w:szCs w:val="21"/>
          <w:highlight w:val="none"/>
        </w:rPr>
        <w:t>依据财政部</w:t>
      </w:r>
      <w:r>
        <w:rPr>
          <w:rFonts w:hint="eastAsia" w:ascii="宋体" w:hAnsi="宋体" w:cs="宋体"/>
          <w:bCs/>
          <w:color w:val="auto"/>
          <w:kern w:val="36"/>
          <w:szCs w:val="21"/>
          <w:highlight w:val="none"/>
        </w:rPr>
        <w:t>《政府采购竞争性磋商采购方式管理暂行办法》有关规定组建，依法依规</w:t>
      </w:r>
      <w:r>
        <w:rPr>
          <w:rFonts w:hint="eastAsia" w:ascii="宋体" w:hAnsi="宋体" w:cs="宋体"/>
          <w:color w:val="auto"/>
          <w:kern w:val="0"/>
          <w:szCs w:val="21"/>
          <w:highlight w:val="none"/>
        </w:rPr>
        <w:t>履行其职责和义务的机构。</w:t>
      </w:r>
    </w:p>
    <w:p w14:paraId="4E0B159C">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2.5 “货物”是指各种形态和种类的物品，包括原资料、燃料、设备、产品等，详见《政府采购品目分类目录》(</w:t>
      </w:r>
      <w:r>
        <w:rPr>
          <w:rFonts w:hint="eastAsia" w:ascii="宋体" w:hAnsi="宋体" w:cs="宋体"/>
          <w:bCs/>
          <w:color w:val="auto"/>
          <w:highlight w:val="none"/>
        </w:rPr>
        <w:t>财库[2013]189号</w:t>
      </w:r>
      <w:r>
        <w:rPr>
          <w:rFonts w:hint="eastAsia" w:ascii="宋体" w:hAnsi="宋体" w:cs="宋体"/>
          <w:color w:val="auto"/>
          <w:szCs w:val="21"/>
          <w:highlight w:val="none"/>
        </w:rPr>
        <w:t>)。</w:t>
      </w:r>
    </w:p>
    <w:p w14:paraId="7F39188D">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2.6 “工程”是指建设工程，包括建筑物和构筑物的新建、改建、扩建、装修、拆除、修缮等，详见《政府采购品目分类目录》(</w:t>
      </w:r>
      <w:r>
        <w:rPr>
          <w:rFonts w:hint="eastAsia" w:ascii="宋体" w:hAnsi="宋体" w:cs="宋体"/>
          <w:bCs/>
          <w:color w:val="auto"/>
          <w:highlight w:val="none"/>
        </w:rPr>
        <w:t>财库[2013]189号</w:t>
      </w:r>
      <w:r>
        <w:rPr>
          <w:rFonts w:hint="eastAsia" w:ascii="宋体" w:hAnsi="宋体" w:cs="宋体"/>
          <w:color w:val="auto"/>
          <w:szCs w:val="21"/>
          <w:highlight w:val="none"/>
        </w:rPr>
        <w:t>)。</w:t>
      </w:r>
    </w:p>
    <w:p w14:paraId="196D6B2C">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2.7 “服务”是指除货物和工程以外的其他政府采购对象，详见《政府采购品目分类目录》(</w:t>
      </w:r>
      <w:r>
        <w:rPr>
          <w:rFonts w:hint="eastAsia" w:ascii="宋体" w:hAnsi="宋体" w:cs="宋体"/>
          <w:bCs/>
          <w:color w:val="auto"/>
          <w:highlight w:val="none"/>
        </w:rPr>
        <w:t>财库[2013]189号</w:t>
      </w:r>
      <w:r>
        <w:rPr>
          <w:rFonts w:hint="eastAsia" w:ascii="宋体" w:hAnsi="宋体" w:cs="宋体"/>
          <w:color w:val="auto"/>
          <w:szCs w:val="21"/>
          <w:highlight w:val="none"/>
        </w:rPr>
        <w:t>)。</w:t>
      </w:r>
    </w:p>
    <w:p w14:paraId="7D80D709">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rPr>
        <w:t>2.8</w:t>
      </w:r>
      <w:r>
        <w:rPr>
          <w:rFonts w:hint="eastAsia" w:ascii="宋体" w:hAnsi="宋体" w:cs="宋体"/>
          <w:color w:val="auto"/>
          <w:szCs w:val="21"/>
          <w:highlight w:val="none"/>
        </w:rPr>
        <w:t xml:space="preserve"> “节能产品”或者“环保产品”是指财政部发布的《节能产品政府采购清单》或者《环境标志产品政府采购清单》的产品。</w:t>
      </w:r>
    </w:p>
    <w:p w14:paraId="635E7577">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szCs w:val="21"/>
          <w:highlight w:val="none"/>
        </w:rPr>
        <w:t>2.9</w:t>
      </w:r>
      <w:r>
        <w:rPr>
          <w:rFonts w:hint="eastAsia" w:ascii="宋体" w:hAnsi="宋体" w:cs="宋体"/>
          <w:color w:val="auto"/>
          <w:kern w:val="0"/>
          <w:szCs w:val="21"/>
          <w:highlight w:val="none"/>
        </w:rPr>
        <w:t xml:space="preserve"> “进口产品”是指通过中国海关报关验放进入中国境内且产自关境外的产品，详见《关于政府采购进口产品管理有关问题的通知》(财库[2007]119号)。</w:t>
      </w:r>
    </w:p>
    <w:p w14:paraId="348134BD">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3.供应商的资格要求</w:t>
      </w:r>
    </w:p>
    <w:p w14:paraId="072F3C2C">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3.1 供应商应当符合</w:t>
      </w:r>
      <w:r>
        <w:rPr>
          <w:rFonts w:hint="eastAsia" w:ascii="宋体" w:hAnsi="宋体" w:cs="宋体"/>
          <w:b/>
          <w:color w:val="auto"/>
          <w:szCs w:val="21"/>
          <w:highlight w:val="none"/>
        </w:rPr>
        <w:t>磋商须知前附表</w:t>
      </w:r>
      <w:r>
        <w:rPr>
          <w:rFonts w:hint="eastAsia" w:ascii="宋体" w:hAnsi="宋体" w:cs="宋体"/>
          <w:color w:val="auto"/>
          <w:szCs w:val="21"/>
          <w:highlight w:val="none"/>
        </w:rPr>
        <w:t>中规定的资格条件要求。</w:t>
      </w:r>
    </w:p>
    <w:p w14:paraId="082C98C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3.2供应商</w:t>
      </w:r>
      <w:r>
        <w:rPr>
          <w:rFonts w:hint="eastAsia" w:ascii="宋体" w:hAnsi="宋体" w:cs="宋体"/>
          <w:color w:val="auto"/>
          <w:highlight w:val="none"/>
        </w:rPr>
        <w:t>为联合体形式的</w:t>
      </w:r>
      <w:r>
        <w:rPr>
          <w:rFonts w:hint="eastAsia" w:ascii="宋体" w:hAnsi="宋体" w:cs="宋体"/>
          <w:color w:val="auto"/>
          <w:szCs w:val="21"/>
          <w:highlight w:val="none"/>
        </w:rPr>
        <w:t xml:space="preserve">，除应满足本章第3.1款资格条件要求及第3.3款规定外，还应遵守以下规定： </w:t>
      </w:r>
    </w:p>
    <w:p w14:paraId="0DE30FE5">
      <w:pPr>
        <w:adjustRightInd w:val="0"/>
        <w:snapToGrid w:val="0"/>
        <w:spacing w:line="360" w:lineRule="auto"/>
        <w:ind w:firstLine="420" w:firstLineChars="2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（1）联合体各方应按磋商文件提供的格式签订联合体协议书，明确联合体牵头人和各方权利义务(含承担工作及工作量比例)；</w:t>
      </w:r>
    </w:p>
    <w:p w14:paraId="31814942">
      <w:pPr>
        <w:adjustRightInd w:val="0"/>
        <w:snapToGrid w:val="0"/>
        <w:spacing w:line="360" w:lineRule="auto"/>
        <w:ind w:firstLine="420" w:firstLineChars="2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（2）联合体中有同类资质的供应商按照联合体分工承担相同工作的，应当按照资质等级较低的供应商确定资质等级；</w:t>
      </w:r>
    </w:p>
    <w:p w14:paraId="26847A97">
      <w:pPr>
        <w:adjustRightInd w:val="0"/>
        <w:snapToGrid w:val="0"/>
        <w:spacing w:line="360" w:lineRule="auto"/>
        <w:ind w:firstLine="420" w:firstLineChars="2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（3）以联合体形式参加政府采购活动的，联合体各方不得再单独参加或者与其他供应商另外组成联合体参加同一合同项下的政府采购活动。</w:t>
      </w:r>
    </w:p>
    <w:p w14:paraId="737BBA73">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3.3 供应商不得存在下列情形之一：</w:t>
      </w:r>
    </w:p>
    <w:p w14:paraId="13E859F8">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（l）与采购人、采购代理机构存在</w:t>
      </w:r>
      <w:r>
        <w:rPr>
          <w:rFonts w:hint="eastAsia" w:ascii="宋体" w:hAnsi="宋体" w:cs="宋体"/>
          <w:bCs/>
          <w:color w:val="auto"/>
          <w:szCs w:val="21"/>
          <w:highlight w:val="none"/>
        </w:rPr>
        <w:t>隶属关系或者其他利害关系</w:t>
      </w:r>
      <w:r>
        <w:rPr>
          <w:rFonts w:hint="eastAsia" w:ascii="宋体" w:hAnsi="宋体" w:cs="宋体"/>
          <w:color w:val="auto"/>
          <w:szCs w:val="21"/>
          <w:highlight w:val="none"/>
        </w:rPr>
        <w:t>。</w:t>
      </w:r>
    </w:p>
    <w:p w14:paraId="4F9124A2">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（2）与其他供应商的法定代表人（或者负责人）为同一人，或者与其他供应商存在直接控股、管理关系。</w:t>
      </w:r>
    </w:p>
    <w:p w14:paraId="6281BB24">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bCs/>
          <w:color w:val="auto"/>
          <w:szCs w:val="21"/>
          <w:highlight w:val="none"/>
        </w:rPr>
        <w:t>受到刑事处罚，或者受到200万元以上的罚款、责令停产停业、在一至三年内禁止参加政府采购活动、暂扣或者吊销许可证、暂扣或者吊销执照等情形之一的行政处罚，或者存在</w:t>
      </w:r>
      <w:r>
        <w:rPr>
          <w:rFonts w:hint="eastAsia" w:ascii="宋体" w:hAnsi="宋体" w:cs="宋体"/>
          <w:color w:val="auto"/>
          <w:szCs w:val="21"/>
          <w:highlight w:val="none"/>
        </w:rPr>
        <w:t>财政部门认定的其他重大违法记录。</w:t>
      </w:r>
    </w:p>
    <w:p w14:paraId="0220BCFD">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4.参与磋商的费用 </w:t>
      </w:r>
    </w:p>
    <w:p w14:paraId="7F2DB4E6">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4.1 无论磋商的结果如何，供应商应自行承担所有与竞争性磋商采购活动有关的全部费用。</w:t>
      </w:r>
    </w:p>
    <w:p w14:paraId="13AA6A28">
      <w:pPr>
        <w:adjustRightInd w:val="0"/>
        <w:snapToGrid w:val="0"/>
        <w:spacing w:line="360" w:lineRule="auto"/>
        <w:rPr>
          <w:rFonts w:ascii="宋体" w:hAnsi="宋体" w:cs="宋体"/>
          <w:b/>
          <w:bCs/>
          <w:color w:val="auto"/>
          <w:szCs w:val="21"/>
          <w:highlight w:val="none"/>
        </w:rPr>
      </w:pPr>
      <w:r>
        <w:rPr>
          <w:rFonts w:hint="eastAsia" w:ascii="宋体" w:hAnsi="宋体" w:cs="宋体"/>
          <w:b/>
          <w:color w:val="auto"/>
          <w:szCs w:val="21"/>
          <w:highlight w:val="none"/>
        </w:rPr>
        <w:t>5．</w:t>
      </w:r>
      <w:r>
        <w:rPr>
          <w:rFonts w:hint="eastAsia" w:ascii="宋体" w:hAnsi="宋体" w:cs="宋体"/>
          <w:b/>
          <w:bCs/>
          <w:color w:val="auto"/>
          <w:szCs w:val="21"/>
          <w:highlight w:val="none"/>
        </w:rPr>
        <w:t>授权委托</w:t>
      </w:r>
    </w:p>
    <w:p w14:paraId="6C553B34">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5.1供应商代表为供应商法定代表人的，应持有法定代表人身份证明。供应商代表不是供应商法定代表人的，应持有法定代表人授权书，并附法定代表人身份证明。</w:t>
      </w:r>
    </w:p>
    <w:p w14:paraId="044C1844">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6．联合体形式</w:t>
      </w:r>
    </w:p>
    <w:p w14:paraId="5B866BCA">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6.1除</w:t>
      </w:r>
      <w:r>
        <w:rPr>
          <w:rFonts w:hint="eastAsia" w:ascii="宋体" w:hAnsi="宋体" w:cs="宋体"/>
          <w:b/>
          <w:color w:val="auto"/>
          <w:szCs w:val="21"/>
          <w:highlight w:val="none"/>
        </w:rPr>
        <w:t>磋商须知前附表</w:t>
      </w:r>
      <w:r>
        <w:rPr>
          <w:rFonts w:hint="eastAsia" w:ascii="宋体" w:hAnsi="宋体" w:cs="宋体"/>
          <w:color w:val="auto"/>
          <w:szCs w:val="21"/>
          <w:highlight w:val="none"/>
        </w:rPr>
        <w:t>中另有规定，本次谈判采购不接受为联合体形式的供应商。</w:t>
      </w:r>
    </w:p>
    <w:p w14:paraId="364DC8C4">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6.2供应商</w:t>
      </w:r>
      <w:r>
        <w:rPr>
          <w:rFonts w:hint="eastAsia" w:ascii="宋体" w:hAnsi="宋体" w:cs="宋体"/>
          <w:color w:val="auto"/>
          <w:highlight w:val="none"/>
        </w:rPr>
        <w:t>为联合体形式的</w:t>
      </w:r>
      <w:r>
        <w:rPr>
          <w:rFonts w:hint="eastAsia" w:ascii="宋体" w:hAnsi="宋体" w:cs="宋体"/>
          <w:color w:val="auto"/>
          <w:szCs w:val="21"/>
          <w:highlight w:val="none"/>
        </w:rPr>
        <w:t>，除应符合本章第3条规定外，还应遵守以下规定：</w:t>
      </w:r>
    </w:p>
    <w:p w14:paraId="115F7C63">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（l）联合体各方必须签订联合体协议书，明确联合体牵头人和各方的义务、工作、合同工作量比例；</w:t>
      </w:r>
    </w:p>
    <w:p w14:paraId="44EC316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（2）联合体各方均应当符合本章第3.1</w:t>
      </w:r>
      <w:r>
        <w:rPr>
          <w:rFonts w:hint="eastAsia" w:ascii="宋体" w:hAnsi="宋体" w:cs="宋体"/>
          <w:color w:val="auto"/>
          <w:kern w:val="0"/>
          <w:szCs w:val="21"/>
          <w:highlight w:val="none"/>
          <w:lang w:val="zh-CN"/>
        </w:rPr>
        <w:t>款</w:t>
      </w:r>
      <w:r>
        <w:rPr>
          <w:rFonts w:hint="eastAsia" w:ascii="宋体" w:hAnsi="宋体" w:cs="宋体"/>
          <w:color w:val="auto"/>
          <w:szCs w:val="21"/>
          <w:highlight w:val="none"/>
        </w:rPr>
        <w:t>规定的供应商基本资格条件；</w:t>
      </w:r>
    </w:p>
    <w:p w14:paraId="1CE90B77">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highlight w:val="none"/>
        </w:rPr>
        <w:t>除</w:t>
      </w:r>
      <w:r>
        <w:rPr>
          <w:rFonts w:hint="eastAsia" w:ascii="宋体" w:hAnsi="宋体" w:cs="宋体"/>
          <w:b/>
          <w:color w:val="auto"/>
          <w:highlight w:val="none"/>
        </w:rPr>
        <w:t>磋商须知前附表</w:t>
      </w:r>
      <w:r>
        <w:rPr>
          <w:rFonts w:hint="eastAsia" w:ascii="宋体" w:hAnsi="宋体" w:cs="宋体"/>
          <w:color w:val="auto"/>
          <w:highlight w:val="none"/>
        </w:rPr>
        <w:t>中另有规定，</w:t>
      </w:r>
      <w:r>
        <w:rPr>
          <w:rFonts w:hint="eastAsia" w:ascii="宋体" w:hAnsi="宋体" w:cs="宋体"/>
          <w:color w:val="auto"/>
          <w:szCs w:val="21"/>
          <w:highlight w:val="none"/>
        </w:rPr>
        <w:t>联合体各方中至少有一方应当符合本章第3.1</w:t>
      </w:r>
      <w:r>
        <w:rPr>
          <w:rFonts w:hint="eastAsia" w:ascii="宋体" w:hAnsi="宋体" w:cs="宋体"/>
          <w:color w:val="auto"/>
          <w:kern w:val="0"/>
          <w:szCs w:val="21"/>
          <w:highlight w:val="none"/>
          <w:lang w:val="zh-CN"/>
        </w:rPr>
        <w:t>款</w:t>
      </w:r>
      <w:r>
        <w:rPr>
          <w:rFonts w:hint="eastAsia" w:ascii="宋体" w:hAnsi="宋体" w:cs="宋体"/>
          <w:color w:val="auto"/>
          <w:szCs w:val="21"/>
          <w:highlight w:val="none"/>
        </w:rPr>
        <w:t>规定的供应商特定资格条件；</w:t>
      </w:r>
    </w:p>
    <w:p w14:paraId="40FE2F50">
      <w:pPr>
        <w:adjustRightInd w:val="0"/>
        <w:snapToGrid w:val="0"/>
        <w:spacing w:line="360" w:lineRule="auto"/>
        <w:ind w:firstLine="420" w:firstLineChars="200"/>
        <w:jc w:val="left"/>
        <w:rPr>
          <w:rFonts w:ascii="宋体" w:hAnsi="宋体" w:cs="宋体"/>
          <w:color w:val="auto"/>
          <w:kern w:val="0"/>
          <w:szCs w:val="21"/>
          <w:highlight w:val="none"/>
          <w:lang w:val="zh-CN"/>
        </w:rPr>
      </w:pPr>
      <w:r>
        <w:rPr>
          <w:rFonts w:hint="eastAsia" w:ascii="宋体" w:hAnsi="宋体" w:cs="宋体"/>
          <w:color w:val="auto"/>
          <w:szCs w:val="21"/>
          <w:highlight w:val="none"/>
        </w:rPr>
        <w:t>（4）</w:t>
      </w:r>
      <w:r>
        <w:rPr>
          <w:rFonts w:hint="eastAsia" w:ascii="宋体" w:hAnsi="宋体" w:cs="宋体"/>
          <w:color w:val="auto"/>
          <w:kern w:val="0"/>
          <w:szCs w:val="21"/>
          <w:highlight w:val="none"/>
          <w:lang w:val="zh-CN"/>
        </w:rPr>
        <w:t>联合体各方不得再单独或与其他供应商组成新的联合体参加同一项目的采购活动。</w:t>
      </w:r>
    </w:p>
    <w:p w14:paraId="01D7BAE4">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7.现场勘察</w:t>
      </w:r>
    </w:p>
    <w:p w14:paraId="09811216">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7.1供应商应按</w:t>
      </w:r>
      <w:r>
        <w:rPr>
          <w:rFonts w:hint="eastAsia" w:ascii="宋体" w:hAnsi="宋体" w:cs="宋体"/>
          <w:b/>
          <w:color w:val="auto"/>
          <w:highlight w:val="none"/>
        </w:rPr>
        <w:t>磋商须知前附表</w:t>
      </w:r>
      <w:r>
        <w:rPr>
          <w:rFonts w:hint="eastAsia" w:ascii="宋体" w:hAnsi="宋体" w:cs="宋体"/>
          <w:color w:val="auto"/>
          <w:highlight w:val="none"/>
        </w:rPr>
        <w:t>中规定</w:t>
      </w:r>
      <w:r>
        <w:rPr>
          <w:rFonts w:hint="eastAsia" w:ascii="宋体" w:hAnsi="宋体" w:cs="宋体"/>
          <w:color w:val="auto"/>
          <w:szCs w:val="21"/>
          <w:highlight w:val="none"/>
        </w:rPr>
        <w:t>对采购项目现场和周围环境的现场考察。</w:t>
      </w:r>
    </w:p>
    <w:p w14:paraId="5FD7D3AD">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7.2勘察现场的费用由供应商自己承担，勘察期间所发生的人身伤害及财产损失由供应商自己负责。</w:t>
      </w:r>
    </w:p>
    <w:p w14:paraId="441CAF1C">
      <w:pPr>
        <w:adjustRightInd w:val="0"/>
        <w:snapToGrid w:val="0"/>
        <w:spacing w:line="360" w:lineRule="auto"/>
        <w:ind w:firstLine="420" w:firstLineChars="200"/>
        <w:jc w:val="left"/>
        <w:rPr>
          <w:rFonts w:ascii="宋体" w:hAnsi="宋体" w:cs="宋体"/>
          <w:b/>
          <w:color w:val="auto"/>
          <w:szCs w:val="21"/>
          <w:highlight w:val="none"/>
        </w:rPr>
      </w:pPr>
      <w:r>
        <w:rPr>
          <w:rFonts w:hint="eastAsia" w:ascii="宋体" w:hAnsi="宋体" w:cs="宋体"/>
          <w:color w:val="auto"/>
          <w:szCs w:val="21"/>
          <w:highlight w:val="none"/>
        </w:rPr>
        <w:t>7.3采购人不对供应商据此而做出的推论、理解和结论负责。一旦成交，供应商不得以任何借口，提出额外补偿，或延长合同期限的要求。</w:t>
      </w:r>
    </w:p>
    <w:p w14:paraId="28209B64">
      <w:pPr>
        <w:adjustRightInd w:val="0"/>
        <w:snapToGrid w:val="0"/>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8.采购进口产品</w:t>
      </w:r>
    </w:p>
    <w:p w14:paraId="54A09DE5">
      <w:pPr>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szCs w:val="21"/>
          <w:highlight w:val="none"/>
        </w:rPr>
        <w:t>8.1除</w:t>
      </w:r>
      <w:r>
        <w:rPr>
          <w:rFonts w:hint="eastAsia" w:ascii="宋体" w:hAnsi="宋体" w:cs="宋体"/>
          <w:b/>
          <w:color w:val="auto"/>
          <w:szCs w:val="21"/>
          <w:highlight w:val="none"/>
        </w:rPr>
        <w:t>磋商文件前附表</w:t>
      </w:r>
      <w:r>
        <w:rPr>
          <w:rFonts w:hint="eastAsia" w:ascii="宋体" w:hAnsi="宋体" w:cs="宋体"/>
          <w:color w:val="auto"/>
          <w:szCs w:val="21"/>
          <w:highlight w:val="none"/>
        </w:rPr>
        <w:t>另有规定外，本项目</w:t>
      </w:r>
      <w:r>
        <w:rPr>
          <w:rFonts w:hint="eastAsia" w:ascii="宋体" w:hAnsi="宋体" w:cs="宋体"/>
          <w:color w:val="auto"/>
          <w:kern w:val="0"/>
          <w:szCs w:val="21"/>
          <w:highlight w:val="none"/>
        </w:rPr>
        <w:t>拒绝进口产品参加</w:t>
      </w:r>
      <w:r>
        <w:rPr>
          <w:rFonts w:hint="eastAsia" w:ascii="宋体" w:hAnsi="宋体" w:cs="宋体"/>
          <w:color w:val="auto"/>
          <w:szCs w:val="21"/>
          <w:highlight w:val="none"/>
        </w:rPr>
        <w:t>竞争性磋商采购活动</w:t>
      </w:r>
      <w:r>
        <w:rPr>
          <w:rFonts w:hint="eastAsia" w:ascii="宋体" w:hAnsi="宋体" w:cs="宋体"/>
          <w:color w:val="auto"/>
          <w:kern w:val="0"/>
          <w:szCs w:val="21"/>
          <w:highlight w:val="none"/>
        </w:rPr>
        <w:t>。</w:t>
      </w:r>
    </w:p>
    <w:p w14:paraId="6F6BE921">
      <w:pPr>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8.2</w:t>
      </w:r>
      <w:r>
        <w:rPr>
          <w:rFonts w:hint="eastAsia" w:ascii="宋体" w:hAnsi="宋体" w:cs="宋体"/>
          <w:color w:val="auto"/>
          <w:szCs w:val="21"/>
          <w:highlight w:val="none"/>
        </w:rPr>
        <w:t>本章第7.1</w:t>
      </w:r>
      <w:r>
        <w:rPr>
          <w:rFonts w:hint="eastAsia" w:ascii="宋体" w:hAnsi="宋体" w:cs="宋体"/>
          <w:color w:val="auto"/>
          <w:kern w:val="0"/>
          <w:szCs w:val="21"/>
          <w:highlight w:val="none"/>
          <w:lang w:val="zh-CN"/>
        </w:rPr>
        <w:t>款</w:t>
      </w:r>
      <w:r>
        <w:rPr>
          <w:rFonts w:hint="eastAsia" w:ascii="宋体" w:hAnsi="宋体" w:cs="宋体"/>
          <w:color w:val="auto"/>
          <w:szCs w:val="21"/>
          <w:highlight w:val="none"/>
        </w:rPr>
        <w:t>规定</w:t>
      </w:r>
      <w:r>
        <w:rPr>
          <w:rFonts w:hint="eastAsia" w:ascii="宋体" w:hAnsi="宋体" w:cs="宋体"/>
          <w:color w:val="auto"/>
          <w:kern w:val="0"/>
          <w:szCs w:val="21"/>
          <w:highlight w:val="none"/>
        </w:rPr>
        <w:t>同意购买进口产品的，</w:t>
      </w:r>
      <w:r>
        <w:rPr>
          <w:rFonts w:hint="eastAsia" w:ascii="宋体" w:hAnsi="宋体" w:cs="宋体"/>
          <w:color w:val="auto"/>
          <w:szCs w:val="21"/>
          <w:highlight w:val="none"/>
        </w:rPr>
        <w:t>本项目</w:t>
      </w:r>
      <w:r>
        <w:rPr>
          <w:rFonts w:hint="eastAsia" w:ascii="宋体" w:hAnsi="宋体" w:cs="宋体"/>
          <w:color w:val="auto"/>
          <w:kern w:val="0"/>
          <w:szCs w:val="21"/>
          <w:highlight w:val="none"/>
          <w:lang w:val="zh-CN"/>
        </w:rPr>
        <w:t>采购活动</w:t>
      </w:r>
      <w:r>
        <w:rPr>
          <w:rFonts w:hint="eastAsia" w:ascii="宋体" w:hAnsi="宋体" w:cs="宋体"/>
          <w:color w:val="auto"/>
          <w:kern w:val="0"/>
          <w:szCs w:val="21"/>
          <w:highlight w:val="none"/>
        </w:rPr>
        <w:t>不限制满足</w:t>
      </w:r>
      <w:r>
        <w:rPr>
          <w:rFonts w:hint="eastAsia" w:ascii="宋体" w:hAnsi="宋体" w:cs="宋体"/>
          <w:color w:val="auto"/>
          <w:szCs w:val="21"/>
          <w:highlight w:val="none"/>
        </w:rPr>
        <w:t>磋商文件要求</w:t>
      </w:r>
      <w:r>
        <w:rPr>
          <w:rFonts w:hint="eastAsia" w:ascii="宋体" w:hAnsi="宋体" w:cs="宋体"/>
          <w:color w:val="auto"/>
          <w:kern w:val="0"/>
          <w:szCs w:val="21"/>
          <w:highlight w:val="none"/>
        </w:rPr>
        <w:t>的国内产品参与</w:t>
      </w:r>
      <w:r>
        <w:rPr>
          <w:rFonts w:hint="eastAsia" w:ascii="宋体" w:hAnsi="宋体" w:cs="宋体"/>
          <w:color w:val="auto"/>
          <w:szCs w:val="21"/>
          <w:highlight w:val="none"/>
        </w:rPr>
        <w:t>竞争性磋商</w:t>
      </w:r>
      <w:r>
        <w:rPr>
          <w:rFonts w:hint="eastAsia" w:ascii="宋体" w:hAnsi="宋体" w:cs="宋体"/>
          <w:color w:val="auto"/>
          <w:kern w:val="0"/>
          <w:szCs w:val="21"/>
          <w:highlight w:val="none"/>
        </w:rPr>
        <w:t>。</w:t>
      </w:r>
    </w:p>
    <w:p w14:paraId="1FA891A3">
      <w:pPr>
        <w:adjustRightInd w:val="0"/>
        <w:snapToGrid w:val="0"/>
        <w:spacing w:line="360" w:lineRule="auto"/>
        <w:jc w:val="left"/>
        <w:rPr>
          <w:rFonts w:ascii="宋体" w:hAnsi="宋体" w:cs="宋体"/>
          <w:b/>
          <w:color w:val="auto"/>
          <w:szCs w:val="21"/>
          <w:highlight w:val="none"/>
        </w:rPr>
      </w:pPr>
      <w:r>
        <w:rPr>
          <w:rFonts w:hint="eastAsia" w:ascii="宋体" w:hAnsi="宋体" w:cs="宋体"/>
          <w:b/>
          <w:bCs/>
          <w:color w:val="auto"/>
          <w:szCs w:val="21"/>
          <w:highlight w:val="none"/>
        </w:rPr>
        <w:t>9.</w:t>
      </w:r>
      <w:r>
        <w:rPr>
          <w:rFonts w:hint="eastAsia" w:ascii="宋体" w:hAnsi="宋体" w:cs="宋体"/>
          <w:b/>
          <w:color w:val="auto"/>
          <w:szCs w:val="21"/>
          <w:highlight w:val="none"/>
        </w:rPr>
        <w:t xml:space="preserve"> 政府采购政策支持</w:t>
      </w:r>
    </w:p>
    <w:p w14:paraId="7AC07C20">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9.1对列入财政部、国家发展改革委发布的《节能产品政府采购清单》且属于应当“强制采购的节能产品”，按照规定实行强制采购。实行政府采购强制采购的节能产品见</w:t>
      </w:r>
      <w:r>
        <w:rPr>
          <w:rFonts w:hint="eastAsia" w:ascii="宋体" w:hAnsi="宋体" w:cs="宋体"/>
          <w:b/>
          <w:color w:val="auto"/>
          <w:kern w:val="0"/>
          <w:szCs w:val="21"/>
          <w:highlight w:val="none"/>
        </w:rPr>
        <w:t>磋商文件前附表。</w:t>
      </w:r>
    </w:p>
    <w:p w14:paraId="0FA4FFB4">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rPr>
        <w:t>9.2对列入财政部、国家发展改革委发布的《节能产品政府采购清单》的“非强制采购节能产品”，财政部、环境保护部发布的《环境标志产品政府采购清单》的“环境标志产品”以及中小企业，实行优先采购，按照省级以上财政部门有关政策规定，评审时进行价格扣除或加分。实行政府采购优先采购的优惠率见</w:t>
      </w:r>
      <w:r>
        <w:rPr>
          <w:rFonts w:hint="eastAsia" w:ascii="宋体" w:hAnsi="宋体" w:cs="宋体"/>
          <w:b/>
          <w:color w:val="auto"/>
          <w:kern w:val="0"/>
          <w:szCs w:val="21"/>
          <w:highlight w:val="none"/>
        </w:rPr>
        <w:t>磋商文件前附表。</w:t>
      </w:r>
    </w:p>
    <w:p w14:paraId="7DF19D8C">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9.3产品同时属于“非强制采购节能产品”、“环境标志产品”，评审时只有其中一项能享受优先待遇(供应商自行选择，并在报价文件中并填报相关信息及数据)；中小企业可以与同时属于“非强制采购节能产品”、“环境标志产品”中的一项重复计算。</w:t>
      </w:r>
    </w:p>
    <w:p w14:paraId="5B348C1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9.4同一项目中部分产品属于优先采购政策的，评审时只对该部分产品的报价实行价格扣除及加分。</w:t>
      </w:r>
    </w:p>
    <w:p w14:paraId="5E63FCE8">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9.5符合本章第9.1</w:t>
      </w:r>
      <w:r>
        <w:rPr>
          <w:rFonts w:hint="eastAsia" w:ascii="宋体" w:hAnsi="宋体" w:cs="宋体"/>
          <w:color w:val="auto"/>
          <w:kern w:val="0"/>
          <w:szCs w:val="21"/>
          <w:highlight w:val="none"/>
          <w:lang w:val="zh-CN"/>
        </w:rPr>
        <w:t>款、</w:t>
      </w:r>
      <w:r>
        <w:rPr>
          <w:rFonts w:hint="eastAsia" w:ascii="宋体" w:hAnsi="宋体" w:cs="宋体"/>
          <w:color w:val="auto"/>
          <w:szCs w:val="21"/>
          <w:highlight w:val="none"/>
        </w:rPr>
        <w:t>第9.2</w:t>
      </w:r>
      <w:r>
        <w:rPr>
          <w:rFonts w:hint="eastAsia" w:ascii="宋体" w:hAnsi="宋体" w:cs="宋体"/>
          <w:color w:val="auto"/>
          <w:kern w:val="0"/>
          <w:szCs w:val="21"/>
          <w:highlight w:val="none"/>
          <w:lang w:val="zh-CN"/>
        </w:rPr>
        <w:t>款</w:t>
      </w:r>
      <w:r>
        <w:rPr>
          <w:rFonts w:hint="eastAsia" w:ascii="宋体" w:hAnsi="宋体" w:cs="宋体"/>
          <w:color w:val="auto"/>
          <w:szCs w:val="21"/>
          <w:highlight w:val="none"/>
        </w:rPr>
        <w:t>规定的，应提供相关证明资料。</w:t>
      </w:r>
    </w:p>
    <w:p w14:paraId="252F5C8B">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9.6供应商有融资、担保需求的，具体办理流程可向</w:t>
      </w:r>
      <w:r>
        <w:rPr>
          <w:rFonts w:hint="eastAsia" w:ascii="宋体" w:hAnsi="宋体" w:cs="宋体"/>
          <w:b/>
          <w:color w:val="auto"/>
          <w:szCs w:val="21"/>
          <w:highlight w:val="none"/>
        </w:rPr>
        <w:t>磋商须知前附表</w:t>
      </w:r>
      <w:r>
        <w:rPr>
          <w:rFonts w:hint="eastAsia" w:ascii="宋体" w:hAnsi="宋体" w:cs="宋体"/>
          <w:color w:val="auto"/>
          <w:szCs w:val="21"/>
          <w:highlight w:val="none"/>
        </w:rPr>
        <w:t>所列金融机构和担保机构询问。</w:t>
      </w:r>
    </w:p>
    <w:p w14:paraId="589218D6">
      <w:pPr>
        <w:pStyle w:val="7"/>
        <w:bidi w:val="0"/>
        <w:rPr>
          <w:rFonts w:hint="eastAsia"/>
          <w:color w:val="auto"/>
          <w:highlight w:val="none"/>
        </w:rPr>
      </w:pPr>
      <w:bookmarkStart w:id="61" w:name="_Toc18382"/>
      <w:bookmarkStart w:id="62" w:name="_Toc53489355"/>
      <w:bookmarkStart w:id="63" w:name="_Toc31473"/>
      <w:bookmarkStart w:id="64" w:name="_Toc4772"/>
      <w:bookmarkStart w:id="65" w:name="_Toc28799"/>
      <w:bookmarkStart w:id="66" w:name="_Toc24713"/>
      <w:bookmarkStart w:id="67" w:name="_Toc29737"/>
      <w:bookmarkStart w:id="68" w:name="_Toc8783"/>
      <w:bookmarkStart w:id="69" w:name="_Toc7468"/>
      <w:bookmarkStart w:id="70" w:name="_Toc23810"/>
      <w:bookmarkStart w:id="71" w:name="_Toc5808"/>
      <w:r>
        <w:rPr>
          <w:rFonts w:hint="eastAsia"/>
          <w:color w:val="auto"/>
          <w:highlight w:val="none"/>
        </w:rPr>
        <w:t>二、磋商文件</w:t>
      </w:r>
      <w:bookmarkEnd w:id="61"/>
      <w:bookmarkEnd w:id="62"/>
      <w:bookmarkEnd w:id="63"/>
      <w:bookmarkEnd w:id="64"/>
      <w:bookmarkEnd w:id="65"/>
      <w:bookmarkEnd w:id="66"/>
      <w:bookmarkEnd w:id="67"/>
      <w:bookmarkEnd w:id="68"/>
      <w:bookmarkEnd w:id="69"/>
      <w:bookmarkEnd w:id="70"/>
      <w:bookmarkEnd w:id="71"/>
    </w:p>
    <w:p w14:paraId="75DA28C8">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10．磋商文件的组成</w:t>
      </w:r>
    </w:p>
    <w:p w14:paraId="4AA17306">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10.1 磋商文件由下列文件组成：</w:t>
      </w:r>
    </w:p>
    <w:p w14:paraId="57B2819E">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第一章 磋商邀请</w:t>
      </w:r>
    </w:p>
    <w:p w14:paraId="4028D68B">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第二章 磋商须知</w:t>
      </w:r>
    </w:p>
    <w:p w14:paraId="490F37AF">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第三章 政府采购合同格式</w:t>
      </w:r>
    </w:p>
    <w:p w14:paraId="76E01520">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第四章 采购需求</w:t>
      </w:r>
    </w:p>
    <w:p w14:paraId="7E91094B">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第五章 响应文件组成</w:t>
      </w:r>
    </w:p>
    <w:p w14:paraId="0D8114DA">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szCs w:val="21"/>
          <w:highlight w:val="none"/>
        </w:rPr>
        <w:t>10.2</w:t>
      </w:r>
      <w:r>
        <w:rPr>
          <w:rFonts w:hint="eastAsia" w:ascii="宋体" w:hAnsi="宋体" w:cs="宋体"/>
          <w:color w:val="auto"/>
          <w:kern w:val="0"/>
          <w:szCs w:val="21"/>
          <w:highlight w:val="none"/>
        </w:rPr>
        <w:t>磋商小组根据与供应商磋商情况可能实质性变动的内容，包括采购需求中的技术、服务要求以及合同条款，</w:t>
      </w:r>
      <w:r>
        <w:rPr>
          <w:rFonts w:hint="eastAsia" w:ascii="宋体" w:hAnsi="宋体" w:cs="宋体"/>
          <w:color w:val="auto"/>
          <w:szCs w:val="21"/>
          <w:highlight w:val="none"/>
        </w:rPr>
        <w:t>在</w:t>
      </w:r>
      <w:r>
        <w:rPr>
          <w:rFonts w:hint="eastAsia" w:ascii="宋体" w:hAnsi="宋体" w:cs="宋体"/>
          <w:b/>
          <w:color w:val="auto"/>
          <w:szCs w:val="21"/>
          <w:highlight w:val="none"/>
        </w:rPr>
        <w:t>磋商须知前附表</w:t>
      </w:r>
      <w:r>
        <w:rPr>
          <w:rFonts w:hint="eastAsia" w:ascii="宋体" w:hAnsi="宋体" w:cs="宋体"/>
          <w:color w:val="auto"/>
          <w:szCs w:val="21"/>
          <w:highlight w:val="none"/>
        </w:rPr>
        <w:t>中明确。</w:t>
      </w:r>
    </w:p>
    <w:p w14:paraId="5653FE39">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highlight w:val="none"/>
        </w:rPr>
        <w:t>10.3</w:t>
      </w:r>
      <w:r>
        <w:rPr>
          <w:rFonts w:hint="eastAsia" w:ascii="宋体" w:hAnsi="宋体" w:cs="宋体"/>
          <w:color w:val="auto"/>
          <w:szCs w:val="21"/>
          <w:highlight w:val="none"/>
        </w:rPr>
        <w:t>供应商应仔细阅读</w:t>
      </w:r>
      <w:r>
        <w:rPr>
          <w:rFonts w:hint="eastAsia" w:ascii="宋体" w:hAnsi="宋体" w:cs="宋体"/>
          <w:bCs/>
          <w:color w:val="auto"/>
          <w:szCs w:val="21"/>
          <w:highlight w:val="none"/>
        </w:rPr>
        <w:t>磋商</w:t>
      </w:r>
      <w:r>
        <w:rPr>
          <w:rFonts w:hint="eastAsia" w:ascii="宋体" w:hAnsi="宋体" w:cs="宋体"/>
          <w:color w:val="auto"/>
          <w:szCs w:val="21"/>
          <w:highlight w:val="none"/>
        </w:rPr>
        <w:t>文件的全部内容，按照</w:t>
      </w:r>
      <w:r>
        <w:rPr>
          <w:rFonts w:hint="eastAsia" w:ascii="宋体" w:hAnsi="宋体" w:cs="宋体"/>
          <w:bCs/>
          <w:color w:val="auto"/>
          <w:szCs w:val="21"/>
          <w:highlight w:val="none"/>
        </w:rPr>
        <w:t>磋商</w:t>
      </w:r>
      <w:r>
        <w:rPr>
          <w:rFonts w:hint="eastAsia" w:ascii="宋体" w:hAnsi="宋体" w:cs="宋体"/>
          <w:color w:val="auto"/>
          <w:szCs w:val="21"/>
          <w:highlight w:val="none"/>
        </w:rPr>
        <w:t>文件要求编制响应文件。任何对</w:t>
      </w:r>
      <w:r>
        <w:rPr>
          <w:rFonts w:hint="eastAsia" w:ascii="宋体" w:hAnsi="宋体" w:cs="宋体"/>
          <w:bCs/>
          <w:color w:val="auto"/>
          <w:szCs w:val="21"/>
          <w:highlight w:val="none"/>
        </w:rPr>
        <w:t>磋商</w:t>
      </w:r>
      <w:r>
        <w:rPr>
          <w:rFonts w:hint="eastAsia" w:ascii="宋体" w:hAnsi="宋体" w:cs="宋体"/>
          <w:color w:val="auto"/>
          <w:szCs w:val="21"/>
          <w:highlight w:val="none"/>
        </w:rPr>
        <w:t>文件的忽略或误解不能作为响应文件存在缺陷或瑕疵的理由，其风险由供应商承担。</w:t>
      </w:r>
    </w:p>
    <w:p w14:paraId="7E2FFEBD">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11.</w:t>
      </w:r>
      <w:r>
        <w:rPr>
          <w:rFonts w:hint="eastAsia" w:ascii="宋体" w:hAnsi="宋体" w:cs="宋体"/>
          <w:b/>
          <w:color w:val="auto"/>
          <w:highlight w:val="none"/>
        </w:rPr>
        <w:t xml:space="preserve"> </w:t>
      </w:r>
      <w:r>
        <w:rPr>
          <w:rFonts w:hint="eastAsia" w:ascii="宋体" w:hAnsi="宋体" w:cs="宋体"/>
          <w:b/>
          <w:color w:val="auto"/>
          <w:szCs w:val="21"/>
          <w:highlight w:val="none"/>
        </w:rPr>
        <w:t>磋商文件的提供期限</w:t>
      </w:r>
    </w:p>
    <w:p w14:paraId="68E68A9B">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11.1磋商文件的提供期限自开始发出之日起不得少于五个工作日。具体提供期限见</w:t>
      </w:r>
      <w:r>
        <w:rPr>
          <w:rFonts w:hint="eastAsia" w:ascii="宋体" w:hAnsi="宋体" w:cs="宋体"/>
          <w:b/>
          <w:color w:val="auto"/>
          <w:szCs w:val="21"/>
          <w:highlight w:val="none"/>
        </w:rPr>
        <w:t>磋商文件前附表</w:t>
      </w:r>
      <w:r>
        <w:rPr>
          <w:rFonts w:hint="eastAsia" w:ascii="宋体" w:hAnsi="宋体" w:cs="宋体"/>
          <w:color w:val="auto"/>
          <w:szCs w:val="21"/>
          <w:highlight w:val="none"/>
        </w:rPr>
        <w:t>。</w:t>
      </w:r>
    </w:p>
    <w:p w14:paraId="19EBA438">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11.2供应商应持</w:t>
      </w:r>
      <w:r>
        <w:rPr>
          <w:rFonts w:hint="eastAsia" w:ascii="宋体" w:hAnsi="宋体" w:cs="宋体"/>
          <w:b/>
          <w:color w:val="auto"/>
          <w:szCs w:val="21"/>
          <w:highlight w:val="none"/>
        </w:rPr>
        <w:t>磋商文件前附表</w:t>
      </w:r>
      <w:r>
        <w:rPr>
          <w:rFonts w:hint="eastAsia" w:ascii="宋体" w:hAnsi="宋体" w:cs="宋体"/>
          <w:color w:val="auto"/>
          <w:szCs w:val="21"/>
          <w:highlight w:val="none"/>
        </w:rPr>
        <w:t>规定的资料领取或购买磋商文件。</w:t>
      </w:r>
    </w:p>
    <w:p w14:paraId="551ADA84">
      <w:pPr>
        <w:adjustRightInd w:val="0"/>
        <w:snapToGrid w:val="0"/>
        <w:spacing w:line="360" w:lineRule="auto"/>
        <w:rPr>
          <w:rFonts w:ascii="宋体" w:hAnsi="宋体" w:cs="宋体"/>
          <w:color w:val="auto"/>
          <w:szCs w:val="21"/>
          <w:highlight w:val="none"/>
        </w:rPr>
      </w:pPr>
      <w:r>
        <w:rPr>
          <w:rFonts w:hint="eastAsia" w:ascii="宋体" w:hAnsi="宋体" w:cs="宋体"/>
          <w:b/>
          <w:color w:val="auto"/>
          <w:szCs w:val="21"/>
          <w:highlight w:val="none"/>
        </w:rPr>
        <w:t>12.</w:t>
      </w:r>
      <w:r>
        <w:rPr>
          <w:rFonts w:hint="eastAsia" w:ascii="宋体" w:hAnsi="宋体" w:cs="宋体"/>
          <w:b/>
          <w:color w:val="auto"/>
          <w:kern w:val="0"/>
          <w:szCs w:val="21"/>
          <w:highlight w:val="none"/>
        </w:rPr>
        <w:t>提交首次响应文件</w:t>
      </w:r>
      <w:r>
        <w:rPr>
          <w:rFonts w:hint="eastAsia" w:ascii="宋体" w:hAnsi="宋体" w:cs="宋体"/>
          <w:b/>
          <w:color w:val="auto"/>
          <w:szCs w:val="21"/>
          <w:highlight w:val="none"/>
        </w:rPr>
        <w:t>的</w:t>
      </w:r>
      <w:r>
        <w:rPr>
          <w:rFonts w:hint="eastAsia" w:ascii="宋体" w:hAnsi="宋体" w:cs="宋体"/>
          <w:b/>
          <w:color w:val="auto"/>
          <w:kern w:val="0"/>
          <w:szCs w:val="21"/>
          <w:highlight w:val="none"/>
        </w:rPr>
        <w:t>截止</w:t>
      </w:r>
      <w:r>
        <w:rPr>
          <w:rFonts w:hint="eastAsia" w:ascii="宋体" w:hAnsi="宋体" w:cs="宋体"/>
          <w:b/>
          <w:color w:val="auto"/>
          <w:szCs w:val="21"/>
          <w:highlight w:val="none"/>
        </w:rPr>
        <w:t>时间</w:t>
      </w:r>
    </w:p>
    <w:p w14:paraId="39DEA83A">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12.1</w:t>
      </w:r>
      <w:r>
        <w:rPr>
          <w:rFonts w:hint="eastAsia" w:ascii="宋体" w:hAnsi="宋体" w:cs="宋体"/>
          <w:color w:val="auto"/>
          <w:kern w:val="0"/>
          <w:szCs w:val="21"/>
          <w:highlight w:val="none"/>
        </w:rPr>
        <w:t>供应商提交首次响应文件截止</w:t>
      </w:r>
      <w:r>
        <w:rPr>
          <w:rFonts w:hint="eastAsia" w:ascii="宋体" w:hAnsi="宋体" w:cs="宋体"/>
          <w:color w:val="auto"/>
          <w:szCs w:val="21"/>
          <w:highlight w:val="none"/>
        </w:rPr>
        <w:t>时间见</w:t>
      </w:r>
      <w:r>
        <w:rPr>
          <w:rFonts w:hint="eastAsia" w:ascii="宋体" w:hAnsi="宋体" w:cs="宋体"/>
          <w:b/>
          <w:color w:val="auto"/>
          <w:szCs w:val="21"/>
          <w:highlight w:val="none"/>
        </w:rPr>
        <w:t>磋商须知前附表</w:t>
      </w:r>
      <w:r>
        <w:rPr>
          <w:rFonts w:hint="eastAsia" w:ascii="宋体" w:hAnsi="宋体" w:cs="宋体"/>
          <w:color w:val="auto"/>
          <w:szCs w:val="21"/>
          <w:highlight w:val="none"/>
        </w:rPr>
        <w:t>。</w:t>
      </w:r>
    </w:p>
    <w:p w14:paraId="731325F5">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13.磋商文件的澄清</w:t>
      </w:r>
      <w:r>
        <w:rPr>
          <w:rFonts w:hint="eastAsia" w:ascii="宋体" w:hAnsi="宋体" w:cs="宋体"/>
          <w:b/>
          <w:color w:val="auto"/>
          <w:kern w:val="0"/>
          <w:szCs w:val="21"/>
          <w:highlight w:val="none"/>
          <w:lang w:val="zh-CN"/>
        </w:rPr>
        <w:t>或者</w:t>
      </w:r>
      <w:r>
        <w:rPr>
          <w:rFonts w:hint="eastAsia" w:ascii="宋体" w:hAnsi="宋体" w:cs="宋体"/>
          <w:b/>
          <w:bCs/>
          <w:color w:val="auto"/>
          <w:szCs w:val="21"/>
          <w:highlight w:val="none"/>
        </w:rPr>
        <w:t>修改</w:t>
      </w:r>
    </w:p>
    <w:p w14:paraId="027F44C5">
      <w:pPr>
        <w:adjustRightInd w:val="0"/>
        <w:snapToGrid w:val="0"/>
        <w:spacing w:line="360" w:lineRule="auto"/>
        <w:ind w:right="-105" w:rightChars="-50" w:firstLine="420" w:firstLineChars="200"/>
        <w:rPr>
          <w:rFonts w:ascii="宋体" w:hAnsi="宋体" w:cs="宋体"/>
          <w:color w:val="auto"/>
          <w:kern w:val="0"/>
          <w:szCs w:val="21"/>
          <w:highlight w:val="none"/>
        </w:rPr>
      </w:pPr>
      <w:r>
        <w:rPr>
          <w:rFonts w:hint="eastAsia" w:ascii="宋体" w:hAnsi="宋体" w:cs="宋体"/>
          <w:color w:val="auto"/>
          <w:szCs w:val="21"/>
          <w:highlight w:val="none"/>
        </w:rPr>
        <w:t>13.1在</w:t>
      </w:r>
      <w:r>
        <w:rPr>
          <w:rFonts w:hint="eastAsia" w:ascii="宋体" w:hAnsi="宋体" w:cs="宋体"/>
          <w:color w:val="auto"/>
          <w:kern w:val="0"/>
          <w:szCs w:val="21"/>
          <w:highlight w:val="none"/>
        </w:rPr>
        <w:t xml:space="preserve">提交首次响应文件截止之日前，采购人、采购代理机构可以对已发出的磋商文件进行必要的澄清或者修改。 </w:t>
      </w:r>
    </w:p>
    <w:p w14:paraId="5903129F">
      <w:pPr>
        <w:adjustRightInd w:val="0"/>
        <w:snapToGrid w:val="0"/>
        <w:spacing w:line="360" w:lineRule="auto"/>
        <w:ind w:right="-105" w:rightChars="-50" w:firstLine="420" w:firstLineChars="200"/>
        <w:rPr>
          <w:rFonts w:ascii="宋体" w:hAnsi="宋体" w:cs="宋体"/>
          <w:color w:val="auto"/>
          <w:kern w:val="0"/>
          <w:szCs w:val="21"/>
          <w:highlight w:val="none"/>
        </w:rPr>
      </w:pPr>
      <w:r>
        <w:rPr>
          <w:rFonts w:hint="eastAsia" w:ascii="宋体" w:hAnsi="宋体" w:cs="宋体"/>
          <w:color w:val="auto"/>
          <w:szCs w:val="21"/>
          <w:highlight w:val="none"/>
        </w:rPr>
        <w:t>13.2</w:t>
      </w:r>
      <w:r>
        <w:rPr>
          <w:rFonts w:hint="eastAsia" w:ascii="宋体" w:hAnsi="宋体" w:cs="宋体"/>
          <w:color w:val="auto"/>
          <w:kern w:val="0"/>
          <w:szCs w:val="21"/>
          <w:highlight w:val="none"/>
        </w:rPr>
        <w:t>澄清或者修改的内容可能影响响应文件编制的，采购人、采购代理机构应当在提交首次响应文件截止之日3个工作日前，以书面形式通知所有接收磋商文件的供应商，不足3个工作日的，顺延供应商提交首次响应文件截止时间。</w:t>
      </w:r>
    </w:p>
    <w:p w14:paraId="7B054289">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13.2</w:t>
      </w:r>
      <w:r>
        <w:rPr>
          <w:rFonts w:hint="eastAsia" w:ascii="宋体" w:hAnsi="宋体" w:cs="宋体"/>
          <w:color w:val="auto"/>
          <w:kern w:val="0"/>
          <w:szCs w:val="21"/>
          <w:highlight w:val="none"/>
        </w:rPr>
        <w:t>提交首次响应文件截止时间前对磋商文件澄清或者修改内容，为磋商文件的组成部分。</w:t>
      </w:r>
    </w:p>
    <w:p w14:paraId="37A07EAA">
      <w:pPr>
        <w:pStyle w:val="7"/>
        <w:bidi w:val="0"/>
        <w:rPr>
          <w:rFonts w:hint="eastAsia"/>
          <w:color w:val="auto"/>
          <w:highlight w:val="none"/>
        </w:rPr>
      </w:pPr>
      <w:bookmarkStart w:id="72" w:name="_Toc2305"/>
      <w:bookmarkStart w:id="73" w:name="_Toc15009"/>
      <w:bookmarkStart w:id="74" w:name="_Toc18977"/>
      <w:bookmarkStart w:id="75" w:name="_Toc19711"/>
      <w:bookmarkStart w:id="76" w:name="_Toc27369"/>
      <w:bookmarkStart w:id="77" w:name="_Toc17508"/>
      <w:bookmarkStart w:id="78" w:name="_Toc32600"/>
      <w:bookmarkStart w:id="79" w:name="_Toc13883"/>
      <w:bookmarkStart w:id="80" w:name="_Toc7850"/>
      <w:bookmarkStart w:id="81" w:name="_Toc31189"/>
      <w:bookmarkStart w:id="82" w:name="_Toc53489356"/>
      <w:r>
        <w:rPr>
          <w:rFonts w:hint="eastAsia"/>
          <w:color w:val="auto"/>
          <w:highlight w:val="none"/>
        </w:rPr>
        <w:t>三、响应文件</w:t>
      </w:r>
      <w:bookmarkEnd w:id="72"/>
      <w:bookmarkEnd w:id="73"/>
      <w:bookmarkEnd w:id="74"/>
      <w:bookmarkEnd w:id="75"/>
      <w:bookmarkEnd w:id="76"/>
      <w:bookmarkEnd w:id="77"/>
      <w:bookmarkEnd w:id="78"/>
      <w:bookmarkEnd w:id="79"/>
      <w:bookmarkEnd w:id="80"/>
      <w:bookmarkEnd w:id="81"/>
      <w:bookmarkEnd w:id="82"/>
    </w:p>
    <w:p w14:paraId="0ED02022">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14.一般要求</w:t>
      </w:r>
    </w:p>
    <w:p w14:paraId="33CFCC0B">
      <w:pPr>
        <w:adjustRightInd w:val="0"/>
        <w:snapToGrid w:val="0"/>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14.1 供应商应仔细阅读磋商文件的所有内容，按磋商文件的要求编制响应文件，并保证所提供的全部资料的真实性，以使其响应文件对磋商文件做出实质性的响应。</w:t>
      </w:r>
    </w:p>
    <w:p w14:paraId="554782F6">
      <w:pPr>
        <w:adjustRightInd w:val="0"/>
        <w:snapToGrid w:val="0"/>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 xml:space="preserve">14.2 </w:t>
      </w:r>
      <w:r>
        <w:rPr>
          <w:rFonts w:hint="eastAsia" w:ascii="宋体" w:hAnsi="宋体" w:cs="宋体"/>
          <w:color w:val="auto"/>
          <w:szCs w:val="21"/>
          <w:highlight w:val="none"/>
        </w:rPr>
        <w:t>供应商提交的响应文件及供应商与采购人或采购代理机构、磋商小组就有关磋商的所有来往函电均使用中文。供应商可以提交其它语言的资料，但应附中文注释，在有差异时以中文为准。</w:t>
      </w:r>
    </w:p>
    <w:p w14:paraId="207DF2D4">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bCs/>
          <w:color w:val="auto"/>
          <w:szCs w:val="21"/>
          <w:highlight w:val="none"/>
        </w:rPr>
        <w:t xml:space="preserve">14.3 </w:t>
      </w:r>
      <w:r>
        <w:rPr>
          <w:rFonts w:hint="eastAsia" w:ascii="宋体" w:hAnsi="宋体" w:cs="宋体"/>
          <w:color w:val="auto"/>
          <w:szCs w:val="21"/>
          <w:highlight w:val="none"/>
        </w:rPr>
        <w:t>计量单位应使用我国法定计量单位，未列明时应默认为我国法定计量单位。</w:t>
      </w:r>
    </w:p>
    <w:p w14:paraId="64ACB477">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14.4 响应文件应采用书面形式，电报、传真、电子邮件形式的响应文件概不接受。</w:t>
      </w:r>
    </w:p>
    <w:p w14:paraId="45BA8211">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14.5 供应商应按磋商文件中提供的响应文件格式填写。</w:t>
      </w:r>
    </w:p>
    <w:p w14:paraId="4581EAC2">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15.</w:t>
      </w:r>
      <w:r>
        <w:rPr>
          <w:rFonts w:hint="eastAsia" w:ascii="宋体" w:hAnsi="宋体" w:cs="宋体"/>
          <w:b/>
          <w:color w:val="auto"/>
          <w:szCs w:val="21"/>
          <w:highlight w:val="none"/>
        </w:rPr>
        <w:t>响应文件</w:t>
      </w:r>
      <w:r>
        <w:rPr>
          <w:rFonts w:hint="eastAsia" w:ascii="宋体" w:hAnsi="宋体" w:cs="宋体"/>
          <w:b/>
          <w:bCs/>
          <w:color w:val="auto"/>
          <w:szCs w:val="21"/>
          <w:highlight w:val="none"/>
        </w:rPr>
        <w:t>的组成</w:t>
      </w:r>
    </w:p>
    <w:p w14:paraId="182AAA34">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highlight w:val="none"/>
        </w:rPr>
        <w:t>15.1 响</w:t>
      </w:r>
      <w:r>
        <w:rPr>
          <w:rFonts w:hint="eastAsia" w:ascii="宋体" w:hAnsi="宋体" w:cs="宋体"/>
          <w:color w:val="auto"/>
          <w:szCs w:val="21"/>
          <w:highlight w:val="none"/>
        </w:rPr>
        <w:t xml:space="preserve">应文件包括下列内容： </w:t>
      </w:r>
    </w:p>
    <w:p w14:paraId="5C57D490">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（1）磋商响应声明</w:t>
      </w:r>
    </w:p>
    <w:p w14:paraId="55B39720">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（2）保证金</w:t>
      </w:r>
    </w:p>
    <w:p w14:paraId="0D19D5DB">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（3）供应商的资格证明资料</w:t>
      </w:r>
    </w:p>
    <w:p w14:paraId="2D493384">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（4）施工方案说明</w:t>
      </w:r>
    </w:p>
    <w:p w14:paraId="26EB8C77">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（5）技术/商务响应与偏离表</w:t>
      </w:r>
    </w:p>
    <w:p w14:paraId="7808D9DF">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（6）报价一览表及报价文件</w:t>
      </w:r>
    </w:p>
    <w:p w14:paraId="74F0FACD">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（7）提供享受政府采购政策优惠的证明资料和清单表</w:t>
      </w:r>
    </w:p>
    <w:p w14:paraId="310B12D8">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（8）供应商认为需提供的其它资料</w:t>
      </w:r>
    </w:p>
    <w:p w14:paraId="77F878C1">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（9）最后报价</w:t>
      </w:r>
    </w:p>
    <w:p w14:paraId="299CD4D8">
      <w:pPr>
        <w:adjustRightInd w:val="0"/>
        <w:snapToGrid w:val="0"/>
        <w:spacing w:line="360" w:lineRule="auto"/>
        <w:ind w:firstLine="420" w:firstLineChars="200"/>
        <w:rPr>
          <w:rFonts w:ascii="宋体" w:hAnsi="宋体" w:cs="宋体"/>
          <w:color w:val="auto"/>
          <w:highlight w:val="none"/>
        </w:rPr>
      </w:pPr>
      <w:r>
        <w:rPr>
          <w:rFonts w:hint="eastAsia" w:ascii="宋体" w:hAnsi="宋体" w:cs="宋体"/>
          <w:color w:val="auto"/>
          <w:highlight w:val="none"/>
        </w:rPr>
        <w:t>15.2在磋商过程中，</w:t>
      </w:r>
      <w:r>
        <w:rPr>
          <w:rFonts w:hint="eastAsia" w:ascii="宋体" w:hAnsi="宋体" w:cs="宋体"/>
          <w:color w:val="auto"/>
          <w:szCs w:val="21"/>
          <w:highlight w:val="none"/>
        </w:rPr>
        <w:t>供应商</w:t>
      </w:r>
      <w:r>
        <w:rPr>
          <w:rFonts w:hint="eastAsia" w:ascii="宋体" w:hAnsi="宋体" w:cs="宋体"/>
          <w:color w:val="auto"/>
          <w:highlight w:val="none"/>
        </w:rPr>
        <w:t>根据</w:t>
      </w:r>
      <w:r>
        <w:rPr>
          <w:rFonts w:hint="eastAsia" w:ascii="宋体" w:hAnsi="宋体" w:cs="宋体"/>
          <w:color w:val="auto"/>
          <w:kern w:val="0"/>
          <w:szCs w:val="21"/>
          <w:highlight w:val="none"/>
        </w:rPr>
        <w:t>磋商小组</w:t>
      </w:r>
      <w:r>
        <w:rPr>
          <w:rFonts w:hint="eastAsia" w:ascii="宋体" w:hAnsi="宋体" w:cs="宋体"/>
          <w:bCs/>
          <w:color w:val="auto"/>
          <w:szCs w:val="21"/>
          <w:highlight w:val="none"/>
        </w:rPr>
        <w:t>书面形式要求</w:t>
      </w:r>
      <w:r>
        <w:rPr>
          <w:rFonts w:hint="eastAsia" w:ascii="宋体" w:hAnsi="宋体" w:cs="宋体"/>
          <w:color w:val="auto"/>
          <w:kern w:val="0"/>
          <w:szCs w:val="21"/>
          <w:highlight w:val="none"/>
        </w:rPr>
        <w:t>提交的</w:t>
      </w:r>
      <w:r>
        <w:rPr>
          <w:rFonts w:hint="eastAsia" w:ascii="宋体" w:hAnsi="宋体" w:cs="宋体"/>
          <w:color w:val="auto"/>
          <w:highlight w:val="none"/>
        </w:rPr>
        <w:t>最后报价(或者</w:t>
      </w:r>
      <w:r>
        <w:rPr>
          <w:rFonts w:hint="eastAsia" w:ascii="宋体" w:hAnsi="宋体" w:cs="宋体"/>
          <w:bCs/>
          <w:color w:val="auto"/>
          <w:szCs w:val="21"/>
          <w:highlight w:val="none"/>
        </w:rPr>
        <w:t>重</w:t>
      </w:r>
      <w:r>
        <w:rPr>
          <w:rFonts w:hint="eastAsia" w:ascii="宋体" w:hAnsi="宋体" w:cs="宋体"/>
          <w:color w:val="auto"/>
          <w:kern w:val="0"/>
          <w:szCs w:val="21"/>
          <w:highlight w:val="none"/>
        </w:rPr>
        <w:t>新提交的响应文件和</w:t>
      </w:r>
      <w:r>
        <w:rPr>
          <w:rFonts w:hint="eastAsia" w:ascii="宋体" w:hAnsi="宋体" w:cs="宋体"/>
          <w:color w:val="auto"/>
          <w:highlight w:val="none"/>
        </w:rPr>
        <w:t>最后报价)是</w:t>
      </w:r>
      <w:r>
        <w:rPr>
          <w:rFonts w:hint="eastAsia" w:ascii="宋体" w:hAnsi="宋体" w:cs="宋体"/>
          <w:color w:val="auto"/>
          <w:szCs w:val="21"/>
          <w:highlight w:val="none"/>
        </w:rPr>
        <w:t>响应文件</w:t>
      </w:r>
      <w:r>
        <w:rPr>
          <w:rFonts w:hint="eastAsia" w:ascii="宋体" w:hAnsi="宋体" w:cs="宋体"/>
          <w:color w:val="auto"/>
          <w:highlight w:val="none"/>
        </w:rPr>
        <w:t>的有效组成部分。</w:t>
      </w:r>
    </w:p>
    <w:p w14:paraId="3849B458">
      <w:pPr>
        <w:adjustRightInd w:val="0"/>
        <w:snapToGrid w:val="0"/>
        <w:spacing w:line="360" w:lineRule="auto"/>
        <w:ind w:firstLine="420" w:firstLineChars="200"/>
        <w:rPr>
          <w:rFonts w:ascii="宋体" w:hAnsi="宋体" w:cs="宋体"/>
          <w:b/>
          <w:color w:val="auto"/>
          <w:highlight w:val="none"/>
        </w:rPr>
      </w:pPr>
      <w:r>
        <w:rPr>
          <w:rFonts w:hint="eastAsia" w:ascii="宋体" w:hAnsi="宋体" w:cs="宋体"/>
          <w:color w:val="auto"/>
          <w:highlight w:val="none"/>
        </w:rPr>
        <w:t>15.3</w:t>
      </w:r>
      <w:r>
        <w:rPr>
          <w:rFonts w:hint="eastAsia" w:ascii="宋体" w:hAnsi="宋体" w:cs="宋体"/>
          <w:color w:val="auto"/>
          <w:kern w:val="0"/>
          <w:szCs w:val="21"/>
          <w:highlight w:val="none"/>
        </w:rPr>
        <w:t>磋商文件规定可能发生实质性变动的，供应商应当在</w:t>
      </w:r>
      <w:r>
        <w:rPr>
          <w:rFonts w:hint="eastAsia" w:ascii="宋体" w:hAnsi="宋体" w:cs="宋体"/>
          <w:color w:val="auto"/>
          <w:highlight w:val="none"/>
        </w:rPr>
        <w:t>《技术/商务响应与偏离表》中对应内容注明。</w:t>
      </w:r>
    </w:p>
    <w:p w14:paraId="44FF7129">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highlight w:val="none"/>
        </w:rPr>
        <w:t>15.4</w:t>
      </w:r>
      <w:r>
        <w:rPr>
          <w:rFonts w:hint="eastAsia" w:ascii="宋体" w:hAnsi="宋体" w:cs="宋体"/>
          <w:color w:val="auto"/>
          <w:szCs w:val="21"/>
          <w:highlight w:val="none"/>
        </w:rPr>
        <w:t>根据《政府采购法》第四十二条的规定，供应商无论成交与否，其响应文件不予退还。</w:t>
      </w:r>
    </w:p>
    <w:p w14:paraId="5FB6B81D">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16.报价</w:t>
      </w:r>
    </w:p>
    <w:p w14:paraId="6B54B6CD">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16.1供应商应当根据磋商文件要求和范围，以人民币报价，以元为单位，保留小数点后两位。</w:t>
      </w:r>
    </w:p>
    <w:p w14:paraId="4656E0AB">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16.2供应商应按第五章 响应文件组成格式填写。</w:t>
      </w:r>
    </w:p>
    <w:p w14:paraId="505556B0">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16.3响应文件中标明的价格在合同执行过程中是固定不变的，不得以任何理由予以变更。以可变动价格提交的报价将被认为是非实质响应而被拒绝。</w:t>
      </w:r>
    </w:p>
    <w:p w14:paraId="6145977F">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16.4供应商的报价不得超过采购项目预算，采购项目预算或其计算方法见</w:t>
      </w:r>
      <w:r>
        <w:rPr>
          <w:rFonts w:hint="eastAsia" w:ascii="宋体" w:hAnsi="宋体" w:cs="宋体"/>
          <w:b/>
          <w:bCs/>
          <w:color w:val="auto"/>
          <w:kern w:val="0"/>
          <w:szCs w:val="21"/>
          <w:highlight w:val="none"/>
        </w:rPr>
        <w:t>磋商须知前附表</w:t>
      </w:r>
      <w:r>
        <w:rPr>
          <w:rFonts w:hint="eastAsia" w:ascii="宋体" w:hAnsi="宋体" w:cs="宋体"/>
          <w:color w:val="auto"/>
          <w:kern w:val="0"/>
          <w:szCs w:val="21"/>
          <w:highlight w:val="none"/>
        </w:rPr>
        <w:t>。</w:t>
      </w:r>
    </w:p>
    <w:p w14:paraId="1613DD7D">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17.供应商符合磋商文件规定的证明文件</w:t>
      </w:r>
    </w:p>
    <w:p w14:paraId="5045DDD1">
      <w:pPr>
        <w:adjustRightInd w:val="0"/>
        <w:snapToGrid w:val="0"/>
        <w:spacing w:line="360" w:lineRule="auto"/>
        <w:ind w:firstLine="420" w:firstLineChars="200"/>
        <w:jc w:val="left"/>
        <w:rPr>
          <w:rFonts w:ascii="宋体" w:hAnsi="宋体" w:cs="宋体"/>
          <w:color w:val="auto"/>
          <w:highlight w:val="none"/>
        </w:rPr>
      </w:pPr>
      <w:r>
        <w:rPr>
          <w:rFonts w:hint="eastAsia" w:ascii="宋体" w:hAnsi="宋体" w:cs="宋体"/>
          <w:color w:val="auto"/>
          <w:highlight w:val="none"/>
        </w:rPr>
        <w:t>17.1供应商应提交满足本章第3.1款规定的资格条件要求的证明文件,该证明文件作为响应文件的一部分。</w:t>
      </w:r>
    </w:p>
    <w:p w14:paraId="354A9FA6">
      <w:pPr>
        <w:adjustRightInd w:val="0"/>
        <w:snapToGrid w:val="0"/>
        <w:spacing w:line="360" w:lineRule="auto"/>
        <w:ind w:firstLine="420" w:firstLineChars="200"/>
        <w:jc w:val="left"/>
        <w:rPr>
          <w:rFonts w:ascii="宋体" w:hAnsi="宋体" w:cs="宋体"/>
          <w:color w:val="auto"/>
          <w:highlight w:val="none"/>
        </w:rPr>
      </w:pPr>
      <w:r>
        <w:rPr>
          <w:rFonts w:hint="eastAsia" w:ascii="宋体" w:hAnsi="宋体" w:cs="宋体"/>
          <w:color w:val="auto"/>
          <w:highlight w:val="none"/>
        </w:rPr>
        <w:t>17.2如果供应商为联合体，则应提交联合体各方资格证明文件、联合体协议。否则，在评审时将其视为无效响应。</w:t>
      </w:r>
    </w:p>
    <w:p w14:paraId="1627114B">
      <w:pPr>
        <w:adjustRightInd w:val="0"/>
        <w:snapToGrid w:val="0"/>
        <w:spacing w:before="156" w:beforeLines="50"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17.3 除</w:t>
      </w:r>
      <w:r>
        <w:rPr>
          <w:rFonts w:hint="eastAsia" w:ascii="宋体" w:hAnsi="宋体" w:cs="宋体"/>
          <w:b/>
          <w:color w:val="auto"/>
          <w:szCs w:val="21"/>
          <w:highlight w:val="none"/>
        </w:rPr>
        <w:t>磋商须知前附表</w:t>
      </w:r>
      <w:r>
        <w:rPr>
          <w:rFonts w:hint="eastAsia" w:ascii="宋体" w:hAnsi="宋体" w:cs="宋体"/>
          <w:color w:val="auto"/>
          <w:szCs w:val="21"/>
          <w:highlight w:val="none"/>
        </w:rPr>
        <w:t>另有规定外，供应商提供的货物及服务不是供应商制造或拥有的，则必须提供经销、或代理采购货物、或采购货物提供售后服务的证明文件。</w:t>
      </w:r>
    </w:p>
    <w:p w14:paraId="1CE5EA43">
      <w:pPr>
        <w:adjustRightInd w:val="0"/>
        <w:snapToGrid w:val="0"/>
        <w:spacing w:before="156" w:beforeLines="50" w:line="360" w:lineRule="auto"/>
        <w:jc w:val="left"/>
        <w:rPr>
          <w:rFonts w:ascii="宋体" w:hAnsi="宋体" w:cs="宋体"/>
          <w:b/>
          <w:color w:val="auto"/>
          <w:szCs w:val="21"/>
          <w:highlight w:val="none"/>
        </w:rPr>
      </w:pPr>
      <w:r>
        <w:rPr>
          <w:rFonts w:hint="eastAsia" w:ascii="宋体" w:hAnsi="宋体" w:cs="宋体"/>
          <w:b/>
          <w:color w:val="auto"/>
          <w:szCs w:val="21"/>
          <w:highlight w:val="none"/>
        </w:rPr>
        <w:t>18．样品提供</w:t>
      </w:r>
      <w:r>
        <w:rPr>
          <w:rFonts w:hint="eastAsia" w:ascii="宋体" w:hAnsi="宋体" w:cs="宋体"/>
          <w:color w:val="auto"/>
          <w:szCs w:val="21"/>
          <w:highlight w:val="none"/>
        </w:rPr>
        <w:t>（本条不适用于本次采购）</w:t>
      </w:r>
    </w:p>
    <w:p w14:paraId="0F1BD939">
      <w:pPr>
        <w:adjustRightInd w:val="0"/>
        <w:snapToGrid w:val="0"/>
        <w:spacing w:before="156" w:beforeLines="50"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 xml:space="preserve">18.1 </w:t>
      </w:r>
      <w:r>
        <w:rPr>
          <w:rFonts w:hint="eastAsia" w:ascii="宋体" w:hAnsi="宋体" w:cs="宋体"/>
          <w:b/>
          <w:color w:val="auto"/>
          <w:highlight w:val="none"/>
        </w:rPr>
        <w:t>磋商须知前附表</w:t>
      </w:r>
      <w:r>
        <w:rPr>
          <w:rFonts w:hint="eastAsia" w:ascii="宋体" w:hAnsi="宋体" w:cs="宋体"/>
          <w:color w:val="auto"/>
          <w:szCs w:val="21"/>
          <w:highlight w:val="none"/>
        </w:rPr>
        <w:t>规定</w:t>
      </w:r>
      <w:r>
        <w:rPr>
          <w:rFonts w:hint="eastAsia" w:ascii="宋体" w:hAnsi="宋体" w:cs="宋体"/>
          <w:bCs/>
          <w:color w:val="auto"/>
          <w:highlight w:val="none"/>
        </w:rPr>
        <w:t>供应商</w:t>
      </w:r>
      <w:r>
        <w:rPr>
          <w:rFonts w:hint="eastAsia" w:ascii="宋体" w:hAnsi="宋体" w:cs="宋体"/>
          <w:color w:val="auto"/>
          <w:szCs w:val="21"/>
          <w:highlight w:val="none"/>
        </w:rPr>
        <w:t>在</w:t>
      </w:r>
      <w:r>
        <w:rPr>
          <w:rFonts w:hint="eastAsia" w:ascii="宋体" w:hAnsi="宋体" w:cs="宋体"/>
          <w:color w:val="auto"/>
          <w:highlight w:val="none"/>
        </w:rPr>
        <w:t>磋商</w:t>
      </w:r>
      <w:r>
        <w:rPr>
          <w:rFonts w:hint="eastAsia" w:ascii="宋体" w:hAnsi="宋体" w:cs="宋体"/>
          <w:color w:val="auto"/>
          <w:szCs w:val="21"/>
          <w:highlight w:val="none"/>
        </w:rPr>
        <w:t>时提供样品的，</w:t>
      </w:r>
      <w:r>
        <w:rPr>
          <w:rFonts w:hint="eastAsia" w:ascii="宋体" w:hAnsi="宋体" w:cs="宋体"/>
          <w:bCs/>
          <w:color w:val="auto"/>
          <w:highlight w:val="none"/>
        </w:rPr>
        <w:t>供应商</w:t>
      </w:r>
      <w:r>
        <w:rPr>
          <w:rFonts w:hint="eastAsia" w:ascii="宋体" w:hAnsi="宋体" w:cs="宋体"/>
          <w:color w:val="auto"/>
          <w:szCs w:val="21"/>
          <w:highlight w:val="none"/>
        </w:rPr>
        <w:t>有以下情形之一的，在评审时将其视为无效响应。</w:t>
      </w:r>
    </w:p>
    <w:p w14:paraId="2D5C6ECA">
      <w:pPr>
        <w:adjustRightInd w:val="0"/>
        <w:snapToGrid w:val="0"/>
        <w:spacing w:before="156" w:beforeLines="50"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（1）未在</w:t>
      </w:r>
      <w:r>
        <w:rPr>
          <w:rFonts w:hint="eastAsia" w:ascii="宋体" w:hAnsi="宋体" w:cs="宋体"/>
          <w:b/>
          <w:color w:val="auto"/>
          <w:highlight w:val="none"/>
        </w:rPr>
        <w:t>磋商须知前附表</w:t>
      </w:r>
      <w:r>
        <w:rPr>
          <w:rFonts w:hint="eastAsia" w:ascii="宋体" w:hAnsi="宋体" w:cs="宋体"/>
          <w:color w:val="auto"/>
          <w:szCs w:val="21"/>
          <w:highlight w:val="none"/>
        </w:rPr>
        <w:t>规定的提交时间、地点提交的；</w:t>
      </w:r>
    </w:p>
    <w:p w14:paraId="580C5545">
      <w:pPr>
        <w:adjustRightInd w:val="0"/>
        <w:snapToGrid w:val="0"/>
        <w:spacing w:before="156" w:beforeLines="50"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bCs/>
          <w:color w:val="auto"/>
          <w:highlight w:val="none"/>
        </w:rPr>
        <w:t>供应商</w:t>
      </w:r>
      <w:r>
        <w:rPr>
          <w:rFonts w:hint="eastAsia" w:ascii="宋体" w:hAnsi="宋体" w:cs="宋体"/>
          <w:color w:val="auto"/>
          <w:szCs w:val="21"/>
          <w:highlight w:val="none"/>
        </w:rPr>
        <w:t>提供的样品与响应文件中提供样品的型号、规格不一致的。</w:t>
      </w:r>
    </w:p>
    <w:p w14:paraId="38AB788D">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19.</w:t>
      </w:r>
      <w:r>
        <w:rPr>
          <w:rFonts w:hint="eastAsia" w:ascii="宋体" w:hAnsi="宋体" w:cs="宋体"/>
          <w:color w:val="auto"/>
          <w:highlight w:val="none"/>
        </w:rPr>
        <w:t xml:space="preserve"> </w:t>
      </w:r>
      <w:r>
        <w:rPr>
          <w:rFonts w:hint="eastAsia" w:ascii="宋体" w:hAnsi="宋体" w:cs="宋体"/>
          <w:b/>
          <w:bCs/>
          <w:color w:val="auto"/>
          <w:szCs w:val="21"/>
          <w:highlight w:val="none"/>
        </w:rPr>
        <w:t>磋商保证金</w:t>
      </w:r>
    </w:p>
    <w:p w14:paraId="48E52EAC">
      <w:pPr>
        <w:adjustRightInd w:val="0"/>
        <w:snapToGrid w:val="0"/>
        <w:spacing w:line="360" w:lineRule="auto"/>
        <w:ind w:firstLine="420" w:firstLineChars="200"/>
        <w:rPr>
          <w:rFonts w:ascii="宋体" w:hAnsi="宋体" w:cs="宋体"/>
          <w:bCs/>
          <w:color w:val="auto"/>
          <w:szCs w:val="21"/>
          <w:highlight w:val="none"/>
        </w:rPr>
      </w:pPr>
      <w:r>
        <w:rPr>
          <w:rFonts w:hint="eastAsia" w:ascii="宋体" w:hAnsi="宋体" w:cs="宋体"/>
          <w:color w:val="auto"/>
          <w:szCs w:val="21"/>
          <w:highlight w:val="none"/>
        </w:rPr>
        <w:t>19.1</w:t>
      </w:r>
      <w:r>
        <w:rPr>
          <w:rFonts w:hint="eastAsia" w:ascii="宋体" w:hAnsi="宋体" w:cs="宋体"/>
          <w:b/>
          <w:color w:val="auto"/>
          <w:szCs w:val="21"/>
          <w:highlight w:val="none"/>
        </w:rPr>
        <w:t>磋商须知前附表</w:t>
      </w:r>
      <w:r>
        <w:rPr>
          <w:rFonts w:hint="eastAsia" w:ascii="宋体" w:hAnsi="宋体" w:cs="宋体"/>
          <w:color w:val="auto"/>
          <w:szCs w:val="21"/>
          <w:highlight w:val="none"/>
        </w:rPr>
        <w:t>规定交纳磋商</w:t>
      </w:r>
      <w:r>
        <w:rPr>
          <w:rFonts w:hint="eastAsia" w:ascii="宋体" w:hAnsi="宋体" w:cs="宋体"/>
          <w:bCs/>
          <w:color w:val="auto"/>
          <w:szCs w:val="21"/>
          <w:highlight w:val="none"/>
        </w:rPr>
        <w:t>保证金的</w:t>
      </w:r>
      <w:r>
        <w:rPr>
          <w:rFonts w:hint="eastAsia" w:ascii="宋体" w:hAnsi="宋体" w:cs="宋体"/>
          <w:color w:val="auto"/>
          <w:szCs w:val="21"/>
          <w:highlight w:val="none"/>
        </w:rPr>
        <w:t>，应按</w:t>
      </w:r>
      <w:r>
        <w:rPr>
          <w:rFonts w:hint="eastAsia" w:ascii="宋体" w:hAnsi="宋体" w:cs="宋体"/>
          <w:b/>
          <w:color w:val="auto"/>
          <w:szCs w:val="21"/>
          <w:highlight w:val="none"/>
        </w:rPr>
        <w:t>磋商须知前附表</w:t>
      </w:r>
      <w:r>
        <w:rPr>
          <w:rFonts w:hint="eastAsia" w:ascii="宋体" w:hAnsi="宋体" w:cs="宋体"/>
          <w:color w:val="auto"/>
          <w:szCs w:val="21"/>
          <w:highlight w:val="none"/>
        </w:rPr>
        <w:t>规定的磋商</w:t>
      </w:r>
      <w:r>
        <w:rPr>
          <w:rFonts w:hint="eastAsia" w:ascii="宋体" w:hAnsi="宋体" w:cs="宋体"/>
          <w:bCs/>
          <w:color w:val="auto"/>
          <w:szCs w:val="21"/>
          <w:highlight w:val="none"/>
        </w:rPr>
        <w:t>保证金形式交纳，不得以现金方式交纳</w:t>
      </w:r>
      <w:r>
        <w:rPr>
          <w:rFonts w:hint="eastAsia" w:ascii="宋体" w:hAnsi="宋体" w:cs="宋体"/>
          <w:color w:val="auto"/>
          <w:szCs w:val="21"/>
          <w:highlight w:val="none"/>
        </w:rPr>
        <w:t>，在</w:t>
      </w:r>
      <w:r>
        <w:rPr>
          <w:rFonts w:hint="eastAsia" w:ascii="宋体" w:hAnsi="宋体" w:cs="宋体"/>
          <w:color w:val="auto"/>
          <w:kern w:val="0"/>
          <w:szCs w:val="21"/>
          <w:highlight w:val="none"/>
        </w:rPr>
        <w:t>提交首次响应文件截止时间</w:t>
      </w:r>
      <w:r>
        <w:rPr>
          <w:rFonts w:hint="eastAsia" w:ascii="宋体" w:hAnsi="宋体" w:cs="宋体"/>
          <w:color w:val="auto"/>
          <w:szCs w:val="21"/>
          <w:highlight w:val="none"/>
        </w:rPr>
        <w:t>前，</w:t>
      </w:r>
      <w:r>
        <w:rPr>
          <w:rFonts w:hint="eastAsia" w:ascii="宋体" w:hAnsi="宋体" w:cs="宋体"/>
          <w:bCs/>
          <w:color w:val="auto"/>
          <w:szCs w:val="21"/>
          <w:highlight w:val="none"/>
        </w:rPr>
        <w:t>向采购代理机构交纳不超过</w:t>
      </w:r>
      <w:r>
        <w:rPr>
          <w:rFonts w:hint="eastAsia" w:ascii="宋体" w:hAnsi="宋体" w:cs="宋体"/>
          <w:color w:val="auto"/>
          <w:kern w:val="0"/>
          <w:szCs w:val="21"/>
          <w:highlight w:val="none"/>
          <w:lang w:val="zh-CN"/>
        </w:rPr>
        <w:t>采购项目预算2﹪</w:t>
      </w:r>
      <w:r>
        <w:rPr>
          <w:rFonts w:hint="eastAsia" w:ascii="宋体" w:hAnsi="宋体" w:cs="宋体"/>
          <w:bCs/>
          <w:color w:val="auto"/>
          <w:szCs w:val="21"/>
          <w:highlight w:val="none"/>
        </w:rPr>
        <w:t>的磋商保证金(数额采用四舍五入，计算至元)</w:t>
      </w:r>
      <w:r>
        <w:rPr>
          <w:rFonts w:hint="eastAsia" w:ascii="宋体" w:hAnsi="宋体" w:cs="宋体"/>
          <w:color w:val="auto"/>
          <w:szCs w:val="21"/>
          <w:highlight w:val="none"/>
        </w:rPr>
        <w:t>。磋商</w:t>
      </w:r>
      <w:r>
        <w:rPr>
          <w:rFonts w:hint="eastAsia" w:ascii="宋体" w:hAnsi="宋体" w:cs="宋体"/>
          <w:bCs/>
          <w:color w:val="auto"/>
          <w:szCs w:val="21"/>
          <w:highlight w:val="none"/>
        </w:rPr>
        <w:t>保证金有效期应当与</w:t>
      </w:r>
      <w:r>
        <w:rPr>
          <w:rFonts w:hint="eastAsia" w:ascii="宋体" w:hAnsi="宋体" w:cs="宋体"/>
          <w:color w:val="auto"/>
          <w:szCs w:val="21"/>
          <w:highlight w:val="none"/>
        </w:rPr>
        <w:t>本章第20.1</w:t>
      </w:r>
      <w:r>
        <w:rPr>
          <w:rFonts w:hint="eastAsia" w:ascii="宋体" w:hAnsi="宋体" w:cs="宋体"/>
          <w:color w:val="auto"/>
          <w:kern w:val="0"/>
          <w:szCs w:val="21"/>
          <w:highlight w:val="none"/>
          <w:lang w:val="zh-CN"/>
        </w:rPr>
        <w:t>款</w:t>
      </w:r>
      <w:r>
        <w:rPr>
          <w:rFonts w:hint="eastAsia" w:ascii="宋体" w:hAnsi="宋体" w:cs="宋体"/>
          <w:color w:val="auto"/>
          <w:szCs w:val="21"/>
          <w:highlight w:val="none"/>
        </w:rPr>
        <w:t>规定的</w:t>
      </w:r>
      <w:r>
        <w:rPr>
          <w:rFonts w:hint="eastAsia" w:ascii="宋体" w:hAnsi="宋体" w:cs="宋体"/>
          <w:bCs/>
          <w:color w:val="auto"/>
          <w:szCs w:val="21"/>
          <w:highlight w:val="none"/>
        </w:rPr>
        <w:t>响应文件有效期一致。</w:t>
      </w:r>
    </w:p>
    <w:p w14:paraId="263744AC">
      <w:pPr>
        <w:adjustRightInd w:val="0"/>
        <w:snapToGrid w:val="0"/>
        <w:spacing w:line="360" w:lineRule="auto"/>
        <w:ind w:firstLine="420" w:firstLineChars="200"/>
        <w:rPr>
          <w:rFonts w:ascii="宋体" w:hAnsi="宋体" w:cs="宋体"/>
          <w:b/>
          <w:color w:val="auto"/>
          <w:szCs w:val="21"/>
          <w:highlight w:val="none"/>
        </w:rPr>
      </w:pPr>
      <w:r>
        <w:rPr>
          <w:rFonts w:hint="eastAsia" w:ascii="宋体" w:hAnsi="宋体" w:cs="宋体"/>
          <w:color w:val="auto"/>
          <w:szCs w:val="21"/>
          <w:highlight w:val="none"/>
        </w:rPr>
        <w:t>19.2</w:t>
      </w:r>
      <w:r>
        <w:rPr>
          <w:rFonts w:hint="eastAsia" w:ascii="宋体" w:hAnsi="宋体" w:cs="宋体"/>
          <w:color w:val="auto"/>
          <w:kern w:val="0"/>
          <w:szCs w:val="21"/>
          <w:highlight w:val="none"/>
          <w:lang w:val="zh-CN"/>
        </w:rPr>
        <w:t>供应商为联合体的，可以由联合体中的一方或者共同交纳磋商保证金，其交纳的磋商保证金，对联合体各方均具有约束力。</w:t>
      </w:r>
    </w:p>
    <w:p w14:paraId="73C80218">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19.3供应商未按照磋商文件要求提交磋商保证金的，响应无效。</w:t>
      </w:r>
    </w:p>
    <w:p w14:paraId="4CC14A9F">
      <w:pPr>
        <w:tabs>
          <w:tab w:val="left" w:pos="630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19.4采购代理机构在成交通知书发出后5个工作日内退还未成交供应商的磋商保证金；在采购合同签定后5个工作日内退还成交供应商的磋商保证金，但因供应商自身原因导致无法及时退还的除外。</w:t>
      </w:r>
    </w:p>
    <w:p w14:paraId="103D1D8A">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szCs w:val="21"/>
          <w:highlight w:val="none"/>
        </w:rPr>
        <w:t xml:space="preserve">19.5 </w:t>
      </w:r>
      <w:r>
        <w:rPr>
          <w:rFonts w:hint="eastAsia" w:ascii="宋体" w:hAnsi="宋体" w:cs="宋体"/>
          <w:color w:val="auto"/>
          <w:kern w:val="0"/>
          <w:szCs w:val="21"/>
          <w:highlight w:val="none"/>
        </w:rPr>
        <w:t>有下列情形之一的，磋商保证金不予退还，并上缴本级财政国库：</w:t>
      </w:r>
    </w:p>
    <w:p w14:paraId="3A513614">
      <w:pPr>
        <w:widowControl/>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（1）供应商在提交首次响应文件截止时间后撤回响应文件的；</w:t>
      </w:r>
    </w:p>
    <w:p w14:paraId="582277DF">
      <w:pPr>
        <w:widowControl/>
        <w:adjustRightInd w:val="0"/>
        <w:snapToGri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（2）供应商在响应文件中提供虚假资料的；</w:t>
      </w:r>
    </w:p>
    <w:p w14:paraId="6958FC42">
      <w:pPr>
        <w:widowControl/>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highlight w:val="none"/>
        </w:rPr>
        <w:t>（3）</w:t>
      </w:r>
      <w:r>
        <w:rPr>
          <w:rFonts w:hint="eastAsia" w:ascii="宋体" w:hAnsi="宋体" w:cs="宋体"/>
          <w:color w:val="auto"/>
          <w:highlight w:val="none"/>
        </w:rPr>
        <w:t>确定成交结果后，无正当理由放弃成交资格的；</w:t>
      </w:r>
    </w:p>
    <w:p w14:paraId="08A9E3FA">
      <w:pPr>
        <w:widowControl/>
        <w:adjustRightInd w:val="0"/>
        <w:snapToGrid w:val="0"/>
        <w:spacing w:line="360" w:lineRule="auto"/>
        <w:ind w:firstLine="525" w:firstLineChars="250"/>
        <w:jc w:val="left"/>
        <w:rPr>
          <w:rFonts w:ascii="宋体" w:hAnsi="宋体" w:cs="宋体"/>
          <w:color w:val="auto"/>
          <w:kern w:val="0"/>
          <w:szCs w:val="21"/>
          <w:highlight w:val="none"/>
        </w:rPr>
      </w:pPr>
      <w:r>
        <w:rPr>
          <w:rFonts w:hint="eastAsia" w:ascii="宋体" w:hAnsi="宋体" w:cs="宋体"/>
          <w:color w:val="auto"/>
          <w:kern w:val="0"/>
          <w:szCs w:val="21"/>
          <w:highlight w:val="none"/>
        </w:rPr>
        <w:t>(4) 除因不可抗力或磋商文件认可的情形以外，成交供应商不与采购人签订合同的；</w:t>
      </w:r>
    </w:p>
    <w:p w14:paraId="5158AB79">
      <w:pPr>
        <w:widowControl/>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（5）供应商与采购人、其他供应商或者采购代理机构恶意串通的；</w:t>
      </w:r>
    </w:p>
    <w:p w14:paraId="3E657991">
      <w:pPr>
        <w:widowControl/>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（6）磋商文件规定的其他情形。</w:t>
      </w:r>
    </w:p>
    <w:p w14:paraId="481AC4F3">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20.</w:t>
      </w:r>
      <w:r>
        <w:rPr>
          <w:rFonts w:hint="eastAsia" w:ascii="宋体" w:hAnsi="宋体" w:cs="宋体"/>
          <w:color w:val="auto"/>
          <w:szCs w:val="21"/>
          <w:highlight w:val="none"/>
        </w:rPr>
        <w:t xml:space="preserve"> </w:t>
      </w:r>
      <w:r>
        <w:rPr>
          <w:rFonts w:hint="eastAsia" w:ascii="宋体" w:hAnsi="宋体" w:cs="宋体"/>
          <w:b/>
          <w:color w:val="auto"/>
          <w:highlight w:val="none"/>
        </w:rPr>
        <w:t>响应文件</w:t>
      </w:r>
      <w:r>
        <w:rPr>
          <w:rFonts w:hint="eastAsia" w:ascii="宋体" w:hAnsi="宋体" w:cs="宋体"/>
          <w:b/>
          <w:color w:val="auto"/>
          <w:szCs w:val="21"/>
          <w:highlight w:val="none"/>
        </w:rPr>
        <w:t>有效期</w:t>
      </w:r>
    </w:p>
    <w:p w14:paraId="5ACAEF17">
      <w:pPr>
        <w:adjustRightInd w:val="0"/>
        <w:snapToGrid w:val="0"/>
        <w:spacing w:line="360" w:lineRule="auto"/>
        <w:ind w:firstLine="420" w:firstLineChars="200"/>
        <w:jc w:val="left"/>
        <w:rPr>
          <w:rFonts w:ascii="宋体" w:hAnsi="宋体" w:cs="宋体"/>
          <w:color w:val="auto"/>
          <w:highlight w:val="none"/>
        </w:rPr>
      </w:pPr>
      <w:r>
        <w:rPr>
          <w:rFonts w:hint="eastAsia" w:ascii="宋体" w:hAnsi="宋体" w:cs="宋体"/>
          <w:color w:val="auto"/>
          <w:highlight w:val="none"/>
        </w:rPr>
        <w:t>20.1响应文件</w:t>
      </w:r>
      <w:r>
        <w:rPr>
          <w:rFonts w:hint="eastAsia" w:ascii="宋体" w:hAnsi="宋体" w:cs="宋体"/>
          <w:color w:val="auto"/>
          <w:szCs w:val="21"/>
          <w:highlight w:val="none"/>
        </w:rPr>
        <w:t>有效期见</w:t>
      </w:r>
      <w:r>
        <w:rPr>
          <w:rFonts w:hint="eastAsia" w:ascii="宋体" w:hAnsi="宋体" w:cs="宋体"/>
          <w:b/>
          <w:color w:val="auto"/>
          <w:highlight w:val="none"/>
        </w:rPr>
        <w:t>磋商须知前附表</w:t>
      </w:r>
      <w:r>
        <w:rPr>
          <w:rFonts w:hint="eastAsia" w:ascii="宋体" w:hAnsi="宋体" w:cs="宋体"/>
          <w:color w:val="auto"/>
          <w:szCs w:val="21"/>
          <w:highlight w:val="none"/>
        </w:rPr>
        <w:t>，在此期间</w:t>
      </w:r>
      <w:r>
        <w:rPr>
          <w:rFonts w:hint="eastAsia" w:ascii="宋体" w:hAnsi="宋体" w:cs="宋体"/>
          <w:color w:val="auto"/>
          <w:highlight w:val="none"/>
        </w:rPr>
        <w:t>响应</w:t>
      </w:r>
      <w:r>
        <w:rPr>
          <w:rFonts w:hint="eastAsia" w:ascii="宋体" w:hAnsi="宋体" w:cs="宋体"/>
          <w:color w:val="auto"/>
          <w:szCs w:val="21"/>
          <w:highlight w:val="none"/>
        </w:rPr>
        <w:t>文件对供应商具有法律约束力，</w:t>
      </w:r>
      <w:r>
        <w:rPr>
          <w:rFonts w:hint="eastAsia" w:ascii="宋体" w:hAnsi="宋体" w:cs="宋体"/>
          <w:color w:val="auto"/>
          <w:highlight w:val="none"/>
        </w:rPr>
        <w:t>从</w:t>
      </w:r>
      <w:r>
        <w:rPr>
          <w:rFonts w:hint="eastAsia" w:ascii="宋体" w:hAnsi="宋体" w:cs="宋体"/>
          <w:color w:val="auto"/>
          <w:kern w:val="0"/>
          <w:szCs w:val="21"/>
          <w:highlight w:val="none"/>
        </w:rPr>
        <w:t>提交首次响应文件截止时间</w:t>
      </w:r>
      <w:r>
        <w:rPr>
          <w:rFonts w:hint="eastAsia" w:ascii="宋体" w:hAnsi="宋体" w:cs="宋体"/>
          <w:color w:val="auto"/>
          <w:highlight w:val="none"/>
        </w:rPr>
        <w:t>之日起计算。响应文件有效期不足的将被视为无效响应。</w:t>
      </w:r>
    </w:p>
    <w:p w14:paraId="2E0398CA">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21.响应文件的签署及规定</w:t>
      </w:r>
    </w:p>
    <w:p w14:paraId="74054C9B">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21.1响应文件的正本和副本应装订成册，正本一份，副本份数见</w:t>
      </w:r>
      <w:r>
        <w:rPr>
          <w:rFonts w:hint="eastAsia" w:ascii="宋体" w:hAnsi="宋体" w:cs="宋体"/>
          <w:b/>
          <w:color w:val="auto"/>
          <w:szCs w:val="21"/>
          <w:highlight w:val="none"/>
        </w:rPr>
        <w:t>磋商须知前附表</w:t>
      </w:r>
      <w:r>
        <w:rPr>
          <w:rFonts w:hint="eastAsia" w:ascii="宋体" w:hAnsi="宋体" w:cs="宋体"/>
          <w:color w:val="auto"/>
          <w:szCs w:val="21"/>
          <w:highlight w:val="none"/>
        </w:rPr>
        <w:t>。正本和副本的封面上应标记“正本”或“副本”的字样，当正本和副本有差异时，以正本为准。</w:t>
      </w:r>
    </w:p>
    <w:p w14:paraId="6AE45850">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21.2 响应文件正本和副本应按磋商文件要求签章处盖单位章和由法定代表人或其委托代理人签字；任何加行、涂改、增删，应有法定代表人或其委托代理人在旁边签字。否则，将导致响应文件无效。</w:t>
      </w:r>
    </w:p>
    <w:p w14:paraId="41AEA21C">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21.3 在磋商过程中，供应商按磋商文件规定和磋商小组要求</w:t>
      </w:r>
      <w:r>
        <w:rPr>
          <w:rFonts w:hint="eastAsia" w:ascii="宋体" w:hAnsi="宋体" w:cs="宋体"/>
          <w:color w:val="auto"/>
          <w:kern w:val="0"/>
          <w:szCs w:val="21"/>
          <w:highlight w:val="none"/>
        </w:rPr>
        <w:t>提交的</w:t>
      </w:r>
      <w:r>
        <w:rPr>
          <w:rFonts w:hint="eastAsia" w:ascii="宋体" w:hAnsi="宋体" w:cs="宋体"/>
          <w:color w:val="auto"/>
          <w:szCs w:val="21"/>
          <w:highlight w:val="none"/>
        </w:rPr>
        <w:t>最后报价(或者</w:t>
      </w:r>
      <w:r>
        <w:rPr>
          <w:rFonts w:hint="eastAsia" w:ascii="宋体" w:hAnsi="宋体" w:cs="宋体"/>
          <w:bCs/>
          <w:color w:val="auto"/>
          <w:szCs w:val="21"/>
          <w:highlight w:val="none"/>
        </w:rPr>
        <w:t>重</w:t>
      </w:r>
      <w:r>
        <w:rPr>
          <w:rFonts w:hint="eastAsia" w:ascii="宋体" w:hAnsi="宋体" w:cs="宋体"/>
          <w:color w:val="auto"/>
          <w:kern w:val="0"/>
          <w:szCs w:val="21"/>
          <w:highlight w:val="none"/>
        </w:rPr>
        <w:t>新提交的响应文件和</w:t>
      </w:r>
      <w:r>
        <w:rPr>
          <w:rFonts w:hint="eastAsia" w:ascii="宋体" w:hAnsi="宋体" w:cs="宋体"/>
          <w:color w:val="auto"/>
          <w:szCs w:val="21"/>
          <w:highlight w:val="none"/>
        </w:rPr>
        <w:t>最后报价)，一式两份，可打印或用不退色墨水书写，但需经法定代表人或其委托代理人签字，</w:t>
      </w:r>
      <w:r>
        <w:rPr>
          <w:rFonts w:hint="eastAsia" w:ascii="宋体" w:hAnsi="宋体" w:cs="宋体"/>
          <w:color w:val="auto"/>
          <w:kern w:val="0"/>
          <w:szCs w:val="21"/>
          <w:highlight w:val="none"/>
        </w:rPr>
        <w:t>或者加盖供应商单位章</w:t>
      </w:r>
      <w:r>
        <w:rPr>
          <w:rFonts w:hint="eastAsia" w:ascii="宋体" w:hAnsi="宋体" w:cs="宋体"/>
          <w:color w:val="auto"/>
          <w:szCs w:val="21"/>
          <w:highlight w:val="none"/>
        </w:rPr>
        <w:t>。否则，将导致响应文件无效。</w:t>
      </w:r>
    </w:p>
    <w:p w14:paraId="3B1E91D6">
      <w:pPr>
        <w:pStyle w:val="7"/>
        <w:bidi w:val="0"/>
        <w:rPr>
          <w:rFonts w:hint="eastAsia"/>
          <w:color w:val="auto"/>
          <w:highlight w:val="none"/>
        </w:rPr>
      </w:pPr>
      <w:bookmarkStart w:id="83" w:name="_Toc20260"/>
      <w:bookmarkStart w:id="84" w:name="_Toc53489357"/>
      <w:bookmarkStart w:id="85" w:name="_Toc32310"/>
      <w:bookmarkStart w:id="86" w:name="_Toc16149"/>
      <w:bookmarkStart w:id="87" w:name="_Toc32583"/>
      <w:bookmarkStart w:id="88" w:name="_Toc8148"/>
      <w:bookmarkStart w:id="89" w:name="_Toc19603"/>
      <w:bookmarkStart w:id="90" w:name="_Toc6780"/>
      <w:bookmarkStart w:id="91" w:name="_Toc28478"/>
      <w:bookmarkStart w:id="92" w:name="_Toc4143"/>
      <w:bookmarkStart w:id="93" w:name="_Toc31685"/>
      <w:r>
        <w:rPr>
          <w:rFonts w:hint="eastAsia"/>
          <w:color w:val="auto"/>
          <w:highlight w:val="none"/>
        </w:rPr>
        <w:t>四、响应文件的递交</w:t>
      </w:r>
      <w:bookmarkEnd w:id="83"/>
      <w:bookmarkEnd w:id="84"/>
      <w:bookmarkEnd w:id="85"/>
      <w:bookmarkEnd w:id="86"/>
      <w:bookmarkEnd w:id="87"/>
      <w:bookmarkEnd w:id="88"/>
      <w:bookmarkEnd w:id="89"/>
      <w:bookmarkEnd w:id="90"/>
      <w:bookmarkEnd w:id="91"/>
      <w:bookmarkEnd w:id="92"/>
      <w:bookmarkEnd w:id="93"/>
    </w:p>
    <w:p w14:paraId="1173B2DC">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22.</w:t>
      </w:r>
      <w:r>
        <w:rPr>
          <w:rFonts w:hint="eastAsia" w:ascii="宋体" w:hAnsi="宋体" w:cs="宋体"/>
          <w:b/>
          <w:color w:val="auto"/>
          <w:szCs w:val="21"/>
          <w:highlight w:val="none"/>
        </w:rPr>
        <w:t>响应文件</w:t>
      </w:r>
      <w:r>
        <w:rPr>
          <w:rFonts w:hint="eastAsia" w:ascii="宋体" w:hAnsi="宋体" w:cs="宋体"/>
          <w:b/>
          <w:bCs/>
          <w:color w:val="auto"/>
          <w:szCs w:val="21"/>
          <w:highlight w:val="none"/>
        </w:rPr>
        <w:t>的密封和标记</w:t>
      </w:r>
    </w:p>
    <w:p w14:paraId="442564C2">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22.1响应文件应密封包装，加贴封条，并在封套的封口处盖供应商单位章或者由法定代表人或其委托代理人签字。</w:t>
      </w:r>
    </w:p>
    <w:p w14:paraId="18C50E89">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22.2响应文件封套上应写明的内容见</w:t>
      </w:r>
      <w:r>
        <w:rPr>
          <w:rFonts w:hint="eastAsia" w:ascii="宋体" w:hAnsi="宋体" w:cs="宋体"/>
          <w:b/>
          <w:color w:val="auto"/>
          <w:szCs w:val="21"/>
          <w:highlight w:val="none"/>
        </w:rPr>
        <w:t>磋商须知前附表。</w:t>
      </w:r>
    </w:p>
    <w:p w14:paraId="231E43AA">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22.3响应文件如果未按上述规定密封和加写标记，采购人或采购代理机构将拒绝接收。</w:t>
      </w:r>
    </w:p>
    <w:p w14:paraId="2286EA72">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23.响应文件的</w:t>
      </w:r>
      <w:r>
        <w:rPr>
          <w:rFonts w:hint="eastAsia" w:ascii="宋体" w:hAnsi="宋体" w:cs="宋体"/>
          <w:b/>
          <w:color w:val="auto"/>
          <w:kern w:val="0"/>
          <w:szCs w:val="21"/>
          <w:highlight w:val="none"/>
          <w:lang w:val="zh-CN"/>
        </w:rPr>
        <w:t>补充、修改或者撤回</w:t>
      </w:r>
    </w:p>
    <w:p w14:paraId="3094CA45">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23.1</w:t>
      </w:r>
      <w:r>
        <w:rPr>
          <w:rFonts w:hint="eastAsia" w:ascii="宋体" w:hAnsi="宋体" w:cs="宋体"/>
          <w:color w:val="auto"/>
          <w:kern w:val="0"/>
          <w:szCs w:val="21"/>
          <w:highlight w:val="none"/>
        </w:rPr>
        <w:t>供应商在提交首次响应文件截止时间前，可以对所提交的首次响应文件进行补充、修改或者撤回，并书面通知采购人、采购代理机构。</w:t>
      </w:r>
      <w:r>
        <w:rPr>
          <w:rFonts w:hint="eastAsia" w:ascii="宋体" w:hAnsi="宋体" w:cs="宋体"/>
          <w:color w:val="auto"/>
          <w:szCs w:val="21"/>
          <w:highlight w:val="none"/>
        </w:rPr>
        <w:t>该通知应有供应商法定代表人或其委托代理人签字。</w:t>
      </w:r>
    </w:p>
    <w:p w14:paraId="1C561842">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23.2</w:t>
      </w:r>
      <w:r>
        <w:rPr>
          <w:rFonts w:hint="eastAsia" w:ascii="宋体" w:hAnsi="宋体" w:cs="宋体"/>
          <w:color w:val="auto"/>
          <w:kern w:val="0"/>
          <w:szCs w:val="21"/>
          <w:highlight w:val="none"/>
          <w:lang w:val="zh-CN"/>
        </w:rPr>
        <w:t>补充、修改的内容与响应文件不一致时，以补充、修改的内容为准。</w:t>
      </w:r>
    </w:p>
    <w:p w14:paraId="37BD1A15">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24.响应文件的递交与接收</w:t>
      </w:r>
    </w:p>
    <w:p w14:paraId="51B43420">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24.1 供应商应在</w:t>
      </w:r>
      <w:r>
        <w:rPr>
          <w:rFonts w:hint="eastAsia" w:ascii="宋体" w:hAnsi="宋体" w:cs="宋体"/>
          <w:color w:val="auto"/>
          <w:kern w:val="0"/>
          <w:szCs w:val="21"/>
          <w:highlight w:val="none"/>
        </w:rPr>
        <w:t>提交首次响应文件截止时间</w:t>
      </w:r>
      <w:r>
        <w:rPr>
          <w:rFonts w:hint="eastAsia" w:ascii="宋体" w:hAnsi="宋体" w:cs="宋体"/>
          <w:color w:val="auto"/>
          <w:szCs w:val="21"/>
          <w:highlight w:val="none"/>
        </w:rPr>
        <w:t>前，将响应文件送达</w:t>
      </w:r>
      <w:r>
        <w:rPr>
          <w:rFonts w:hint="eastAsia" w:ascii="宋体" w:hAnsi="宋体" w:cs="宋体"/>
          <w:b/>
          <w:color w:val="auto"/>
          <w:szCs w:val="21"/>
          <w:highlight w:val="none"/>
        </w:rPr>
        <w:t>磋商须知前附表</w:t>
      </w:r>
      <w:r>
        <w:rPr>
          <w:rFonts w:hint="eastAsia" w:ascii="宋体" w:hAnsi="宋体" w:cs="宋体"/>
          <w:color w:val="auto"/>
          <w:szCs w:val="21"/>
          <w:highlight w:val="none"/>
        </w:rPr>
        <w:t>中指定的地点。</w:t>
      </w:r>
      <w:r>
        <w:rPr>
          <w:rFonts w:hint="eastAsia" w:ascii="宋体" w:hAnsi="宋体" w:cs="宋体"/>
          <w:color w:val="auto"/>
          <w:kern w:val="0"/>
          <w:highlight w:val="none"/>
        </w:rPr>
        <w:t>在截止时间后送达的响应文件，采购人、采购代理机构或者磋商小组应当拒收。</w:t>
      </w:r>
    </w:p>
    <w:p w14:paraId="3CE83FB5">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24.2</w:t>
      </w:r>
      <w:r>
        <w:rPr>
          <w:rFonts w:hint="eastAsia" w:ascii="宋体" w:hAnsi="宋体" w:cs="宋体"/>
          <w:color w:val="auto"/>
          <w:kern w:val="0"/>
          <w:szCs w:val="21"/>
          <w:highlight w:val="none"/>
        </w:rPr>
        <w:t>在提交首次响应文件截止时间后，</w:t>
      </w:r>
      <w:r>
        <w:rPr>
          <w:rFonts w:hint="eastAsia" w:ascii="宋体" w:hAnsi="宋体" w:cs="宋体"/>
          <w:color w:val="auto"/>
          <w:szCs w:val="21"/>
          <w:highlight w:val="none"/>
        </w:rPr>
        <w:t>由</w:t>
      </w:r>
      <w:r>
        <w:rPr>
          <w:rFonts w:hint="eastAsia" w:ascii="宋体" w:hAnsi="宋体" w:cs="宋体"/>
          <w:bCs/>
          <w:color w:val="auto"/>
          <w:szCs w:val="21"/>
          <w:highlight w:val="none"/>
        </w:rPr>
        <w:t>供应商代表</w:t>
      </w:r>
      <w:r>
        <w:rPr>
          <w:rFonts w:hint="eastAsia" w:ascii="宋体" w:hAnsi="宋体" w:cs="宋体"/>
          <w:color w:val="auto"/>
          <w:szCs w:val="21"/>
          <w:highlight w:val="none"/>
        </w:rPr>
        <w:t>当场查验</w:t>
      </w:r>
      <w:r>
        <w:rPr>
          <w:rFonts w:hint="eastAsia" w:ascii="宋体" w:hAnsi="宋体" w:cs="宋体"/>
          <w:bCs/>
          <w:color w:val="auto"/>
          <w:szCs w:val="21"/>
          <w:highlight w:val="none"/>
        </w:rPr>
        <w:t>响应文件</w:t>
      </w:r>
      <w:r>
        <w:rPr>
          <w:rFonts w:hint="eastAsia" w:ascii="宋体" w:hAnsi="宋体" w:cs="宋体"/>
          <w:color w:val="auto"/>
          <w:szCs w:val="21"/>
          <w:highlight w:val="none"/>
        </w:rPr>
        <w:t>的密封状况，采购人或</w:t>
      </w:r>
      <w:r>
        <w:rPr>
          <w:rFonts w:hint="eastAsia" w:ascii="宋体" w:hAnsi="宋体" w:cs="宋体"/>
          <w:bCs/>
          <w:color w:val="auto"/>
          <w:szCs w:val="21"/>
          <w:highlight w:val="none"/>
        </w:rPr>
        <w:t>采购代理机构</w:t>
      </w:r>
      <w:r>
        <w:rPr>
          <w:rFonts w:hint="eastAsia" w:ascii="宋体" w:hAnsi="宋体" w:cs="宋体"/>
          <w:color w:val="auto"/>
          <w:szCs w:val="21"/>
          <w:highlight w:val="none"/>
        </w:rPr>
        <w:t>不当场拆封</w:t>
      </w:r>
      <w:r>
        <w:rPr>
          <w:rFonts w:hint="eastAsia" w:ascii="宋体" w:hAnsi="宋体" w:cs="宋体"/>
          <w:bCs/>
          <w:color w:val="auto"/>
          <w:szCs w:val="21"/>
          <w:highlight w:val="none"/>
        </w:rPr>
        <w:t>响应文件</w:t>
      </w:r>
      <w:r>
        <w:rPr>
          <w:rFonts w:hint="eastAsia" w:ascii="宋体" w:hAnsi="宋体" w:cs="宋体"/>
          <w:color w:val="auto"/>
          <w:szCs w:val="21"/>
          <w:highlight w:val="none"/>
        </w:rPr>
        <w:t>。</w:t>
      </w:r>
    </w:p>
    <w:p w14:paraId="007D99F6">
      <w:pPr>
        <w:pStyle w:val="7"/>
        <w:bidi w:val="0"/>
        <w:rPr>
          <w:rFonts w:hint="eastAsia"/>
          <w:color w:val="auto"/>
          <w:highlight w:val="none"/>
        </w:rPr>
      </w:pPr>
      <w:bookmarkStart w:id="94" w:name="_Toc25884"/>
      <w:bookmarkStart w:id="95" w:name="_Toc53489358"/>
      <w:bookmarkStart w:id="96" w:name="_Toc19895"/>
      <w:bookmarkStart w:id="97" w:name="_Toc15602"/>
      <w:bookmarkStart w:id="98" w:name="_Toc29471"/>
      <w:bookmarkStart w:id="99" w:name="_Toc25011"/>
      <w:bookmarkStart w:id="100" w:name="_Toc18462"/>
      <w:bookmarkStart w:id="101" w:name="_Toc23756"/>
      <w:bookmarkStart w:id="102" w:name="_Toc5022"/>
      <w:bookmarkStart w:id="103" w:name="_Toc19332"/>
      <w:bookmarkStart w:id="104" w:name="_Toc15163"/>
      <w:r>
        <w:rPr>
          <w:rFonts w:hint="eastAsia"/>
          <w:color w:val="auto"/>
          <w:highlight w:val="none"/>
        </w:rPr>
        <w:t>五、响应文件的磋商与评审</w:t>
      </w:r>
      <w:bookmarkEnd w:id="94"/>
      <w:bookmarkEnd w:id="95"/>
      <w:bookmarkEnd w:id="96"/>
      <w:bookmarkEnd w:id="97"/>
      <w:bookmarkEnd w:id="98"/>
      <w:bookmarkEnd w:id="99"/>
      <w:bookmarkEnd w:id="100"/>
      <w:bookmarkEnd w:id="101"/>
      <w:bookmarkEnd w:id="102"/>
      <w:bookmarkEnd w:id="103"/>
      <w:bookmarkEnd w:id="104"/>
    </w:p>
    <w:p w14:paraId="75D733B9">
      <w:pPr>
        <w:tabs>
          <w:tab w:val="left" w:pos="0"/>
        </w:tabs>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25.磋商程序</w:t>
      </w:r>
    </w:p>
    <w:p w14:paraId="7CA85277">
      <w:pPr>
        <w:widowControl/>
        <w:adjustRightInd w:val="0"/>
        <w:snapToGrid w:val="0"/>
        <w:spacing w:line="360" w:lineRule="auto"/>
        <w:ind w:firstLine="420"/>
        <w:jc w:val="left"/>
        <w:rPr>
          <w:rFonts w:ascii="宋体" w:hAnsi="宋体" w:cs="宋体"/>
          <w:bCs/>
          <w:color w:val="auto"/>
          <w:szCs w:val="21"/>
          <w:highlight w:val="none"/>
        </w:rPr>
      </w:pPr>
      <w:r>
        <w:rPr>
          <w:rFonts w:hint="eastAsia" w:ascii="宋体" w:hAnsi="宋体" w:cs="宋体"/>
          <w:color w:val="auto"/>
          <w:kern w:val="0"/>
          <w:szCs w:val="21"/>
          <w:highlight w:val="none"/>
        </w:rPr>
        <w:t>25.1磋商程序：响应文件审查、磋商（包括澄清）、响应文件评审、</w:t>
      </w:r>
      <w:r>
        <w:rPr>
          <w:rFonts w:hint="eastAsia" w:ascii="宋体" w:hAnsi="宋体" w:cs="宋体"/>
          <w:bCs/>
          <w:color w:val="auto"/>
          <w:szCs w:val="21"/>
          <w:highlight w:val="none"/>
        </w:rPr>
        <w:t>提出成交供应商。其中，</w:t>
      </w:r>
      <w:r>
        <w:rPr>
          <w:rFonts w:hint="eastAsia" w:ascii="宋体" w:hAnsi="宋体" w:cs="宋体"/>
          <w:color w:val="auto"/>
          <w:kern w:val="0"/>
          <w:szCs w:val="21"/>
          <w:highlight w:val="none"/>
        </w:rPr>
        <w:t>磋商按</w:t>
      </w:r>
      <w:r>
        <w:rPr>
          <w:rFonts w:hint="eastAsia" w:ascii="宋体" w:hAnsi="宋体" w:cs="宋体"/>
          <w:color w:val="auto"/>
          <w:szCs w:val="21"/>
          <w:highlight w:val="none"/>
        </w:rPr>
        <w:t>本章</w:t>
      </w:r>
      <w:r>
        <w:rPr>
          <w:rFonts w:hint="eastAsia" w:ascii="宋体" w:hAnsi="宋体" w:cs="宋体"/>
          <w:color w:val="auto"/>
          <w:highlight w:val="none"/>
        </w:rPr>
        <w:t>第30.1</w:t>
      </w:r>
      <w:r>
        <w:rPr>
          <w:rFonts w:hint="eastAsia" w:ascii="宋体" w:hAnsi="宋体" w:cs="宋体"/>
          <w:color w:val="auto"/>
          <w:kern w:val="0"/>
          <w:szCs w:val="21"/>
          <w:highlight w:val="none"/>
          <w:lang w:val="zh-CN"/>
        </w:rPr>
        <w:t>款或者</w:t>
      </w:r>
      <w:r>
        <w:rPr>
          <w:rFonts w:hint="eastAsia" w:ascii="宋体" w:hAnsi="宋体" w:cs="宋体"/>
          <w:color w:val="auto"/>
          <w:highlight w:val="none"/>
        </w:rPr>
        <w:t>第30.2</w:t>
      </w:r>
      <w:r>
        <w:rPr>
          <w:rFonts w:hint="eastAsia" w:ascii="宋体" w:hAnsi="宋体" w:cs="宋体"/>
          <w:color w:val="auto"/>
          <w:kern w:val="0"/>
          <w:szCs w:val="21"/>
          <w:highlight w:val="none"/>
          <w:lang w:val="zh-CN"/>
        </w:rPr>
        <w:t>款</w:t>
      </w:r>
      <w:r>
        <w:rPr>
          <w:rFonts w:hint="eastAsia" w:ascii="宋体" w:hAnsi="宋体" w:cs="宋体"/>
          <w:color w:val="auto"/>
          <w:highlight w:val="none"/>
        </w:rPr>
        <w:t>情形</w:t>
      </w:r>
      <w:r>
        <w:rPr>
          <w:rFonts w:hint="eastAsia" w:ascii="宋体" w:hAnsi="宋体" w:cs="宋体"/>
          <w:bCs/>
          <w:color w:val="auto"/>
          <w:szCs w:val="21"/>
          <w:highlight w:val="none"/>
        </w:rPr>
        <w:t>进行。</w:t>
      </w:r>
    </w:p>
    <w:p w14:paraId="1A9144C1">
      <w:pPr>
        <w:widowControl/>
        <w:adjustRightInd w:val="0"/>
        <w:snapToGrid w:val="0"/>
        <w:spacing w:line="360" w:lineRule="auto"/>
        <w:rPr>
          <w:rFonts w:ascii="宋体" w:hAnsi="宋体" w:cs="宋体"/>
          <w:b/>
          <w:color w:val="auto"/>
          <w:szCs w:val="21"/>
          <w:highlight w:val="none"/>
        </w:rPr>
      </w:pPr>
      <w:r>
        <w:rPr>
          <w:rFonts w:hint="eastAsia" w:ascii="宋体" w:hAnsi="宋体" w:cs="宋体"/>
          <w:b/>
          <w:color w:val="auto"/>
          <w:kern w:val="0"/>
          <w:szCs w:val="21"/>
          <w:highlight w:val="none"/>
        </w:rPr>
        <w:t>26.</w:t>
      </w:r>
      <w:r>
        <w:rPr>
          <w:rFonts w:hint="eastAsia" w:ascii="宋体" w:hAnsi="宋体" w:cs="宋体"/>
          <w:color w:val="auto"/>
          <w:highlight w:val="none"/>
        </w:rPr>
        <w:t xml:space="preserve"> </w:t>
      </w:r>
      <w:r>
        <w:rPr>
          <w:rFonts w:hint="eastAsia" w:ascii="宋体" w:hAnsi="宋体" w:cs="宋体"/>
          <w:b/>
          <w:color w:val="auto"/>
          <w:kern w:val="0"/>
          <w:szCs w:val="21"/>
          <w:highlight w:val="none"/>
        </w:rPr>
        <w:t>响应文件审查</w:t>
      </w:r>
      <w:r>
        <w:rPr>
          <w:rFonts w:hint="eastAsia" w:ascii="宋体" w:hAnsi="宋体" w:cs="宋体"/>
          <w:b/>
          <w:color w:val="auto"/>
          <w:szCs w:val="21"/>
          <w:highlight w:val="none"/>
        </w:rPr>
        <w:t xml:space="preserve"> </w:t>
      </w:r>
    </w:p>
    <w:p w14:paraId="517FB9B4">
      <w:pPr>
        <w:adjustRightInd w:val="0"/>
        <w:snapToGrid w:val="0"/>
        <w:spacing w:before="156" w:beforeLines="5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26.1 资格性审查：根据本章第3.1项规定的供应商资格条件要求，对</w:t>
      </w:r>
      <w:r>
        <w:rPr>
          <w:rFonts w:hint="eastAsia" w:ascii="宋体" w:hAnsi="宋体" w:cs="宋体"/>
          <w:color w:val="auto"/>
          <w:highlight w:val="none"/>
        </w:rPr>
        <w:t>响应</w:t>
      </w:r>
      <w:r>
        <w:rPr>
          <w:rFonts w:hint="eastAsia" w:ascii="宋体" w:hAnsi="宋体" w:cs="宋体"/>
          <w:color w:val="auto"/>
          <w:szCs w:val="21"/>
          <w:highlight w:val="none"/>
        </w:rPr>
        <w:t>文件的资格证明等进行审查，以确定供应商是否具备磋商资格条件。</w:t>
      </w:r>
    </w:p>
    <w:p w14:paraId="1B806398">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26.2符合性审查: 对响应文件(包括首次提交的响应文件、重新提交的响应文件)的有效性、完整性和响应程度进行审查，以确定是否对磋商文件的实质性要求作出响应。</w:t>
      </w:r>
    </w:p>
    <w:p w14:paraId="371951C5">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26.3响应文件审查结束后，磋商小组所有成员集中与单一供应商分别进行磋商，并给予所有参加磋商的供应商平等的磋商机会。供应商应派其法定代表人或委托代理人参加磋商。</w:t>
      </w:r>
    </w:p>
    <w:p w14:paraId="77F07607">
      <w:pPr>
        <w:adjustRightInd w:val="0"/>
        <w:snapToGrid w:val="0"/>
        <w:spacing w:line="360" w:lineRule="auto"/>
        <w:rPr>
          <w:rFonts w:ascii="宋体" w:hAnsi="宋体" w:cs="宋体"/>
          <w:b/>
          <w:color w:val="auto"/>
          <w:kern w:val="0"/>
          <w:szCs w:val="21"/>
          <w:highlight w:val="none"/>
        </w:rPr>
      </w:pPr>
      <w:r>
        <w:rPr>
          <w:rFonts w:hint="eastAsia" w:ascii="宋体" w:hAnsi="宋体" w:cs="宋体"/>
          <w:b/>
          <w:color w:val="auto"/>
          <w:kern w:val="0"/>
          <w:szCs w:val="21"/>
          <w:highlight w:val="none"/>
        </w:rPr>
        <w:t>27.实质性响应</w:t>
      </w:r>
    </w:p>
    <w:p w14:paraId="7F2851F8">
      <w:pPr>
        <w:adjustRightInd w:val="0"/>
        <w:snapToGrid w:val="0"/>
        <w:spacing w:line="360" w:lineRule="auto"/>
        <w:ind w:firstLine="420" w:firstLineChars="200"/>
        <w:rPr>
          <w:rFonts w:ascii="宋体" w:hAnsi="宋体" w:cs="宋体"/>
          <w:color w:val="auto"/>
          <w:kern w:val="0"/>
          <w:szCs w:val="21"/>
          <w:highlight w:val="none"/>
          <w:u w:val="single"/>
        </w:rPr>
      </w:pPr>
      <w:r>
        <w:rPr>
          <w:rFonts w:hint="eastAsia" w:ascii="宋体" w:hAnsi="宋体" w:cs="宋体"/>
          <w:color w:val="auto"/>
          <w:kern w:val="0"/>
          <w:szCs w:val="21"/>
          <w:highlight w:val="none"/>
        </w:rPr>
        <w:t>27.1</w:t>
      </w:r>
      <w:r>
        <w:rPr>
          <w:rFonts w:hint="eastAsia" w:ascii="宋体" w:hAnsi="宋体" w:cs="宋体"/>
          <w:color w:val="auto"/>
          <w:szCs w:val="21"/>
          <w:highlight w:val="none"/>
        </w:rPr>
        <w:t>实质性响应是指响应文件(包括首次响应文件、重新提交的响应文件)与磋商文件要求的所有条款、条件和规格相符，没有偏离。偏离指不满足、或不响应磋商文件的要求。</w:t>
      </w:r>
    </w:p>
    <w:p w14:paraId="501223F1">
      <w:pPr>
        <w:tabs>
          <w:tab w:val="left" w:pos="0"/>
          <w:tab w:val="left" w:pos="7560"/>
          <w:tab w:val="left" w:pos="7740"/>
          <w:tab w:val="left" w:pos="7920"/>
        </w:tabs>
        <w:adjustRightInd w:val="0"/>
        <w:snapToGrid w:val="0"/>
        <w:spacing w:line="360" w:lineRule="auto"/>
        <w:ind w:right="23" w:rightChars="11" w:firstLine="420" w:firstLineChars="200"/>
        <w:rPr>
          <w:rFonts w:ascii="宋体" w:hAnsi="宋体" w:cs="宋体"/>
          <w:color w:val="auto"/>
          <w:szCs w:val="21"/>
          <w:highlight w:val="none"/>
        </w:rPr>
      </w:pPr>
      <w:r>
        <w:rPr>
          <w:rFonts w:hint="eastAsia" w:ascii="宋体" w:hAnsi="宋体" w:cs="宋体"/>
          <w:color w:val="auto"/>
          <w:szCs w:val="21"/>
          <w:highlight w:val="none"/>
        </w:rPr>
        <w:t>27.2</w:t>
      </w:r>
      <w:r>
        <w:rPr>
          <w:rFonts w:hint="eastAsia" w:ascii="宋体" w:hAnsi="宋体" w:cs="宋体"/>
          <w:color w:val="auto"/>
          <w:highlight w:val="none"/>
        </w:rPr>
        <w:t>响应文件是否实质性响应磋商文件要求由磋商小组依据磋商文件规定认定。</w:t>
      </w:r>
      <w:r>
        <w:rPr>
          <w:rFonts w:hint="eastAsia" w:ascii="宋体" w:hAnsi="宋体" w:cs="宋体"/>
          <w:color w:val="auto"/>
          <w:kern w:val="0"/>
          <w:szCs w:val="21"/>
          <w:highlight w:val="none"/>
        </w:rPr>
        <w:t>磋商小组</w:t>
      </w:r>
      <w:r>
        <w:rPr>
          <w:rFonts w:hint="eastAsia" w:ascii="宋体" w:hAnsi="宋体" w:cs="宋体"/>
          <w:color w:val="auto"/>
          <w:szCs w:val="21"/>
          <w:highlight w:val="none"/>
        </w:rPr>
        <w:t>决定</w:t>
      </w:r>
      <w:r>
        <w:rPr>
          <w:rFonts w:hint="eastAsia" w:ascii="宋体" w:hAnsi="宋体" w:cs="宋体"/>
          <w:color w:val="auto"/>
          <w:highlight w:val="none"/>
        </w:rPr>
        <w:t>响应文件</w:t>
      </w:r>
      <w:r>
        <w:rPr>
          <w:rFonts w:hint="eastAsia" w:ascii="宋体" w:hAnsi="宋体" w:cs="宋体"/>
          <w:color w:val="auto"/>
          <w:szCs w:val="21"/>
          <w:highlight w:val="none"/>
        </w:rPr>
        <w:t>的响应性只根据</w:t>
      </w:r>
      <w:r>
        <w:rPr>
          <w:rFonts w:hint="eastAsia" w:ascii="宋体" w:hAnsi="宋体" w:cs="宋体"/>
          <w:color w:val="auto"/>
          <w:highlight w:val="none"/>
        </w:rPr>
        <w:t>响应文件</w:t>
      </w:r>
      <w:r>
        <w:rPr>
          <w:rFonts w:hint="eastAsia" w:ascii="宋体" w:hAnsi="宋体" w:cs="宋体"/>
          <w:color w:val="auto"/>
          <w:szCs w:val="21"/>
          <w:highlight w:val="none"/>
        </w:rPr>
        <w:t>本身的真实无误的内容，而不依据外部的证据。</w:t>
      </w:r>
    </w:p>
    <w:p w14:paraId="61241E33">
      <w:pPr>
        <w:adjustRightInd w:val="0"/>
        <w:snapToGrid w:val="0"/>
        <w:spacing w:line="360" w:lineRule="auto"/>
        <w:rPr>
          <w:rFonts w:ascii="宋体" w:hAnsi="宋体" w:cs="宋体"/>
          <w:b/>
          <w:color w:val="auto"/>
          <w:kern w:val="0"/>
          <w:szCs w:val="21"/>
          <w:highlight w:val="none"/>
        </w:rPr>
      </w:pPr>
      <w:r>
        <w:rPr>
          <w:rFonts w:hint="eastAsia" w:ascii="宋体" w:hAnsi="宋体" w:cs="宋体"/>
          <w:b/>
          <w:color w:val="auto"/>
          <w:kern w:val="0"/>
          <w:szCs w:val="21"/>
          <w:highlight w:val="none"/>
        </w:rPr>
        <w:t xml:space="preserve">28.无效响应 </w:t>
      </w:r>
    </w:p>
    <w:p w14:paraId="761D6AEE">
      <w:pPr>
        <w:adjustRightInd w:val="0"/>
        <w:snapToGrid w:val="0"/>
        <w:spacing w:line="360" w:lineRule="auto"/>
        <w:ind w:firstLine="411" w:firstLineChars="196"/>
        <w:rPr>
          <w:rFonts w:ascii="宋体" w:hAnsi="宋体" w:cs="宋体"/>
          <w:b/>
          <w:color w:val="auto"/>
          <w:kern w:val="0"/>
          <w:szCs w:val="21"/>
          <w:highlight w:val="none"/>
        </w:rPr>
      </w:pPr>
      <w:r>
        <w:rPr>
          <w:rFonts w:hint="eastAsia" w:ascii="宋体" w:hAnsi="宋体" w:cs="宋体"/>
          <w:color w:val="auto"/>
          <w:kern w:val="0"/>
          <w:szCs w:val="21"/>
          <w:highlight w:val="none"/>
        </w:rPr>
        <w:t>28.1</w:t>
      </w:r>
      <w:r>
        <w:rPr>
          <w:rFonts w:hint="eastAsia" w:ascii="宋体" w:hAnsi="宋体" w:cs="宋体"/>
          <w:color w:val="auto"/>
          <w:szCs w:val="21"/>
          <w:highlight w:val="none"/>
        </w:rPr>
        <w:t>磋商小组在对资格性和符合性进行审查时，有下列情况之一的，属无效响应，</w:t>
      </w:r>
      <w:r>
        <w:rPr>
          <w:rFonts w:hint="eastAsia" w:ascii="宋体" w:hAnsi="宋体" w:cs="宋体"/>
          <w:color w:val="auto"/>
          <w:kern w:val="0"/>
          <w:szCs w:val="21"/>
          <w:highlight w:val="none"/>
        </w:rPr>
        <w:t>磋商小组应当告知有关供应商</w:t>
      </w:r>
      <w:r>
        <w:rPr>
          <w:rFonts w:hint="eastAsia" w:ascii="宋体" w:hAnsi="宋体" w:cs="宋体"/>
          <w:color w:val="auto"/>
          <w:szCs w:val="21"/>
          <w:highlight w:val="none"/>
        </w:rPr>
        <w:t>：</w:t>
      </w:r>
    </w:p>
    <w:p w14:paraId="3C457253">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（1）供应商不具备本章第3.1款规定的供应商资格条件要求，或存在本章第3.3款情形的；</w:t>
      </w:r>
    </w:p>
    <w:p w14:paraId="5B84E39A">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（2）联合体不符合本章第3.2款规定的；</w:t>
      </w:r>
    </w:p>
    <w:p w14:paraId="799CFD91">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（3）应交未交磋商保证金或金额不足、磋商保证金缴纳形式不符合磋商文件要求的；</w:t>
      </w:r>
    </w:p>
    <w:p w14:paraId="31C5B761">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（4）响应文件未按照磋商文件要求签署、盖章的；</w:t>
      </w:r>
    </w:p>
    <w:p w14:paraId="0EC67717">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（4）响应文件不满足本章第27.1款规定的实质性要求的；</w:t>
      </w:r>
    </w:p>
    <w:p w14:paraId="203B7A96">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（5）报价超过采购项目预算的；</w:t>
      </w:r>
    </w:p>
    <w:p w14:paraId="3CFC4FFC">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（6）响应文件有效期不足的；</w:t>
      </w:r>
    </w:p>
    <w:p w14:paraId="76917A29">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（7）响应文件不符合法律、规章、规范性文件和磋商文件规定及要求的。</w:t>
      </w:r>
    </w:p>
    <w:p w14:paraId="33360F48">
      <w:pPr>
        <w:widowControl/>
        <w:adjustRightInd w:val="0"/>
        <w:snapToGrid w:val="0"/>
        <w:spacing w:line="360" w:lineRule="auto"/>
        <w:jc w:val="left"/>
        <w:rPr>
          <w:rFonts w:ascii="宋体" w:hAnsi="宋体" w:cs="宋体"/>
          <w:b/>
          <w:color w:val="auto"/>
          <w:kern w:val="0"/>
          <w:szCs w:val="21"/>
          <w:highlight w:val="none"/>
        </w:rPr>
      </w:pPr>
      <w:r>
        <w:rPr>
          <w:rFonts w:hint="eastAsia" w:ascii="宋体" w:hAnsi="宋体" w:cs="宋体"/>
          <w:b/>
          <w:color w:val="auto"/>
          <w:kern w:val="0"/>
          <w:szCs w:val="21"/>
          <w:highlight w:val="none"/>
        </w:rPr>
        <w:t>29.澄清</w:t>
      </w:r>
    </w:p>
    <w:p w14:paraId="5379C899">
      <w:pPr>
        <w:widowControl/>
        <w:adjustRightInd w:val="0"/>
        <w:snapToGrid w:val="0"/>
        <w:spacing w:line="360"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29.1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14:paraId="3E7C7166">
      <w:pPr>
        <w:widowControl/>
        <w:adjustRightInd w:val="0"/>
        <w:snapToGrid w:val="0"/>
        <w:spacing w:line="360"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29.2 最后报价计算错误修正的原则：最后报价的大写金额和小写金额不一致的，以大写金额为准；总价金额与按分项报价汇总金额不一致的，以分项报价金额计算结果为准；分项报价金额小数点有明显错位的，应以总价为准，并修改分项报价。</w:t>
      </w:r>
    </w:p>
    <w:p w14:paraId="6977C465">
      <w:pPr>
        <w:widowControl/>
        <w:adjustRightInd w:val="0"/>
        <w:snapToGrid w:val="0"/>
        <w:spacing w:line="360" w:lineRule="auto"/>
        <w:jc w:val="left"/>
        <w:rPr>
          <w:rFonts w:ascii="宋体" w:hAnsi="宋体" w:cs="宋体"/>
          <w:b/>
          <w:color w:val="auto"/>
          <w:kern w:val="0"/>
          <w:szCs w:val="21"/>
          <w:highlight w:val="none"/>
        </w:rPr>
      </w:pPr>
      <w:r>
        <w:rPr>
          <w:rFonts w:hint="eastAsia" w:ascii="宋体" w:hAnsi="宋体" w:cs="宋体"/>
          <w:b/>
          <w:color w:val="auto"/>
          <w:kern w:val="0"/>
          <w:szCs w:val="21"/>
          <w:highlight w:val="none"/>
        </w:rPr>
        <w:t>30.磋商</w:t>
      </w:r>
    </w:p>
    <w:p w14:paraId="2058A8AE">
      <w:pPr>
        <w:widowControl/>
        <w:adjustRightInd w:val="0"/>
        <w:snapToGri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rPr>
        <w:t>30.1</w:t>
      </w:r>
      <w:r>
        <w:rPr>
          <w:rFonts w:hint="eastAsia" w:ascii="宋体" w:hAnsi="宋体" w:cs="宋体"/>
          <w:color w:val="auto"/>
          <w:highlight w:val="none"/>
        </w:rPr>
        <w:t>本章第10.2项</w:t>
      </w:r>
      <w:r>
        <w:rPr>
          <w:rFonts w:hint="eastAsia" w:ascii="宋体" w:hAnsi="宋体" w:cs="宋体"/>
          <w:color w:val="auto"/>
          <w:kern w:val="0"/>
          <w:szCs w:val="21"/>
          <w:highlight w:val="none"/>
        </w:rPr>
        <w:t>未明确磋商文件实质性变动内容的，或者磋商文件明确了可能发生实质性变动内容，但在磋商过程中，</w:t>
      </w:r>
      <w:r>
        <w:rPr>
          <w:rFonts w:hint="eastAsia" w:ascii="宋体" w:hAnsi="宋体" w:cs="宋体"/>
          <w:bCs/>
          <w:color w:val="auto"/>
          <w:szCs w:val="21"/>
          <w:highlight w:val="none"/>
        </w:rPr>
        <w:t>磋商小组</w:t>
      </w:r>
      <w:r>
        <w:rPr>
          <w:rFonts w:hint="eastAsia" w:ascii="宋体" w:hAnsi="宋体" w:cs="宋体"/>
          <w:color w:val="auto"/>
          <w:kern w:val="0"/>
          <w:szCs w:val="21"/>
          <w:highlight w:val="none"/>
        </w:rPr>
        <w:t>根据磋商情况</w:t>
      </w:r>
      <w:r>
        <w:rPr>
          <w:rFonts w:hint="eastAsia" w:ascii="宋体" w:hAnsi="宋体" w:cs="宋体"/>
          <w:bCs/>
          <w:color w:val="auto"/>
          <w:szCs w:val="21"/>
          <w:highlight w:val="none"/>
        </w:rPr>
        <w:t>认为</w:t>
      </w:r>
      <w:r>
        <w:rPr>
          <w:rFonts w:hint="eastAsia" w:ascii="宋体" w:hAnsi="宋体" w:cs="宋体"/>
          <w:color w:val="auto"/>
          <w:kern w:val="0"/>
          <w:szCs w:val="21"/>
          <w:highlight w:val="none"/>
        </w:rPr>
        <w:t>磋商文件无需发生实质性变动的，磋商小组应当直接与响应文件审查合格的供应商就价格组织多轮磋商。</w:t>
      </w:r>
    </w:p>
    <w:p w14:paraId="71A38A0D">
      <w:pPr>
        <w:widowControl/>
        <w:tabs>
          <w:tab w:val="left" w:pos="1080"/>
          <w:tab w:val="left" w:pos="1260"/>
        </w:tabs>
        <w:adjustRightInd w:val="0"/>
        <w:snapToGrid w:val="0"/>
        <w:spacing w:line="360"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（1）磋商结束后，磋商小组应当要求所有继续参加磋商的供应商在磋商小组规定时间内提交最后报价。</w:t>
      </w:r>
    </w:p>
    <w:p w14:paraId="6036AAA6">
      <w:pPr>
        <w:widowControl/>
        <w:tabs>
          <w:tab w:val="left" w:pos="1080"/>
          <w:tab w:val="left" w:pos="1260"/>
        </w:tabs>
        <w:adjustRightInd w:val="0"/>
        <w:snapToGrid w:val="0"/>
        <w:spacing w:line="360"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（2）磋商文件明确可能发生实质性变动，但在磋商过程中</w:t>
      </w:r>
      <w:r>
        <w:rPr>
          <w:rFonts w:hint="eastAsia" w:ascii="宋体" w:hAnsi="宋体" w:cs="宋体"/>
          <w:bCs/>
          <w:color w:val="auto"/>
          <w:szCs w:val="21"/>
          <w:highlight w:val="none"/>
        </w:rPr>
        <w:t>磋商小组</w:t>
      </w:r>
      <w:r>
        <w:rPr>
          <w:rFonts w:hint="eastAsia" w:ascii="宋体" w:hAnsi="宋体" w:cs="宋体"/>
          <w:color w:val="auto"/>
          <w:kern w:val="0"/>
          <w:szCs w:val="21"/>
          <w:highlight w:val="none"/>
        </w:rPr>
        <w:t>根据磋商情况</w:t>
      </w:r>
      <w:r>
        <w:rPr>
          <w:rFonts w:hint="eastAsia" w:ascii="宋体" w:hAnsi="宋体" w:cs="宋体"/>
          <w:bCs/>
          <w:color w:val="auto"/>
          <w:szCs w:val="21"/>
          <w:highlight w:val="none"/>
        </w:rPr>
        <w:t>认为</w:t>
      </w:r>
      <w:r>
        <w:rPr>
          <w:rFonts w:hint="eastAsia" w:ascii="宋体" w:hAnsi="宋体" w:cs="宋体"/>
          <w:color w:val="auto"/>
          <w:kern w:val="0"/>
          <w:szCs w:val="21"/>
          <w:highlight w:val="none"/>
        </w:rPr>
        <w:t>磋商文件无需发生实质性变动的，磋商小组不另行通知。</w:t>
      </w:r>
    </w:p>
    <w:p w14:paraId="1B9B7003">
      <w:pPr>
        <w:widowControl/>
        <w:adjustRightInd w:val="0"/>
        <w:snapToGrid w:val="0"/>
        <w:spacing w:line="360"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30.2</w:t>
      </w:r>
      <w:r>
        <w:rPr>
          <w:rFonts w:hint="eastAsia" w:ascii="宋体" w:hAnsi="宋体" w:cs="宋体"/>
          <w:color w:val="auto"/>
          <w:highlight w:val="none"/>
        </w:rPr>
        <w:t>本章第10.2</w:t>
      </w:r>
      <w:r>
        <w:rPr>
          <w:rFonts w:hint="eastAsia" w:ascii="宋体" w:hAnsi="宋体" w:cs="宋体"/>
          <w:color w:val="auto"/>
          <w:kern w:val="0"/>
          <w:szCs w:val="21"/>
          <w:highlight w:val="none"/>
          <w:lang w:val="zh-CN"/>
        </w:rPr>
        <w:t>款</w:t>
      </w:r>
      <w:r>
        <w:rPr>
          <w:rFonts w:hint="eastAsia" w:ascii="宋体" w:hAnsi="宋体" w:cs="宋体"/>
          <w:color w:val="auto"/>
          <w:kern w:val="0"/>
          <w:szCs w:val="21"/>
          <w:highlight w:val="none"/>
        </w:rPr>
        <w:t>明确磋商文件实质性变动内容的，</w:t>
      </w:r>
      <w:r>
        <w:rPr>
          <w:rFonts w:hint="eastAsia" w:ascii="宋体" w:hAnsi="宋体" w:cs="宋体"/>
          <w:bCs/>
          <w:color w:val="auto"/>
          <w:szCs w:val="21"/>
          <w:highlight w:val="none"/>
        </w:rPr>
        <w:t>磋商小组</w:t>
      </w:r>
      <w:r>
        <w:rPr>
          <w:rFonts w:hint="eastAsia" w:ascii="宋体" w:hAnsi="宋体" w:cs="宋体"/>
          <w:color w:val="auto"/>
          <w:kern w:val="0"/>
          <w:szCs w:val="21"/>
          <w:highlight w:val="none"/>
        </w:rPr>
        <w:t>可以组织多轮磋商。</w:t>
      </w:r>
      <w:r>
        <w:rPr>
          <w:rFonts w:hint="eastAsia" w:ascii="宋体" w:hAnsi="宋体" w:cs="宋体"/>
          <w:bCs/>
          <w:color w:val="auto"/>
          <w:szCs w:val="21"/>
          <w:highlight w:val="none"/>
        </w:rPr>
        <w:t>在每一轮磋商中，磋商小组</w:t>
      </w:r>
      <w:r>
        <w:rPr>
          <w:rFonts w:hint="eastAsia" w:ascii="宋体" w:hAnsi="宋体" w:cs="宋体"/>
          <w:color w:val="auto"/>
          <w:kern w:val="0"/>
          <w:szCs w:val="21"/>
          <w:highlight w:val="none"/>
        </w:rPr>
        <w:t>可以根据磋商文件规定和磋商情况，</w:t>
      </w:r>
      <w:r>
        <w:rPr>
          <w:rFonts w:hint="eastAsia" w:ascii="宋体" w:hAnsi="宋体" w:cs="宋体"/>
          <w:bCs/>
          <w:color w:val="auto"/>
          <w:szCs w:val="21"/>
          <w:highlight w:val="none"/>
        </w:rPr>
        <w:t>对磋商文件的</w:t>
      </w:r>
      <w:r>
        <w:rPr>
          <w:rFonts w:hint="eastAsia" w:ascii="宋体" w:hAnsi="宋体" w:cs="宋体"/>
          <w:color w:val="auto"/>
          <w:kern w:val="0"/>
          <w:szCs w:val="21"/>
          <w:highlight w:val="none"/>
        </w:rPr>
        <w:t>采购需求中的技术、服务要求以及合同草案条款</w:t>
      </w:r>
      <w:r>
        <w:rPr>
          <w:rFonts w:hint="eastAsia" w:ascii="宋体" w:hAnsi="宋体" w:cs="宋体"/>
          <w:bCs/>
          <w:color w:val="auto"/>
          <w:szCs w:val="21"/>
          <w:highlight w:val="none"/>
        </w:rPr>
        <w:t>作实质性变动(磋商文件的实质性变动内容为磋商文件的组成部分)，并以书面形式要求</w:t>
      </w:r>
      <w:r>
        <w:rPr>
          <w:rFonts w:hint="eastAsia" w:ascii="宋体" w:hAnsi="宋体" w:cs="宋体"/>
          <w:color w:val="auto"/>
          <w:kern w:val="0"/>
          <w:szCs w:val="21"/>
          <w:highlight w:val="none"/>
        </w:rPr>
        <w:t>响应文件审查合格</w:t>
      </w:r>
      <w:r>
        <w:rPr>
          <w:rFonts w:hint="eastAsia" w:ascii="宋体" w:hAnsi="宋体" w:cs="宋体"/>
          <w:bCs/>
          <w:color w:val="auto"/>
          <w:szCs w:val="21"/>
          <w:highlight w:val="none"/>
        </w:rPr>
        <w:t>的供应商，在规定的</w:t>
      </w:r>
      <w:r>
        <w:rPr>
          <w:rFonts w:hint="eastAsia" w:ascii="宋体" w:hAnsi="宋体" w:cs="宋体"/>
          <w:color w:val="auto"/>
          <w:kern w:val="0"/>
          <w:szCs w:val="21"/>
          <w:highlight w:val="none"/>
        </w:rPr>
        <w:t>截止时间前</w:t>
      </w:r>
      <w:r>
        <w:rPr>
          <w:rFonts w:hint="eastAsia" w:ascii="宋体" w:hAnsi="宋体" w:cs="宋体"/>
          <w:bCs/>
          <w:color w:val="auto"/>
          <w:szCs w:val="21"/>
          <w:highlight w:val="none"/>
        </w:rPr>
        <w:t>重</w:t>
      </w:r>
      <w:r>
        <w:rPr>
          <w:rFonts w:hint="eastAsia" w:ascii="宋体" w:hAnsi="宋体" w:cs="宋体"/>
          <w:color w:val="auto"/>
          <w:kern w:val="0"/>
          <w:szCs w:val="21"/>
          <w:highlight w:val="none"/>
        </w:rPr>
        <w:t>新提交响应文件</w:t>
      </w:r>
      <w:r>
        <w:rPr>
          <w:rFonts w:hint="eastAsia" w:ascii="宋体" w:hAnsi="宋体" w:cs="宋体"/>
          <w:bCs/>
          <w:color w:val="auto"/>
          <w:szCs w:val="21"/>
          <w:highlight w:val="none"/>
        </w:rPr>
        <w:t>。</w:t>
      </w:r>
      <w:r>
        <w:rPr>
          <w:rFonts w:hint="eastAsia" w:ascii="宋体" w:hAnsi="宋体" w:cs="宋体"/>
          <w:color w:val="auto"/>
          <w:kern w:val="0"/>
          <w:szCs w:val="21"/>
          <w:highlight w:val="none"/>
        </w:rPr>
        <w:t>磋商小组应当</w:t>
      </w:r>
      <w:r>
        <w:rPr>
          <w:rFonts w:hint="eastAsia" w:ascii="宋体" w:hAnsi="宋体" w:cs="宋体"/>
          <w:color w:val="auto"/>
          <w:szCs w:val="21"/>
          <w:highlight w:val="none"/>
        </w:rPr>
        <w:t>根据本章第26.2</w:t>
      </w:r>
      <w:r>
        <w:rPr>
          <w:rFonts w:hint="eastAsia" w:ascii="宋体" w:hAnsi="宋体" w:cs="宋体"/>
          <w:color w:val="auto"/>
          <w:kern w:val="0"/>
          <w:szCs w:val="21"/>
          <w:highlight w:val="none"/>
          <w:lang w:val="zh-CN"/>
        </w:rPr>
        <w:t>款</w:t>
      </w:r>
      <w:r>
        <w:rPr>
          <w:rFonts w:hint="eastAsia" w:ascii="宋体" w:hAnsi="宋体" w:cs="宋体"/>
          <w:color w:val="auto"/>
          <w:szCs w:val="21"/>
          <w:highlight w:val="none"/>
        </w:rPr>
        <w:t>规定</w:t>
      </w:r>
      <w:r>
        <w:rPr>
          <w:rFonts w:hint="eastAsia" w:ascii="宋体" w:hAnsi="宋体" w:cs="宋体"/>
          <w:color w:val="auto"/>
          <w:kern w:val="0"/>
          <w:szCs w:val="21"/>
          <w:highlight w:val="none"/>
        </w:rPr>
        <w:t>对供应商重新提交的响应文件进行审查。供应商重新提交的响应文件审查不合格的，不得进入下一轮磋商，也不得要求提交最后报价。</w:t>
      </w:r>
    </w:p>
    <w:p w14:paraId="3B7C7127">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（1）磋商文件能够详细列明采购需求的技术、服务要求的，磋商结束后，磋商小组应当要求所有继续参加磋商的供应商在规定时间内提交最后报价。</w:t>
      </w:r>
    </w:p>
    <w:p w14:paraId="20B26F0D">
      <w:pPr>
        <w:widowControl/>
        <w:adjustRightInd w:val="0"/>
        <w:snapToGrid w:val="0"/>
        <w:spacing w:line="360"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15735BE8">
      <w:pPr>
        <w:widowControl/>
        <w:adjustRightInd w:val="0"/>
        <w:snapToGrid w:val="0"/>
        <w:spacing w:line="360" w:lineRule="auto"/>
        <w:ind w:firstLine="420"/>
        <w:jc w:val="left"/>
        <w:rPr>
          <w:rFonts w:ascii="宋体" w:hAnsi="宋体" w:cs="宋体"/>
          <w:bCs/>
          <w:color w:val="auto"/>
          <w:szCs w:val="21"/>
          <w:highlight w:val="none"/>
        </w:rPr>
      </w:pPr>
      <w:r>
        <w:rPr>
          <w:rFonts w:hint="eastAsia" w:ascii="宋体" w:hAnsi="宋体" w:cs="宋体"/>
          <w:bCs/>
          <w:color w:val="auto"/>
          <w:szCs w:val="21"/>
          <w:highlight w:val="none"/>
        </w:rPr>
        <w:t>30.3</w:t>
      </w:r>
      <w:r>
        <w:rPr>
          <w:rFonts w:hint="eastAsia" w:ascii="宋体" w:hAnsi="宋体" w:cs="宋体"/>
          <w:color w:val="auto"/>
          <w:highlight w:val="none"/>
        </w:rPr>
        <w:t xml:space="preserve"> </w:t>
      </w:r>
      <w:r>
        <w:rPr>
          <w:rFonts w:hint="eastAsia" w:ascii="宋体" w:hAnsi="宋体" w:cs="宋体"/>
          <w:bCs/>
          <w:color w:val="auto"/>
          <w:highlight w:val="none"/>
        </w:rPr>
        <w:t>重</w:t>
      </w:r>
      <w:r>
        <w:rPr>
          <w:rFonts w:hint="eastAsia" w:ascii="宋体" w:hAnsi="宋体" w:cs="宋体"/>
          <w:color w:val="auto"/>
          <w:kern w:val="0"/>
          <w:highlight w:val="none"/>
        </w:rPr>
        <w:t>新提交的响应文件</w:t>
      </w:r>
      <w:r>
        <w:rPr>
          <w:rFonts w:hint="eastAsia" w:ascii="宋体" w:hAnsi="宋体" w:cs="宋体"/>
          <w:color w:val="auto"/>
          <w:highlight w:val="none"/>
        </w:rPr>
        <w:t>或者最后报价应按</w:t>
      </w:r>
      <w:r>
        <w:rPr>
          <w:rFonts w:hint="eastAsia" w:ascii="宋体" w:hAnsi="宋体" w:cs="宋体"/>
          <w:color w:val="auto"/>
          <w:kern w:val="0"/>
          <w:szCs w:val="21"/>
          <w:highlight w:val="none"/>
        </w:rPr>
        <w:t>本章第</w:t>
      </w:r>
      <w:r>
        <w:rPr>
          <w:rFonts w:hint="eastAsia" w:ascii="宋体" w:hAnsi="宋体" w:cs="宋体"/>
          <w:color w:val="auto"/>
          <w:highlight w:val="none"/>
        </w:rPr>
        <w:t>21.3</w:t>
      </w:r>
      <w:r>
        <w:rPr>
          <w:rFonts w:hint="eastAsia" w:ascii="宋体" w:hAnsi="宋体" w:cs="宋体"/>
          <w:color w:val="auto"/>
          <w:kern w:val="0"/>
          <w:szCs w:val="21"/>
          <w:highlight w:val="none"/>
          <w:lang w:val="zh-CN"/>
        </w:rPr>
        <w:t>款</w:t>
      </w:r>
      <w:r>
        <w:rPr>
          <w:rFonts w:hint="eastAsia" w:ascii="宋体" w:hAnsi="宋体" w:cs="宋体"/>
          <w:color w:val="auto"/>
          <w:highlight w:val="none"/>
        </w:rPr>
        <w:t>规定，</w:t>
      </w:r>
      <w:r>
        <w:rPr>
          <w:rFonts w:hint="eastAsia" w:ascii="宋体" w:hAnsi="宋体" w:cs="宋体"/>
          <w:color w:val="auto"/>
          <w:kern w:val="0"/>
          <w:szCs w:val="21"/>
          <w:highlight w:val="none"/>
        </w:rPr>
        <w:t>由其法定代表人或其委托代理人签字或者加盖</w:t>
      </w:r>
      <w:r>
        <w:rPr>
          <w:rFonts w:hint="eastAsia" w:ascii="宋体" w:hAnsi="宋体" w:cs="宋体"/>
          <w:color w:val="auto"/>
          <w:kern w:val="0"/>
          <w:highlight w:val="none"/>
        </w:rPr>
        <w:t>供应商单位</w:t>
      </w:r>
      <w:r>
        <w:rPr>
          <w:rFonts w:hint="eastAsia" w:ascii="宋体" w:hAnsi="宋体" w:cs="宋体"/>
          <w:color w:val="auto"/>
          <w:kern w:val="0"/>
          <w:szCs w:val="21"/>
          <w:highlight w:val="none"/>
        </w:rPr>
        <w:t>章，在规定时间内密封递交给磋商小组</w:t>
      </w:r>
      <w:r>
        <w:rPr>
          <w:rFonts w:hint="eastAsia" w:ascii="宋体" w:hAnsi="宋体" w:cs="宋体"/>
          <w:bCs/>
          <w:color w:val="auto"/>
          <w:szCs w:val="21"/>
          <w:highlight w:val="none"/>
        </w:rPr>
        <w:t>。</w:t>
      </w:r>
    </w:p>
    <w:p w14:paraId="21082269">
      <w:pPr>
        <w:widowControl/>
        <w:adjustRightInd w:val="0"/>
        <w:snapToGrid w:val="0"/>
        <w:spacing w:line="360"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30.4</w:t>
      </w:r>
      <w:r>
        <w:rPr>
          <w:rFonts w:hint="eastAsia" w:ascii="宋体" w:hAnsi="宋体" w:cs="宋体"/>
          <w:color w:val="auto"/>
          <w:kern w:val="0"/>
          <w:szCs w:val="21"/>
          <w:highlight w:val="none"/>
          <w:lang w:val="zh-CN"/>
        </w:rPr>
        <w:t>供应商的</w:t>
      </w:r>
      <w:r>
        <w:rPr>
          <w:rFonts w:hint="eastAsia" w:ascii="宋体" w:hAnsi="宋体" w:cs="宋体"/>
          <w:bCs/>
          <w:color w:val="auto"/>
          <w:szCs w:val="21"/>
          <w:highlight w:val="none"/>
        </w:rPr>
        <w:t>最</w:t>
      </w:r>
      <w:r>
        <w:rPr>
          <w:rFonts w:hint="eastAsia" w:ascii="宋体" w:hAnsi="宋体" w:cs="宋体"/>
          <w:color w:val="auto"/>
          <w:kern w:val="0"/>
          <w:szCs w:val="21"/>
          <w:highlight w:val="none"/>
          <w:lang w:val="zh-CN"/>
        </w:rPr>
        <w:t>后</w:t>
      </w:r>
      <w:r>
        <w:rPr>
          <w:rFonts w:hint="eastAsia" w:ascii="宋体" w:hAnsi="宋体" w:cs="宋体"/>
          <w:bCs/>
          <w:color w:val="auto"/>
          <w:szCs w:val="21"/>
          <w:highlight w:val="none"/>
        </w:rPr>
        <w:t>报价及</w:t>
      </w:r>
      <w:r>
        <w:rPr>
          <w:rFonts w:hint="eastAsia" w:ascii="宋体" w:hAnsi="宋体" w:cs="宋体"/>
          <w:color w:val="auto"/>
          <w:kern w:val="0"/>
          <w:szCs w:val="21"/>
          <w:highlight w:val="none"/>
        </w:rPr>
        <w:t>政府采购政策规定的价格扣除情况，磋商小组应召集所有参加最后报价的供应商当场开封</w:t>
      </w:r>
      <w:r>
        <w:rPr>
          <w:rFonts w:hint="eastAsia" w:ascii="宋体" w:hAnsi="宋体" w:cs="宋体"/>
          <w:bCs/>
          <w:color w:val="auto"/>
          <w:szCs w:val="21"/>
          <w:highlight w:val="none"/>
        </w:rPr>
        <w:t>公布，并由供应商代表签字确认。</w:t>
      </w:r>
    </w:p>
    <w:p w14:paraId="223F15C4">
      <w:pPr>
        <w:widowControl/>
        <w:adjustRightInd w:val="0"/>
        <w:snapToGrid w:val="0"/>
        <w:spacing w:line="360"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30.5提交首次响应文件的供应商，在提交最后报价之前，可以根据磋商情况退出磋商，</w:t>
      </w:r>
      <w:r>
        <w:rPr>
          <w:rFonts w:hint="eastAsia" w:ascii="宋体" w:hAnsi="宋体" w:cs="宋体"/>
          <w:color w:val="auto"/>
          <w:kern w:val="0"/>
          <w:highlight w:val="none"/>
        </w:rPr>
        <w:t>并书面通知采购代理机构或者磋商小组。</w:t>
      </w:r>
      <w:r>
        <w:rPr>
          <w:rFonts w:hint="eastAsia" w:ascii="宋体" w:hAnsi="宋体" w:cs="宋体"/>
          <w:color w:val="auto"/>
          <w:highlight w:val="none"/>
        </w:rPr>
        <w:t>该通知由供应商法定代表人或其委托代理人签字。</w:t>
      </w:r>
      <w:r>
        <w:rPr>
          <w:rFonts w:hint="eastAsia" w:ascii="宋体" w:hAnsi="宋体" w:cs="宋体"/>
          <w:color w:val="auto"/>
          <w:kern w:val="0"/>
          <w:szCs w:val="21"/>
          <w:highlight w:val="none"/>
        </w:rPr>
        <w:t>采购代理机构</w:t>
      </w:r>
      <w:r>
        <w:rPr>
          <w:rFonts w:hint="eastAsia" w:ascii="宋体" w:hAnsi="宋体" w:cs="宋体"/>
          <w:color w:val="auto"/>
          <w:kern w:val="0"/>
          <w:highlight w:val="none"/>
        </w:rPr>
        <w:t>按</w:t>
      </w:r>
      <w:r>
        <w:rPr>
          <w:rFonts w:hint="eastAsia" w:ascii="宋体" w:hAnsi="宋体" w:cs="宋体"/>
          <w:color w:val="auto"/>
          <w:kern w:val="0"/>
          <w:szCs w:val="21"/>
          <w:highlight w:val="none"/>
        </w:rPr>
        <w:t>本章第</w:t>
      </w:r>
      <w:r>
        <w:rPr>
          <w:rFonts w:hint="eastAsia" w:ascii="宋体" w:hAnsi="宋体" w:cs="宋体"/>
          <w:color w:val="auto"/>
          <w:highlight w:val="none"/>
        </w:rPr>
        <w:t>19.4</w:t>
      </w:r>
      <w:r>
        <w:rPr>
          <w:rFonts w:hint="eastAsia" w:ascii="宋体" w:hAnsi="宋体" w:cs="宋体"/>
          <w:color w:val="auto"/>
          <w:kern w:val="0"/>
          <w:szCs w:val="21"/>
          <w:highlight w:val="none"/>
          <w:lang w:val="zh-CN"/>
        </w:rPr>
        <w:t>款</w:t>
      </w:r>
      <w:r>
        <w:rPr>
          <w:rFonts w:hint="eastAsia" w:ascii="宋体" w:hAnsi="宋体" w:cs="宋体"/>
          <w:color w:val="auto"/>
          <w:highlight w:val="none"/>
        </w:rPr>
        <w:t>规定</w:t>
      </w:r>
      <w:r>
        <w:rPr>
          <w:rFonts w:hint="eastAsia" w:ascii="宋体" w:hAnsi="宋体" w:cs="宋体"/>
          <w:color w:val="auto"/>
          <w:kern w:val="0"/>
          <w:szCs w:val="21"/>
          <w:highlight w:val="none"/>
        </w:rPr>
        <w:t>退还退出磋商的供应商的磋商保证金。</w:t>
      </w:r>
    </w:p>
    <w:p w14:paraId="2BE02000">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bCs/>
          <w:color w:val="auto"/>
          <w:szCs w:val="21"/>
          <w:highlight w:val="none"/>
        </w:rPr>
        <w:t>30.6</w:t>
      </w:r>
      <w:r>
        <w:rPr>
          <w:rFonts w:hint="eastAsia" w:ascii="宋体" w:hAnsi="宋体" w:cs="宋体"/>
          <w:color w:val="auto"/>
          <w:kern w:val="0"/>
          <w:szCs w:val="21"/>
          <w:highlight w:val="none"/>
        </w:rPr>
        <w:t>提交首次响应文件的供应商，未按磋商文件规定及磋商小组要求提交最后报价(或者</w:t>
      </w:r>
      <w:r>
        <w:rPr>
          <w:rFonts w:hint="eastAsia" w:ascii="宋体" w:hAnsi="宋体" w:cs="宋体"/>
          <w:bCs/>
          <w:color w:val="auto"/>
          <w:szCs w:val="21"/>
          <w:highlight w:val="none"/>
        </w:rPr>
        <w:t>重</w:t>
      </w:r>
      <w:r>
        <w:rPr>
          <w:rFonts w:hint="eastAsia" w:ascii="宋体" w:hAnsi="宋体" w:cs="宋体"/>
          <w:color w:val="auto"/>
          <w:kern w:val="0"/>
          <w:szCs w:val="21"/>
          <w:highlight w:val="none"/>
        </w:rPr>
        <w:t>新提交的响应文件和最后报价)，且又</w:t>
      </w:r>
      <w:r>
        <w:rPr>
          <w:rFonts w:hint="eastAsia" w:ascii="宋体" w:hAnsi="宋体" w:cs="宋体"/>
          <w:color w:val="auto"/>
          <w:kern w:val="0"/>
          <w:highlight w:val="none"/>
        </w:rPr>
        <w:t>未按</w:t>
      </w:r>
      <w:r>
        <w:rPr>
          <w:rFonts w:hint="eastAsia" w:ascii="宋体" w:hAnsi="宋体" w:cs="宋体"/>
          <w:color w:val="auto"/>
          <w:kern w:val="0"/>
          <w:szCs w:val="21"/>
          <w:highlight w:val="none"/>
        </w:rPr>
        <w:t>本章第</w:t>
      </w:r>
      <w:r>
        <w:rPr>
          <w:rFonts w:hint="eastAsia" w:ascii="宋体" w:hAnsi="宋体" w:cs="宋体"/>
          <w:color w:val="auto"/>
          <w:highlight w:val="none"/>
        </w:rPr>
        <w:t>30.5</w:t>
      </w:r>
      <w:r>
        <w:rPr>
          <w:rFonts w:hint="eastAsia" w:ascii="宋体" w:hAnsi="宋体" w:cs="宋体"/>
          <w:color w:val="auto"/>
          <w:kern w:val="0"/>
          <w:szCs w:val="21"/>
          <w:highlight w:val="none"/>
          <w:lang w:val="zh-CN"/>
        </w:rPr>
        <w:t>款</w:t>
      </w:r>
      <w:r>
        <w:rPr>
          <w:rFonts w:hint="eastAsia" w:ascii="宋体" w:hAnsi="宋体" w:cs="宋体"/>
          <w:color w:val="auto"/>
          <w:highlight w:val="none"/>
        </w:rPr>
        <w:t>规定</w:t>
      </w:r>
      <w:r>
        <w:rPr>
          <w:rFonts w:hint="eastAsia" w:ascii="宋体" w:hAnsi="宋体" w:cs="宋体"/>
          <w:color w:val="auto"/>
          <w:kern w:val="0"/>
          <w:szCs w:val="21"/>
          <w:highlight w:val="none"/>
        </w:rPr>
        <w:t>退出磋商的，供应商的磋商保证金不予退还。</w:t>
      </w:r>
    </w:p>
    <w:p w14:paraId="4B8DFEFA">
      <w:pPr>
        <w:widowControl/>
        <w:adjustRightInd w:val="0"/>
        <w:snapToGrid w:val="0"/>
        <w:spacing w:line="360" w:lineRule="auto"/>
        <w:jc w:val="left"/>
        <w:rPr>
          <w:rFonts w:ascii="宋体" w:hAnsi="宋体" w:cs="宋体"/>
          <w:b/>
          <w:bCs/>
          <w:color w:val="auto"/>
          <w:szCs w:val="21"/>
          <w:highlight w:val="none"/>
        </w:rPr>
      </w:pPr>
      <w:r>
        <w:rPr>
          <w:rFonts w:hint="eastAsia" w:ascii="宋体" w:hAnsi="宋体" w:cs="宋体"/>
          <w:b/>
          <w:color w:val="auto"/>
          <w:kern w:val="0"/>
          <w:szCs w:val="21"/>
          <w:highlight w:val="none"/>
        </w:rPr>
        <w:t>31.响应文件评审</w:t>
      </w:r>
    </w:p>
    <w:p w14:paraId="61BBE2AC">
      <w:pPr>
        <w:widowControl/>
        <w:adjustRightInd w:val="0"/>
        <w:snapToGrid w:val="0"/>
        <w:spacing w:line="360" w:lineRule="auto"/>
        <w:ind w:firstLine="420" w:firstLineChars="200"/>
        <w:jc w:val="left"/>
        <w:rPr>
          <w:rFonts w:ascii="宋体" w:hAnsi="宋体" w:cs="宋体"/>
          <w:bCs/>
          <w:color w:val="auto"/>
          <w:szCs w:val="21"/>
          <w:highlight w:val="none"/>
        </w:rPr>
      </w:pPr>
      <w:r>
        <w:rPr>
          <w:rFonts w:hint="eastAsia" w:ascii="宋体" w:hAnsi="宋体" w:cs="宋体"/>
          <w:bCs/>
          <w:color w:val="auto"/>
          <w:szCs w:val="21"/>
          <w:highlight w:val="none"/>
        </w:rPr>
        <w:t>31.1经磋商确定最终采购需求和提交最后报价的供应商后，由磋商小组采用综合评分法对提交最后报价的供应商的响应文件和最后报价进行综合评价。</w:t>
      </w:r>
    </w:p>
    <w:p w14:paraId="46490DB3">
      <w:pPr>
        <w:widowControl/>
        <w:adjustRightInd w:val="0"/>
        <w:snapToGrid w:val="0"/>
        <w:spacing w:line="360" w:lineRule="auto"/>
        <w:ind w:firstLine="420" w:firstLineChars="200"/>
        <w:jc w:val="left"/>
        <w:rPr>
          <w:rFonts w:ascii="宋体" w:hAnsi="宋体" w:cs="宋体"/>
          <w:bCs/>
          <w:color w:val="auto"/>
          <w:szCs w:val="21"/>
          <w:highlight w:val="none"/>
        </w:rPr>
      </w:pPr>
      <w:r>
        <w:rPr>
          <w:rFonts w:hint="eastAsia" w:ascii="宋体" w:hAnsi="宋体" w:cs="宋体"/>
          <w:bCs/>
          <w:color w:val="auto"/>
          <w:szCs w:val="21"/>
          <w:highlight w:val="none"/>
        </w:rPr>
        <w:t>31.2综合评分法，是指响应文件满足磋商文件全部实质性要求且按评审因素的量化指标评审得分最高的供应商为成交候选供应商的评审方法。本采购项目的评审因素和标准见</w:t>
      </w:r>
      <w:r>
        <w:rPr>
          <w:rFonts w:hint="eastAsia" w:ascii="宋体" w:hAnsi="宋体" w:cs="宋体"/>
          <w:b/>
          <w:bCs/>
          <w:color w:val="auto"/>
          <w:szCs w:val="21"/>
          <w:highlight w:val="none"/>
        </w:rPr>
        <w:t>磋商须知前附表。</w:t>
      </w:r>
    </w:p>
    <w:p w14:paraId="45270B0C">
      <w:pPr>
        <w:widowControl/>
        <w:adjustRightInd w:val="0"/>
        <w:snapToGrid w:val="0"/>
        <w:spacing w:before="156" w:beforeLines="50" w:line="360" w:lineRule="auto"/>
        <w:ind w:firstLine="420" w:firstLineChars="200"/>
        <w:jc w:val="left"/>
        <w:rPr>
          <w:rFonts w:ascii="宋体" w:hAnsi="宋体" w:cs="宋体"/>
          <w:bCs/>
          <w:color w:val="auto"/>
          <w:szCs w:val="21"/>
          <w:highlight w:val="none"/>
        </w:rPr>
      </w:pPr>
      <w:r>
        <w:rPr>
          <w:rFonts w:hint="eastAsia" w:ascii="宋体" w:hAnsi="宋体" w:cs="宋体"/>
          <w:color w:val="auto"/>
          <w:kern w:val="0"/>
          <w:szCs w:val="21"/>
          <w:highlight w:val="none"/>
        </w:rPr>
        <w:t>31.3</w:t>
      </w:r>
      <w:r>
        <w:rPr>
          <w:rFonts w:hint="eastAsia" w:ascii="宋体" w:hAnsi="宋体" w:cs="宋体"/>
          <w:color w:val="auto"/>
          <w:szCs w:val="21"/>
          <w:highlight w:val="none"/>
        </w:rPr>
        <w:t>最后报价调整。磋商小组以各供应商最后报价为基础，按照符合政府采购支持中小企业发展的相应条件，对供应商的最后报价进行价格扣除，用扣除后的最后报价计算价格得分，具体价格扣除比例见</w:t>
      </w:r>
      <w:r>
        <w:rPr>
          <w:rFonts w:hint="eastAsia" w:ascii="宋体" w:hAnsi="宋体" w:cs="宋体"/>
          <w:b/>
          <w:color w:val="auto"/>
          <w:szCs w:val="21"/>
          <w:highlight w:val="none"/>
        </w:rPr>
        <w:t>磋商须知前附表</w:t>
      </w:r>
      <w:r>
        <w:rPr>
          <w:rFonts w:hint="eastAsia" w:ascii="宋体" w:hAnsi="宋体" w:cs="宋体"/>
          <w:color w:val="auto"/>
          <w:szCs w:val="21"/>
          <w:highlight w:val="none"/>
        </w:rPr>
        <w:t>。</w:t>
      </w:r>
    </w:p>
    <w:p w14:paraId="27007D48">
      <w:pPr>
        <w:widowControl/>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31.4综合评分法中的价格分采用低价优先法计算，即满足磋商文件要求且经调整后的最后报价最低的供应商的价格为磋商基准价，其价格分为满分。其他供应商的价格分按照下列公式计算：</w:t>
      </w:r>
    </w:p>
    <w:p w14:paraId="4EA73CB0">
      <w:pPr>
        <w:widowControl/>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磋商报价得分=（磋商基准价/最后磋商报价）×价格权值</w:t>
      </w:r>
    </w:p>
    <w:p w14:paraId="75D9A9B4">
      <w:pPr>
        <w:widowControl/>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项目评审过程中，不得去掉最后报价中的最高报价和最低报价。</w:t>
      </w:r>
    </w:p>
    <w:p w14:paraId="5763C78F">
      <w:pPr>
        <w:widowControl/>
        <w:adjustRightInd w:val="0"/>
        <w:snapToGrid w:val="0"/>
        <w:spacing w:before="156" w:beforeLines="50" w:line="360" w:lineRule="auto"/>
        <w:ind w:firstLine="420" w:firstLineChars="200"/>
        <w:jc w:val="left"/>
        <w:rPr>
          <w:rFonts w:ascii="宋体" w:hAnsi="宋体" w:cs="宋体"/>
          <w:color w:val="auto"/>
          <w:szCs w:val="21"/>
          <w:highlight w:val="none"/>
        </w:rPr>
      </w:pPr>
      <w:r>
        <w:rPr>
          <w:rFonts w:hint="eastAsia" w:ascii="宋体" w:hAnsi="宋体" w:cs="宋体"/>
          <w:bCs/>
          <w:color w:val="auto"/>
          <w:szCs w:val="21"/>
          <w:highlight w:val="none"/>
        </w:rPr>
        <w:t>31.5</w:t>
      </w:r>
      <w:r>
        <w:rPr>
          <w:rFonts w:hint="eastAsia" w:ascii="宋体" w:hAnsi="宋体" w:cs="宋体"/>
          <w:color w:val="auto"/>
          <w:szCs w:val="21"/>
          <w:highlight w:val="none"/>
        </w:rPr>
        <w:t>涉及政府采购政策优惠对供应商分值进行调整的，</w:t>
      </w:r>
      <w:r>
        <w:rPr>
          <w:rFonts w:hint="eastAsia" w:ascii="宋体" w:hAnsi="宋体" w:cs="宋体"/>
          <w:bCs/>
          <w:color w:val="auto"/>
          <w:szCs w:val="21"/>
          <w:highlight w:val="none"/>
        </w:rPr>
        <w:t>按</w:t>
      </w:r>
      <w:r>
        <w:rPr>
          <w:rFonts w:hint="eastAsia" w:ascii="宋体" w:hAnsi="宋体" w:cs="宋体"/>
          <w:b/>
          <w:color w:val="auto"/>
          <w:szCs w:val="21"/>
          <w:highlight w:val="none"/>
        </w:rPr>
        <w:t>磋商须知前附表</w:t>
      </w:r>
      <w:r>
        <w:rPr>
          <w:rFonts w:hint="eastAsia" w:ascii="宋体" w:hAnsi="宋体" w:cs="宋体"/>
          <w:bCs/>
          <w:color w:val="auto"/>
          <w:szCs w:val="21"/>
          <w:highlight w:val="none"/>
        </w:rPr>
        <w:t>规定</w:t>
      </w:r>
      <w:r>
        <w:rPr>
          <w:rFonts w:hint="eastAsia" w:ascii="宋体" w:hAnsi="宋体" w:cs="宋体"/>
          <w:color w:val="auto"/>
          <w:szCs w:val="21"/>
          <w:highlight w:val="none"/>
        </w:rPr>
        <w:t>调整供应商的技术、商务、价格</w:t>
      </w:r>
      <w:r>
        <w:rPr>
          <w:rFonts w:hint="eastAsia" w:ascii="宋体" w:hAnsi="宋体" w:cs="宋体"/>
          <w:color w:val="auto"/>
          <w:kern w:val="0"/>
          <w:szCs w:val="21"/>
          <w:highlight w:val="none"/>
        </w:rPr>
        <w:t>得分或总得分</w:t>
      </w:r>
      <w:r>
        <w:rPr>
          <w:rFonts w:hint="eastAsia" w:ascii="宋体" w:hAnsi="宋体" w:cs="宋体"/>
          <w:color w:val="auto"/>
          <w:szCs w:val="21"/>
          <w:highlight w:val="none"/>
        </w:rPr>
        <w:t>。</w:t>
      </w:r>
    </w:p>
    <w:p w14:paraId="29519A0B">
      <w:pPr>
        <w:adjustRightInd w:val="0"/>
        <w:snapToGrid w:val="0"/>
        <w:spacing w:before="156" w:beforeLines="5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31.6涉及多处或部分获得政府采购政策优惠的，其多处或部分享受政府采购优惠政策的计算方法见</w:t>
      </w:r>
      <w:r>
        <w:rPr>
          <w:rFonts w:hint="eastAsia" w:ascii="宋体" w:hAnsi="宋体" w:cs="宋体"/>
          <w:b/>
          <w:color w:val="auto"/>
          <w:szCs w:val="21"/>
          <w:highlight w:val="none"/>
        </w:rPr>
        <w:t>磋商须知前附表</w:t>
      </w:r>
      <w:r>
        <w:rPr>
          <w:rFonts w:hint="eastAsia" w:ascii="宋体" w:hAnsi="宋体" w:cs="宋体"/>
          <w:color w:val="auto"/>
          <w:szCs w:val="21"/>
          <w:highlight w:val="none"/>
        </w:rPr>
        <w:t>相关规定。</w:t>
      </w:r>
    </w:p>
    <w:p w14:paraId="73FC59CA">
      <w:pPr>
        <w:widowControl/>
        <w:adjustRightInd w:val="0"/>
        <w:snapToGrid w:val="0"/>
        <w:spacing w:before="156" w:beforeLines="50" w:line="360" w:lineRule="auto"/>
        <w:ind w:firstLine="420" w:firstLineChars="200"/>
        <w:jc w:val="left"/>
        <w:rPr>
          <w:rFonts w:ascii="宋体" w:hAnsi="宋体" w:cs="宋体"/>
          <w:color w:val="auto"/>
          <w:szCs w:val="21"/>
          <w:highlight w:val="none"/>
        </w:rPr>
      </w:pPr>
      <w:r>
        <w:rPr>
          <w:rFonts w:hint="eastAsia" w:ascii="宋体" w:hAnsi="宋体" w:cs="宋体"/>
          <w:color w:val="auto"/>
          <w:kern w:val="0"/>
          <w:szCs w:val="21"/>
          <w:highlight w:val="none"/>
        </w:rPr>
        <w:t>31.7</w:t>
      </w:r>
      <w:r>
        <w:rPr>
          <w:rFonts w:hint="eastAsia" w:ascii="宋体" w:hAnsi="宋体" w:cs="宋体"/>
          <w:color w:val="auto"/>
          <w:szCs w:val="21"/>
          <w:highlight w:val="none"/>
        </w:rPr>
        <w:t>评审时，磋商小组各成员应当独立对每个供应商的</w:t>
      </w:r>
      <w:r>
        <w:rPr>
          <w:rFonts w:hint="eastAsia" w:ascii="宋体" w:hAnsi="宋体" w:cs="宋体"/>
          <w:bCs/>
          <w:color w:val="auto"/>
          <w:szCs w:val="21"/>
          <w:highlight w:val="none"/>
        </w:rPr>
        <w:t>响应文件</w:t>
      </w:r>
      <w:r>
        <w:rPr>
          <w:rFonts w:hint="eastAsia" w:ascii="宋体" w:hAnsi="宋体" w:cs="宋体"/>
          <w:color w:val="auto"/>
          <w:szCs w:val="21"/>
          <w:highlight w:val="none"/>
        </w:rPr>
        <w:t>进行评价、评分，并按照政府采购优惠政策对最后报价进行价格扣除和技术、商务、价格加分后，汇总各供应商的总得分。</w:t>
      </w:r>
    </w:p>
    <w:p w14:paraId="03D17CB2">
      <w:pPr>
        <w:widowControl/>
        <w:adjustRightInd w:val="0"/>
        <w:snapToGrid w:val="0"/>
        <w:spacing w:line="360" w:lineRule="auto"/>
        <w:jc w:val="left"/>
        <w:rPr>
          <w:rFonts w:ascii="宋体" w:hAnsi="宋体" w:cs="宋体"/>
          <w:b/>
          <w:bCs/>
          <w:color w:val="auto"/>
          <w:szCs w:val="21"/>
          <w:highlight w:val="none"/>
        </w:rPr>
      </w:pPr>
      <w:r>
        <w:rPr>
          <w:rFonts w:hint="eastAsia" w:ascii="宋体" w:hAnsi="宋体" w:cs="宋体"/>
          <w:b/>
          <w:bCs/>
          <w:color w:val="auto"/>
          <w:szCs w:val="21"/>
          <w:highlight w:val="none"/>
        </w:rPr>
        <w:t>32</w:t>
      </w:r>
      <w:r>
        <w:rPr>
          <w:rFonts w:hint="eastAsia" w:ascii="宋体" w:hAnsi="宋体" w:cs="宋体"/>
          <w:b/>
          <w:color w:val="auto"/>
          <w:kern w:val="0"/>
          <w:szCs w:val="21"/>
          <w:highlight w:val="none"/>
        </w:rPr>
        <w:t>.</w:t>
      </w:r>
      <w:r>
        <w:rPr>
          <w:rFonts w:hint="eastAsia" w:ascii="宋体" w:hAnsi="宋体" w:cs="宋体"/>
          <w:b/>
          <w:bCs/>
          <w:color w:val="auto"/>
          <w:szCs w:val="21"/>
          <w:highlight w:val="none"/>
        </w:rPr>
        <w:t>提出成交供应商</w:t>
      </w:r>
    </w:p>
    <w:p w14:paraId="5DEEFD9B">
      <w:pPr>
        <w:widowControl/>
        <w:spacing w:line="420" w:lineRule="atLeast"/>
        <w:jc w:val="left"/>
        <w:rPr>
          <w:rFonts w:ascii="宋体" w:hAnsi="宋体" w:cs="宋体"/>
          <w:bCs/>
          <w:color w:val="auto"/>
          <w:szCs w:val="21"/>
          <w:highlight w:val="none"/>
        </w:rPr>
      </w:pPr>
      <w:r>
        <w:rPr>
          <w:rFonts w:hint="eastAsia" w:ascii="宋体" w:hAnsi="宋体" w:cs="宋体"/>
          <w:color w:val="auto"/>
          <w:kern w:val="0"/>
          <w:szCs w:val="21"/>
          <w:highlight w:val="none"/>
        </w:rPr>
        <w:t xml:space="preserve">    32.1</w:t>
      </w:r>
      <w:r>
        <w:rPr>
          <w:rFonts w:hint="eastAsia" w:ascii="宋体" w:hAnsi="宋体" w:cs="宋体"/>
          <w:bCs/>
          <w:color w:val="auto"/>
          <w:szCs w:val="21"/>
          <w:highlight w:val="none"/>
        </w:rPr>
        <w:t>磋商小组应当根据综合评分情况，按照评审得分由高到低顺序推荐3名以上成交候选供应商，并编写评审报告。评审得分相同的，按照最后报价由低到高的顺序推荐。评审得分且最后报价相同的，按照技术指标优劣顺序推荐。符合《政府采购竞争性磋商采购方式管理暂行办法》(财库〔2014〕214号)</w:t>
      </w:r>
      <w:r>
        <w:rPr>
          <w:rFonts w:hint="eastAsia" w:ascii="宋体" w:hAnsi="宋体" w:cs="宋体"/>
          <w:color w:val="auto"/>
          <w:kern w:val="0"/>
          <w:szCs w:val="21"/>
          <w:highlight w:val="none"/>
        </w:rPr>
        <w:t>和《财政部关于政府采购竞争性磋商采购方式管理暂行办法有关问题的补充通知》（财库〔2015〕124号）所列“政府购买服务项目（含政府和社会资本合作项目）、市场竞争不充分的科研项目以及需要扶持的科技成果转化项目”情形的，</w:t>
      </w:r>
      <w:r>
        <w:rPr>
          <w:rFonts w:hint="eastAsia" w:ascii="宋体" w:hAnsi="宋体" w:cs="宋体"/>
          <w:bCs/>
          <w:color w:val="auto"/>
          <w:szCs w:val="21"/>
          <w:highlight w:val="none"/>
        </w:rPr>
        <w:t>可以推荐2家成交候选供应商。</w:t>
      </w:r>
    </w:p>
    <w:p w14:paraId="254B5668">
      <w:pPr>
        <w:widowControl/>
        <w:spacing w:line="420" w:lineRule="atLeast"/>
        <w:rPr>
          <w:rFonts w:ascii="宋体" w:hAnsi="宋体" w:cs="宋体"/>
          <w:color w:val="auto"/>
          <w:kern w:val="0"/>
          <w:szCs w:val="21"/>
          <w:highlight w:val="none"/>
        </w:rPr>
      </w:pPr>
    </w:p>
    <w:p w14:paraId="0B147F59">
      <w:pPr>
        <w:tabs>
          <w:tab w:val="left" w:pos="0"/>
        </w:tabs>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33.确定成交供应商</w:t>
      </w:r>
    </w:p>
    <w:p w14:paraId="0A2E1390">
      <w:pPr>
        <w:widowControl/>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33.1采购代理机构应当在评审结束后2个工作日内将评审报告送采购人确认。</w:t>
      </w:r>
    </w:p>
    <w:p w14:paraId="67C3B8BD">
      <w:pPr>
        <w:widowControl/>
        <w:adjustRightInd w:val="0"/>
        <w:snapToGrid w:val="0"/>
        <w:spacing w:line="360"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33.2采购人应当在收到评审报告后5个工作日内，从评审报告提出的成交候选供应商中，按照排序由高到低的原则确定成交供应商，也可以书面授权磋商小组直接确定成交供应商。</w:t>
      </w:r>
    </w:p>
    <w:p w14:paraId="79DC66F7">
      <w:pPr>
        <w:adjustRightInd w:val="0"/>
        <w:snapToGrid w:val="0"/>
        <w:spacing w:line="360" w:lineRule="auto"/>
        <w:ind w:left="632" w:hanging="632" w:hangingChars="300"/>
        <w:rPr>
          <w:rFonts w:ascii="宋体" w:hAnsi="宋体" w:cs="宋体"/>
          <w:b/>
          <w:color w:val="auto"/>
          <w:szCs w:val="21"/>
          <w:highlight w:val="none"/>
        </w:rPr>
      </w:pPr>
      <w:r>
        <w:rPr>
          <w:rFonts w:hint="eastAsia" w:ascii="宋体" w:hAnsi="宋体" w:cs="宋体"/>
          <w:b/>
          <w:color w:val="auto"/>
          <w:szCs w:val="21"/>
          <w:highlight w:val="none"/>
        </w:rPr>
        <w:t>34.磋商终止</w:t>
      </w:r>
    </w:p>
    <w:p w14:paraId="4DA95540">
      <w:pPr>
        <w:widowControl/>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bCs/>
          <w:color w:val="auto"/>
          <w:szCs w:val="21"/>
          <w:highlight w:val="none"/>
        </w:rPr>
        <w:t>34.1</w:t>
      </w:r>
      <w:r>
        <w:rPr>
          <w:rFonts w:hint="eastAsia" w:ascii="宋体" w:hAnsi="宋体" w:cs="宋体"/>
          <w:color w:val="auto"/>
          <w:kern w:val="0"/>
          <w:szCs w:val="21"/>
          <w:highlight w:val="none"/>
        </w:rPr>
        <w:t>出现下列情形之一的，采购人或者采购代理机构应当终止竞争性磋商采购活动，</w:t>
      </w:r>
      <w:r>
        <w:rPr>
          <w:rFonts w:hint="eastAsia" w:ascii="宋体" w:hAnsi="宋体" w:cs="宋体"/>
          <w:color w:val="auto"/>
          <w:highlight w:val="none"/>
        </w:rPr>
        <w:t>在本章第37.1款指定的媒体上</w:t>
      </w:r>
      <w:r>
        <w:rPr>
          <w:rFonts w:hint="eastAsia" w:ascii="宋体" w:hAnsi="宋体" w:cs="宋体"/>
          <w:color w:val="auto"/>
          <w:kern w:val="0"/>
          <w:szCs w:val="21"/>
          <w:highlight w:val="none"/>
        </w:rPr>
        <w:t xml:space="preserve">发布项目终止公告并说明原因，重新开展采购活动： </w:t>
      </w:r>
    </w:p>
    <w:p w14:paraId="210AAFC6">
      <w:pPr>
        <w:widowControl/>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（1）因情况变化，不再符合规定的竞争性磋商采购方式适用情形的；</w:t>
      </w:r>
    </w:p>
    <w:p w14:paraId="740D5CA9">
      <w:pPr>
        <w:widowControl/>
        <w:adjustRightInd w:val="0"/>
        <w:snapToGrid w:val="0"/>
        <w:spacing w:line="360" w:lineRule="auto"/>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（2）出现影响采购公正的违法、违规行为的；</w:t>
      </w:r>
    </w:p>
    <w:p w14:paraId="6041C1C1">
      <w:pPr>
        <w:widowControl/>
        <w:adjustRightInd w:val="0"/>
        <w:snapToGrid w:val="0"/>
        <w:spacing w:line="360" w:lineRule="auto"/>
        <w:ind w:firstLine="420"/>
        <w:jc w:val="left"/>
        <w:rPr>
          <w:rFonts w:ascii="宋体" w:hAnsi="宋体" w:cs="宋体"/>
          <w:bCs/>
          <w:color w:val="auto"/>
          <w:szCs w:val="21"/>
          <w:highlight w:val="none"/>
        </w:rPr>
      </w:pPr>
      <w:r>
        <w:rPr>
          <w:rFonts w:hint="eastAsia" w:ascii="宋体" w:hAnsi="宋体" w:cs="宋体"/>
          <w:color w:val="auto"/>
          <w:kern w:val="0"/>
          <w:szCs w:val="21"/>
          <w:highlight w:val="none"/>
        </w:rPr>
        <w:t>（3）</w:t>
      </w:r>
      <w:r>
        <w:rPr>
          <w:rFonts w:hint="eastAsia" w:ascii="宋体" w:hAnsi="宋体" w:cs="宋体"/>
          <w:bCs/>
          <w:color w:val="auto"/>
          <w:szCs w:val="21"/>
          <w:highlight w:val="none"/>
        </w:rPr>
        <w:t>除《政府采购竞争性磋商采购方式管理暂行办法》(财库〔2014〕214号)</w:t>
      </w:r>
      <w:r>
        <w:rPr>
          <w:rFonts w:hint="eastAsia" w:ascii="宋体" w:hAnsi="宋体" w:cs="宋体"/>
          <w:color w:val="auto"/>
          <w:kern w:val="0"/>
          <w:szCs w:val="21"/>
          <w:highlight w:val="none"/>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宋体" w:hAnsi="宋体" w:cs="宋体"/>
          <w:bCs/>
          <w:color w:val="auto"/>
          <w:szCs w:val="21"/>
          <w:highlight w:val="none"/>
        </w:rPr>
        <w:t>情形外，在采购过程中符合要求的供应商或者报价未超过采购预算的供应商不足3家的；</w:t>
      </w:r>
    </w:p>
    <w:p w14:paraId="0208F42A">
      <w:pPr>
        <w:widowControl/>
        <w:adjustRightInd w:val="0"/>
        <w:snapToGrid w:val="0"/>
        <w:spacing w:line="360" w:lineRule="auto"/>
        <w:ind w:firstLine="420"/>
        <w:jc w:val="left"/>
        <w:rPr>
          <w:rFonts w:ascii="宋体" w:hAnsi="宋体" w:cs="宋体"/>
          <w:bCs/>
          <w:color w:val="auto"/>
          <w:szCs w:val="21"/>
          <w:highlight w:val="none"/>
        </w:rPr>
      </w:pPr>
      <w:r>
        <w:rPr>
          <w:rFonts w:hint="eastAsia" w:ascii="宋体" w:hAnsi="宋体" w:cs="宋体"/>
          <w:color w:val="auto"/>
          <w:kern w:val="0"/>
          <w:szCs w:val="21"/>
          <w:highlight w:val="none"/>
        </w:rPr>
        <w:t>（4）因重大变故，采购任务取消的。</w:t>
      </w:r>
    </w:p>
    <w:p w14:paraId="570E1C6C">
      <w:pPr>
        <w:widowControl/>
        <w:adjustRightInd w:val="0"/>
        <w:snapToGrid w:val="0"/>
        <w:spacing w:line="360" w:lineRule="auto"/>
        <w:jc w:val="left"/>
        <w:rPr>
          <w:rFonts w:ascii="宋体" w:hAnsi="宋体" w:cs="宋体"/>
          <w:b/>
          <w:color w:val="auto"/>
          <w:kern w:val="0"/>
          <w:szCs w:val="21"/>
          <w:highlight w:val="none"/>
        </w:rPr>
      </w:pPr>
      <w:r>
        <w:rPr>
          <w:rFonts w:hint="eastAsia" w:ascii="宋体" w:hAnsi="宋体" w:cs="宋体"/>
          <w:b/>
          <w:color w:val="auto"/>
          <w:kern w:val="0"/>
          <w:szCs w:val="21"/>
          <w:highlight w:val="none"/>
        </w:rPr>
        <w:t>35．重新评审</w:t>
      </w:r>
    </w:p>
    <w:p w14:paraId="330D1C98">
      <w:pPr>
        <w:widowControl/>
        <w:adjustRightInd w:val="0"/>
        <w:snapToGrid w:val="0"/>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35.1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03F79F77">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36.保密及串通行为</w:t>
      </w:r>
    </w:p>
    <w:p w14:paraId="39C70E8F">
      <w:pPr>
        <w:adjustRightInd w:val="0"/>
        <w:snapToGrid w:val="0"/>
        <w:spacing w:line="360" w:lineRule="auto"/>
        <w:ind w:firstLine="420" w:firstLineChars="200"/>
        <w:rPr>
          <w:rFonts w:ascii="宋体" w:hAnsi="宋体" w:cs="宋体"/>
          <w:color w:val="auto"/>
          <w:highlight w:val="none"/>
        </w:rPr>
      </w:pPr>
      <w:r>
        <w:rPr>
          <w:rFonts w:hint="eastAsia" w:ascii="宋体" w:hAnsi="宋体" w:cs="宋体"/>
          <w:color w:val="auto"/>
          <w:highlight w:val="none"/>
        </w:rPr>
        <w:t>36.1磋商小组成员以及与评审工作有关的人员不得泄露评审情况以及评审过程中获悉的国家秘密、商业秘密。</w:t>
      </w:r>
    </w:p>
    <w:p w14:paraId="24068AA5">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36.2</w:t>
      </w:r>
      <w:r>
        <w:rPr>
          <w:rFonts w:hint="eastAsia" w:ascii="宋体" w:hAnsi="宋体" w:cs="宋体"/>
          <w:color w:val="auto"/>
          <w:kern w:val="0"/>
          <w:szCs w:val="21"/>
          <w:highlight w:val="none"/>
        </w:rPr>
        <w:t>供应商</w:t>
      </w:r>
      <w:r>
        <w:rPr>
          <w:rFonts w:hint="eastAsia" w:ascii="宋体" w:hAnsi="宋体" w:cs="宋体"/>
          <w:color w:val="auto"/>
          <w:szCs w:val="21"/>
          <w:highlight w:val="none"/>
        </w:rPr>
        <w:t>不得与</w:t>
      </w:r>
      <w:r>
        <w:rPr>
          <w:rFonts w:hint="eastAsia" w:ascii="宋体" w:hAnsi="宋体" w:cs="宋体"/>
          <w:color w:val="auto"/>
          <w:kern w:val="0"/>
          <w:szCs w:val="21"/>
          <w:highlight w:val="none"/>
        </w:rPr>
        <w:t>采购人、采购代理机构、其他供应商恶意</w:t>
      </w:r>
      <w:r>
        <w:rPr>
          <w:rFonts w:hint="eastAsia" w:ascii="宋体" w:hAnsi="宋体" w:cs="宋体"/>
          <w:color w:val="auto"/>
          <w:szCs w:val="21"/>
          <w:highlight w:val="none"/>
        </w:rPr>
        <w:t>串通；不得向</w:t>
      </w:r>
      <w:r>
        <w:rPr>
          <w:rFonts w:hint="eastAsia" w:ascii="宋体" w:hAnsi="宋体" w:cs="宋体"/>
          <w:color w:val="auto"/>
          <w:kern w:val="0"/>
          <w:szCs w:val="21"/>
          <w:highlight w:val="none"/>
        </w:rPr>
        <w:t>采购人、采购代理机构</w:t>
      </w:r>
      <w:r>
        <w:rPr>
          <w:rFonts w:hint="eastAsia" w:ascii="宋体" w:hAnsi="宋体" w:cs="宋体"/>
          <w:color w:val="auto"/>
          <w:szCs w:val="21"/>
          <w:highlight w:val="none"/>
        </w:rPr>
        <w:t>或者磋商小组成员行贿或者提供其他不正当利益；不得提供虚假资料谋取成交；不得以任何方式干扰、影响采购工作。</w:t>
      </w:r>
    </w:p>
    <w:p w14:paraId="174268B2">
      <w:pPr>
        <w:pStyle w:val="22"/>
        <w:adjustRightInd w:val="0"/>
        <w:snapToGrid w:val="0"/>
        <w:spacing w:before="0" w:beforeAutospacing="0" w:after="0" w:afterAutospacing="0" w:line="360" w:lineRule="auto"/>
        <w:ind w:firstLine="420" w:firstLineChars="200"/>
        <w:rPr>
          <w:color w:val="auto"/>
          <w:sz w:val="21"/>
          <w:szCs w:val="21"/>
          <w:highlight w:val="none"/>
          <w:lang w:val="zh-CN"/>
        </w:rPr>
      </w:pPr>
      <w:r>
        <w:rPr>
          <w:rFonts w:hint="eastAsia"/>
          <w:color w:val="auto"/>
          <w:sz w:val="21"/>
          <w:szCs w:val="21"/>
          <w:highlight w:val="none"/>
        </w:rPr>
        <w:t>36.3</w:t>
      </w:r>
      <w:r>
        <w:rPr>
          <w:rFonts w:hint="eastAsia"/>
          <w:color w:val="auto"/>
          <w:sz w:val="21"/>
          <w:szCs w:val="21"/>
          <w:highlight w:val="none"/>
          <w:lang w:val="zh-CN"/>
        </w:rPr>
        <w:t>有下列情形之一的，属于恶意串通，对供应商依照政府采购法第七十七条第一款的规定追究法律责任：</w:t>
      </w:r>
    </w:p>
    <w:p w14:paraId="463CC170">
      <w:pPr>
        <w:pStyle w:val="22"/>
        <w:adjustRightInd w:val="0"/>
        <w:snapToGrid w:val="0"/>
        <w:spacing w:before="0" w:beforeAutospacing="0" w:after="0" w:afterAutospacing="0" w:line="360" w:lineRule="auto"/>
        <w:ind w:firstLine="420" w:firstLineChars="200"/>
        <w:rPr>
          <w:color w:val="auto"/>
          <w:sz w:val="21"/>
          <w:szCs w:val="21"/>
          <w:highlight w:val="none"/>
          <w:lang w:val="zh-CN"/>
        </w:rPr>
      </w:pPr>
      <w:r>
        <w:rPr>
          <w:rFonts w:hint="eastAsia"/>
          <w:color w:val="auto"/>
          <w:sz w:val="21"/>
          <w:szCs w:val="21"/>
          <w:highlight w:val="none"/>
          <w:lang w:val="zh-CN"/>
        </w:rPr>
        <w:t>（一）供应商直接或者间接从采购人或者采购代理机构处获得其他供应商的相关情况并修改其投标文件或者响应文件；</w:t>
      </w:r>
    </w:p>
    <w:p w14:paraId="371B048F">
      <w:pPr>
        <w:pStyle w:val="22"/>
        <w:adjustRightInd w:val="0"/>
        <w:snapToGrid w:val="0"/>
        <w:spacing w:before="0" w:beforeAutospacing="0" w:after="0" w:afterAutospacing="0" w:line="360" w:lineRule="auto"/>
        <w:ind w:firstLine="420" w:firstLineChars="200"/>
        <w:rPr>
          <w:color w:val="auto"/>
          <w:sz w:val="21"/>
          <w:szCs w:val="21"/>
          <w:highlight w:val="none"/>
          <w:lang w:val="zh-CN"/>
        </w:rPr>
      </w:pPr>
      <w:r>
        <w:rPr>
          <w:rFonts w:hint="eastAsia"/>
          <w:color w:val="auto"/>
          <w:sz w:val="21"/>
          <w:szCs w:val="21"/>
          <w:highlight w:val="none"/>
          <w:lang w:val="zh-CN"/>
        </w:rPr>
        <w:t>（二）供应商按照采购人或者采购代理机构的授意撤换、修改投标文件或者响应文件；</w:t>
      </w:r>
    </w:p>
    <w:p w14:paraId="04F6A267">
      <w:pPr>
        <w:pStyle w:val="22"/>
        <w:adjustRightInd w:val="0"/>
        <w:snapToGrid w:val="0"/>
        <w:spacing w:before="0" w:beforeAutospacing="0" w:after="0" w:afterAutospacing="0" w:line="360" w:lineRule="auto"/>
        <w:ind w:firstLine="420" w:firstLineChars="200"/>
        <w:rPr>
          <w:color w:val="auto"/>
          <w:sz w:val="21"/>
          <w:szCs w:val="21"/>
          <w:highlight w:val="none"/>
          <w:lang w:val="zh-CN"/>
        </w:rPr>
      </w:pPr>
      <w:r>
        <w:rPr>
          <w:rFonts w:hint="eastAsia"/>
          <w:color w:val="auto"/>
          <w:sz w:val="21"/>
          <w:szCs w:val="21"/>
          <w:highlight w:val="none"/>
          <w:lang w:val="zh-CN"/>
        </w:rPr>
        <w:t>（三）供应商之间协商报价、技术方案等投标文件或者响应文件的实质性内容；</w:t>
      </w:r>
    </w:p>
    <w:p w14:paraId="257CF765">
      <w:pPr>
        <w:pStyle w:val="22"/>
        <w:adjustRightInd w:val="0"/>
        <w:snapToGrid w:val="0"/>
        <w:spacing w:before="0" w:beforeAutospacing="0" w:after="0" w:afterAutospacing="0" w:line="360" w:lineRule="auto"/>
        <w:ind w:firstLine="420" w:firstLineChars="200"/>
        <w:rPr>
          <w:color w:val="auto"/>
          <w:sz w:val="21"/>
          <w:szCs w:val="21"/>
          <w:highlight w:val="none"/>
          <w:lang w:val="zh-CN"/>
        </w:rPr>
      </w:pPr>
      <w:r>
        <w:rPr>
          <w:rFonts w:hint="eastAsia"/>
          <w:color w:val="auto"/>
          <w:sz w:val="21"/>
          <w:szCs w:val="21"/>
          <w:highlight w:val="none"/>
          <w:lang w:val="zh-CN"/>
        </w:rPr>
        <w:t>（四）属于同一集团、协会、商会等组织成员的供应商按照该组织要求协同参加政府采购活动；</w:t>
      </w:r>
    </w:p>
    <w:p w14:paraId="596896DE">
      <w:pPr>
        <w:pStyle w:val="22"/>
        <w:adjustRightInd w:val="0"/>
        <w:snapToGrid w:val="0"/>
        <w:spacing w:before="0" w:beforeAutospacing="0" w:after="0" w:afterAutospacing="0" w:line="360" w:lineRule="auto"/>
        <w:ind w:firstLine="420" w:firstLineChars="200"/>
        <w:rPr>
          <w:color w:val="auto"/>
          <w:sz w:val="21"/>
          <w:szCs w:val="21"/>
          <w:highlight w:val="none"/>
          <w:lang w:val="zh-CN"/>
        </w:rPr>
      </w:pPr>
      <w:r>
        <w:rPr>
          <w:rFonts w:hint="eastAsia"/>
          <w:color w:val="auto"/>
          <w:sz w:val="21"/>
          <w:szCs w:val="21"/>
          <w:highlight w:val="none"/>
          <w:lang w:val="zh-CN"/>
        </w:rPr>
        <w:t>（五）供应商之间事先约定由某一特定供应商中标、成交；</w:t>
      </w:r>
    </w:p>
    <w:p w14:paraId="1CF58465">
      <w:pPr>
        <w:pStyle w:val="22"/>
        <w:adjustRightInd w:val="0"/>
        <w:snapToGrid w:val="0"/>
        <w:spacing w:before="0" w:beforeAutospacing="0" w:after="0" w:afterAutospacing="0" w:line="360" w:lineRule="auto"/>
        <w:ind w:firstLine="420" w:firstLineChars="200"/>
        <w:rPr>
          <w:color w:val="auto"/>
          <w:sz w:val="21"/>
          <w:szCs w:val="21"/>
          <w:highlight w:val="none"/>
          <w:lang w:val="zh-CN"/>
        </w:rPr>
      </w:pPr>
      <w:r>
        <w:rPr>
          <w:rFonts w:hint="eastAsia"/>
          <w:color w:val="auto"/>
          <w:sz w:val="21"/>
          <w:szCs w:val="21"/>
          <w:highlight w:val="none"/>
          <w:lang w:val="zh-CN"/>
        </w:rPr>
        <w:t>（六）供应商之间商定部分供应商放弃参加政府采购活动或者放弃中标、成交；</w:t>
      </w:r>
    </w:p>
    <w:p w14:paraId="29EC4E24">
      <w:pPr>
        <w:pStyle w:val="22"/>
        <w:adjustRightInd w:val="0"/>
        <w:snapToGrid w:val="0"/>
        <w:spacing w:before="0" w:beforeAutospacing="0" w:after="0" w:afterAutospacing="0" w:line="360" w:lineRule="auto"/>
        <w:ind w:firstLine="420" w:firstLineChars="200"/>
        <w:rPr>
          <w:color w:val="auto"/>
          <w:sz w:val="21"/>
          <w:szCs w:val="21"/>
          <w:highlight w:val="none"/>
          <w:lang w:val="zh-CN"/>
        </w:rPr>
      </w:pPr>
      <w:r>
        <w:rPr>
          <w:rFonts w:hint="eastAsia"/>
          <w:color w:val="auto"/>
          <w:sz w:val="21"/>
          <w:szCs w:val="21"/>
          <w:highlight w:val="none"/>
          <w:lang w:val="zh-CN"/>
        </w:rPr>
        <w:t>（七）供应商与采购人或者采购代理机构之间、供应商相互之间，为谋求特定供应商中标、成交或者排斥其他供应商的其他串通行为。</w:t>
      </w:r>
    </w:p>
    <w:p w14:paraId="1B09C218">
      <w:pPr>
        <w:pStyle w:val="7"/>
        <w:bidi w:val="0"/>
        <w:rPr>
          <w:rFonts w:hint="eastAsia"/>
          <w:color w:val="auto"/>
          <w:highlight w:val="none"/>
        </w:rPr>
      </w:pPr>
      <w:bookmarkStart w:id="105" w:name="_Toc53489359"/>
      <w:bookmarkStart w:id="106" w:name="_Toc972"/>
      <w:bookmarkStart w:id="107" w:name="_Toc1526"/>
      <w:bookmarkStart w:id="108" w:name="_Toc28457"/>
      <w:bookmarkStart w:id="109" w:name="_Toc1796"/>
      <w:bookmarkStart w:id="110" w:name="_Toc24964"/>
      <w:bookmarkStart w:id="111" w:name="_Toc25155"/>
      <w:bookmarkStart w:id="112" w:name="_Toc1111"/>
      <w:bookmarkStart w:id="113" w:name="_Toc27432"/>
      <w:bookmarkStart w:id="114" w:name="_Toc10088"/>
      <w:bookmarkStart w:id="115" w:name="_Toc16825"/>
      <w:r>
        <w:rPr>
          <w:rFonts w:hint="eastAsia"/>
          <w:color w:val="auto"/>
          <w:highlight w:val="none"/>
        </w:rPr>
        <w:t>六、成交结果信息公布与授予合同</w:t>
      </w:r>
      <w:bookmarkEnd w:id="105"/>
      <w:bookmarkEnd w:id="106"/>
      <w:bookmarkEnd w:id="107"/>
      <w:bookmarkEnd w:id="108"/>
      <w:bookmarkEnd w:id="109"/>
      <w:bookmarkEnd w:id="110"/>
      <w:bookmarkEnd w:id="111"/>
      <w:bookmarkEnd w:id="112"/>
      <w:bookmarkEnd w:id="113"/>
      <w:bookmarkEnd w:id="114"/>
      <w:bookmarkEnd w:id="115"/>
    </w:p>
    <w:p w14:paraId="2B2C393D">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37.成交信息的公布</w:t>
      </w:r>
    </w:p>
    <w:p w14:paraId="18B237D1">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37.1成交供应商确定后2个工作日内，成交结果信息将在</w:t>
      </w:r>
      <w:r>
        <w:rPr>
          <w:rFonts w:hint="eastAsia" w:ascii="宋体" w:hAnsi="宋体" w:cs="宋体"/>
          <w:b/>
          <w:color w:val="auto"/>
          <w:szCs w:val="21"/>
          <w:highlight w:val="none"/>
        </w:rPr>
        <w:t>磋商须知前附表</w:t>
      </w:r>
      <w:r>
        <w:rPr>
          <w:rFonts w:hint="eastAsia" w:ascii="宋体" w:hAnsi="宋体" w:cs="宋体"/>
          <w:color w:val="auto"/>
          <w:szCs w:val="21"/>
          <w:highlight w:val="none"/>
        </w:rPr>
        <w:t>指定的媒体上公布。</w:t>
      </w:r>
    </w:p>
    <w:p w14:paraId="2DC892E8">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38.询问及质疑</w:t>
      </w:r>
    </w:p>
    <w:p w14:paraId="631575A7">
      <w:pPr>
        <w:adjustRightInd w:val="0"/>
        <w:snapToGrid w:val="0"/>
        <w:spacing w:line="360" w:lineRule="auto"/>
        <w:ind w:firstLine="420" w:firstLineChars="200"/>
        <w:jc w:val="left"/>
        <w:rPr>
          <w:rFonts w:ascii="宋体" w:hAnsi="宋体" w:cs="宋体"/>
          <w:color w:val="auto"/>
          <w:highlight w:val="none"/>
        </w:rPr>
      </w:pPr>
      <w:r>
        <w:rPr>
          <w:rFonts w:hint="eastAsia" w:ascii="宋体" w:hAnsi="宋体" w:cs="宋体"/>
          <w:color w:val="auto"/>
          <w:szCs w:val="21"/>
          <w:highlight w:val="none"/>
        </w:rPr>
        <w:t>38.1供应商对政府采购活动事项有疑问的，可以向采购人或采购代理机构提出询问。</w:t>
      </w:r>
    </w:p>
    <w:p w14:paraId="7EF0294C">
      <w:pPr>
        <w:adjustRightInd w:val="0"/>
        <w:snapToGrid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38.2供应商若认为磋商文件、采购过程和成交结果使自己的权益受到损害，可以按法律、行政法规及湖南省财政厅规范性文件规定向采购人或采购代理机构提出质疑。</w:t>
      </w:r>
    </w:p>
    <w:p w14:paraId="5A005C4D">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39.成交通知</w:t>
      </w:r>
    </w:p>
    <w:p w14:paraId="73A9C276">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39.1成交供应商确定后，采购人或采购代理机构将以书面形式向成交供应商发出成交通知书。成交通知书对采购人和成交供应商具有同等法律效力。</w:t>
      </w:r>
    </w:p>
    <w:p w14:paraId="071B34A7">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39.2 成交通知书是合同文件的组成部分。</w:t>
      </w:r>
    </w:p>
    <w:p w14:paraId="1CF1D239">
      <w:pPr>
        <w:tabs>
          <w:tab w:val="left" w:pos="7560"/>
          <w:tab w:val="left" w:pos="7740"/>
          <w:tab w:val="left" w:pos="7920"/>
        </w:tabs>
        <w:autoSpaceDN w:val="0"/>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rPr>
        <w:t xml:space="preserve">39.3 </w:t>
      </w:r>
      <w:r>
        <w:rPr>
          <w:rFonts w:hint="eastAsia" w:ascii="宋体" w:hAnsi="宋体" w:cs="宋体"/>
          <w:color w:val="auto"/>
          <w:szCs w:val="21"/>
          <w:highlight w:val="none"/>
        </w:rPr>
        <w:t>成交供应商在收到采购代理机构的成交通知书后10日内，应按照</w:t>
      </w:r>
      <w:r>
        <w:rPr>
          <w:rFonts w:hint="eastAsia" w:ascii="宋体" w:hAnsi="宋体" w:cs="宋体"/>
          <w:b/>
          <w:color w:val="auto"/>
          <w:szCs w:val="21"/>
          <w:highlight w:val="none"/>
        </w:rPr>
        <w:t>磋商须知前附表</w:t>
      </w:r>
      <w:r>
        <w:rPr>
          <w:rFonts w:hint="eastAsia" w:ascii="宋体" w:hAnsi="宋体" w:cs="宋体"/>
          <w:color w:val="auto"/>
          <w:szCs w:val="21"/>
          <w:highlight w:val="none"/>
        </w:rPr>
        <w:t>的规定，向采购人提交履约担保。联合体成交的，履约担保由联合体各方或联合体中牵头人的名义提交。</w:t>
      </w:r>
    </w:p>
    <w:p w14:paraId="0B42CF00">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39.4 成交供应商</w:t>
      </w:r>
      <w:r>
        <w:rPr>
          <w:rFonts w:hint="eastAsia" w:ascii="宋体" w:hAnsi="宋体" w:cs="宋体"/>
          <w:color w:val="auto"/>
          <w:spacing w:val="4"/>
          <w:szCs w:val="21"/>
          <w:highlight w:val="none"/>
        </w:rPr>
        <w:t>没有按照本章第39.3</w:t>
      </w:r>
      <w:r>
        <w:rPr>
          <w:rFonts w:hint="eastAsia" w:ascii="宋体" w:hAnsi="宋体" w:cs="宋体"/>
          <w:color w:val="auto"/>
          <w:kern w:val="0"/>
          <w:szCs w:val="21"/>
          <w:highlight w:val="none"/>
          <w:lang w:val="zh-CN"/>
        </w:rPr>
        <w:t>款</w:t>
      </w:r>
      <w:r>
        <w:rPr>
          <w:rFonts w:hint="eastAsia" w:ascii="宋体" w:hAnsi="宋体" w:cs="宋体"/>
          <w:color w:val="auto"/>
          <w:spacing w:val="4"/>
          <w:szCs w:val="21"/>
          <w:highlight w:val="none"/>
        </w:rPr>
        <w:t>规定</w:t>
      </w:r>
      <w:r>
        <w:rPr>
          <w:rFonts w:hint="eastAsia" w:ascii="宋体" w:hAnsi="宋体" w:cs="宋体"/>
          <w:color w:val="auto"/>
          <w:szCs w:val="21"/>
          <w:highlight w:val="none"/>
        </w:rPr>
        <w:t>提交履约担保的</w:t>
      </w:r>
      <w:r>
        <w:rPr>
          <w:rFonts w:hint="eastAsia" w:ascii="宋体" w:hAnsi="宋体" w:cs="宋体"/>
          <w:color w:val="auto"/>
          <w:spacing w:val="4"/>
          <w:szCs w:val="21"/>
          <w:highlight w:val="none"/>
        </w:rPr>
        <w:t>，视为放弃</w:t>
      </w:r>
      <w:r>
        <w:rPr>
          <w:rFonts w:hint="eastAsia" w:ascii="宋体" w:hAnsi="宋体" w:cs="宋体"/>
          <w:color w:val="auto"/>
          <w:szCs w:val="21"/>
          <w:highlight w:val="none"/>
        </w:rPr>
        <w:t>成交资格</w:t>
      </w:r>
      <w:r>
        <w:rPr>
          <w:rFonts w:hint="eastAsia" w:ascii="宋体" w:hAnsi="宋体" w:cs="宋体"/>
          <w:color w:val="auto"/>
          <w:spacing w:val="4"/>
          <w:szCs w:val="21"/>
          <w:highlight w:val="none"/>
        </w:rPr>
        <w:t>，</w:t>
      </w:r>
      <w:r>
        <w:rPr>
          <w:rFonts w:hint="eastAsia" w:ascii="宋体" w:hAnsi="宋体" w:cs="宋体"/>
          <w:color w:val="auto"/>
          <w:spacing w:val="2"/>
          <w:szCs w:val="21"/>
          <w:highlight w:val="none"/>
        </w:rPr>
        <w:t>其保证金不予退还。</w:t>
      </w:r>
    </w:p>
    <w:p w14:paraId="0D3A1873">
      <w:pPr>
        <w:adjustRightInd w:val="0"/>
        <w:snapToGrid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40.签订合同</w:t>
      </w:r>
    </w:p>
    <w:p w14:paraId="762851F1">
      <w:pPr>
        <w:adjustRightInd w:val="0"/>
        <w:snapToGrid w:val="0"/>
        <w:spacing w:line="360" w:lineRule="auto"/>
        <w:ind w:left="420" w:leftChars="200" w:firstLine="0" w:firstLineChars="0"/>
        <w:rPr>
          <w:rFonts w:ascii="宋体" w:hAnsi="宋体" w:cs="宋体"/>
          <w:color w:val="auto"/>
          <w:szCs w:val="21"/>
          <w:highlight w:val="none"/>
        </w:rPr>
      </w:pPr>
      <w:r>
        <w:rPr>
          <w:rFonts w:hint="eastAsia" w:ascii="宋体" w:hAnsi="宋体" w:cs="宋体"/>
          <w:color w:val="auto"/>
          <w:szCs w:val="21"/>
          <w:highlight w:val="none"/>
        </w:rPr>
        <w:t>40.1</w:t>
      </w:r>
      <w:r>
        <w:rPr>
          <w:rFonts w:hint="eastAsia" w:ascii="宋体" w:hAnsi="宋体" w:cs="宋体"/>
          <w:b/>
          <w:bCs/>
          <w:color w:val="auto"/>
          <w:szCs w:val="21"/>
          <w:highlight w:val="none"/>
        </w:rPr>
        <w:t>成交供应商应当在成交通知书发出之日起</w:t>
      </w:r>
      <w:r>
        <w:rPr>
          <w:rFonts w:hint="eastAsia" w:ascii="宋体" w:hAnsi="宋体" w:cs="宋体"/>
          <w:b/>
          <w:bCs/>
          <w:color w:val="auto"/>
          <w:szCs w:val="21"/>
          <w:highlight w:val="none"/>
          <w:lang w:val="en-US" w:eastAsia="zh-CN"/>
        </w:rPr>
        <w:t>30</w:t>
      </w:r>
      <w:r>
        <w:rPr>
          <w:rFonts w:hint="eastAsia" w:ascii="宋体" w:hAnsi="宋体" w:cs="宋体"/>
          <w:b/>
          <w:bCs/>
          <w:color w:val="auto"/>
          <w:szCs w:val="21"/>
          <w:highlight w:val="none"/>
        </w:rPr>
        <w:t>日内与采购人签订政府采购合同。</w:t>
      </w:r>
      <w:r>
        <w:rPr>
          <w:rFonts w:hint="eastAsia" w:ascii="宋体" w:hAnsi="宋体" w:cs="宋体"/>
          <w:color w:val="auto"/>
          <w:szCs w:val="21"/>
          <w:highlight w:val="none"/>
        </w:rPr>
        <w:t>40.2磋商文件、成交供应商的响应文件等均为签订政府采购合同的依据。</w:t>
      </w:r>
    </w:p>
    <w:p w14:paraId="4C7BD67A">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40.3 成交供应商应当按照合同约定履行义务。成交供应商不得向他人转让成交项目，也不得将成交项目分包后分别向他人转让。</w:t>
      </w:r>
    </w:p>
    <w:p w14:paraId="4454E5A9">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40.4 成交供应商有下列情形之一的，责令限期改正，情节严重的，列入不良行为记录名单，在1至3年内禁止参加政府采购活动，并予以通报：</w:t>
      </w:r>
    </w:p>
    <w:p w14:paraId="1AD1636B">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（一）成交后无正当理由不与采购人签订合同的；</w:t>
      </w:r>
    </w:p>
    <w:p w14:paraId="4D34AB17">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（二）未按照采购文件确定的事项签订</w:t>
      </w:r>
      <w:r>
        <w:rPr>
          <w:rFonts w:hint="eastAsia" w:ascii="宋体" w:hAnsi="宋体" w:cs="宋体"/>
          <w:color w:val="auto"/>
          <w:szCs w:val="21"/>
          <w:highlight w:val="none"/>
          <w:lang w:val="en-US" w:eastAsia="zh-CN"/>
        </w:rPr>
        <w:t>政府采购合同</w:t>
      </w:r>
      <w:r>
        <w:rPr>
          <w:rFonts w:hint="eastAsia" w:ascii="宋体" w:hAnsi="宋体" w:cs="宋体"/>
          <w:color w:val="auto"/>
          <w:szCs w:val="21"/>
          <w:highlight w:val="none"/>
        </w:rPr>
        <w:t>，或者与采购人另行订立背离合同实质性内容的协议的；</w:t>
      </w:r>
    </w:p>
    <w:p w14:paraId="53E70E2F">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（三）拒绝履行合同义务的；</w:t>
      </w:r>
    </w:p>
    <w:p w14:paraId="18CADE49">
      <w:pPr>
        <w:adjustRightInd w:val="0"/>
        <w:snapToGri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szCs w:val="21"/>
          <w:highlight w:val="none"/>
        </w:rPr>
        <w:t>（四）</w:t>
      </w:r>
      <w:r>
        <w:rPr>
          <w:rFonts w:hint="eastAsia" w:ascii="宋体" w:hAnsi="宋体" w:cs="宋体"/>
          <w:color w:val="auto"/>
          <w:kern w:val="0"/>
          <w:szCs w:val="21"/>
          <w:highlight w:val="none"/>
        </w:rPr>
        <w:t>违反法律、规章、规范性文件规定的。</w:t>
      </w:r>
    </w:p>
    <w:p w14:paraId="1A0D8D40">
      <w:pPr>
        <w:pStyle w:val="7"/>
        <w:bidi w:val="0"/>
        <w:rPr>
          <w:rFonts w:hint="eastAsia"/>
          <w:color w:val="auto"/>
          <w:highlight w:val="none"/>
        </w:rPr>
      </w:pPr>
      <w:bookmarkStart w:id="116" w:name="_Toc16045"/>
      <w:bookmarkStart w:id="117" w:name="_Toc25618"/>
      <w:bookmarkStart w:id="118" w:name="_Toc27882"/>
      <w:bookmarkStart w:id="119" w:name="_Toc18664"/>
      <w:bookmarkStart w:id="120" w:name="_Toc10778"/>
      <w:bookmarkStart w:id="121" w:name="_Toc5329"/>
      <w:bookmarkStart w:id="122" w:name="_Toc53489360"/>
      <w:bookmarkStart w:id="123" w:name="_Toc22705"/>
      <w:bookmarkStart w:id="124" w:name="_Toc2889"/>
      <w:bookmarkStart w:id="125" w:name="_Toc761"/>
      <w:bookmarkStart w:id="126" w:name="_Toc9411"/>
      <w:r>
        <w:rPr>
          <w:rFonts w:hint="eastAsia"/>
          <w:color w:val="auto"/>
          <w:highlight w:val="none"/>
        </w:rPr>
        <w:t>七、其他规定</w:t>
      </w:r>
      <w:bookmarkEnd w:id="116"/>
      <w:bookmarkEnd w:id="117"/>
      <w:bookmarkEnd w:id="118"/>
      <w:bookmarkEnd w:id="119"/>
      <w:bookmarkEnd w:id="120"/>
      <w:bookmarkEnd w:id="121"/>
      <w:bookmarkEnd w:id="122"/>
      <w:bookmarkEnd w:id="123"/>
      <w:bookmarkEnd w:id="124"/>
      <w:bookmarkEnd w:id="125"/>
      <w:bookmarkEnd w:id="126"/>
    </w:p>
    <w:p w14:paraId="37290D51">
      <w:pPr>
        <w:adjustRightInd w:val="0"/>
        <w:snapToGrid w:val="0"/>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41.1采购代理服务费</w:t>
      </w:r>
    </w:p>
    <w:p w14:paraId="4439814A">
      <w:pPr>
        <w:tabs>
          <w:tab w:val="left" w:pos="420"/>
          <w:tab w:val="left" w:pos="7560"/>
          <w:tab w:val="left" w:pos="7740"/>
          <w:tab w:val="left" w:pos="792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41.1采购代理机构应按</w:t>
      </w:r>
      <w:r>
        <w:rPr>
          <w:rFonts w:hint="eastAsia" w:ascii="宋体" w:hAnsi="宋体" w:cs="宋体"/>
          <w:b/>
          <w:color w:val="auto"/>
          <w:szCs w:val="21"/>
          <w:highlight w:val="none"/>
        </w:rPr>
        <w:t>磋商须知前附表</w:t>
      </w:r>
      <w:r>
        <w:rPr>
          <w:rFonts w:hint="eastAsia" w:ascii="宋体" w:hAnsi="宋体" w:cs="宋体"/>
          <w:color w:val="auto"/>
          <w:szCs w:val="21"/>
          <w:highlight w:val="none"/>
        </w:rPr>
        <w:t>规定收取采购代理服务费。</w:t>
      </w:r>
    </w:p>
    <w:p w14:paraId="4D8BC570">
      <w:pPr>
        <w:tabs>
          <w:tab w:val="left" w:pos="420"/>
          <w:tab w:val="left" w:pos="7560"/>
          <w:tab w:val="left" w:pos="7740"/>
          <w:tab w:val="left" w:pos="7920"/>
        </w:tabs>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41.2集中采购机构不得收取采购代理服务费。</w:t>
      </w:r>
    </w:p>
    <w:p w14:paraId="26400B9F">
      <w:pPr>
        <w:tabs>
          <w:tab w:val="left" w:pos="420"/>
          <w:tab w:val="left" w:pos="7560"/>
          <w:tab w:val="left" w:pos="7740"/>
          <w:tab w:val="left" w:pos="7920"/>
        </w:tabs>
        <w:adjustRightInd w:val="0"/>
        <w:snapToGrid w:val="0"/>
        <w:spacing w:line="360" w:lineRule="auto"/>
        <w:rPr>
          <w:rFonts w:ascii="宋体" w:hAnsi="宋体" w:cs="宋体"/>
          <w:b/>
          <w:color w:val="auto"/>
          <w:highlight w:val="none"/>
        </w:rPr>
      </w:pPr>
      <w:r>
        <w:rPr>
          <w:rFonts w:hint="eastAsia" w:ascii="宋体" w:hAnsi="宋体" w:cs="宋体"/>
          <w:b/>
          <w:color w:val="auto"/>
          <w:szCs w:val="21"/>
          <w:highlight w:val="none"/>
        </w:rPr>
        <w:t>42.</w:t>
      </w:r>
      <w:r>
        <w:rPr>
          <w:rFonts w:hint="eastAsia" w:ascii="宋体" w:hAnsi="宋体" w:cs="宋体"/>
          <w:b/>
          <w:color w:val="auto"/>
          <w:highlight w:val="none"/>
        </w:rPr>
        <w:t xml:space="preserve"> 其他规定</w:t>
      </w:r>
    </w:p>
    <w:p w14:paraId="7F7955BA">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highlight w:val="none"/>
        </w:rPr>
        <w:t>42.1</w:t>
      </w:r>
      <w:r>
        <w:rPr>
          <w:rFonts w:hint="eastAsia" w:ascii="宋体" w:hAnsi="宋体" w:cs="宋体"/>
          <w:color w:val="auto"/>
          <w:szCs w:val="21"/>
          <w:highlight w:val="none"/>
        </w:rPr>
        <w:t>磋商文件</w:t>
      </w:r>
      <w:r>
        <w:rPr>
          <w:rFonts w:hint="eastAsia" w:ascii="宋体" w:hAnsi="宋体" w:cs="宋体"/>
          <w:color w:val="auto"/>
          <w:highlight w:val="none"/>
        </w:rPr>
        <w:t>的其他规定</w:t>
      </w:r>
      <w:r>
        <w:rPr>
          <w:rFonts w:hint="eastAsia" w:ascii="宋体" w:hAnsi="宋体" w:cs="宋体"/>
          <w:color w:val="auto"/>
          <w:szCs w:val="21"/>
          <w:highlight w:val="none"/>
        </w:rPr>
        <w:t>见</w:t>
      </w:r>
      <w:r>
        <w:rPr>
          <w:rFonts w:hint="eastAsia" w:ascii="宋体" w:hAnsi="宋体" w:cs="宋体"/>
          <w:b/>
          <w:color w:val="auto"/>
          <w:szCs w:val="21"/>
          <w:highlight w:val="none"/>
        </w:rPr>
        <w:t>磋商须知前附表</w:t>
      </w:r>
      <w:r>
        <w:rPr>
          <w:rFonts w:hint="eastAsia" w:ascii="宋体" w:hAnsi="宋体" w:cs="宋体"/>
          <w:color w:val="auto"/>
          <w:szCs w:val="21"/>
          <w:highlight w:val="none"/>
        </w:rPr>
        <w:t>。</w:t>
      </w:r>
    </w:p>
    <w:p w14:paraId="5B328E10">
      <w:pPr>
        <w:tabs>
          <w:tab w:val="left" w:pos="420"/>
          <w:tab w:val="left" w:pos="7560"/>
          <w:tab w:val="left" w:pos="7740"/>
          <w:tab w:val="left" w:pos="7920"/>
        </w:tabs>
        <w:adjustRightInd w:val="0"/>
        <w:snapToGrid w:val="0"/>
        <w:spacing w:line="360" w:lineRule="auto"/>
        <w:ind w:firstLine="420" w:firstLineChars="200"/>
        <w:rPr>
          <w:rFonts w:ascii="宋体"/>
          <w:color w:val="auto"/>
          <w:szCs w:val="21"/>
          <w:highlight w:val="none"/>
        </w:rPr>
      </w:pPr>
      <w:r>
        <w:rPr>
          <w:rFonts w:hint="eastAsia" w:ascii="宋体"/>
          <w:color w:val="auto"/>
          <w:szCs w:val="21"/>
          <w:highlight w:val="none"/>
        </w:rPr>
        <w:t>1、对列入失信被执行人、重大税收违法案件当事人名单、政府采购严重违法失信行为记录名单及其他不符合《中华人民共和国政府采购法》第二十二条规定条件的供应商，将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4CED64E6">
      <w:pPr>
        <w:tabs>
          <w:tab w:val="left" w:pos="420"/>
          <w:tab w:val="left" w:pos="7560"/>
          <w:tab w:val="left" w:pos="7740"/>
          <w:tab w:val="left" w:pos="7920"/>
        </w:tabs>
        <w:wordWrap w:val="0"/>
        <w:adjustRightInd w:val="0"/>
        <w:snapToGrid w:val="0"/>
        <w:spacing w:line="360" w:lineRule="auto"/>
        <w:ind w:firstLine="420" w:firstLineChars="200"/>
        <w:rPr>
          <w:rFonts w:ascii="宋体"/>
          <w:color w:val="auto"/>
          <w:szCs w:val="21"/>
          <w:highlight w:val="none"/>
        </w:rPr>
      </w:pPr>
      <w:r>
        <w:rPr>
          <w:rFonts w:hint="eastAsia" w:ascii="宋体"/>
          <w:color w:val="auto"/>
          <w:szCs w:val="21"/>
          <w:highlight w:val="none"/>
        </w:rPr>
        <w:t>2、信用信息查询的查询渠道：“信用中国”网站（www.creditchina.gov.cn）、中国政府采购网（www.ccgp.gov.cn）、信用湖南网（www.hncredit.gov.cn）和湖南省政府采购网（www.ccgp-hunan.gov.cn）。</w:t>
      </w:r>
    </w:p>
    <w:p w14:paraId="337C3269">
      <w:pPr>
        <w:tabs>
          <w:tab w:val="left" w:pos="420"/>
          <w:tab w:val="left" w:pos="7560"/>
          <w:tab w:val="left" w:pos="7740"/>
          <w:tab w:val="left" w:pos="7920"/>
        </w:tabs>
        <w:adjustRightInd w:val="0"/>
        <w:snapToGrid w:val="0"/>
        <w:spacing w:line="360" w:lineRule="auto"/>
        <w:ind w:firstLine="420" w:firstLineChars="200"/>
        <w:rPr>
          <w:rFonts w:ascii="宋体"/>
          <w:color w:val="auto"/>
          <w:szCs w:val="21"/>
          <w:highlight w:val="none"/>
        </w:rPr>
      </w:pPr>
      <w:r>
        <w:rPr>
          <w:rFonts w:hint="eastAsia" w:ascii="宋体"/>
          <w:color w:val="auto"/>
          <w:szCs w:val="21"/>
          <w:highlight w:val="none"/>
        </w:rPr>
        <w:t>3、信用信息查询的截止时点：至本项目投标截止时间止（或至本项目响应文件提交截止时间止）。</w:t>
      </w:r>
    </w:p>
    <w:p w14:paraId="4BE8B5AB">
      <w:pPr>
        <w:tabs>
          <w:tab w:val="left" w:pos="420"/>
          <w:tab w:val="left" w:pos="7560"/>
          <w:tab w:val="left" w:pos="7740"/>
          <w:tab w:val="left" w:pos="7920"/>
        </w:tabs>
        <w:adjustRightInd w:val="0"/>
        <w:snapToGrid w:val="0"/>
        <w:spacing w:line="360" w:lineRule="auto"/>
        <w:ind w:firstLine="420" w:firstLineChars="200"/>
        <w:rPr>
          <w:rFonts w:ascii="宋体"/>
          <w:color w:val="auto"/>
          <w:szCs w:val="21"/>
          <w:highlight w:val="none"/>
        </w:rPr>
      </w:pPr>
      <w:r>
        <w:rPr>
          <w:rFonts w:hint="eastAsia" w:ascii="宋体"/>
          <w:color w:val="auto"/>
          <w:szCs w:val="21"/>
          <w:highlight w:val="none"/>
        </w:rPr>
        <w:t>4、信用信息查询记录证据留存的具体方式：查询记录的网页打印件。</w:t>
      </w:r>
    </w:p>
    <w:p w14:paraId="765846B3">
      <w:pPr>
        <w:tabs>
          <w:tab w:val="left" w:pos="420"/>
          <w:tab w:val="left" w:pos="7560"/>
          <w:tab w:val="left" w:pos="7740"/>
          <w:tab w:val="left" w:pos="7920"/>
        </w:tabs>
        <w:adjustRightInd w:val="0"/>
        <w:snapToGrid w:val="0"/>
        <w:spacing w:line="360" w:lineRule="auto"/>
        <w:ind w:firstLine="420" w:firstLineChars="200"/>
        <w:rPr>
          <w:rFonts w:ascii="宋体"/>
          <w:color w:val="auto"/>
          <w:szCs w:val="21"/>
          <w:highlight w:val="none"/>
        </w:rPr>
      </w:pPr>
      <w:r>
        <w:rPr>
          <w:rFonts w:hint="eastAsia" w:ascii="宋体"/>
          <w:color w:val="auto"/>
          <w:szCs w:val="21"/>
          <w:highlight w:val="none"/>
        </w:rPr>
        <w:t>5、信用信息的使用规则：对列入失信被执行人、重大税收违法案件当事人名单、政府采购严重违法失信行为记录名单及其他不符合《中华人民共和国政府采购法》第二十二条规定条件的供应商，将拒绝其参与政府采购活动。</w:t>
      </w:r>
    </w:p>
    <w:p w14:paraId="18155E08">
      <w:pPr>
        <w:tabs>
          <w:tab w:val="left" w:pos="420"/>
          <w:tab w:val="left" w:pos="7560"/>
          <w:tab w:val="left" w:pos="7740"/>
          <w:tab w:val="left" w:pos="7920"/>
        </w:tabs>
        <w:adjustRightInd w:val="0"/>
        <w:snapToGrid w:val="0"/>
        <w:spacing w:line="360" w:lineRule="auto"/>
        <w:ind w:firstLine="420" w:firstLineChars="200"/>
        <w:rPr>
          <w:rFonts w:hint="eastAsia" w:ascii="宋体"/>
          <w:color w:val="auto"/>
          <w:szCs w:val="21"/>
          <w:highlight w:val="none"/>
        </w:rPr>
      </w:pPr>
      <w:r>
        <w:rPr>
          <w:rFonts w:hint="eastAsia" w:ascii="宋体"/>
          <w:color w:val="auto"/>
          <w:szCs w:val="21"/>
          <w:highlight w:val="none"/>
        </w:rPr>
        <w:t>6、供应商应保持公开、公平的原则进行投标，如磋商小组认为供应商提交的报价有恶意中标的嫌疑，磋商小组有权让供应商提交成本价的组成，如在规定时间内供应商不能提交成本价的组成或提交的成本价明显低于市场平均值，磋商小组有权认为供应商属于恶性竞争，有权认定其为无效响应。</w:t>
      </w:r>
    </w:p>
    <w:p w14:paraId="7D04C91F">
      <w:pPr>
        <w:rPr>
          <w:rFonts w:hint="eastAsia" w:ascii="宋体"/>
          <w:color w:val="auto"/>
          <w:szCs w:val="21"/>
          <w:highlight w:val="none"/>
        </w:rPr>
      </w:pPr>
      <w:r>
        <w:rPr>
          <w:rFonts w:hint="eastAsia" w:ascii="宋体"/>
          <w:color w:val="auto"/>
          <w:szCs w:val="21"/>
          <w:highlight w:val="none"/>
        </w:rPr>
        <w:br w:type="page"/>
      </w:r>
    </w:p>
    <w:p w14:paraId="114BCB85">
      <w:pPr>
        <w:keepNext/>
        <w:widowControl w:val="0"/>
        <w:numPr>
          <w:ilvl w:val="0"/>
          <w:numId w:val="2"/>
        </w:numPr>
        <w:bidi w:val="0"/>
        <w:spacing w:before="240" w:after="60"/>
        <w:jc w:val="center"/>
        <w:outlineLvl w:val="0"/>
        <w:rPr>
          <w:rFonts w:ascii="宋体" w:hAnsi="宋体" w:eastAsia="宋体" w:cs="Times New Roman"/>
          <w:b/>
          <w:bCs/>
          <w:color w:val="auto"/>
          <w:kern w:val="32"/>
          <w:sz w:val="28"/>
          <w:szCs w:val="28"/>
          <w:highlight w:val="none"/>
          <w:lang w:val="en-US" w:eastAsia="zh-CN" w:bidi="ar-SA"/>
        </w:rPr>
      </w:pPr>
      <w:r>
        <w:rPr>
          <w:rFonts w:hint="eastAsia" w:ascii="Cambria" w:hAnsi="Cambria" w:eastAsia="宋体" w:cs="Times New Roman"/>
          <w:b/>
          <w:bCs/>
          <w:color w:val="auto"/>
          <w:kern w:val="32"/>
          <w:sz w:val="32"/>
          <w:szCs w:val="32"/>
          <w:highlight w:val="none"/>
          <w:lang w:val="en-US" w:eastAsia="zh-CN" w:bidi="ar-SA"/>
        </w:rPr>
        <w:t xml:space="preserve"> </w:t>
      </w:r>
      <w:bookmarkStart w:id="127" w:name="_Toc28418"/>
      <w:r>
        <w:rPr>
          <w:rFonts w:hint="eastAsia" w:ascii="Cambria" w:hAnsi="Cambria" w:eastAsia="宋体" w:cs="Times New Roman"/>
          <w:b/>
          <w:bCs/>
          <w:color w:val="auto"/>
          <w:kern w:val="32"/>
          <w:sz w:val="32"/>
          <w:szCs w:val="32"/>
          <w:highlight w:val="none"/>
          <w:lang w:val="en-US" w:eastAsia="zh-CN" w:bidi="ar-SA"/>
        </w:rPr>
        <w:t>合同格式条款</w:t>
      </w:r>
      <w:bookmarkEnd w:id="127"/>
    </w:p>
    <w:p w14:paraId="291FEF2B">
      <w:pPr>
        <w:widowControl/>
        <w:jc w:val="center"/>
        <w:rPr>
          <w:rFonts w:cs="Times New Roman" w:asciiTheme="majorEastAsia" w:hAnsiTheme="majorEastAsia" w:eastAsiaTheme="majorEastAsia"/>
          <w:b/>
          <w:bCs/>
          <w:color w:val="000000" w:themeColor="text1"/>
          <w:sz w:val="40"/>
          <w:szCs w:val="40"/>
          <w14:textFill>
            <w14:solidFill>
              <w14:schemeClr w14:val="tx1"/>
            </w14:solidFill>
          </w14:textFill>
        </w:rPr>
      </w:pPr>
      <w:r>
        <w:rPr>
          <w:rFonts w:hint="eastAsia" w:cs="Times New Roman" w:asciiTheme="majorEastAsia" w:hAnsiTheme="majorEastAsia" w:eastAsiaTheme="majorEastAsia"/>
          <w:b/>
          <w:bCs/>
          <w:color w:val="000000" w:themeColor="text1"/>
          <w:sz w:val="40"/>
          <w:szCs w:val="40"/>
          <w:lang w:val="en-US" w:eastAsia="zh-CN"/>
          <w14:textFill>
            <w14:solidFill>
              <w14:schemeClr w14:val="tx1"/>
            </w14:solidFill>
          </w14:textFill>
        </w:rPr>
        <w:t>南大门新征土地道路等建设</w:t>
      </w:r>
      <w:r>
        <w:rPr>
          <w:rFonts w:hint="eastAsia" w:cs="Times New Roman" w:asciiTheme="majorEastAsia" w:hAnsiTheme="majorEastAsia" w:eastAsiaTheme="majorEastAsia"/>
          <w:b/>
          <w:bCs/>
          <w:color w:val="000000" w:themeColor="text1"/>
          <w:sz w:val="40"/>
          <w:szCs w:val="40"/>
          <w14:textFill>
            <w14:solidFill>
              <w14:schemeClr w14:val="tx1"/>
            </w14:solidFill>
          </w14:textFill>
        </w:rPr>
        <w:t>工程</w:t>
      </w:r>
    </w:p>
    <w:p w14:paraId="347A3BFF">
      <w:pPr>
        <w:widowControl/>
        <w:jc w:val="center"/>
        <w:rPr>
          <w:rFonts w:cs="Times New Roman" w:asciiTheme="majorEastAsia" w:hAnsiTheme="majorEastAsia" w:eastAsiaTheme="majorEastAsia"/>
          <w:b/>
          <w:bCs/>
          <w:color w:val="000000" w:themeColor="text1"/>
          <w:sz w:val="40"/>
          <w:szCs w:val="40"/>
          <w14:textFill>
            <w14:solidFill>
              <w14:schemeClr w14:val="tx1"/>
            </w14:solidFill>
          </w14:textFill>
        </w:rPr>
      </w:pPr>
      <w:r>
        <w:rPr>
          <w:rFonts w:hint="eastAsia" w:cs="Times New Roman" w:asciiTheme="majorEastAsia" w:hAnsiTheme="majorEastAsia" w:eastAsiaTheme="majorEastAsia"/>
          <w:b/>
          <w:bCs/>
          <w:color w:val="000000" w:themeColor="text1"/>
          <w:sz w:val="40"/>
          <w:szCs w:val="40"/>
          <w14:textFill>
            <w14:solidFill>
              <w14:schemeClr w14:val="tx1"/>
            </w14:solidFill>
          </w14:textFill>
        </w:rPr>
        <w:t>施 工 合 同</w:t>
      </w:r>
    </w:p>
    <w:p w14:paraId="78324884">
      <w:pPr>
        <w:keepNext w:val="0"/>
        <w:keepLines w:val="0"/>
        <w:pageBreakBefore w:val="0"/>
        <w:widowControl w:val="0"/>
        <w:kinsoku/>
        <w:wordWrap/>
        <w:overflowPunct/>
        <w:topLinePunct w:val="0"/>
        <w:autoSpaceDE/>
        <w:autoSpaceDN/>
        <w:bidi w:val="0"/>
        <w:adjustRightInd/>
        <w:snapToGrid/>
        <w:spacing w:before="156" w:beforeLines="50" w:line="560" w:lineRule="exact"/>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sz w:val="20"/>
          <w:szCs w:val="22"/>
          <w14:textFill>
            <w14:solidFill>
              <w14:schemeClr w14:val="tx1"/>
            </w14:solidFill>
          </w14:textFill>
        </w:rPr>
        <w:fldChar w:fldCharType="begin"/>
      </w:r>
      <w:r>
        <w:rPr>
          <w:rFonts w:ascii="Times New Roman" w:hAnsi="Times New Roman" w:eastAsia="宋体" w:cs="Times New Roman"/>
          <w:color w:val="000000" w:themeColor="text1"/>
          <w:sz w:val="20"/>
          <w:szCs w:val="22"/>
          <w14:textFill>
            <w14:solidFill>
              <w14:schemeClr w14:val="tx1"/>
            </w14:solidFill>
          </w14:textFill>
        </w:rPr>
        <w:instrText xml:space="preserve"> HYPERLINK "http://www.baidu.com/s?wd=%E5%8F%91%E5%8C%85%E4%BA%BA&amp;hl_tag=textlink&amp;tn=SE_hldp01350_v6v6zkg6" \t "_blank" </w:instrText>
      </w:r>
      <w:r>
        <w:rPr>
          <w:rFonts w:ascii="Times New Roman" w:hAnsi="Times New Roman" w:eastAsia="宋体" w:cs="Times New Roman"/>
          <w:color w:val="000000" w:themeColor="text1"/>
          <w:sz w:val="20"/>
          <w:szCs w:val="22"/>
          <w14:textFill>
            <w14:solidFill>
              <w14:schemeClr w14:val="tx1"/>
            </w14:solidFill>
          </w14:textFill>
        </w:rPr>
        <w:fldChar w:fldCharType="separate"/>
      </w:r>
      <w:r>
        <w:rPr>
          <w:rFonts w:cs="宋体" w:asciiTheme="majorEastAsia" w:hAnsiTheme="majorEastAsia" w:eastAsiaTheme="majorEastAsia"/>
          <w:bCs/>
          <w:color w:val="000000" w:themeColor="text1"/>
          <w:kern w:val="0"/>
          <w:sz w:val="24"/>
          <w:szCs w:val="24"/>
          <w14:textFill>
            <w14:solidFill>
              <w14:schemeClr w14:val="tx1"/>
            </w14:solidFill>
          </w14:textFill>
        </w:rPr>
        <w:t>发包人</w:t>
      </w:r>
      <w:r>
        <w:rPr>
          <w:rFonts w:cs="宋体" w:asciiTheme="majorEastAsia" w:hAnsiTheme="majorEastAsia" w:eastAsiaTheme="majorEastAsia"/>
          <w:bCs/>
          <w:color w:val="000000" w:themeColor="text1"/>
          <w:kern w:val="0"/>
          <w:sz w:val="24"/>
          <w:szCs w:val="24"/>
          <w14:textFill>
            <w14:solidFill>
              <w14:schemeClr w14:val="tx1"/>
            </w14:solidFill>
          </w14:textFill>
        </w:rPr>
        <w:fldChar w:fldCharType="end"/>
      </w:r>
      <w:r>
        <w:rPr>
          <w:rFonts w:cs="宋体" w:asciiTheme="majorEastAsia" w:hAnsiTheme="majorEastAsia" w:eastAsiaTheme="majorEastAsia"/>
          <w:bCs/>
          <w:color w:val="000000" w:themeColor="text1"/>
          <w:kern w:val="0"/>
          <w:sz w:val="24"/>
          <w:szCs w:val="24"/>
          <w14:textFill>
            <w14:solidFill>
              <w14:schemeClr w14:val="tx1"/>
            </w14:solidFill>
          </w14:textFill>
        </w:rPr>
        <w:t>：</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湖南科技学院                               （以下简称甲方）</w:t>
      </w:r>
    </w:p>
    <w:p w14:paraId="1D26E210">
      <w:pPr>
        <w:keepNext w:val="0"/>
        <w:keepLines w:val="0"/>
        <w:pageBreakBefore w:val="0"/>
        <w:widowControl w:val="0"/>
        <w:kinsoku/>
        <w:wordWrap/>
        <w:overflowPunct/>
        <w:topLinePunct w:val="0"/>
        <w:autoSpaceDE/>
        <w:autoSpaceDN/>
        <w:bidi w:val="0"/>
        <w:adjustRightInd/>
        <w:snapToGrid/>
        <w:spacing w:line="560" w:lineRule="exact"/>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cs="宋体" w:asciiTheme="majorEastAsia" w:hAnsiTheme="majorEastAsia" w:eastAsiaTheme="majorEastAsia"/>
          <w:bCs/>
          <w:color w:val="000000" w:themeColor="text1"/>
          <w:kern w:val="0"/>
          <w:sz w:val="24"/>
          <w:szCs w:val="24"/>
          <w14:textFill>
            <w14:solidFill>
              <w14:schemeClr w14:val="tx1"/>
            </w14:solidFill>
          </w14:textFill>
        </w:rPr>
        <w:t>承包人</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                                           （以下简称乙方）</w:t>
      </w:r>
    </w:p>
    <w:p w14:paraId="44B69A2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cs="宋体" w:asciiTheme="majorEastAsia" w:hAnsiTheme="majorEastAsia" w:eastAsiaTheme="majorEastAsia"/>
          <w:bCs/>
          <w:color w:val="000000" w:themeColor="text1"/>
          <w:kern w:val="0"/>
          <w:sz w:val="24"/>
          <w:szCs w:val="24"/>
          <w14:textFill>
            <w14:solidFill>
              <w14:schemeClr w14:val="tx1"/>
            </w14:solidFill>
          </w14:textFill>
        </w:rPr>
        <w:t>依照《</w:t>
      </w:r>
      <w:r>
        <w:rPr>
          <w:rFonts w:ascii="Times New Roman" w:hAnsi="Times New Roman" w:eastAsia="宋体" w:cs="Times New Roman"/>
          <w:color w:val="000000" w:themeColor="text1"/>
          <w:sz w:val="20"/>
          <w:szCs w:val="22"/>
          <w14:textFill>
            <w14:solidFill>
              <w14:schemeClr w14:val="tx1"/>
            </w14:solidFill>
          </w14:textFill>
        </w:rPr>
        <w:fldChar w:fldCharType="begin"/>
      </w:r>
      <w:r>
        <w:rPr>
          <w:rFonts w:ascii="Times New Roman" w:hAnsi="Times New Roman" w:eastAsia="宋体" w:cs="Times New Roman"/>
          <w:color w:val="000000" w:themeColor="text1"/>
          <w:sz w:val="20"/>
          <w:szCs w:val="22"/>
          <w14:textFill>
            <w14:solidFill>
              <w14:schemeClr w14:val="tx1"/>
            </w14:solidFill>
          </w14:textFill>
        </w:rPr>
        <w:instrText xml:space="preserve"> HYPERLINK "http://www.baidu.com/s?wd=%E4%B8%AD%E5%8D%8E%E4%BA%BA%E6%B0%91%E5%85%B1%E5%92%8C%E5%9B%BD%E5%90%88%E5%90%8C%E6%B3%95&amp;hl_tag=textlink&amp;tn=SE_hldp01350_v6v6zkg6" \t "_blank" </w:instrText>
      </w:r>
      <w:r>
        <w:rPr>
          <w:rFonts w:ascii="Times New Roman" w:hAnsi="Times New Roman" w:eastAsia="宋体" w:cs="Times New Roman"/>
          <w:color w:val="000000" w:themeColor="text1"/>
          <w:sz w:val="20"/>
          <w:szCs w:val="22"/>
          <w14:textFill>
            <w14:solidFill>
              <w14:schemeClr w14:val="tx1"/>
            </w14:solidFill>
          </w14:textFill>
        </w:rPr>
        <w:fldChar w:fldCharType="separate"/>
      </w:r>
      <w:r>
        <w:rPr>
          <w:rFonts w:cs="宋体" w:asciiTheme="majorEastAsia" w:hAnsiTheme="majorEastAsia" w:eastAsiaTheme="majorEastAsia"/>
          <w:bCs/>
          <w:color w:val="000000" w:themeColor="text1"/>
          <w:kern w:val="0"/>
          <w:sz w:val="24"/>
          <w:szCs w:val="24"/>
          <w14:textFill>
            <w14:solidFill>
              <w14:schemeClr w14:val="tx1"/>
            </w14:solidFill>
          </w14:textFill>
        </w:rPr>
        <w:t>中华人民共和国</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民法典</w:t>
      </w:r>
      <w:r>
        <w:rPr>
          <w:rFonts w:hint="eastAsia" w:cs="宋体" w:asciiTheme="majorEastAsia" w:hAnsiTheme="majorEastAsia" w:eastAsiaTheme="majorEastAsia"/>
          <w:bCs/>
          <w:color w:val="000000" w:themeColor="text1"/>
          <w:kern w:val="0"/>
          <w:sz w:val="24"/>
          <w:szCs w:val="24"/>
          <w14:textFill>
            <w14:solidFill>
              <w14:schemeClr w14:val="tx1"/>
            </w14:solidFill>
          </w14:textFill>
        </w:rPr>
        <w:fldChar w:fldCharType="end"/>
      </w:r>
      <w:r>
        <w:rPr>
          <w:rFonts w:cs="宋体" w:asciiTheme="majorEastAsia" w:hAnsiTheme="majorEastAsia" w:eastAsiaTheme="majorEastAsia"/>
          <w:bCs/>
          <w:color w:val="000000" w:themeColor="text1"/>
          <w:kern w:val="0"/>
          <w:sz w:val="24"/>
          <w:szCs w:val="24"/>
          <w14:textFill>
            <w14:solidFill>
              <w14:schemeClr w14:val="tx1"/>
            </w14:solidFill>
          </w14:textFill>
        </w:rPr>
        <w:t>》《</w:t>
      </w:r>
      <w:r>
        <w:rPr>
          <w:rFonts w:ascii="Times New Roman" w:hAnsi="Times New Roman" w:eastAsia="宋体" w:cs="Times New Roman"/>
          <w:color w:val="000000" w:themeColor="text1"/>
          <w:sz w:val="20"/>
          <w:szCs w:val="22"/>
          <w14:textFill>
            <w14:solidFill>
              <w14:schemeClr w14:val="tx1"/>
            </w14:solidFill>
          </w14:textFill>
        </w:rPr>
        <w:fldChar w:fldCharType="begin"/>
      </w:r>
      <w:r>
        <w:rPr>
          <w:rFonts w:ascii="Times New Roman" w:hAnsi="Times New Roman" w:eastAsia="宋体" w:cs="Times New Roman"/>
          <w:color w:val="000000" w:themeColor="text1"/>
          <w:sz w:val="20"/>
          <w:szCs w:val="22"/>
          <w14:textFill>
            <w14:solidFill>
              <w14:schemeClr w14:val="tx1"/>
            </w14:solidFill>
          </w14:textFill>
        </w:rPr>
        <w:instrText xml:space="preserve"> HYPERLINK "http://www.baidu.com/s?wd=%E4%B8%AD%E5%8D%8E%E4%BA%BA%E6%B0%91%E5%85%B1%E5%92%8C%E5%9B%BD%E5%BB%BA%E7%AD%91%E6%B3%95&amp;hl_tag=textlink&amp;tn=SE_hldp01350_v6v6zkg6" \t "_blank" </w:instrText>
      </w:r>
      <w:r>
        <w:rPr>
          <w:rFonts w:ascii="Times New Roman" w:hAnsi="Times New Roman" w:eastAsia="宋体" w:cs="Times New Roman"/>
          <w:color w:val="000000" w:themeColor="text1"/>
          <w:sz w:val="20"/>
          <w:szCs w:val="22"/>
          <w14:textFill>
            <w14:solidFill>
              <w14:schemeClr w14:val="tx1"/>
            </w14:solidFill>
          </w14:textFill>
        </w:rPr>
        <w:fldChar w:fldCharType="separate"/>
      </w:r>
      <w:r>
        <w:rPr>
          <w:rFonts w:cs="宋体" w:asciiTheme="majorEastAsia" w:hAnsiTheme="majorEastAsia" w:eastAsiaTheme="majorEastAsia"/>
          <w:bCs/>
          <w:color w:val="000000" w:themeColor="text1"/>
          <w:kern w:val="0"/>
          <w:sz w:val="24"/>
          <w:szCs w:val="24"/>
          <w14:textFill>
            <w14:solidFill>
              <w14:schemeClr w14:val="tx1"/>
            </w14:solidFill>
          </w14:textFill>
        </w:rPr>
        <w:t>中华人民共和国建筑法</w:t>
      </w:r>
      <w:r>
        <w:rPr>
          <w:rFonts w:cs="宋体" w:asciiTheme="majorEastAsia" w:hAnsiTheme="majorEastAsia" w:eastAsiaTheme="majorEastAsia"/>
          <w:bCs/>
          <w:color w:val="000000" w:themeColor="text1"/>
          <w:kern w:val="0"/>
          <w:sz w:val="24"/>
          <w:szCs w:val="24"/>
          <w14:textFill>
            <w14:solidFill>
              <w14:schemeClr w14:val="tx1"/>
            </w14:solidFill>
          </w14:textFill>
        </w:rPr>
        <w:fldChar w:fldCharType="end"/>
      </w:r>
      <w:r>
        <w:rPr>
          <w:rFonts w:cs="宋体" w:asciiTheme="majorEastAsia" w:hAnsiTheme="majorEastAsia" w:eastAsiaTheme="majorEastAsia"/>
          <w:bCs/>
          <w:color w:val="000000" w:themeColor="text1"/>
          <w:kern w:val="0"/>
          <w:sz w:val="24"/>
          <w:szCs w:val="24"/>
          <w14:textFill>
            <w14:solidFill>
              <w14:schemeClr w14:val="tx1"/>
            </w14:solidFill>
          </w14:textFill>
        </w:rPr>
        <w:t>》及其他相关法律</w:t>
      </w:r>
      <w:r>
        <w:rPr>
          <w:rFonts w:ascii="Times New Roman" w:hAnsi="Times New Roman" w:eastAsia="宋体" w:cs="Times New Roman"/>
          <w:color w:val="000000" w:themeColor="text1"/>
          <w:sz w:val="20"/>
          <w:szCs w:val="22"/>
          <w14:textFill>
            <w14:solidFill>
              <w14:schemeClr w14:val="tx1"/>
            </w14:solidFill>
          </w14:textFill>
        </w:rPr>
        <w:fldChar w:fldCharType="begin"/>
      </w:r>
      <w:r>
        <w:rPr>
          <w:rFonts w:ascii="Times New Roman" w:hAnsi="Times New Roman" w:eastAsia="宋体" w:cs="Times New Roman"/>
          <w:color w:val="000000" w:themeColor="text1"/>
          <w:sz w:val="20"/>
          <w:szCs w:val="22"/>
          <w14:textFill>
            <w14:solidFill>
              <w14:schemeClr w14:val="tx1"/>
            </w14:solidFill>
          </w14:textFill>
        </w:rPr>
        <w:instrText xml:space="preserve"> HYPERLINK "http://www.baidu.com/s?wd=%E8%A1%8C%E6%94%BF%E6%B3%95%E8%A7%84&amp;hl_tag=textlink&amp;tn=SE_hldp01350_v6v6zkg6" \t "_blank" </w:instrText>
      </w:r>
      <w:r>
        <w:rPr>
          <w:rFonts w:ascii="Times New Roman" w:hAnsi="Times New Roman" w:eastAsia="宋体" w:cs="Times New Roman"/>
          <w:color w:val="000000" w:themeColor="text1"/>
          <w:sz w:val="20"/>
          <w:szCs w:val="22"/>
          <w14:textFill>
            <w14:solidFill>
              <w14:schemeClr w14:val="tx1"/>
            </w14:solidFill>
          </w14:textFill>
        </w:rPr>
        <w:fldChar w:fldCharType="separate"/>
      </w:r>
      <w:r>
        <w:rPr>
          <w:rFonts w:cs="宋体" w:asciiTheme="majorEastAsia" w:hAnsiTheme="majorEastAsia" w:eastAsiaTheme="majorEastAsia"/>
          <w:bCs/>
          <w:color w:val="000000" w:themeColor="text1"/>
          <w:kern w:val="0"/>
          <w:sz w:val="24"/>
          <w:szCs w:val="24"/>
          <w14:textFill>
            <w14:solidFill>
              <w14:schemeClr w14:val="tx1"/>
            </w14:solidFill>
          </w14:textFill>
        </w:rPr>
        <w:t>法规</w:t>
      </w:r>
      <w:r>
        <w:rPr>
          <w:rFonts w:cs="宋体" w:asciiTheme="majorEastAsia" w:hAnsiTheme="majorEastAsia" w:eastAsiaTheme="majorEastAsia"/>
          <w:bCs/>
          <w:color w:val="000000" w:themeColor="text1"/>
          <w:kern w:val="0"/>
          <w:sz w:val="24"/>
          <w:szCs w:val="24"/>
          <w14:textFill>
            <w14:solidFill>
              <w14:schemeClr w14:val="tx1"/>
            </w14:solidFill>
          </w14:textFill>
        </w:rPr>
        <w:fldChar w:fldCharType="end"/>
      </w:r>
      <w:r>
        <w:rPr>
          <w:rFonts w:cs="宋体" w:asciiTheme="majorEastAsia" w:hAnsiTheme="majorEastAsia" w:eastAsiaTheme="majorEastAsia"/>
          <w:bCs/>
          <w:color w:val="000000" w:themeColor="text1"/>
          <w:kern w:val="0"/>
          <w:sz w:val="24"/>
          <w:szCs w:val="24"/>
          <w14:textFill>
            <w14:solidFill>
              <w14:schemeClr w14:val="tx1"/>
            </w14:solidFill>
          </w14:textFill>
        </w:rPr>
        <w:t>，遵循平等、自愿、公平和诚实守信的原则，</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经</w:t>
      </w:r>
      <w:r>
        <w:rPr>
          <w:rFonts w:cs="宋体" w:asciiTheme="majorEastAsia" w:hAnsiTheme="majorEastAsia" w:eastAsiaTheme="majorEastAsia"/>
          <w:bCs/>
          <w:color w:val="000000" w:themeColor="text1"/>
          <w:kern w:val="0"/>
          <w:sz w:val="24"/>
          <w:szCs w:val="24"/>
          <w14:textFill>
            <w14:solidFill>
              <w14:schemeClr w14:val="tx1"/>
            </w14:solidFill>
          </w14:textFill>
        </w:rPr>
        <w:t>双方协商一致，订立本合同，共同遵照执行。</w:t>
      </w:r>
    </w:p>
    <w:p w14:paraId="4E41850A">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cs="宋体" w:asciiTheme="majorEastAsia" w:hAnsiTheme="majorEastAsia" w:eastAsiaTheme="majorEastAsia"/>
          <w:b/>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
          <w:bCs/>
          <w:color w:val="000000" w:themeColor="text1"/>
          <w:kern w:val="0"/>
          <w:sz w:val="24"/>
          <w:szCs w:val="24"/>
          <w14:textFill>
            <w14:solidFill>
              <w14:schemeClr w14:val="tx1"/>
            </w14:solidFill>
          </w14:textFill>
        </w:rPr>
        <w:t>一、工程承包内容</w:t>
      </w:r>
    </w:p>
    <w:p w14:paraId="07F50BF0">
      <w:pPr>
        <w:spacing w:line="560" w:lineRule="exact"/>
        <w:ind w:firstLine="480" w:firstLineChars="200"/>
        <w:rPr>
          <w:rFonts w:hint="eastAsia"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 xml:space="preserve">1．道路       2.挡土墙      </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 xml:space="preserve">     </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 xml:space="preserve"> 3.排水沟       </w:t>
      </w:r>
    </w:p>
    <w:p w14:paraId="308A3C64">
      <w:pPr>
        <w:spacing w:line="560" w:lineRule="exact"/>
        <w:ind w:firstLine="480" w:firstLineChars="200"/>
        <w:rPr>
          <w:rFonts w:hint="eastAsia"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4</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围墙</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 xml:space="preserve">        5</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w:t>
      </w:r>
      <w:r>
        <w:rPr>
          <w:rFonts w:hint="eastAsia" w:ascii="宋体" w:hAnsi="宋体" w:eastAsia="宋体" w:cs="Times New Roman"/>
          <w:bCs/>
          <w:color w:val="000000" w:themeColor="text1"/>
          <w:sz w:val="24"/>
          <w:szCs w:val="24"/>
          <w14:textFill>
            <w14:solidFill>
              <w14:schemeClr w14:val="tx1"/>
            </w14:solidFill>
          </w14:textFill>
        </w:rPr>
        <w:t xml:space="preserve"> </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其他零星工程</w:t>
      </w:r>
    </w:p>
    <w:p w14:paraId="3062801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具体</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承包</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内容以中标工程量清单</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和施工图</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为准。</w:t>
      </w:r>
    </w:p>
    <w:p w14:paraId="6B234338">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cs="宋体" w:asciiTheme="majorEastAsia" w:hAnsiTheme="majorEastAsia" w:eastAsiaTheme="majorEastAsia"/>
          <w:b/>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
          <w:bCs/>
          <w:color w:val="000000" w:themeColor="text1"/>
          <w:kern w:val="0"/>
          <w:sz w:val="24"/>
          <w:szCs w:val="24"/>
          <w14:textFill>
            <w14:solidFill>
              <w14:schemeClr w14:val="tx1"/>
            </w14:solidFill>
          </w14:textFill>
        </w:rPr>
        <w:t>二、工程合同金额</w:t>
      </w:r>
    </w:p>
    <w:p w14:paraId="0465F81C">
      <w:pPr>
        <w:keepNext w:val="0"/>
        <w:keepLines w:val="0"/>
        <w:pageBreakBefore w:val="0"/>
        <w:widowControl w:val="0"/>
        <w:kinsoku/>
        <w:wordWrap/>
        <w:overflowPunct/>
        <w:topLinePunct w:val="0"/>
        <w:autoSpaceDE/>
        <w:autoSpaceDN/>
        <w:bidi w:val="0"/>
        <w:adjustRightInd/>
        <w:snapToGrid/>
        <w:spacing w:line="560" w:lineRule="exact"/>
        <w:ind w:left="1"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该工程合同金额为人民币</w:t>
      </w:r>
      <w:r>
        <w:rPr>
          <w:rFonts w:hint="eastAsia" w:cs="宋体" w:asciiTheme="majorEastAsia" w:hAnsiTheme="majorEastAsia" w:eastAsiaTheme="majorEastAsia"/>
          <w:bCs/>
          <w:color w:val="000000" w:themeColor="text1"/>
          <w:kern w:val="0"/>
          <w:sz w:val="24"/>
          <w:szCs w:val="24"/>
          <w:u w:val="single"/>
          <w14:textFill>
            <w14:solidFill>
              <w14:schemeClr w14:val="tx1"/>
            </w14:solidFill>
          </w14:textFill>
        </w:rPr>
        <w:t xml:space="preserve">           （</w:t>
      </w:r>
      <w:r>
        <w:rPr>
          <w:rFonts w:hint="eastAsia" w:cs="Arial Unicode MS" w:asciiTheme="majorEastAsia" w:hAnsiTheme="majorEastAsia" w:eastAsiaTheme="majorEastAsia"/>
          <w:bCs/>
          <w:color w:val="000000" w:themeColor="text1"/>
          <w:kern w:val="0"/>
          <w:sz w:val="24"/>
          <w:szCs w:val="24"/>
          <w:u w:val="single"/>
          <w14:textFill>
            <w14:solidFill>
              <w14:schemeClr w14:val="tx1"/>
            </w14:solidFill>
          </w14:textFill>
        </w:rPr>
        <w:t>¥</w:t>
      </w:r>
      <w:r>
        <w:rPr>
          <w:rFonts w:hint="eastAsia" w:cs="宋体" w:asciiTheme="majorEastAsia" w:hAnsiTheme="majorEastAsia" w:eastAsiaTheme="majorEastAsia"/>
          <w:bCs/>
          <w:color w:val="000000" w:themeColor="text1"/>
          <w:kern w:val="0"/>
          <w:sz w:val="24"/>
          <w:szCs w:val="24"/>
          <w:u w:val="single"/>
          <w14:textFill>
            <w14:solidFill>
              <w14:schemeClr w14:val="tx1"/>
            </w14:solidFill>
          </w14:textFill>
        </w:rPr>
        <w:t xml:space="preserve">：    </w:t>
      </w:r>
      <w:r>
        <w:rPr>
          <w:rFonts w:cs="宋体" w:asciiTheme="majorEastAsia" w:hAnsiTheme="majorEastAsia" w:eastAsiaTheme="majorEastAsia"/>
          <w:bCs/>
          <w:color w:val="000000" w:themeColor="text1"/>
          <w:kern w:val="0"/>
          <w:sz w:val="24"/>
          <w:szCs w:val="24"/>
          <w:u w:val="single"/>
          <w14:textFill>
            <w14:solidFill>
              <w14:schemeClr w14:val="tx1"/>
            </w14:solidFill>
          </w14:textFill>
        </w:rPr>
        <w:t>）</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。最终结算金额以湖南省财政投资评审中</w:t>
      </w:r>
      <w:r>
        <w:rPr>
          <w:rFonts w:hint="eastAsia" w:cs="宋体" w:asciiTheme="majorEastAsia" w:hAnsiTheme="majorEastAsia" w:eastAsiaTheme="majorEastAsia"/>
          <w:bCs/>
          <w:color w:val="auto"/>
          <w:kern w:val="0"/>
          <w:sz w:val="24"/>
          <w:szCs w:val="24"/>
        </w:rPr>
        <w:t>心</w:t>
      </w:r>
      <w:r>
        <w:rPr>
          <w:rFonts w:hint="eastAsia" w:cs="宋体" w:asciiTheme="majorEastAsia" w:hAnsiTheme="majorEastAsia" w:eastAsiaTheme="majorEastAsia"/>
          <w:bCs/>
          <w:color w:val="auto"/>
          <w:kern w:val="0"/>
          <w:sz w:val="24"/>
          <w:szCs w:val="24"/>
          <w:lang w:val="en-US" w:eastAsia="zh-CN"/>
        </w:rPr>
        <w:t>或甲方委托的第三方审计机构</w:t>
      </w:r>
      <w:r>
        <w:rPr>
          <w:rFonts w:hint="eastAsia" w:cs="宋体" w:asciiTheme="majorEastAsia" w:hAnsiTheme="majorEastAsia" w:eastAsiaTheme="majorEastAsia"/>
          <w:bCs/>
          <w:color w:val="auto"/>
          <w:kern w:val="0"/>
          <w:sz w:val="24"/>
          <w:szCs w:val="24"/>
        </w:rPr>
        <w:t>根据中标工程量清单、变更签证以及相关资料审定的工程造价为准。</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其中，若施工中发生增（减）工程，须由甲方有关部门按以下方式现场签证确认：中标工程量清单中已有相应清单子目录的，增（减）工程量按已有的清单子目录进行结算；中标工程量清单中没有相应清单子目录的，增（减）工程量按本合同第三条进行结算。</w:t>
      </w:r>
    </w:p>
    <w:p w14:paraId="6E45837A">
      <w:pPr>
        <w:keepNext w:val="0"/>
        <w:keepLines w:val="0"/>
        <w:pageBreakBefore w:val="0"/>
        <w:widowControl w:val="0"/>
        <w:kinsoku/>
        <w:wordWrap/>
        <w:overflowPunct/>
        <w:topLinePunct w:val="0"/>
        <w:autoSpaceDE/>
        <w:autoSpaceDN/>
        <w:bidi w:val="0"/>
        <w:adjustRightInd/>
        <w:snapToGrid/>
        <w:spacing w:line="560" w:lineRule="exact"/>
        <w:ind w:left="1" w:firstLine="482" w:firstLineChars="200"/>
        <w:textAlignment w:val="auto"/>
        <w:rPr>
          <w:rFonts w:cs="宋体" w:asciiTheme="majorEastAsia" w:hAnsiTheme="majorEastAsia" w:eastAsiaTheme="majorEastAsia"/>
          <w:b/>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
          <w:bCs/>
          <w:color w:val="000000" w:themeColor="text1"/>
          <w:kern w:val="0"/>
          <w:sz w:val="24"/>
          <w:szCs w:val="24"/>
          <w14:textFill>
            <w14:solidFill>
              <w14:schemeClr w14:val="tx1"/>
            </w14:solidFill>
          </w14:textFill>
        </w:rPr>
        <w:t>三、增（减）工程结算标准</w:t>
      </w:r>
    </w:p>
    <w:p w14:paraId="586D68F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根据本合同第二条之约定，中标工程量清单没有相应清单子目录调整总价的增（减）工程，该工程按以下标准结算：即按《湖南省消耗量标准》（基价表2020）进行结算，其中：</w:t>
      </w:r>
    </w:p>
    <w:p w14:paraId="24A6637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1．中标工程量清单中已有材料单价、取费标准的，按中标工程量清单中材料单价、取费标准进行调整。</w:t>
      </w:r>
    </w:p>
    <w:p w14:paraId="5BBBE00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2．中标工程量清单中没有材料单价的，按照施工同期《永州建设造价》文件发布的材料价格并结合市场价格综合计价；如《永州建设造价》文件中没有材料价格的，由甲方组织相关部门对施工同期的相应材料进行市场考察定价。</w:t>
      </w:r>
    </w:p>
    <w:p w14:paraId="539C3641">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cs="宋体" w:asciiTheme="majorEastAsia" w:hAnsiTheme="majorEastAsia" w:eastAsiaTheme="majorEastAsia"/>
          <w:b/>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
          <w:bCs/>
          <w:color w:val="000000" w:themeColor="text1"/>
          <w:kern w:val="0"/>
          <w:sz w:val="24"/>
          <w:szCs w:val="24"/>
          <w14:textFill>
            <w14:solidFill>
              <w14:schemeClr w14:val="tx1"/>
            </w14:solidFill>
          </w14:textFill>
        </w:rPr>
        <w:t>四、工程施工工期</w:t>
      </w:r>
    </w:p>
    <w:p w14:paraId="512AE2B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1．该工程</w:t>
      </w:r>
      <w:r>
        <w:rPr>
          <w:rFonts w:hint="eastAsia" w:cs="宋体" w:asciiTheme="majorEastAsia" w:hAnsiTheme="majorEastAsia" w:eastAsiaTheme="majorEastAsia"/>
          <w:bCs/>
          <w:color w:val="auto"/>
          <w:kern w:val="0"/>
          <w:sz w:val="24"/>
          <w:szCs w:val="24"/>
        </w:rPr>
        <w:t>施工工期</w:t>
      </w:r>
      <w:r>
        <w:rPr>
          <w:rFonts w:hint="eastAsia" w:cs="宋体" w:asciiTheme="majorEastAsia" w:hAnsiTheme="majorEastAsia" w:eastAsiaTheme="majorEastAsia"/>
          <w:bCs/>
          <w:color w:val="auto"/>
          <w:kern w:val="0"/>
          <w:sz w:val="24"/>
          <w:szCs w:val="24"/>
          <w:lang w:val="en-US" w:eastAsia="zh-CN"/>
        </w:rPr>
        <w:t>60</w:t>
      </w:r>
      <w:r>
        <w:rPr>
          <w:rFonts w:hint="eastAsia" w:cs="宋体" w:asciiTheme="majorEastAsia" w:hAnsiTheme="majorEastAsia" w:eastAsiaTheme="majorEastAsia"/>
          <w:bCs/>
          <w:color w:val="auto"/>
          <w:kern w:val="0"/>
          <w:sz w:val="24"/>
          <w:szCs w:val="24"/>
        </w:rPr>
        <w:t>天，从合同签订之日起计算。如遇雨天或其他影响工期的情况，乙方需向甲方提出书面申请工期顺延，经甲方同意后工期往后顺延，否则视为乙方正常施工，</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工期不予顺延。</w:t>
      </w:r>
    </w:p>
    <w:p w14:paraId="5AEAA4C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2．质保期</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2</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年，从工程竣工验收合格之日起计算。</w:t>
      </w:r>
    </w:p>
    <w:p w14:paraId="6DDAD2A1">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cs="宋体" w:asciiTheme="majorEastAsia" w:hAnsiTheme="majorEastAsia" w:eastAsiaTheme="majorEastAsia"/>
          <w:b/>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
          <w:bCs/>
          <w:color w:val="000000" w:themeColor="text1"/>
          <w:kern w:val="0"/>
          <w:sz w:val="24"/>
          <w:szCs w:val="24"/>
          <w14:textFill>
            <w14:solidFill>
              <w14:schemeClr w14:val="tx1"/>
            </w14:solidFill>
          </w14:textFill>
        </w:rPr>
        <w:t>五、工程结算付款程序</w:t>
      </w:r>
    </w:p>
    <w:p w14:paraId="30C827E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1.乙方按要求完工并经自检合格后，向甲方提交</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竣工</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验收申请报告，甲方</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收到乙方竣工验收</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申请报告</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后</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组织</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相关部门进行竣工</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验收。</w:t>
      </w:r>
    </w:p>
    <w:p w14:paraId="50201B5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2.施工用水、电费由乙方负责。如乙方安装水、电表，水、电费按表收取；如未安装水、电表，按双方签字认可的工程结算审定造价的3‰收取。</w:t>
      </w:r>
    </w:p>
    <w:p w14:paraId="50E8A20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Times New Roman"/>
          <w:bCs/>
          <w:color w:val="auto"/>
          <w:sz w:val="24"/>
          <w:szCs w:val="24"/>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3.</w:t>
      </w:r>
      <w:r>
        <w:rPr>
          <w:rFonts w:hint="eastAsia" w:ascii="宋体" w:hAnsi="宋体" w:eastAsia="宋体" w:cs="Times New Roman"/>
          <w:bCs/>
          <w:color w:val="000000" w:themeColor="text1"/>
          <w:sz w:val="24"/>
          <w:szCs w:val="24"/>
          <w14:textFill>
            <w14:solidFill>
              <w14:schemeClr w14:val="tx1"/>
            </w14:solidFill>
          </w14:textFill>
        </w:rPr>
        <w:t>工程竣工验收合格后，乙方必须提供完整的竣工结算资料，最终结算金额以湖南省财政投资评审</w:t>
      </w:r>
      <w:r>
        <w:rPr>
          <w:rFonts w:hint="eastAsia" w:ascii="宋体" w:hAnsi="宋体" w:eastAsia="宋体" w:cs="Times New Roman"/>
          <w:bCs/>
          <w:color w:val="auto"/>
          <w:sz w:val="24"/>
          <w:szCs w:val="24"/>
        </w:rPr>
        <w:t>中心</w:t>
      </w:r>
      <w:r>
        <w:rPr>
          <w:rFonts w:hint="eastAsia" w:cs="宋体" w:asciiTheme="majorEastAsia" w:hAnsiTheme="majorEastAsia" w:eastAsiaTheme="majorEastAsia"/>
          <w:bCs/>
          <w:color w:val="auto"/>
          <w:kern w:val="0"/>
          <w:sz w:val="24"/>
          <w:szCs w:val="24"/>
          <w:lang w:val="en-US" w:eastAsia="zh-CN"/>
        </w:rPr>
        <w:t>或甲方委托的第三方审计机构</w:t>
      </w:r>
      <w:r>
        <w:rPr>
          <w:rFonts w:hint="eastAsia" w:ascii="宋体" w:hAnsi="宋体" w:eastAsia="宋体" w:cs="Times New Roman"/>
          <w:bCs/>
          <w:color w:val="auto"/>
          <w:sz w:val="24"/>
          <w:szCs w:val="24"/>
          <w:lang w:val="en-US" w:eastAsia="zh-CN"/>
        </w:rPr>
        <w:t>审计</w:t>
      </w:r>
      <w:r>
        <w:rPr>
          <w:rFonts w:hint="eastAsia" w:ascii="宋体" w:hAnsi="宋体" w:eastAsia="宋体" w:cs="Times New Roman"/>
          <w:bCs/>
          <w:color w:val="auto"/>
          <w:sz w:val="24"/>
          <w:szCs w:val="24"/>
        </w:rPr>
        <w:t>结果为准</w:t>
      </w:r>
      <w:r>
        <w:rPr>
          <w:rFonts w:hint="eastAsia" w:ascii="宋体" w:hAnsi="宋体" w:eastAsia="宋体" w:cs="Times New Roman"/>
          <w:bCs/>
          <w:color w:val="auto"/>
          <w:sz w:val="24"/>
          <w:szCs w:val="24"/>
          <w:lang w:eastAsia="zh-CN"/>
        </w:rPr>
        <w:t>。</w:t>
      </w:r>
    </w:p>
    <w:p w14:paraId="4784C41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Theme="minorEastAsia" w:cstheme="minorBidi"/>
          <w:bCs/>
          <w:color w:val="auto"/>
          <w:kern w:val="2"/>
          <w:sz w:val="24"/>
          <w:szCs w:val="24"/>
          <w:lang w:val="en-US" w:eastAsia="zh-CN" w:bidi="ar-SA"/>
        </w:rPr>
      </w:pPr>
      <w:r>
        <w:rPr>
          <w:rFonts w:hint="eastAsia" w:ascii="宋体" w:hAnsi="宋体" w:eastAsia="宋体" w:cs="Times New Roman"/>
          <w:bCs/>
          <w:color w:val="auto"/>
          <w:sz w:val="24"/>
          <w:szCs w:val="24"/>
          <w:lang w:val="en-US" w:eastAsia="zh-CN"/>
        </w:rPr>
        <w:t>4.</w:t>
      </w:r>
      <w:r>
        <w:rPr>
          <w:rFonts w:hint="eastAsia" w:ascii="宋体" w:hAnsi="宋体" w:eastAsiaTheme="minorEastAsia" w:cstheme="minorBidi"/>
          <w:bCs/>
          <w:color w:val="auto"/>
          <w:kern w:val="2"/>
          <w:sz w:val="24"/>
          <w:szCs w:val="24"/>
          <w:lang w:val="en-US" w:eastAsia="zh-CN" w:bidi="ar-SA"/>
        </w:rPr>
        <w:t>工程竣工验收合格之日起甲方支付至合同价款的30%；湖南省财政投资评审中心或</w:t>
      </w:r>
      <w:r>
        <w:rPr>
          <w:rFonts w:hint="eastAsia" w:cs="宋体" w:asciiTheme="majorEastAsia" w:hAnsiTheme="majorEastAsia" w:eastAsiaTheme="majorEastAsia"/>
          <w:bCs/>
          <w:color w:val="auto"/>
          <w:kern w:val="0"/>
          <w:sz w:val="24"/>
          <w:szCs w:val="24"/>
          <w:lang w:val="en-US" w:eastAsia="zh-CN"/>
        </w:rPr>
        <w:t>甲方委托的第三方审计机构</w:t>
      </w:r>
      <w:r>
        <w:rPr>
          <w:rFonts w:hint="eastAsia" w:cs="宋体" w:asciiTheme="majorEastAsia" w:hAnsiTheme="majorEastAsia" w:eastAsiaTheme="majorEastAsia"/>
          <w:bCs/>
          <w:color w:val="auto"/>
          <w:kern w:val="0"/>
          <w:sz w:val="24"/>
          <w:szCs w:val="24"/>
        </w:rPr>
        <w:t>评审结果</w:t>
      </w:r>
      <w:r>
        <w:rPr>
          <w:rFonts w:hint="eastAsia" w:cs="宋体" w:asciiTheme="majorEastAsia" w:hAnsiTheme="majorEastAsia" w:eastAsiaTheme="majorEastAsia"/>
          <w:bCs/>
          <w:color w:val="auto"/>
          <w:kern w:val="0"/>
          <w:sz w:val="24"/>
          <w:szCs w:val="24"/>
          <w:lang w:val="en-US" w:eastAsia="zh-CN"/>
        </w:rPr>
        <w:t>出具</w:t>
      </w:r>
      <w:r>
        <w:rPr>
          <w:rFonts w:hint="eastAsia" w:ascii="宋体" w:hAnsi="宋体" w:eastAsiaTheme="minorEastAsia" w:cstheme="minorBidi"/>
          <w:bCs/>
          <w:color w:val="auto"/>
          <w:kern w:val="2"/>
          <w:sz w:val="24"/>
          <w:szCs w:val="24"/>
          <w:lang w:val="en-US" w:eastAsia="zh-CN" w:bidi="ar-SA"/>
        </w:rPr>
        <w:t>后，甲方支付至</w:t>
      </w:r>
      <w:r>
        <w:rPr>
          <w:rFonts w:hint="eastAsia" w:cs="宋体" w:asciiTheme="majorEastAsia" w:hAnsiTheme="majorEastAsia" w:eastAsiaTheme="majorEastAsia"/>
          <w:bCs/>
          <w:color w:val="auto"/>
          <w:kern w:val="0"/>
          <w:sz w:val="24"/>
          <w:szCs w:val="24"/>
        </w:rPr>
        <w:t>最终结算金额的97%，留取3℅的质保金</w:t>
      </w:r>
      <w:r>
        <w:rPr>
          <w:rFonts w:hint="eastAsia" w:ascii="宋体" w:hAnsi="宋体" w:eastAsiaTheme="minorEastAsia" w:cstheme="minorBidi"/>
          <w:bCs/>
          <w:color w:val="auto"/>
          <w:kern w:val="2"/>
          <w:sz w:val="24"/>
          <w:szCs w:val="24"/>
          <w:lang w:val="en-US" w:eastAsia="zh-CN" w:bidi="ar-SA"/>
        </w:rPr>
        <w:t>。质保期满无质量问题的，质保金不计息退还。每次付款乙方必须提供合法有效的</w:t>
      </w:r>
      <w:r>
        <w:rPr>
          <w:rFonts w:hint="eastAsia" w:ascii="宋体" w:hAnsi="宋体" w:eastAsia="宋体" w:cstheme="minorBidi"/>
          <w:bCs/>
          <w:color w:val="auto"/>
          <w:kern w:val="2"/>
          <w:sz w:val="24"/>
          <w:szCs w:val="24"/>
          <w:lang w:val="en-US" w:eastAsia="zh-CN" w:bidi="ar-SA"/>
        </w:rPr>
        <w:t>增值税</w:t>
      </w:r>
      <w:r>
        <w:rPr>
          <w:rFonts w:hint="eastAsia" w:ascii="宋体" w:hAnsi="宋体" w:eastAsiaTheme="minorEastAsia" w:cstheme="minorBidi"/>
          <w:bCs/>
          <w:color w:val="auto"/>
          <w:kern w:val="2"/>
          <w:sz w:val="24"/>
          <w:szCs w:val="24"/>
          <w:lang w:val="en-US" w:eastAsia="zh-CN" w:bidi="ar-SA"/>
        </w:rPr>
        <w:t>发票。</w:t>
      </w:r>
    </w:p>
    <w:p w14:paraId="7AD1936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auto"/>
          <w:kern w:val="0"/>
          <w:sz w:val="24"/>
          <w:szCs w:val="24"/>
          <w:lang w:val="en-US" w:eastAsia="zh-CN"/>
        </w:rPr>
        <w:t>5</w:t>
      </w:r>
      <w:r>
        <w:rPr>
          <w:rFonts w:hint="eastAsia" w:cs="宋体" w:asciiTheme="majorEastAsia" w:hAnsiTheme="majorEastAsia" w:eastAsiaTheme="majorEastAsia"/>
          <w:bCs/>
          <w:color w:val="auto"/>
          <w:kern w:val="0"/>
          <w:sz w:val="24"/>
          <w:szCs w:val="24"/>
        </w:rPr>
        <w:t>.履约保证金：中标金额的</w:t>
      </w:r>
      <w:r>
        <w:rPr>
          <w:rFonts w:hint="eastAsia" w:cs="宋体" w:asciiTheme="majorEastAsia" w:hAnsiTheme="majorEastAsia" w:eastAsiaTheme="majorEastAsia"/>
          <w:bCs/>
          <w:color w:val="auto"/>
          <w:kern w:val="0"/>
          <w:sz w:val="24"/>
          <w:szCs w:val="24"/>
          <w:lang w:val="en-US" w:eastAsia="zh-CN"/>
        </w:rPr>
        <w:t>5</w:t>
      </w:r>
      <w:r>
        <w:rPr>
          <w:rFonts w:hint="eastAsia" w:cs="宋体" w:asciiTheme="majorEastAsia" w:hAnsiTheme="majorEastAsia" w:eastAsiaTheme="majorEastAsia"/>
          <w:bCs/>
          <w:color w:val="auto"/>
          <w:kern w:val="0"/>
          <w:sz w:val="24"/>
          <w:szCs w:val="24"/>
        </w:rPr>
        <w:t>%，即人民币</w:t>
      </w:r>
      <w:r>
        <w:rPr>
          <w:rFonts w:hint="eastAsia" w:cs="宋体" w:asciiTheme="majorEastAsia" w:hAnsiTheme="majorEastAsia" w:eastAsiaTheme="majorEastAsia"/>
          <w:bCs/>
          <w:color w:val="auto"/>
          <w:kern w:val="0"/>
          <w:sz w:val="24"/>
          <w:szCs w:val="24"/>
          <w:u w:val="single"/>
        </w:rPr>
        <w:t xml:space="preserve">       （</w:t>
      </w:r>
      <w:r>
        <w:rPr>
          <w:rFonts w:hint="eastAsia" w:cs="Arial Unicode MS" w:asciiTheme="majorEastAsia" w:hAnsiTheme="majorEastAsia" w:eastAsiaTheme="majorEastAsia"/>
          <w:bCs/>
          <w:color w:val="auto"/>
          <w:kern w:val="0"/>
          <w:sz w:val="24"/>
          <w:szCs w:val="24"/>
          <w:u w:val="single"/>
        </w:rPr>
        <w:t>¥</w:t>
      </w:r>
      <w:r>
        <w:rPr>
          <w:rFonts w:hint="eastAsia" w:cs="宋体" w:asciiTheme="majorEastAsia" w:hAnsiTheme="majorEastAsia" w:eastAsiaTheme="majorEastAsia"/>
          <w:bCs/>
          <w:color w:val="auto"/>
          <w:kern w:val="0"/>
          <w:sz w:val="24"/>
          <w:szCs w:val="24"/>
          <w:u w:val="single"/>
        </w:rPr>
        <w:t xml:space="preserve">：    </w:t>
      </w:r>
      <w:r>
        <w:rPr>
          <w:rFonts w:hint="eastAsia" w:cs="宋体" w:asciiTheme="majorEastAsia" w:hAnsiTheme="majorEastAsia" w:eastAsiaTheme="majorEastAsia"/>
          <w:bCs/>
          <w:color w:val="000000" w:themeColor="text1"/>
          <w:kern w:val="0"/>
          <w:sz w:val="24"/>
          <w:szCs w:val="24"/>
          <w:u w:val="single"/>
          <w14:textFill>
            <w14:solidFill>
              <w14:schemeClr w14:val="tx1"/>
            </w14:solidFill>
          </w14:textFill>
        </w:rPr>
        <w:t>）</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，工程完工后，经甲方验收合格，履约保证金不计息一次性退还给乙方。</w:t>
      </w:r>
    </w:p>
    <w:p w14:paraId="4377B21E">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cs="宋体" w:asciiTheme="majorEastAsia" w:hAnsiTheme="majorEastAsia" w:eastAsiaTheme="majorEastAsia"/>
          <w:b/>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
          <w:bCs/>
          <w:color w:val="000000" w:themeColor="text1"/>
          <w:kern w:val="0"/>
          <w:sz w:val="24"/>
          <w:szCs w:val="24"/>
          <w14:textFill>
            <w14:solidFill>
              <w14:schemeClr w14:val="tx1"/>
            </w14:solidFill>
          </w14:textFill>
        </w:rPr>
        <w:t>六、工程施工质量及安全要求</w:t>
      </w:r>
    </w:p>
    <w:p w14:paraId="79E1CCC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1.乙方按国家现行规范要求、安全文明施工，不能影响校园环境卫生。</w:t>
      </w:r>
    </w:p>
    <w:p w14:paraId="266ED21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2.材料的购进必须符合规定，并附产品合格证和产品检测报告，主材必须经甲方委托的检测公司检测合格后方可使用。确保工艺质量、不得减少施工程序。</w:t>
      </w:r>
    </w:p>
    <w:p w14:paraId="443C9E0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3.所有项目均应符合国家现行验收标准，工程质量达到合格。乙方必须严格按规范要求施工，因质量不符合要求，造成返工的全部责任和经济损失由乙方自行负责。</w:t>
      </w:r>
    </w:p>
    <w:p w14:paraId="10A5817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4.乙方应强化安全自身保护意识和安全管理，</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承担本合同施工人员的安全责任</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。乙方必须为施工人员购买意外伤害保险和工伤保险，严格按照有关安全规定和技术规程施工，施工中发生的一切质量、安全事故</w:t>
      </w:r>
      <w:r>
        <w:rPr>
          <w:rFonts w:hint="eastAsia" w:cs="宋体" w:asciiTheme="majorEastAsia" w:hAnsiTheme="majorEastAsia" w:eastAsiaTheme="majorEastAsia"/>
          <w:bCs/>
          <w:color w:val="000000" w:themeColor="text1"/>
          <w:kern w:val="0"/>
          <w:sz w:val="24"/>
          <w:szCs w:val="24"/>
          <w:lang w:eastAsia="zh-CN"/>
          <w14:textFill>
            <w14:solidFill>
              <w14:schemeClr w14:val="tx1"/>
            </w14:solidFill>
          </w14:textFill>
        </w:rPr>
        <w:t>（</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包括对第三方造成的</w:t>
      </w:r>
      <w:r>
        <w:rPr>
          <w:rFonts w:hint="eastAsia" w:cs="宋体" w:asciiTheme="majorEastAsia" w:hAnsiTheme="majorEastAsia" w:eastAsiaTheme="majorEastAsia"/>
          <w:bCs/>
          <w:color w:val="000000" w:themeColor="text1"/>
          <w:kern w:val="0"/>
          <w:sz w:val="24"/>
          <w:szCs w:val="24"/>
          <w:lang w:eastAsia="zh-CN"/>
          <w14:textFill>
            <w14:solidFill>
              <w14:schemeClr w14:val="tx1"/>
            </w14:solidFill>
          </w14:textFill>
        </w:rPr>
        <w:t>）</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和经济损失均由乙方自负,甲方不负任何责任。</w:t>
      </w:r>
    </w:p>
    <w:p w14:paraId="2666463E">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cs="宋体" w:asciiTheme="majorEastAsia" w:hAnsiTheme="majorEastAsia" w:eastAsiaTheme="majorEastAsia"/>
          <w:b/>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
          <w:bCs/>
          <w:color w:val="000000" w:themeColor="text1"/>
          <w:kern w:val="0"/>
          <w:sz w:val="24"/>
          <w:szCs w:val="24"/>
          <w14:textFill>
            <w14:solidFill>
              <w14:schemeClr w14:val="tx1"/>
            </w14:solidFill>
          </w14:textFill>
        </w:rPr>
        <w:t>七、双方的权利与义务</w:t>
      </w:r>
    </w:p>
    <w:p w14:paraId="030F7C9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（一）甲方的权利与义务：</w:t>
      </w:r>
    </w:p>
    <w:p w14:paraId="2D456CD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1.派出现场代表一名，代表</w:t>
      </w:r>
      <w:r>
        <w:rPr>
          <w:rFonts w:cs="宋体" w:asciiTheme="majorEastAsia" w:hAnsiTheme="majorEastAsia" w:eastAsiaTheme="majorEastAsia"/>
          <w:bCs/>
          <w:color w:val="000000" w:themeColor="text1"/>
          <w:kern w:val="0"/>
          <w:sz w:val="24"/>
          <w:szCs w:val="24"/>
          <w14:textFill>
            <w14:solidFill>
              <w14:schemeClr w14:val="tx1"/>
            </w14:solidFill>
          </w14:textFill>
        </w:rPr>
        <w:t>甲方</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履行本合同约定的权利和义务。</w:t>
      </w:r>
    </w:p>
    <w:p w14:paraId="2C3B8F9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2.及时审核乙方提交的施工方案，协助处理施工上质量问题。</w:t>
      </w:r>
    </w:p>
    <w:p w14:paraId="2D39520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3.督促施工进度，检查</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本</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合同的落实情况。</w:t>
      </w:r>
    </w:p>
    <w:p w14:paraId="1FB1419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4.负责组织验收，竣工结算的审核。</w:t>
      </w:r>
    </w:p>
    <w:p w14:paraId="160B88E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5.督促乙方遵守甲方有关管理制度和规定。</w:t>
      </w:r>
    </w:p>
    <w:p w14:paraId="6979E1A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6.对隐蔽工程、变更工程予以现场签证。</w:t>
      </w:r>
    </w:p>
    <w:p w14:paraId="4D1BF4C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（二）乙方的权利与义务：</w:t>
      </w:r>
    </w:p>
    <w:p w14:paraId="60CF240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1.</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施工前，乙方负责办理好渣土处理报备及</w:t>
      </w:r>
      <w:r>
        <w:rPr>
          <w:rFonts w:hint="eastAsia" w:ascii="宋体" w:hAnsi="宋体" w:eastAsia="宋体" w:cs="宋体"/>
          <w:color w:val="000000" w:themeColor="text1"/>
          <w:spacing w:val="-6"/>
          <w:sz w:val="24"/>
          <w:szCs w:val="24"/>
          <w14:textFill>
            <w14:solidFill>
              <w14:schemeClr w14:val="tx1"/>
            </w14:solidFill>
          </w14:textFill>
        </w:rPr>
        <w:t>基建工程进出材料污染道路清</w:t>
      </w:r>
      <w:r>
        <w:rPr>
          <w:rFonts w:hint="eastAsia" w:ascii="宋体" w:hAnsi="宋体" w:eastAsia="宋体" w:cs="宋体"/>
          <w:color w:val="000000" w:themeColor="text1"/>
          <w:spacing w:val="-6"/>
          <w:sz w:val="24"/>
          <w:szCs w:val="24"/>
          <w:u w:val="single"/>
          <w14:textFill>
            <w14:solidFill>
              <w14:schemeClr w14:val="tx1"/>
            </w14:solidFill>
          </w14:textFill>
        </w:rPr>
        <w:t>洗</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手续，严格按照渣土办相关规定执行，并将施工垃圾、渣土运输到就近渣土场，所有费用由乙方负责。</w:t>
      </w:r>
    </w:p>
    <w:p w14:paraId="338334D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2</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.精心组织施工，做好施工现场的全面管理工作，确保安全文明施工。</w:t>
      </w:r>
    </w:p>
    <w:p w14:paraId="269FEEF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3</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.严格按施工技术验收规范施工，确保工程质量。</w:t>
      </w:r>
    </w:p>
    <w:p w14:paraId="19B1C9F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4</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.负责编制施工方案，确保工程按期完工。</w:t>
      </w:r>
    </w:p>
    <w:p w14:paraId="35AAAD6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5</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.加强安全措施，搞好安全生产，对施工中发生的一切安全、质量事故负全部责任。</w:t>
      </w:r>
    </w:p>
    <w:p w14:paraId="41B1841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6</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隐蔽工程隐蔽前必须经甲方验收合格签署《湖南科技学院基建工程现场签证单》后才能进行隐蔽施工，申请验收必须提前二天以书面形式通知甲方组织验收，如不通知甲方自行隐蔽，视为乙方没有进行该项目施工，工程量不予计量；如甲方接到申请验收书面通知后二天内不组织验收，乙方可自行隐蔽，工程量按实结算。</w:t>
      </w:r>
    </w:p>
    <w:p w14:paraId="6364E55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auto"/>
          <w:kern w:val="0"/>
          <w:sz w:val="24"/>
          <w:szCs w:val="24"/>
        </w:rPr>
      </w:pP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7</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.设计变</w:t>
      </w:r>
      <w:r>
        <w:rPr>
          <w:rFonts w:hint="eastAsia" w:cs="宋体" w:asciiTheme="majorEastAsia" w:hAnsiTheme="majorEastAsia" w:eastAsiaTheme="majorEastAsia"/>
          <w:bCs/>
          <w:color w:val="auto"/>
          <w:kern w:val="0"/>
          <w:sz w:val="24"/>
          <w:szCs w:val="24"/>
        </w:rPr>
        <w:t>更及现场签证必须按《湖南科技学院基建工程设计变更及现场签证管理办法》</w:t>
      </w:r>
      <w:r>
        <w:rPr>
          <w:rFonts w:hint="eastAsia" w:cs="宋体" w:asciiTheme="majorEastAsia" w:hAnsiTheme="majorEastAsia" w:eastAsiaTheme="majorEastAsia"/>
          <w:bCs/>
          <w:color w:val="auto"/>
          <w:kern w:val="0"/>
          <w:sz w:val="24"/>
          <w:szCs w:val="24"/>
          <w:lang w:eastAsia="zh-CN"/>
        </w:rPr>
        <w:t>（</w:t>
      </w:r>
      <w:r>
        <w:rPr>
          <w:rFonts w:hint="eastAsia" w:cs="宋体" w:asciiTheme="majorEastAsia" w:hAnsiTheme="majorEastAsia" w:eastAsiaTheme="majorEastAsia"/>
          <w:bCs/>
          <w:color w:val="auto"/>
          <w:kern w:val="0"/>
          <w:sz w:val="24"/>
          <w:szCs w:val="24"/>
        </w:rPr>
        <w:t>湘科院党政办字〔2017〕22号</w:t>
      </w:r>
      <w:r>
        <w:rPr>
          <w:rFonts w:hint="eastAsia" w:cs="宋体" w:asciiTheme="majorEastAsia" w:hAnsiTheme="majorEastAsia" w:eastAsiaTheme="majorEastAsia"/>
          <w:bCs/>
          <w:color w:val="auto"/>
          <w:kern w:val="0"/>
          <w:sz w:val="24"/>
          <w:szCs w:val="24"/>
          <w:lang w:eastAsia="zh-CN"/>
        </w:rPr>
        <w:t>）</w:t>
      </w:r>
      <w:r>
        <w:rPr>
          <w:rFonts w:hint="eastAsia" w:cs="宋体" w:asciiTheme="majorEastAsia" w:hAnsiTheme="majorEastAsia" w:eastAsiaTheme="majorEastAsia"/>
          <w:bCs/>
          <w:color w:val="auto"/>
          <w:kern w:val="0"/>
          <w:sz w:val="24"/>
          <w:szCs w:val="24"/>
        </w:rPr>
        <w:t>执行，对于未按此办法执行的，不予结算。</w:t>
      </w:r>
    </w:p>
    <w:p w14:paraId="0E38A548">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8</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.甲方只负责提供施工用水电指定接入地点，从接入点到施工现场的水管、水电表等相关设备由乙方负责。水电表必须经甲方认可。</w:t>
      </w:r>
    </w:p>
    <w:p w14:paraId="27BCB79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9</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.工程竣工验收后，乙方必须提供一套完整的纸质工程档案资料及PDF电子档，经验收合格后才能进行工程结算。</w:t>
      </w:r>
    </w:p>
    <w:p w14:paraId="7874F6B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10</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.工程竣工验收未移交使用之前，乙方负责已完工程的保护工作，保护期间发生的损坏，乙方负责修复，并承担所有费用。</w:t>
      </w:r>
    </w:p>
    <w:p w14:paraId="0C73643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1</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1</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.工程按时竣工后乙方应及时清理好卫生。</w:t>
      </w:r>
    </w:p>
    <w:p w14:paraId="5941EA6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1</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2</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.合同中涉及的文件及表格，乙方自行到湖南科技学院基建处网站下载，甲方不再提供纸质稿。</w:t>
      </w:r>
    </w:p>
    <w:p w14:paraId="45A5B9FB">
      <w:pPr>
        <w:widowControl w:val="0"/>
        <w:spacing w:after="120"/>
        <w:ind w:firstLine="420"/>
        <w:jc w:val="both"/>
        <w:rPr>
          <w:rFonts w:hint="eastAsia" w:cs="宋体" w:asciiTheme="majorEastAsia" w:hAnsiTheme="majorEastAsia" w:eastAsiaTheme="majorEastAsia"/>
          <w:bCs/>
          <w:color w:val="000000" w:themeColor="text1"/>
          <w:kern w:val="0"/>
          <w:sz w:val="24"/>
          <w:szCs w:val="24"/>
          <w:lang w:val="en-US" w:eastAsia="zh-CN" w:bidi="ar-SA"/>
          <w14:textFill>
            <w14:solidFill>
              <w14:schemeClr w14:val="tx1"/>
            </w14:solidFill>
          </w14:textFill>
        </w:rPr>
      </w:pPr>
      <w:r>
        <w:rPr>
          <w:rFonts w:hint="eastAsia" w:cs="宋体" w:asciiTheme="majorEastAsia" w:hAnsiTheme="majorEastAsia" w:eastAsiaTheme="majorEastAsia"/>
          <w:bCs/>
          <w:color w:val="000000" w:themeColor="text1"/>
          <w:kern w:val="0"/>
          <w:sz w:val="24"/>
          <w:szCs w:val="24"/>
          <w:lang w:val="en-US" w:eastAsia="zh-CN" w:bidi="ar-SA"/>
          <w14:textFill>
            <w14:solidFill>
              <w14:schemeClr w14:val="tx1"/>
            </w14:solidFill>
          </w14:textFill>
        </w:rPr>
        <w:t>13.该项目在我校南大门新征土地红线与村民用地交界处建设，所有施工矛盾由乙方自行协调并按合同约定的工期完成。</w:t>
      </w:r>
    </w:p>
    <w:p w14:paraId="0D5C795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pP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14.试验与检验费用按照《湖南省建设工程计价办法》规定执行，由甲方委托第三方检测机构做检测，检测合格后方可进入下一步验收程序。首次检测费由甲方负责，首次检测不合格的由乙方承担复检费用。</w:t>
      </w:r>
    </w:p>
    <w:p w14:paraId="65A0458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cs="宋体" w:asciiTheme="majorEastAsia" w:hAnsiTheme="majorEastAsia" w:eastAsiaTheme="majorEastAsia"/>
          <w:bCs/>
          <w:color w:val="000000" w:themeColor="text1"/>
          <w:kern w:val="0"/>
          <w:sz w:val="24"/>
          <w:szCs w:val="24"/>
          <w:lang w:val="en-US" w:eastAsia="zh-CN"/>
          <w14:textFill>
            <w14:solidFill>
              <w14:schemeClr w14:val="tx1"/>
            </w14:solidFill>
          </w14:textFill>
        </w:rPr>
      </w:pP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15.乙方报送本项目竣工结算时严禁高估冒算行为，报送的工程竣工结算送审金额误差率不能大于甲方审计部门或甲方委托的第三方审计机构审定金额的5%。</w:t>
      </w:r>
    </w:p>
    <w:p w14:paraId="0FC9689E">
      <w:pPr>
        <w:keepNext w:val="0"/>
        <w:keepLines w:val="0"/>
        <w:pageBreakBefore w:val="0"/>
        <w:widowControl w:val="0"/>
        <w:kinsoku/>
        <w:wordWrap/>
        <w:overflowPunct/>
        <w:topLinePunct w:val="0"/>
        <w:autoSpaceDE/>
        <w:autoSpaceDN/>
        <w:bidi w:val="0"/>
        <w:adjustRightInd/>
        <w:snapToGrid/>
        <w:spacing w:line="560" w:lineRule="exact"/>
        <w:ind w:firstLine="472" w:firstLineChars="196"/>
        <w:textAlignment w:val="auto"/>
        <w:rPr>
          <w:rFonts w:cs="宋体" w:asciiTheme="majorEastAsia" w:hAnsiTheme="majorEastAsia" w:eastAsiaTheme="majorEastAsia"/>
          <w:b/>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
          <w:bCs/>
          <w:color w:val="000000" w:themeColor="text1"/>
          <w:kern w:val="0"/>
          <w:sz w:val="24"/>
          <w:szCs w:val="24"/>
          <w14:textFill>
            <w14:solidFill>
              <w14:schemeClr w14:val="tx1"/>
            </w14:solidFill>
          </w14:textFill>
        </w:rPr>
        <w:t>八、违约责任</w:t>
      </w:r>
    </w:p>
    <w:p w14:paraId="6E2002A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cs="宋体" w:asciiTheme="majorEastAsia" w:hAnsiTheme="majorEastAsia" w:eastAsiaTheme="majorEastAsia"/>
          <w:bCs/>
          <w:color w:val="000000" w:themeColor="text1"/>
          <w:kern w:val="0"/>
          <w:sz w:val="24"/>
          <w:szCs w:val="24"/>
          <w14:textFill>
            <w14:solidFill>
              <w14:schemeClr w14:val="tx1"/>
            </w14:solidFill>
          </w14:textFill>
        </w:rPr>
        <w:t>1</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.乙方未能按期完成施工的，工程每延期一天，乙方须支付甲方违约金</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5</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000元/天。</w:t>
      </w:r>
    </w:p>
    <w:p w14:paraId="3052DDF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cs="宋体" w:asciiTheme="majorEastAsia" w:hAnsiTheme="majorEastAsia" w:eastAsiaTheme="majorEastAsia"/>
          <w:bCs/>
          <w:color w:val="000000" w:themeColor="text1"/>
          <w:kern w:val="0"/>
          <w:sz w:val="24"/>
          <w:szCs w:val="24"/>
          <w14:textFill>
            <w14:solidFill>
              <w14:schemeClr w14:val="tx1"/>
            </w14:solidFill>
          </w14:textFill>
        </w:rPr>
        <w:t>2</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.乙方对甲方提出的整改意见未及时整改的，乙方须向甲方支付违约金</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5</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000元/次。</w:t>
      </w:r>
    </w:p>
    <w:p w14:paraId="429633D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cs="宋体" w:asciiTheme="majorEastAsia" w:hAnsiTheme="majorEastAsia" w:eastAsiaTheme="majorEastAsia"/>
          <w:bCs/>
          <w:color w:val="000000" w:themeColor="text1"/>
          <w:kern w:val="0"/>
          <w:sz w:val="24"/>
          <w:szCs w:val="24"/>
          <w14:textFill>
            <w14:solidFill>
              <w14:schemeClr w14:val="tx1"/>
            </w14:solidFill>
          </w14:textFill>
        </w:rPr>
        <w:t>3</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.乙方在分项工程、工序未经甲方现场代表验收而进入下道工序施工的，乙方须向甲方支付违约金</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5</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000元/次。</w:t>
      </w:r>
    </w:p>
    <w:p w14:paraId="7F9DC5C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4.乙方使用材料不符约定、以次充优、以假充真的，乙方除更换合格材料外，还须向甲方支付违约金</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5</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000元/次。</w:t>
      </w:r>
    </w:p>
    <w:p w14:paraId="316E498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cs="宋体" w:asciiTheme="majorEastAsia" w:hAnsiTheme="majorEastAsia" w:eastAsiaTheme="majorEastAsia"/>
          <w:bCs/>
          <w:color w:val="000000" w:themeColor="text1"/>
          <w:kern w:val="0"/>
          <w:sz w:val="24"/>
          <w:szCs w:val="24"/>
          <w:lang w:val="en-US" w:eastAsia="zh-CN"/>
          <w14:textFill>
            <w14:solidFill>
              <w14:schemeClr w14:val="tx1"/>
            </w14:solidFill>
          </w14:textFill>
        </w:rPr>
      </w:pP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5.乙方报送的工程结算送审金额误差率超过湖南省财政投资评审中心或甲方委托的第三方审计机构审定金额的5%，乙方应当就超出审定金额5%以上部分计向甲方支付结算报价违约金[计算方法：结算报价违约金=（核减金额-审定金额</w:t>
      </w:r>
      <w:r>
        <w:rPr>
          <w:rFonts w:hint="default" w:cs="宋体" w:asciiTheme="majorEastAsia" w:hAnsiTheme="majorEastAsia" w:eastAsiaTheme="majorEastAsia"/>
          <w:bCs/>
          <w:color w:val="000000" w:themeColor="text1"/>
          <w:kern w:val="0"/>
          <w:sz w:val="24"/>
          <w:szCs w:val="24"/>
          <w:lang w:val="en-US" w:eastAsia="zh-CN"/>
          <w14:textFill>
            <w14:solidFill>
              <w14:schemeClr w14:val="tx1"/>
            </w14:solidFill>
          </w14:textFill>
        </w:rPr>
        <w:t>×</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5%）</w:t>
      </w:r>
      <w:r>
        <w:rPr>
          <w:rFonts w:hint="default" w:cs="宋体" w:asciiTheme="majorEastAsia" w:hAnsiTheme="majorEastAsia" w:eastAsiaTheme="majorEastAsia"/>
          <w:bCs/>
          <w:color w:val="000000" w:themeColor="text1"/>
          <w:kern w:val="0"/>
          <w:sz w:val="24"/>
          <w:szCs w:val="24"/>
          <w:lang w:val="en-US" w:eastAsia="zh-CN"/>
          <w14:textFill>
            <w14:solidFill>
              <w14:schemeClr w14:val="tx1"/>
            </w14:solidFill>
          </w14:textFill>
        </w:rPr>
        <w:t>×</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10%]。</w:t>
      </w:r>
    </w:p>
    <w:p w14:paraId="7DB1E9E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cs="宋体" w:asciiTheme="majorEastAsia" w:hAnsiTheme="majorEastAsia" w:eastAsiaTheme="majorEastAsia"/>
          <w:bCs/>
          <w:color w:val="000000" w:themeColor="text1"/>
          <w:kern w:val="0"/>
          <w:sz w:val="24"/>
          <w:szCs w:val="24"/>
          <w:lang w:eastAsia="zh-CN"/>
          <w14:textFill>
            <w14:solidFill>
              <w14:schemeClr w14:val="tx1"/>
            </w14:solidFill>
          </w14:textFill>
        </w:rPr>
      </w:pP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6</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验收中发现需整改的问题以及质保期内的修复工作，乙方应在要求的时间内整改到位</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（以甲方电话或微信</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记录或书面通知</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为准）</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，如乙方未在要求的时间整改到位，乙方承诺，在整改通知截止日始，甲方</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无需征得乙方同意，</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可以动用乙方的履约保证金或质保金委托第三方进行整改，同时该部分整改或修复工作的造价除按同期定额计算外，还须</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向甲方支付违约金</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2</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000元/次</w:t>
      </w:r>
      <w:r>
        <w:rPr>
          <w:rFonts w:hint="eastAsia" w:cs="宋体" w:asciiTheme="majorEastAsia" w:hAnsiTheme="majorEastAsia" w:eastAsiaTheme="majorEastAsia"/>
          <w:bCs/>
          <w:color w:val="000000" w:themeColor="text1"/>
          <w:kern w:val="0"/>
          <w:sz w:val="24"/>
          <w:szCs w:val="24"/>
          <w:lang w:eastAsia="zh-CN"/>
          <w14:textFill>
            <w14:solidFill>
              <w14:schemeClr w14:val="tx1"/>
            </w14:solidFill>
          </w14:textFill>
        </w:rPr>
        <w:t>。</w:t>
      </w:r>
    </w:p>
    <w:p w14:paraId="636F133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以上乙方违约责任甲方有权从最终结算</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款</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或者质保金中扣除。</w:t>
      </w:r>
    </w:p>
    <w:p w14:paraId="58A5C834">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cs="宋体" w:asciiTheme="majorEastAsia" w:hAnsiTheme="majorEastAsia" w:eastAsiaTheme="majorEastAsia"/>
          <w:b/>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
          <w:bCs/>
          <w:color w:val="000000" w:themeColor="text1"/>
          <w:kern w:val="0"/>
          <w:sz w:val="24"/>
          <w:szCs w:val="24"/>
          <w14:textFill>
            <w14:solidFill>
              <w14:schemeClr w14:val="tx1"/>
            </w14:solidFill>
          </w14:textFill>
        </w:rPr>
        <w:t>九、合同解除</w:t>
      </w:r>
    </w:p>
    <w:p w14:paraId="7E38C8C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（一）乙方出现下列情形之一的，甲方有权解除合同：</w:t>
      </w:r>
    </w:p>
    <w:p w14:paraId="3663C80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1.乙方施工期间不遵守现行法律法规或国家强制性标准，出现严重质量事故或存在严重隐患且整改不力的。</w:t>
      </w:r>
    </w:p>
    <w:p w14:paraId="26C543F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2.因乙方原因停工三天及以上的。</w:t>
      </w:r>
    </w:p>
    <w:p w14:paraId="2FD26D0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3.不服从甲方现场管理，经甲方两次书面整改通知仍无改进的。</w:t>
      </w:r>
    </w:p>
    <w:p w14:paraId="0483D88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4.内部组织管理混乱，已无能力组织正常施工的。</w:t>
      </w:r>
    </w:p>
    <w:p w14:paraId="101D74E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5.因拖欠工人工资、报酬，引发工人蓄意闹事、围攻甲方场所或群体上访、媒体曝光的。</w:t>
      </w:r>
    </w:p>
    <w:p w14:paraId="5ABB3F1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6.将工程擅自转包、分包的。</w:t>
      </w:r>
    </w:p>
    <w:p w14:paraId="10DFC78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7.乙方人员在</w:t>
      </w:r>
      <w:r>
        <w:rPr>
          <w:rFonts w:hint="eastAsia" w:cs="Times New Roman" w:asciiTheme="majorEastAsia" w:hAnsiTheme="majorEastAsia" w:eastAsiaTheme="majorEastAsia"/>
          <w:color w:val="000000" w:themeColor="text1"/>
          <w:sz w:val="24"/>
          <w:szCs w:val="24"/>
          <w14:textFill>
            <w14:solidFill>
              <w14:schemeClr w14:val="tx1"/>
            </w14:solidFill>
          </w14:textFill>
        </w:rPr>
        <w:t>甲方校园发生违法犯罪事件的</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w:t>
      </w:r>
    </w:p>
    <w:p w14:paraId="3638FBB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（二）如甲方因上述情形解除合同的，乙方应当自收到甲方解除合同通知之日起三日内清场完毕，并按合同金额30%支付甲方违约金。</w:t>
      </w:r>
    </w:p>
    <w:p w14:paraId="238EAC68">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cs="宋体" w:asciiTheme="majorEastAsia" w:hAnsiTheme="majorEastAsia" w:eastAsiaTheme="majorEastAsia"/>
          <w:b/>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
          <w:bCs/>
          <w:color w:val="000000" w:themeColor="text1"/>
          <w:kern w:val="0"/>
          <w:sz w:val="24"/>
          <w:szCs w:val="24"/>
          <w14:textFill>
            <w14:solidFill>
              <w14:schemeClr w14:val="tx1"/>
            </w14:solidFill>
          </w14:textFill>
        </w:rPr>
        <w:t>十、争议的解决方式</w:t>
      </w:r>
    </w:p>
    <w:p w14:paraId="03C809F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cs="宋体" w:asciiTheme="majorEastAsia" w:hAnsiTheme="majorEastAsia" w:eastAsiaTheme="majorEastAsia"/>
          <w:b/>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合同发生纠纷时，双方应协商解决，协商不成提交甲方所在地人民法院诉讼解决。</w:t>
      </w:r>
    </w:p>
    <w:p w14:paraId="27D6C501">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cs="宋体" w:asciiTheme="majorEastAsia" w:hAnsiTheme="majorEastAsia" w:eastAsiaTheme="majorEastAsia"/>
          <w:b/>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
          <w:bCs/>
          <w:color w:val="000000" w:themeColor="text1"/>
          <w:kern w:val="0"/>
          <w:sz w:val="24"/>
          <w:szCs w:val="24"/>
          <w14:textFill>
            <w14:solidFill>
              <w14:schemeClr w14:val="tx1"/>
            </w14:solidFill>
          </w14:textFill>
        </w:rPr>
        <w:t>十一、其他</w:t>
      </w:r>
    </w:p>
    <w:p w14:paraId="0E852DF9">
      <w:pPr>
        <w:keepNext w:val="0"/>
        <w:keepLines w:val="0"/>
        <w:pageBreakBefore w:val="0"/>
        <w:widowControl w:val="0"/>
        <w:kinsoku/>
        <w:wordWrap/>
        <w:overflowPunct/>
        <w:topLinePunct w:val="0"/>
        <w:autoSpaceDE/>
        <w:autoSpaceDN/>
        <w:bidi w:val="0"/>
        <w:adjustRightInd/>
        <w:snapToGrid/>
        <w:spacing w:line="560" w:lineRule="exact"/>
        <w:ind w:firstLine="600" w:firstLineChars="250"/>
        <w:textAlignment w:val="auto"/>
        <w:rPr>
          <w:rFonts w:cs="宋体" w:asciiTheme="majorEastAsia" w:hAnsiTheme="majorEastAsia" w:eastAsiaTheme="majorEastAsia"/>
          <w:bCs/>
          <w:color w:val="auto"/>
          <w:kern w:val="0"/>
          <w:sz w:val="24"/>
          <w:szCs w:val="24"/>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1.本合同的组成：双方的招投标文件、会议纪要</w:t>
      </w:r>
      <w:r>
        <w:rPr>
          <w:rFonts w:hint="eastAsia" w:cs="宋体" w:asciiTheme="majorEastAsia" w:hAnsiTheme="majorEastAsia" w:eastAsiaTheme="majorEastAsia"/>
          <w:bCs/>
          <w:color w:val="000000" w:themeColor="text1"/>
          <w:kern w:val="0"/>
          <w:sz w:val="24"/>
          <w:szCs w:val="24"/>
          <w:lang w:eastAsia="zh-CN"/>
          <w14:textFill>
            <w14:solidFill>
              <w14:schemeClr w14:val="tx1"/>
            </w14:solidFill>
          </w14:textFill>
        </w:rPr>
        <w:t>、</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乙方向甲方出具的承诺</w:t>
      </w:r>
      <w:r>
        <w:rPr>
          <w:rFonts w:hint="eastAsia" w:cs="宋体" w:asciiTheme="majorEastAsia" w:hAnsiTheme="majorEastAsia" w:eastAsiaTheme="majorEastAsia"/>
          <w:bCs/>
          <w:color w:val="auto"/>
          <w:kern w:val="0"/>
          <w:sz w:val="24"/>
          <w:szCs w:val="24"/>
        </w:rPr>
        <w:t>以及《湖南科技学院基建工程设计变更及现场签证管理办法》</w:t>
      </w:r>
      <w:r>
        <w:rPr>
          <w:rFonts w:hint="eastAsia" w:cs="宋体" w:asciiTheme="majorEastAsia" w:hAnsiTheme="majorEastAsia" w:eastAsiaTheme="majorEastAsia"/>
          <w:bCs/>
          <w:color w:val="auto"/>
          <w:kern w:val="0"/>
          <w:sz w:val="24"/>
          <w:szCs w:val="24"/>
          <w:lang w:eastAsia="zh-CN"/>
        </w:rPr>
        <w:t>（</w:t>
      </w:r>
      <w:r>
        <w:rPr>
          <w:rFonts w:hint="eastAsia" w:cs="宋体" w:asciiTheme="majorEastAsia" w:hAnsiTheme="majorEastAsia" w:eastAsiaTheme="majorEastAsia"/>
          <w:bCs/>
          <w:color w:val="auto"/>
          <w:kern w:val="0"/>
          <w:sz w:val="24"/>
          <w:szCs w:val="24"/>
        </w:rPr>
        <w:t>湘科院党政办字〔2017〕22号</w:t>
      </w:r>
      <w:r>
        <w:rPr>
          <w:rFonts w:hint="eastAsia" w:cs="宋体" w:asciiTheme="majorEastAsia" w:hAnsiTheme="majorEastAsia" w:eastAsiaTheme="majorEastAsia"/>
          <w:bCs/>
          <w:color w:val="auto"/>
          <w:kern w:val="0"/>
          <w:sz w:val="24"/>
          <w:szCs w:val="24"/>
          <w:lang w:eastAsia="zh-CN"/>
        </w:rPr>
        <w:t>）</w:t>
      </w:r>
      <w:r>
        <w:rPr>
          <w:rFonts w:hint="eastAsia" w:cs="宋体" w:asciiTheme="majorEastAsia" w:hAnsiTheme="majorEastAsia" w:eastAsiaTheme="majorEastAsia"/>
          <w:bCs/>
          <w:color w:val="auto"/>
          <w:kern w:val="0"/>
          <w:sz w:val="24"/>
          <w:szCs w:val="24"/>
        </w:rPr>
        <w:t>等均是本合同的组成部分，具有同等的法律效力。</w:t>
      </w:r>
    </w:p>
    <w:p w14:paraId="43B9AD79">
      <w:pPr>
        <w:keepNext w:val="0"/>
        <w:keepLines w:val="0"/>
        <w:pageBreakBefore w:val="0"/>
        <w:widowControl w:val="0"/>
        <w:kinsoku/>
        <w:wordWrap/>
        <w:overflowPunct/>
        <w:topLinePunct w:val="0"/>
        <w:autoSpaceDE/>
        <w:autoSpaceDN/>
        <w:bidi w:val="0"/>
        <w:adjustRightInd/>
        <w:snapToGrid/>
        <w:spacing w:line="560" w:lineRule="exact"/>
        <w:ind w:firstLine="600" w:firstLineChars="250"/>
        <w:textAlignment w:val="auto"/>
        <w:rPr>
          <w:rFonts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auto"/>
          <w:kern w:val="0"/>
          <w:sz w:val="24"/>
          <w:szCs w:val="24"/>
        </w:rPr>
        <w:t>2.本合同签字生效</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后甲、乙双方如有未尽事宜或对合同条款修改，需经双方协商同意并签订补充协议。</w:t>
      </w:r>
    </w:p>
    <w:p w14:paraId="5F6431ED">
      <w:pPr>
        <w:keepNext w:val="0"/>
        <w:keepLines w:val="0"/>
        <w:pageBreakBefore w:val="0"/>
        <w:widowControl w:val="0"/>
        <w:kinsoku/>
        <w:wordWrap/>
        <w:overflowPunct/>
        <w:topLinePunct w:val="0"/>
        <w:autoSpaceDE/>
        <w:autoSpaceDN/>
        <w:bidi w:val="0"/>
        <w:adjustRightInd/>
        <w:snapToGrid/>
        <w:spacing w:before="156" w:beforeLines="50" w:line="560" w:lineRule="exact"/>
        <w:ind w:firstLine="600" w:firstLineChars="250"/>
        <w:textAlignment w:val="auto"/>
        <w:rPr>
          <w:rFonts w:cs="Times New Roman" w:asciiTheme="majorEastAsia" w:hAnsiTheme="majorEastAsia" w:eastAsiaTheme="majorEastAsia"/>
          <w:bCs/>
          <w:color w:val="000000" w:themeColor="text1"/>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3.本合同一式肆份，甲乙双方各执贰份，双方代表签字盖章后生效。</w:t>
      </w:r>
    </w:p>
    <w:p w14:paraId="1D5B7EE8">
      <w:pPr>
        <w:spacing w:line="500" w:lineRule="exact"/>
        <w:rPr>
          <w:rFonts w:cs="Times New Roman" w:asciiTheme="majorEastAsia" w:hAnsiTheme="majorEastAsia" w:eastAsiaTheme="majorEastAsia"/>
          <w:bCs/>
          <w:color w:val="000000" w:themeColor="text1"/>
          <w:sz w:val="24"/>
          <w:szCs w:val="24"/>
          <w14:textFill>
            <w14:solidFill>
              <w14:schemeClr w14:val="tx1"/>
            </w14:solidFill>
          </w14:textFill>
        </w:rPr>
      </w:pPr>
    </w:p>
    <w:p w14:paraId="3B5603DA">
      <w:pPr>
        <w:keepNext w:val="0"/>
        <w:keepLines w:val="0"/>
        <w:pageBreakBefore w:val="0"/>
        <w:widowControl w:val="0"/>
        <w:kinsoku/>
        <w:wordWrap/>
        <w:overflowPunct/>
        <w:topLinePunct w:val="0"/>
        <w:autoSpaceDE/>
        <w:autoSpaceDN/>
        <w:bidi w:val="0"/>
        <w:adjustRightInd/>
        <w:snapToGrid/>
        <w:spacing w:before="157" w:beforeLines="50" w:after="157" w:afterLines="50" w:line="500" w:lineRule="exact"/>
        <w:textAlignment w:val="auto"/>
        <w:rPr>
          <w:rFonts w:hint="eastAsia"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 xml:space="preserve">甲方：（盖章）                   乙方：（盖章）                     </w:t>
      </w:r>
    </w:p>
    <w:p w14:paraId="00EB5F3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 xml:space="preserve">法定代表人                       法定代表人                       </w:t>
      </w:r>
    </w:p>
    <w:p w14:paraId="6804199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 xml:space="preserve">或其委托代理人：                 或其委托代理人：                </w:t>
      </w:r>
    </w:p>
    <w:p w14:paraId="7E15AA9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 xml:space="preserve">（签字）                         （签字）                                                        </w:t>
      </w:r>
    </w:p>
    <w:p w14:paraId="432E81D6">
      <w:pPr>
        <w:keepNext w:val="0"/>
        <w:keepLines w:val="0"/>
        <w:pageBreakBefore w:val="0"/>
        <w:widowControl w:val="0"/>
        <w:kinsoku/>
        <w:wordWrap/>
        <w:overflowPunct/>
        <w:topLinePunct w:val="0"/>
        <w:autoSpaceDE/>
        <w:autoSpaceDN/>
        <w:bidi w:val="0"/>
        <w:adjustRightInd/>
        <w:snapToGrid/>
        <w:spacing w:before="157" w:beforeLines="50" w:line="500" w:lineRule="exact"/>
        <w:textAlignment w:val="auto"/>
        <w:rPr>
          <w:rFonts w:hint="eastAsia" w:cs="宋体" w:asciiTheme="majorEastAsia" w:hAnsiTheme="majorEastAsia" w:eastAsiaTheme="majorEastAsia"/>
          <w:bCs/>
          <w:color w:val="000000" w:themeColor="text1"/>
          <w:kern w:val="0"/>
          <w:sz w:val="24"/>
          <w:szCs w:val="24"/>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电话：</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0746-6381076</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 xml:space="preserve">             </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 xml:space="preserve">  </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 xml:space="preserve">电话：                                                                                     </w:t>
      </w:r>
    </w:p>
    <w:p w14:paraId="3C9DF1A8">
      <w:pPr>
        <w:keepNext w:val="0"/>
        <w:keepLines w:val="0"/>
        <w:pageBreakBefore w:val="0"/>
        <w:widowControl w:val="0"/>
        <w:kinsoku/>
        <w:wordWrap/>
        <w:overflowPunct/>
        <w:topLinePunct w:val="0"/>
        <w:autoSpaceDE/>
        <w:autoSpaceDN/>
        <w:bidi w:val="0"/>
        <w:adjustRightInd/>
        <w:snapToGrid/>
        <w:spacing w:before="157" w:beforeLines="50" w:line="500" w:lineRule="exact"/>
        <w:textAlignment w:val="auto"/>
        <w:rPr>
          <w:rFonts w:hint="eastAsia" w:ascii="宋体" w:hAnsi="宋体" w:eastAsia="宋体" w:cs="宋体"/>
          <w:color w:val="000000" w:themeColor="text1"/>
          <w:kern w:val="0"/>
          <w:szCs w:val="21"/>
          <w14:textFill>
            <w14:solidFill>
              <w14:schemeClr w14:val="tx1"/>
            </w14:solidFill>
          </w14:textFill>
        </w:rPr>
      </w:pPr>
      <w:r>
        <w:rPr>
          <w:rFonts w:hint="eastAsia" w:cs="宋体" w:asciiTheme="majorEastAsia" w:hAnsiTheme="majorEastAsia" w:eastAsiaTheme="majorEastAsia"/>
          <w:bCs/>
          <w:color w:val="000000" w:themeColor="text1"/>
          <w:kern w:val="0"/>
          <w:sz w:val="24"/>
          <w:szCs w:val="24"/>
          <w14:textFill>
            <w14:solidFill>
              <w14:schemeClr w14:val="tx1"/>
            </w14:solidFill>
          </w14:textFill>
        </w:rPr>
        <w:t>时间：</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2025</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 xml:space="preserve">年 </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 xml:space="preserve"> </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 xml:space="preserve">月 </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 xml:space="preserve"> </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 xml:space="preserve">日          </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 xml:space="preserve">   </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时间：</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2025</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年</w:t>
      </w:r>
      <w:r>
        <w:rPr>
          <w:rFonts w:hint="eastAsia" w:cs="宋体" w:asciiTheme="majorEastAsia" w:hAnsiTheme="majorEastAsia" w:eastAsiaTheme="majorEastAsia"/>
          <w:bCs/>
          <w:color w:val="000000" w:themeColor="text1"/>
          <w:kern w:val="0"/>
          <w:sz w:val="24"/>
          <w:szCs w:val="24"/>
          <w:lang w:val="en-US" w:eastAsia="zh-CN"/>
          <w14:textFill>
            <w14:solidFill>
              <w14:schemeClr w14:val="tx1"/>
            </w14:solidFill>
          </w14:textFill>
        </w:rPr>
        <w:t xml:space="preserve">  </w:t>
      </w:r>
      <w:r>
        <w:rPr>
          <w:rFonts w:hint="eastAsia" w:cs="宋体" w:asciiTheme="majorEastAsia" w:hAnsiTheme="majorEastAsia" w:eastAsiaTheme="majorEastAsia"/>
          <w:bCs/>
          <w:color w:val="000000" w:themeColor="text1"/>
          <w:kern w:val="0"/>
          <w:sz w:val="24"/>
          <w:szCs w:val="24"/>
          <w14:textFill>
            <w14:solidFill>
              <w14:schemeClr w14:val="tx1"/>
            </w14:solidFill>
          </w14:textFill>
        </w:rPr>
        <w:t xml:space="preserve"> 月  日  </w:t>
      </w:r>
      <w:r>
        <w:rPr>
          <w:rFonts w:hint="eastAsia" w:ascii="宋体" w:hAnsi="宋体" w:eastAsia="宋体" w:cs="宋体"/>
          <w:color w:val="000000" w:themeColor="text1"/>
          <w:kern w:val="0"/>
          <w:sz w:val="20"/>
          <w:szCs w:val="20"/>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      </w:t>
      </w:r>
    </w:p>
    <w:p w14:paraId="18882D93">
      <w:pPr>
        <w:keepNext w:val="0"/>
        <w:keepLines w:val="0"/>
        <w:pageBreakBefore w:val="0"/>
        <w:widowControl w:val="0"/>
        <w:kinsoku/>
        <w:wordWrap/>
        <w:overflowPunct/>
        <w:topLinePunct w:val="0"/>
        <w:autoSpaceDE/>
        <w:autoSpaceDN/>
        <w:bidi w:val="0"/>
        <w:adjustRightInd/>
        <w:snapToGrid/>
        <w:spacing w:before="157" w:beforeLines="50" w:line="500" w:lineRule="exact"/>
        <w:textAlignment w:val="auto"/>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        </w:t>
      </w:r>
    </w:p>
    <w:p w14:paraId="19D1853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cs="宋体" w:asciiTheme="majorEastAsia" w:hAnsiTheme="majorEastAsia" w:eastAsiaTheme="majorEastAsia"/>
          <w:bCs/>
          <w:color w:val="000000" w:themeColor="text1"/>
          <w:kern w:val="0"/>
          <w:sz w:val="28"/>
          <w:szCs w:val="28"/>
          <w14:textFill>
            <w14:solidFill>
              <w14:schemeClr w14:val="tx1"/>
            </w14:solidFill>
          </w14:textFill>
        </w:rPr>
      </w:pPr>
    </w:p>
    <w:p w14:paraId="05B14594">
      <w:pPr>
        <w:pStyle w:val="2"/>
      </w:pPr>
    </w:p>
    <w:p w14:paraId="613C9FBE">
      <w:pPr>
        <w:pStyle w:val="35"/>
        <w:rPr>
          <w:color w:val="auto"/>
          <w:highlight w:val="none"/>
        </w:rPr>
      </w:pPr>
    </w:p>
    <w:p w14:paraId="7BFC39A9">
      <w:pPr>
        <w:rPr>
          <w:color w:val="auto"/>
          <w:highlight w:val="none"/>
        </w:rPr>
        <w:sectPr>
          <w:pgSz w:w="11906" w:h="16838"/>
          <w:pgMar w:top="1440" w:right="1800" w:bottom="1440" w:left="1800" w:header="851" w:footer="992" w:gutter="0"/>
          <w:pgNumType w:fmt="decimal"/>
          <w:cols w:space="720" w:num="1"/>
          <w:docGrid w:type="lines" w:linePitch="312" w:charSpace="0"/>
        </w:sectPr>
      </w:pPr>
    </w:p>
    <w:p w14:paraId="7BA4688B">
      <w:pPr>
        <w:pStyle w:val="5"/>
        <w:bidi w:val="0"/>
        <w:jc w:val="center"/>
        <w:rPr>
          <w:rFonts w:hint="eastAsia"/>
          <w:color w:val="auto"/>
          <w:highlight w:val="none"/>
        </w:rPr>
      </w:pPr>
      <w:bookmarkStart w:id="128" w:name="_Toc26327"/>
      <w:r>
        <w:rPr>
          <w:rFonts w:hint="eastAsia"/>
          <w:color w:val="auto"/>
          <w:highlight w:val="none"/>
          <w:lang w:val="en-US" w:eastAsia="zh-CN"/>
        </w:rPr>
        <w:t>第四章</w:t>
      </w:r>
      <w:r>
        <w:rPr>
          <w:rFonts w:hint="eastAsia"/>
          <w:color w:val="auto"/>
          <w:highlight w:val="none"/>
        </w:rPr>
        <w:t xml:space="preserve"> 采购需求</w:t>
      </w:r>
      <w:bookmarkEnd w:id="128"/>
    </w:p>
    <w:p w14:paraId="53E097A9">
      <w:pPr>
        <w:adjustRightInd w:val="0"/>
        <w:snapToGrid w:val="0"/>
        <w:spacing w:line="360" w:lineRule="auto"/>
        <w:ind w:firstLine="422" w:firstLineChars="200"/>
        <w:rPr>
          <w:b/>
          <w:color w:val="auto"/>
          <w:szCs w:val="21"/>
          <w:highlight w:val="none"/>
        </w:rPr>
      </w:pPr>
      <w:r>
        <w:rPr>
          <w:b/>
          <w:color w:val="auto"/>
          <w:szCs w:val="21"/>
          <w:highlight w:val="none"/>
        </w:rPr>
        <w:t>一、项目基本情况</w:t>
      </w:r>
    </w:p>
    <w:p w14:paraId="3DDF0D5C">
      <w:pPr>
        <w:keepNext/>
        <w:keepLines/>
        <w:adjustRightInd w:val="0"/>
        <w:spacing w:line="360" w:lineRule="auto"/>
        <w:ind w:firstLine="420" w:firstLineChars="200"/>
        <w:jc w:val="left"/>
        <w:textAlignment w:val="baseline"/>
        <w:outlineLvl w:val="9"/>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1.采购项目名称: 湖南科技学院南大门新征土地道路等建设工程</w:t>
      </w:r>
    </w:p>
    <w:p w14:paraId="13521268">
      <w:pPr>
        <w:keepNext/>
        <w:keepLines/>
        <w:adjustRightInd w:val="0"/>
        <w:spacing w:line="360" w:lineRule="auto"/>
        <w:ind w:firstLine="420" w:firstLineChars="200"/>
        <w:jc w:val="left"/>
        <w:textAlignment w:val="baseline"/>
        <w:outlineLvl w:val="9"/>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2.建设地点：永州市零陵区湖南科技学院新南校区</w:t>
      </w:r>
    </w:p>
    <w:p w14:paraId="22FF8C81">
      <w:pPr>
        <w:keepNext/>
        <w:keepLines/>
        <w:adjustRightInd w:val="0"/>
        <w:spacing w:line="360" w:lineRule="auto"/>
        <w:ind w:firstLine="420" w:firstLineChars="200"/>
        <w:jc w:val="left"/>
        <w:textAlignment w:val="baseline"/>
        <w:outlineLvl w:val="9"/>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3.招标控制价：3791177.72元。</w:t>
      </w:r>
    </w:p>
    <w:p w14:paraId="10FDD241">
      <w:pPr>
        <w:keepNext/>
        <w:keepLines/>
        <w:adjustRightInd w:val="0"/>
        <w:spacing w:line="360" w:lineRule="auto"/>
        <w:ind w:firstLine="420" w:firstLineChars="200"/>
        <w:jc w:val="left"/>
        <w:textAlignment w:val="baseline"/>
        <w:outlineLvl w:val="9"/>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4.工程概况：本次工程承包内容包括道路 、挡土墙、排水沟 、围墙及其他零星工程，具体承包内容以中标工程量清单和施工图为准。</w:t>
      </w:r>
    </w:p>
    <w:p w14:paraId="0CF08257">
      <w:pPr>
        <w:keepNext/>
        <w:keepLines/>
        <w:adjustRightInd w:val="0"/>
        <w:spacing w:line="360" w:lineRule="auto"/>
        <w:ind w:firstLine="420" w:firstLineChars="200"/>
        <w:jc w:val="left"/>
        <w:textAlignment w:val="baseline"/>
        <w:outlineLvl w:val="9"/>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5.质量要求：符合《工程施工质量验收规范》要求，验收合格。</w:t>
      </w:r>
    </w:p>
    <w:p w14:paraId="425EB397">
      <w:pPr>
        <w:keepNext/>
        <w:keepLines/>
        <w:adjustRightInd w:val="0"/>
        <w:spacing w:line="360" w:lineRule="auto"/>
        <w:ind w:firstLine="420" w:firstLineChars="200"/>
        <w:jc w:val="left"/>
        <w:textAlignment w:val="baseline"/>
        <w:outlineLvl w:val="9"/>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6.建设内容、工期、质保期、履约保证金、结算标准、付款程序及安全要求、双方的权利与义务、违约责任、合同解除、争议的解决方式及其他要求详见合同相关条款。</w:t>
      </w:r>
    </w:p>
    <w:p w14:paraId="394C4A7C">
      <w:pPr>
        <w:keepNext/>
        <w:keepLines/>
        <w:adjustRightInd w:val="0"/>
        <w:spacing w:line="360" w:lineRule="auto"/>
        <w:ind w:firstLine="420" w:firstLineChars="200"/>
        <w:jc w:val="left"/>
        <w:textAlignment w:val="baseline"/>
        <w:outlineLvl w:val="9"/>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7.工期：60日历天，从合同签订之日起计算。</w:t>
      </w:r>
    </w:p>
    <w:p w14:paraId="3E1B79EE">
      <w:pPr>
        <w:keepNext/>
        <w:keepLines/>
        <w:adjustRightInd w:val="0"/>
        <w:spacing w:line="360" w:lineRule="auto"/>
        <w:ind w:firstLine="420" w:firstLineChars="200"/>
        <w:jc w:val="left"/>
        <w:textAlignment w:val="baseline"/>
        <w:outlineLvl w:val="9"/>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8.质保期：2年，从工程竣工验收合格之日起计算。</w:t>
      </w:r>
    </w:p>
    <w:p w14:paraId="1ED058DC">
      <w:pPr>
        <w:adjustRightInd w:val="0"/>
        <w:snapToGrid w:val="0"/>
        <w:spacing w:line="360" w:lineRule="auto"/>
        <w:ind w:firstLine="422" w:firstLineChars="200"/>
        <w:rPr>
          <w:b/>
          <w:color w:val="auto"/>
          <w:szCs w:val="21"/>
          <w:highlight w:val="none"/>
        </w:rPr>
      </w:pPr>
      <w:r>
        <w:rPr>
          <w:b/>
          <w:color w:val="auto"/>
          <w:szCs w:val="21"/>
          <w:highlight w:val="none"/>
        </w:rPr>
        <w:t>二、投标报价</w:t>
      </w:r>
    </w:p>
    <w:p w14:paraId="74B204C7">
      <w:pPr>
        <w:keepNext/>
        <w:keepLines/>
        <w:adjustRightInd w:val="0"/>
        <w:spacing w:line="360" w:lineRule="auto"/>
        <w:ind w:firstLine="420" w:firstLineChars="200"/>
        <w:jc w:val="left"/>
        <w:textAlignment w:val="baseline"/>
        <w:outlineLvl w:val="9"/>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1.请各投标人根据采购人发布的工程量清单进行报价（应完整响应发布的工程量清单内容，不得缺项漏项。否则视为无效响应）。</w:t>
      </w:r>
    </w:p>
    <w:p w14:paraId="6A560BF6">
      <w:pPr>
        <w:keepNext/>
        <w:keepLines/>
        <w:adjustRightInd w:val="0"/>
        <w:spacing w:line="360" w:lineRule="auto"/>
        <w:ind w:firstLine="420" w:firstLineChars="200"/>
        <w:jc w:val="left"/>
        <w:textAlignment w:val="baseline"/>
        <w:outlineLvl w:val="9"/>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2.该工程按《湖南省消耗量标准》（基价表[2020]）套价，其中：</w:t>
      </w:r>
    </w:p>
    <w:p w14:paraId="5B608748">
      <w:pPr>
        <w:keepNext/>
        <w:keepLines/>
        <w:adjustRightInd w:val="0"/>
        <w:spacing w:line="360" w:lineRule="auto"/>
        <w:ind w:firstLine="420" w:firstLineChars="200"/>
        <w:jc w:val="left"/>
        <w:textAlignment w:val="baseline"/>
        <w:outlineLvl w:val="9"/>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（1）主要材料按《永州建设造价》施工同期发布的材料预算价格进行报价。</w:t>
      </w:r>
    </w:p>
    <w:p w14:paraId="5259DA54">
      <w:pPr>
        <w:keepNext/>
        <w:keepLines/>
        <w:adjustRightInd w:val="0"/>
        <w:spacing w:line="360" w:lineRule="auto"/>
        <w:ind w:firstLine="420" w:firstLineChars="200"/>
        <w:jc w:val="left"/>
        <w:textAlignment w:val="baseline"/>
        <w:outlineLvl w:val="9"/>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（2）管理费、利润、其他管理费取费标准由投标人自主报价，最高不得超过工程量清单中的取费标准。</w:t>
      </w:r>
    </w:p>
    <w:p w14:paraId="4CFF3953">
      <w:pPr>
        <w:keepNext/>
        <w:keepLines/>
        <w:adjustRightInd w:val="0"/>
        <w:spacing w:line="360" w:lineRule="auto"/>
        <w:ind w:firstLine="420" w:firstLineChars="200"/>
        <w:jc w:val="left"/>
        <w:textAlignment w:val="baseline"/>
        <w:outlineLvl w:val="9"/>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（3）暂列金额、暂估价：按实结算。</w:t>
      </w:r>
    </w:p>
    <w:p w14:paraId="34BB012B">
      <w:pPr>
        <w:keepNext/>
        <w:keepLines/>
        <w:adjustRightInd w:val="0"/>
        <w:spacing w:line="360" w:lineRule="auto"/>
        <w:ind w:firstLine="420" w:firstLineChars="200"/>
        <w:jc w:val="left"/>
        <w:textAlignment w:val="baseline"/>
        <w:outlineLvl w:val="9"/>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（4）其他费用按政府相关文件计取。</w:t>
      </w:r>
    </w:p>
    <w:p w14:paraId="182E4C81">
      <w:pPr>
        <w:keepNext/>
        <w:keepLines/>
        <w:adjustRightInd w:val="0"/>
        <w:spacing w:line="360" w:lineRule="auto"/>
        <w:ind w:firstLine="420" w:firstLineChars="200"/>
        <w:jc w:val="left"/>
        <w:textAlignment w:val="baseline"/>
        <w:outlineLvl w:val="9"/>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3. 投标人提供的详细的工程量清单中必须包含但不限以下表格：①含费率的单位工程投标报价汇总表。②含工程量清单子目和定额子目的分部分项工程项目清单与措施项目清单计价表。③人工、材料、机械汇总表。④暂列金额、暂估价等明细表。</w:t>
      </w:r>
    </w:p>
    <w:p w14:paraId="5F7FECD2">
      <w:pPr>
        <w:adjustRightInd w:val="0"/>
        <w:snapToGrid w:val="0"/>
        <w:spacing w:line="360" w:lineRule="auto"/>
        <w:ind w:firstLine="422" w:firstLineChars="200"/>
        <w:rPr>
          <w:b/>
          <w:color w:val="auto"/>
          <w:szCs w:val="21"/>
          <w:highlight w:val="none"/>
        </w:rPr>
      </w:pPr>
      <w:r>
        <w:rPr>
          <w:rFonts w:hint="eastAsia"/>
          <w:b/>
          <w:color w:val="auto"/>
          <w:szCs w:val="21"/>
          <w:highlight w:val="none"/>
        </w:rPr>
        <w:t>三</w:t>
      </w:r>
      <w:r>
        <w:rPr>
          <w:b/>
          <w:color w:val="auto"/>
          <w:szCs w:val="21"/>
          <w:highlight w:val="none"/>
        </w:rPr>
        <w:t>、主要材料要求</w:t>
      </w:r>
    </w:p>
    <w:p w14:paraId="239AA601">
      <w:pPr>
        <w:keepNext/>
        <w:keepLines/>
        <w:adjustRightInd w:val="0"/>
        <w:spacing w:line="360" w:lineRule="auto"/>
        <w:ind w:firstLine="420" w:firstLineChars="200"/>
        <w:jc w:val="left"/>
        <w:textAlignment w:val="baseline"/>
        <w:outlineLvl w:val="9"/>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中标人用于该项目的主要材料必须是经国家注册的</w:t>
      </w:r>
      <w:r>
        <w:rPr>
          <w:rFonts w:hint="eastAsia" w:cs="Times New Roman"/>
          <w:color w:val="auto"/>
          <w:szCs w:val="21"/>
          <w:highlight w:val="none"/>
          <w:lang w:val="en-US" w:eastAsia="zh-CN"/>
        </w:rPr>
        <w:t>原装</w:t>
      </w:r>
      <w:r>
        <w:rPr>
          <w:rFonts w:hint="eastAsia" w:ascii="Times New Roman" w:hAnsi="Times New Roman" w:eastAsia="宋体" w:cs="Times New Roman"/>
          <w:color w:val="auto"/>
          <w:szCs w:val="21"/>
          <w:highlight w:val="none"/>
          <w:lang w:val="en-US" w:eastAsia="zh-CN"/>
        </w:rPr>
        <w:t>优等</w:t>
      </w:r>
      <w:r>
        <w:rPr>
          <w:rFonts w:hint="eastAsia" w:cs="Times New Roman"/>
          <w:color w:val="auto"/>
          <w:szCs w:val="21"/>
          <w:highlight w:val="none"/>
          <w:lang w:val="en-US" w:eastAsia="zh-CN"/>
        </w:rPr>
        <w:t>正</w:t>
      </w:r>
      <w:r>
        <w:rPr>
          <w:rFonts w:hint="eastAsia" w:ascii="Times New Roman" w:hAnsi="Times New Roman" w:eastAsia="宋体" w:cs="Times New Roman"/>
          <w:color w:val="auto"/>
          <w:szCs w:val="21"/>
          <w:highlight w:val="none"/>
          <w:lang w:val="en-US" w:eastAsia="zh-CN"/>
        </w:rPr>
        <w:t>品，施工前须提供相关样品（包括品牌、颜色、规格等），经采购人书面确认后才可用于该项目，如未经采购人书面确认用于该工程的，采购人有权让中标人拆除，由此产生的所有费用由中标人自负。</w:t>
      </w:r>
    </w:p>
    <w:p w14:paraId="460BA6A2">
      <w:pPr>
        <w:snapToGrid w:val="0"/>
        <w:spacing w:line="360" w:lineRule="auto"/>
        <w:ind w:firstLine="422" w:firstLineChars="200"/>
        <w:rPr>
          <w:b/>
          <w:bCs/>
          <w:color w:val="auto"/>
          <w:kern w:val="0"/>
          <w:szCs w:val="21"/>
          <w:highlight w:val="none"/>
        </w:rPr>
      </w:pPr>
      <w:r>
        <w:rPr>
          <w:rFonts w:hint="eastAsia"/>
          <w:b/>
          <w:bCs/>
          <w:color w:val="auto"/>
          <w:kern w:val="0"/>
          <w:szCs w:val="21"/>
          <w:highlight w:val="none"/>
        </w:rPr>
        <w:t>四</w:t>
      </w:r>
      <w:r>
        <w:rPr>
          <w:b/>
          <w:bCs/>
          <w:color w:val="auto"/>
          <w:kern w:val="0"/>
          <w:szCs w:val="21"/>
          <w:highlight w:val="none"/>
        </w:rPr>
        <w:t>、踏勘：自行勘察</w:t>
      </w:r>
    </w:p>
    <w:p w14:paraId="5350067D">
      <w:pPr>
        <w:keepNext/>
        <w:keepLines/>
        <w:adjustRightInd w:val="0"/>
        <w:spacing w:line="360" w:lineRule="auto"/>
        <w:ind w:firstLine="420" w:firstLineChars="200"/>
        <w:jc w:val="left"/>
        <w:textAlignment w:val="baseline"/>
        <w:outlineLvl w:val="9"/>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磋商文件中对施工现场的描述仅供供应商参考,投标人在投标前建议认真踏勘工程现场，熟悉现场的位置，以及场地使用空间、选择材料、设备、人员的进出方位等，并取得一切可能影响磋商、报价的资料，报价时充分考虑各种不可预见因素及风险，各种确属实际发生的费用都应在磋商报价中一并考虑。中标后不得以不完全了解项目施工现场情况为借口而做出额外费用索赔或延长工期等要求，对此采购人将不作任何考虑。</w:t>
      </w:r>
    </w:p>
    <w:p w14:paraId="745232EF">
      <w:pPr>
        <w:keepNext/>
        <w:keepLines/>
        <w:adjustRightInd w:val="0"/>
        <w:spacing w:line="360" w:lineRule="auto"/>
        <w:ind w:firstLine="420" w:firstLineChars="200"/>
        <w:jc w:val="left"/>
        <w:textAlignment w:val="baseline"/>
        <w:outlineLvl w:val="9"/>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投标人现场踏勘的一切费用自理。采购人不组织踏勘现场。投标人的任何人员为了踏勘现场而需要进入采购人所管辖的场地时,需事先经采购人同意。现场踏勘中的发生的人员伤亡和财产损失应由投标人自行负责。</w:t>
      </w:r>
    </w:p>
    <w:p w14:paraId="5F6B73EB">
      <w:pPr>
        <w:spacing w:line="360" w:lineRule="auto"/>
        <w:ind w:firstLine="422" w:firstLineChars="200"/>
        <w:rPr>
          <w:b/>
          <w:bCs/>
          <w:color w:val="auto"/>
          <w:kern w:val="0"/>
          <w:szCs w:val="21"/>
          <w:highlight w:val="none"/>
        </w:rPr>
      </w:pPr>
      <w:r>
        <w:rPr>
          <w:rFonts w:hint="eastAsia"/>
          <w:b/>
          <w:bCs/>
          <w:color w:val="auto"/>
          <w:kern w:val="0"/>
          <w:szCs w:val="21"/>
          <w:highlight w:val="none"/>
        </w:rPr>
        <w:t>五</w:t>
      </w:r>
      <w:r>
        <w:rPr>
          <w:b/>
          <w:bCs/>
          <w:color w:val="auto"/>
          <w:kern w:val="0"/>
          <w:szCs w:val="21"/>
          <w:highlight w:val="none"/>
        </w:rPr>
        <w:t>、特别约定</w:t>
      </w:r>
    </w:p>
    <w:p w14:paraId="2BE4079D">
      <w:pPr>
        <w:keepNext/>
        <w:keepLines/>
        <w:adjustRightInd w:val="0"/>
        <w:spacing w:line="360" w:lineRule="auto"/>
        <w:ind w:firstLine="420" w:firstLineChars="200"/>
        <w:jc w:val="left"/>
        <w:textAlignment w:val="baseline"/>
        <w:outlineLvl w:val="9"/>
        <w:rPr>
          <w:rFonts w:hint="eastAsia" w:ascii="Times New Roman" w:hAnsi="Times New Roman" w:eastAsia="宋体" w:cs="Times New Roman"/>
          <w:color w:val="auto"/>
          <w:szCs w:val="21"/>
          <w:highlight w:val="none"/>
          <w:lang w:val="en-US" w:eastAsia="zh-CN"/>
        </w:rPr>
      </w:pPr>
      <w:r>
        <w:rPr>
          <w:rFonts w:hint="eastAsia"/>
          <w:color w:val="auto"/>
          <w:szCs w:val="21"/>
          <w:highlight w:val="none"/>
          <w:lang w:val="en-US" w:eastAsia="zh-CN"/>
        </w:rPr>
        <w:t>1.因考虑招标代理公司整理装订招投标资料的时间问题，为不影响项目的进展，投标文件必须提供</w:t>
      </w:r>
      <w:r>
        <w:rPr>
          <w:rFonts w:hint="eastAsia" w:ascii="Times New Roman" w:hAnsi="Times New Roman" w:eastAsia="宋体" w:cs="Times New Roman"/>
          <w:color w:val="auto"/>
          <w:szCs w:val="21"/>
          <w:highlight w:val="none"/>
          <w:lang w:val="en-US" w:eastAsia="zh-CN"/>
        </w:rPr>
        <w:t xml:space="preserve">电子版，确定中标单位后请尽快把投标文件电子版发给项目负责人。 </w:t>
      </w:r>
    </w:p>
    <w:p w14:paraId="61F83D71">
      <w:pPr>
        <w:keepNext/>
        <w:keepLines/>
        <w:adjustRightInd w:val="0"/>
        <w:spacing w:line="360" w:lineRule="auto"/>
        <w:ind w:firstLine="420" w:firstLineChars="200"/>
        <w:jc w:val="left"/>
        <w:textAlignment w:val="baseline"/>
        <w:outlineLvl w:val="9"/>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2.该项目在我校南大门新征土地红线与村民用地交界处建设，所有施工矛盾由乙方自行协调并按合同约定的工期完成。</w:t>
      </w:r>
    </w:p>
    <w:p w14:paraId="32CFF1F5">
      <w:pPr>
        <w:keepNext/>
        <w:keepLines/>
        <w:adjustRightInd w:val="0"/>
        <w:spacing w:line="360" w:lineRule="auto"/>
        <w:ind w:firstLine="420" w:firstLineChars="200"/>
        <w:jc w:val="left"/>
        <w:textAlignment w:val="baseline"/>
        <w:outlineLvl w:val="9"/>
        <w:rPr>
          <w:rFonts w:hint="eastAsia"/>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3.施工前，中标人负责办理</w:t>
      </w:r>
      <w:r>
        <w:rPr>
          <w:rFonts w:hint="eastAsia"/>
          <w:color w:val="auto"/>
          <w:szCs w:val="21"/>
          <w:highlight w:val="none"/>
          <w:lang w:val="en-US" w:eastAsia="zh-CN"/>
        </w:rPr>
        <w:t>好基建工程进出材料污染道路清洗、渣土处理运输手续，严格按照渣土办相关规定执行，并将施工垃圾、渣土运输到就近渣土场，所有费用由投标人负责。</w:t>
      </w:r>
    </w:p>
    <w:p w14:paraId="249A440F">
      <w:pPr>
        <w:spacing w:line="360" w:lineRule="auto"/>
        <w:ind w:firstLine="422" w:firstLineChars="200"/>
        <w:rPr>
          <w:rFonts w:hint="eastAsia" w:ascii="Times New Roman" w:hAnsi="Times New Roman" w:eastAsia="宋体" w:cs="Times New Roman"/>
          <w:b/>
          <w:bCs/>
          <w:color w:val="auto"/>
          <w:kern w:val="0"/>
          <w:szCs w:val="21"/>
          <w:highlight w:val="none"/>
          <w:lang w:val="en-US" w:eastAsia="zh-CN"/>
        </w:rPr>
      </w:pPr>
      <w:r>
        <w:rPr>
          <w:rFonts w:hint="eastAsia" w:ascii="Times New Roman" w:hAnsi="Times New Roman" w:eastAsia="宋体" w:cs="Times New Roman"/>
          <w:b/>
          <w:bCs/>
          <w:color w:val="auto"/>
          <w:kern w:val="0"/>
          <w:szCs w:val="21"/>
          <w:highlight w:val="none"/>
          <w:lang w:val="en-US" w:eastAsia="zh-CN"/>
        </w:rPr>
        <w:t>六、付款方式</w:t>
      </w:r>
    </w:p>
    <w:p w14:paraId="251BA1C1">
      <w:pPr>
        <w:keepNext/>
        <w:keepLines/>
        <w:adjustRightInd w:val="0"/>
        <w:spacing w:line="360" w:lineRule="auto"/>
        <w:ind w:firstLine="420" w:firstLineChars="200"/>
        <w:jc w:val="left"/>
        <w:textAlignment w:val="baseline"/>
        <w:outlineLvl w:val="9"/>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1.付款人：湖南科技学院</w:t>
      </w:r>
    </w:p>
    <w:p w14:paraId="3FCA7CBC">
      <w:pPr>
        <w:keepNext/>
        <w:keepLines/>
        <w:adjustRightInd w:val="0"/>
        <w:spacing w:line="360" w:lineRule="auto"/>
        <w:ind w:firstLine="420" w:firstLineChars="200"/>
        <w:jc w:val="left"/>
        <w:textAlignment w:val="baseline"/>
        <w:outlineLvl w:val="9"/>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付款方式：工程竣工验收合格后甲方支付至合同总价款的30%；湖南省财政投资评审中心对本项目评审结果或第三方具备资质的评审机构出具后，甲方支付至工程结算总价款的97%，剩余3%作为本项目的质保金。质保期满无质量问题的，质保金不计息一次性支付。每次付款前乙方必须提供合法有效的完税发票。</w:t>
      </w:r>
    </w:p>
    <w:p w14:paraId="24F683AA">
      <w:pPr>
        <w:widowControl w:val="0"/>
        <w:adjustRightInd w:val="0"/>
        <w:spacing w:line="360" w:lineRule="atLeast"/>
        <w:ind w:firstLine="420"/>
        <w:jc w:val="both"/>
        <w:textAlignment w:val="baseline"/>
        <w:rPr>
          <w:rFonts w:hint="eastAsia" w:ascii="Times New Roman" w:hAnsi="Times New Roman" w:eastAsia="宋体" w:cs="Times New Roman"/>
          <w:color w:val="auto"/>
          <w:kern w:val="2"/>
          <w:sz w:val="21"/>
          <w:szCs w:val="20"/>
          <w:highlight w:val="none"/>
          <w:lang w:val="en-US" w:eastAsia="zh-CN" w:bidi="ar-SA"/>
        </w:rPr>
      </w:pPr>
    </w:p>
    <w:p w14:paraId="29832DF4">
      <w:pPr>
        <w:spacing w:line="360" w:lineRule="auto"/>
        <w:ind w:firstLine="369" w:firstLineChars="175"/>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注：1、对于本章上述项目要求，供应商应在响应文件中进行回应，作出承诺及说明。</w:t>
      </w:r>
    </w:p>
    <w:p w14:paraId="20D8593E">
      <w:pPr>
        <w:spacing w:line="360" w:lineRule="auto"/>
        <w:ind w:firstLine="791" w:firstLineChars="375"/>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2、本项目技术、服务、合同条款等，在磋商过程中均可能产生实质性变动。</w:t>
      </w:r>
    </w:p>
    <w:p w14:paraId="57012AA3">
      <w:pPr>
        <w:spacing w:line="360" w:lineRule="auto"/>
        <w:ind w:firstLine="791" w:firstLineChars="375"/>
        <w:rPr>
          <w:rFonts w:hint="eastAsia"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3</w:t>
      </w:r>
      <w:r>
        <w:rPr>
          <w:rFonts w:hint="eastAsia" w:ascii="Times New Roman" w:hAnsi="Times New Roman" w:eastAsia="宋体" w:cs="Times New Roman"/>
          <w:b/>
          <w:bCs/>
          <w:color w:val="auto"/>
          <w:szCs w:val="21"/>
          <w:highlight w:val="none"/>
        </w:rPr>
        <w:t>、竞争性磋商文件中如所列文件与最新出台的文件有冲突，按最新文件执行。</w:t>
      </w:r>
    </w:p>
    <w:p w14:paraId="65DFD4A4">
      <w:pPr>
        <w:spacing w:line="360" w:lineRule="auto"/>
        <w:ind w:firstLine="791" w:firstLineChars="375"/>
        <w:rPr>
          <w:rFonts w:hint="eastAsia" w:ascii="宋体" w:hAnsi="宋体" w:cs="宋体"/>
          <w:b/>
          <w:bCs/>
          <w:color w:val="auto"/>
          <w:kern w:val="0"/>
          <w:szCs w:val="21"/>
          <w:highlight w:val="none"/>
          <w:lang w:val="en-US" w:eastAsia="zh-CN"/>
        </w:rPr>
      </w:pPr>
      <w:r>
        <w:rPr>
          <w:rFonts w:hint="eastAsia" w:ascii="Times New Roman" w:hAnsi="Times New Roman" w:eastAsia="宋体" w:cs="Times New Roman"/>
          <w:b/>
          <w:bCs/>
          <w:color w:val="auto"/>
          <w:szCs w:val="21"/>
          <w:highlight w:val="none"/>
          <w:lang w:val="en-US" w:eastAsia="zh-CN"/>
        </w:rPr>
        <w:t>4、</w:t>
      </w:r>
      <w:r>
        <w:rPr>
          <w:rFonts w:hint="eastAsia" w:ascii="宋体" w:hAnsi="宋体" w:eastAsia="宋体" w:cs="宋体"/>
          <w:b/>
          <w:bCs/>
          <w:color w:val="auto"/>
          <w:kern w:val="0"/>
          <w:szCs w:val="21"/>
          <w:highlight w:val="none"/>
          <w:lang w:val="en-US" w:eastAsia="zh-CN"/>
        </w:rPr>
        <w:t>以上内容与发布的工程量清单内容有冲突的，以工程量清单为准</w:t>
      </w:r>
      <w:r>
        <w:rPr>
          <w:rFonts w:hint="eastAsia" w:ascii="宋体" w:hAnsi="宋体" w:eastAsia="宋体" w:cs="宋体"/>
          <w:b/>
          <w:bCs/>
          <w:color w:val="auto"/>
          <w:kern w:val="0"/>
          <w:szCs w:val="21"/>
          <w:highlight w:val="none"/>
        </w:rPr>
        <w:t>。</w:t>
      </w:r>
    </w:p>
    <w:p w14:paraId="692D37E3">
      <w:pPr>
        <w:rPr>
          <w:rFonts w:ascii="仿宋" w:hAnsi="仿宋" w:eastAsia="仿宋"/>
          <w:color w:val="auto"/>
          <w:sz w:val="24"/>
          <w:highlight w:val="none"/>
        </w:rPr>
      </w:pPr>
    </w:p>
    <w:p w14:paraId="481556BA">
      <w:pPr>
        <w:pStyle w:val="34"/>
        <w:rPr>
          <w:rFonts w:ascii="仿宋" w:hAnsi="仿宋" w:eastAsia="仿宋"/>
          <w:color w:val="auto"/>
          <w:sz w:val="24"/>
          <w:highlight w:val="none"/>
        </w:rPr>
      </w:pPr>
    </w:p>
    <w:p w14:paraId="13F13DAB">
      <w:pPr>
        <w:pStyle w:val="34"/>
        <w:rPr>
          <w:color w:val="auto"/>
          <w:highlight w:val="none"/>
        </w:rPr>
      </w:pPr>
    </w:p>
    <w:p w14:paraId="4AA9981F">
      <w:pPr>
        <w:spacing w:line="360" w:lineRule="auto"/>
        <w:rPr>
          <w:rFonts w:hint="eastAsia" w:cs="宋体" w:asciiTheme="majorEastAsia" w:hAnsiTheme="majorEastAsia" w:eastAsiaTheme="majorEastAsia"/>
          <w:bCs/>
          <w:color w:val="000000" w:themeColor="text1"/>
          <w:kern w:val="0"/>
          <w:sz w:val="28"/>
          <w:szCs w:val="28"/>
          <w14:textFill>
            <w14:solidFill>
              <w14:schemeClr w14:val="tx1"/>
            </w14:solidFill>
          </w14:textFill>
        </w:rPr>
      </w:pPr>
      <w:bookmarkStart w:id="129" w:name="_Toc7267"/>
      <w:bookmarkStart w:id="130" w:name="_Toc31040"/>
    </w:p>
    <w:p w14:paraId="01FC0B62">
      <w:pPr>
        <w:pStyle w:val="5"/>
        <w:bidi w:val="0"/>
        <w:jc w:val="center"/>
        <w:rPr>
          <w:rFonts w:hint="eastAsia"/>
          <w:color w:val="auto"/>
          <w:highlight w:val="none"/>
          <w:lang w:val="en-US" w:eastAsia="zh-CN"/>
        </w:rPr>
      </w:pPr>
      <w:bookmarkStart w:id="131" w:name="_Toc25374"/>
      <w:bookmarkStart w:id="132" w:name="_Toc5323_WPSOffice_Level1"/>
      <w:bookmarkStart w:id="133" w:name="_Toc10966_WPSOffice_Level1"/>
      <w:bookmarkStart w:id="134" w:name="_Toc18732_WPSOffice_Level1"/>
      <w:r>
        <w:rPr>
          <w:rFonts w:hint="eastAsia"/>
          <w:color w:val="auto"/>
          <w:highlight w:val="none"/>
          <w:lang w:val="en-US" w:eastAsia="zh-CN"/>
        </w:rPr>
        <w:t>第五章 响应文件组成</w:t>
      </w:r>
      <w:bookmarkEnd w:id="131"/>
      <w:bookmarkEnd w:id="132"/>
      <w:bookmarkEnd w:id="133"/>
      <w:bookmarkEnd w:id="134"/>
    </w:p>
    <w:p w14:paraId="0B9E6F72">
      <w:pPr>
        <w:spacing w:line="360" w:lineRule="auto"/>
        <w:rPr>
          <w:rFonts w:ascii="宋体" w:hAnsi="宋体"/>
          <w:color w:val="auto"/>
          <w:highlight w:val="none"/>
        </w:rPr>
      </w:pPr>
    </w:p>
    <w:p w14:paraId="2049DA37">
      <w:pPr>
        <w:spacing w:line="360" w:lineRule="auto"/>
        <w:rPr>
          <w:rFonts w:ascii="宋体" w:hAnsi="宋体"/>
          <w:color w:val="auto"/>
          <w:highlight w:val="none"/>
        </w:rPr>
      </w:pPr>
      <w:r>
        <w:rPr>
          <w:rFonts w:hint="eastAsia" w:ascii="宋体" w:hAnsi="宋体"/>
          <w:color w:val="auto"/>
          <w:highlight w:val="none"/>
        </w:rPr>
        <w:t>供应商的响应文件应包含以下部分：</w:t>
      </w:r>
    </w:p>
    <w:p w14:paraId="2DA6C2A0">
      <w:pPr>
        <w:pStyle w:val="6"/>
        <w:bidi w:val="0"/>
        <w:rPr>
          <w:rFonts w:ascii="宋体" w:hAnsi="宋体"/>
          <w:b/>
          <w:color w:val="auto"/>
          <w:szCs w:val="21"/>
          <w:highlight w:val="none"/>
        </w:rPr>
      </w:pPr>
      <w:r>
        <w:rPr>
          <w:rFonts w:hint="eastAsia" w:ascii="Arial" w:hAnsi="Arial" w:eastAsia="宋体" w:cs="Times New Roman"/>
          <w:b/>
          <w:bCs/>
          <w:color w:val="auto"/>
          <w:kern w:val="2"/>
          <w:sz w:val="24"/>
          <w:szCs w:val="32"/>
          <w:highlight w:val="none"/>
          <w:lang w:val="en-US" w:eastAsia="zh-CN" w:bidi="ar-SA"/>
        </w:rPr>
        <w:t>一</w:t>
      </w:r>
      <w:r>
        <w:rPr>
          <w:rFonts w:hint="eastAsia" w:ascii="宋体" w:hAnsi="宋体"/>
          <w:b/>
          <w:color w:val="auto"/>
          <w:szCs w:val="21"/>
          <w:highlight w:val="none"/>
        </w:rPr>
        <w:t>、磋商响应声明</w:t>
      </w:r>
      <w:bookmarkEnd w:id="129"/>
      <w:bookmarkEnd w:id="130"/>
    </w:p>
    <w:p w14:paraId="38EE3AC5">
      <w:pPr>
        <w:pStyle w:val="13"/>
        <w:adjustRightInd w:val="0"/>
        <w:snapToGrid w:val="0"/>
        <w:spacing w:line="360" w:lineRule="auto"/>
        <w:ind w:firstLine="420" w:firstLineChars="200"/>
        <w:rPr>
          <w:rFonts w:ascii="宋体" w:hAnsi="宋体"/>
          <w:color w:val="auto"/>
          <w:szCs w:val="21"/>
          <w:highlight w:val="none"/>
        </w:rPr>
      </w:pPr>
      <w:bookmarkStart w:id="135" w:name="_Toc32536"/>
      <w:bookmarkStart w:id="136" w:name="_Toc6647"/>
      <w:r>
        <w:rPr>
          <w:rFonts w:hint="eastAsia" w:ascii="宋体" w:hAnsi="宋体"/>
          <w:color w:val="auto"/>
          <w:szCs w:val="21"/>
          <w:highlight w:val="none"/>
        </w:rPr>
        <w:t>附件1-1 法定代表人身份证明</w:t>
      </w:r>
      <w:bookmarkEnd w:id="135"/>
      <w:bookmarkEnd w:id="136"/>
    </w:p>
    <w:p w14:paraId="30C80AED">
      <w:pPr>
        <w:pStyle w:val="13"/>
        <w:adjustRightInd w:val="0"/>
        <w:snapToGrid w:val="0"/>
        <w:spacing w:line="360" w:lineRule="auto"/>
        <w:ind w:firstLine="420" w:firstLineChars="200"/>
        <w:rPr>
          <w:rFonts w:ascii="宋体" w:hAnsi="宋体"/>
          <w:color w:val="auto"/>
          <w:szCs w:val="21"/>
          <w:highlight w:val="none"/>
        </w:rPr>
      </w:pPr>
      <w:bookmarkStart w:id="137" w:name="_Toc7238"/>
      <w:bookmarkStart w:id="138" w:name="_Toc18943"/>
      <w:r>
        <w:rPr>
          <w:rFonts w:hint="eastAsia" w:ascii="宋体" w:hAnsi="宋体"/>
          <w:color w:val="auto"/>
          <w:szCs w:val="21"/>
          <w:highlight w:val="none"/>
        </w:rPr>
        <w:t>附件1-2 法定代表人授权委托书</w:t>
      </w:r>
      <w:bookmarkEnd w:id="137"/>
      <w:bookmarkEnd w:id="138"/>
    </w:p>
    <w:p w14:paraId="0B20C060">
      <w:pPr>
        <w:pStyle w:val="13"/>
        <w:adjustRightInd w:val="0"/>
        <w:snapToGrid w:val="0"/>
        <w:spacing w:line="360" w:lineRule="auto"/>
        <w:ind w:firstLine="420" w:firstLineChars="200"/>
        <w:rPr>
          <w:rFonts w:ascii="宋体" w:hAnsi="宋体"/>
          <w:color w:val="auto"/>
          <w:szCs w:val="21"/>
          <w:highlight w:val="none"/>
        </w:rPr>
      </w:pPr>
      <w:bookmarkStart w:id="139" w:name="_Toc30345"/>
      <w:bookmarkStart w:id="140" w:name="_Toc4302"/>
      <w:r>
        <w:rPr>
          <w:rFonts w:hint="eastAsia" w:ascii="宋体" w:hAnsi="宋体"/>
          <w:color w:val="auto"/>
          <w:szCs w:val="21"/>
          <w:highlight w:val="none"/>
        </w:rPr>
        <w:t>附件2：工程质量保修书</w:t>
      </w:r>
      <w:bookmarkEnd w:id="139"/>
      <w:bookmarkEnd w:id="140"/>
    </w:p>
    <w:p w14:paraId="133F0E28">
      <w:pPr>
        <w:pStyle w:val="6"/>
        <w:bidi w:val="0"/>
        <w:rPr>
          <w:rFonts w:ascii="宋体" w:hAnsi="宋体"/>
          <w:b/>
          <w:color w:val="auto"/>
          <w:szCs w:val="21"/>
          <w:highlight w:val="none"/>
        </w:rPr>
      </w:pPr>
      <w:bookmarkStart w:id="141" w:name="_Toc1049"/>
      <w:bookmarkStart w:id="142" w:name="_Toc22668"/>
      <w:r>
        <w:rPr>
          <w:rFonts w:hint="eastAsia" w:ascii="宋体" w:hAnsi="宋体"/>
          <w:b/>
          <w:color w:val="auto"/>
          <w:szCs w:val="21"/>
          <w:highlight w:val="none"/>
        </w:rPr>
        <w:t>二、保证金</w:t>
      </w:r>
      <w:bookmarkEnd w:id="141"/>
      <w:bookmarkEnd w:id="142"/>
    </w:p>
    <w:p w14:paraId="47347A21">
      <w:pPr>
        <w:pStyle w:val="6"/>
        <w:bidi w:val="0"/>
        <w:rPr>
          <w:rFonts w:ascii="宋体" w:hAnsi="宋体"/>
          <w:b/>
          <w:color w:val="auto"/>
          <w:szCs w:val="21"/>
          <w:highlight w:val="none"/>
        </w:rPr>
      </w:pPr>
      <w:bookmarkStart w:id="143" w:name="_Toc3469"/>
      <w:bookmarkStart w:id="144" w:name="_Toc11716"/>
      <w:r>
        <w:rPr>
          <w:rFonts w:hint="eastAsia" w:ascii="宋体" w:hAnsi="宋体"/>
          <w:b/>
          <w:color w:val="auto"/>
          <w:szCs w:val="21"/>
          <w:highlight w:val="none"/>
        </w:rPr>
        <w:t>三、供应商的资格证明资料</w:t>
      </w:r>
      <w:bookmarkEnd w:id="143"/>
      <w:bookmarkEnd w:id="144"/>
    </w:p>
    <w:p w14:paraId="61AC8384">
      <w:pPr>
        <w:pStyle w:val="13"/>
        <w:adjustRightInd w:val="0"/>
        <w:snapToGrid w:val="0"/>
        <w:spacing w:line="360" w:lineRule="auto"/>
        <w:ind w:firstLine="420" w:firstLineChars="200"/>
        <w:rPr>
          <w:rFonts w:ascii="宋体" w:hAnsi="宋体"/>
          <w:color w:val="auto"/>
          <w:szCs w:val="21"/>
          <w:highlight w:val="none"/>
        </w:rPr>
      </w:pPr>
      <w:bookmarkStart w:id="145" w:name="_Toc5403"/>
      <w:bookmarkStart w:id="146" w:name="_Toc22032"/>
      <w:r>
        <w:rPr>
          <w:rFonts w:hint="eastAsia" w:ascii="宋体" w:hAnsi="宋体"/>
          <w:color w:val="auto"/>
          <w:szCs w:val="21"/>
          <w:highlight w:val="none"/>
        </w:rPr>
        <w:t>附件3-1 供应商基本情况表</w:t>
      </w:r>
      <w:bookmarkEnd w:id="145"/>
      <w:bookmarkEnd w:id="146"/>
    </w:p>
    <w:p w14:paraId="706347A8">
      <w:pPr>
        <w:pStyle w:val="13"/>
        <w:adjustRightInd w:val="0"/>
        <w:snapToGrid w:val="0"/>
        <w:spacing w:line="360" w:lineRule="auto"/>
        <w:ind w:firstLine="420" w:firstLineChars="200"/>
        <w:rPr>
          <w:rFonts w:ascii="宋体" w:hAnsi="宋体"/>
          <w:color w:val="auto"/>
          <w:szCs w:val="21"/>
          <w:highlight w:val="none"/>
        </w:rPr>
      </w:pPr>
      <w:bookmarkStart w:id="147" w:name="_Toc9132"/>
      <w:bookmarkStart w:id="148" w:name="_Toc7538"/>
      <w:r>
        <w:rPr>
          <w:rFonts w:hint="eastAsia" w:ascii="宋体" w:hAnsi="宋体"/>
          <w:color w:val="auto"/>
          <w:szCs w:val="21"/>
          <w:highlight w:val="none"/>
        </w:rPr>
        <w:t>附件3-2 磋商文件规定的基本资格条件证明资料</w:t>
      </w:r>
      <w:bookmarkEnd w:id="147"/>
      <w:bookmarkEnd w:id="148"/>
    </w:p>
    <w:p w14:paraId="0716705A">
      <w:pPr>
        <w:pStyle w:val="13"/>
        <w:adjustRightInd w:val="0"/>
        <w:snapToGrid w:val="0"/>
        <w:spacing w:line="360" w:lineRule="auto"/>
        <w:ind w:firstLine="420" w:firstLineChars="200"/>
        <w:rPr>
          <w:rFonts w:ascii="宋体" w:hAnsi="宋体"/>
          <w:color w:val="auto"/>
          <w:szCs w:val="21"/>
          <w:highlight w:val="none"/>
        </w:rPr>
      </w:pPr>
      <w:bookmarkStart w:id="149" w:name="_Toc13805"/>
      <w:bookmarkStart w:id="150" w:name="_Toc32118"/>
      <w:r>
        <w:rPr>
          <w:rFonts w:hint="eastAsia" w:ascii="宋体" w:hAnsi="宋体"/>
          <w:color w:val="auto"/>
          <w:szCs w:val="21"/>
          <w:highlight w:val="none"/>
        </w:rPr>
        <w:t>附件3-3 磋商文件规定的特定资格条件证明资料</w:t>
      </w:r>
      <w:bookmarkEnd w:id="149"/>
      <w:bookmarkEnd w:id="150"/>
    </w:p>
    <w:p w14:paraId="507B42BF">
      <w:pPr>
        <w:pStyle w:val="13"/>
        <w:adjustRightInd w:val="0"/>
        <w:snapToGrid w:val="0"/>
        <w:spacing w:line="360" w:lineRule="auto"/>
        <w:ind w:firstLine="420" w:firstLineChars="200"/>
        <w:rPr>
          <w:rFonts w:hint="eastAsia" w:ascii="宋体" w:hAnsi="宋体"/>
          <w:bCs/>
          <w:color w:val="auto"/>
          <w:szCs w:val="21"/>
          <w:highlight w:val="none"/>
        </w:rPr>
      </w:pPr>
      <w:bookmarkStart w:id="151" w:name="_Toc21066"/>
      <w:bookmarkStart w:id="152" w:name="_Toc16401"/>
      <w:r>
        <w:rPr>
          <w:rFonts w:hint="eastAsia" w:ascii="宋体" w:hAnsi="宋体"/>
          <w:bCs/>
          <w:color w:val="auto"/>
          <w:szCs w:val="21"/>
          <w:highlight w:val="none"/>
        </w:rPr>
        <w:t>附件3-</w:t>
      </w:r>
      <w:r>
        <w:rPr>
          <w:rFonts w:hint="eastAsia" w:ascii="宋体" w:hAnsi="宋体"/>
          <w:bCs/>
          <w:color w:val="auto"/>
          <w:szCs w:val="21"/>
          <w:highlight w:val="none"/>
          <w:lang w:val="en-US" w:eastAsia="zh-CN"/>
        </w:rPr>
        <w:t>5</w:t>
      </w:r>
      <w:r>
        <w:rPr>
          <w:rFonts w:hint="eastAsia" w:ascii="宋体" w:hAnsi="宋体"/>
          <w:bCs/>
          <w:color w:val="auto"/>
          <w:szCs w:val="21"/>
          <w:highlight w:val="none"/>
        </w:rPr>
        <w:t xml:space="preserve"> </w:t>
      </w:r>
      <w:r>
        <w:rPr>
          <w:rFonts w:hint="eastAsia" w:ascii="宋体" w:hAnsi="宋体"/>
          <w:bCs/>
          <w:color w:val="auto"/>
          <w:szCs w:val="21"/>
          <w:highlight w:val="none"/>
          <w:lang w:val="en-US" w:eastAsia="zh-CN"/>
        </w:rPr>
        <w:t>承诺函</w:t>
      </w:r>
      <w:bookmarkEnd w:id="151"/>
      <w:bookmarkEnd w:id="152"/>
    </w:p>
    <w:p w14:paraId="5C4578DF">
      <w:pPr>
        <w:pStyle w:val="13"/>
        <w:adjustRightInd w:val="0"/>
        <w:snapToGrid w:val="0"/>
        <w:spacing w:line="360" w:lineRule="auto"/>
        <w:ind w:firstLine="420" w:firstLineChars="200"/>
        <w:rPr>
          <w:color w:val="auto"/>
          <w:highlight w:val="none"/>
        </w:rPr>
      </w:pPr>
      <w:bookmarkStart w:id="153" w:name="_Toc9994"/>
      <w:bookmarkStart w:id="154" w:name="_Toc30391"/>
      <w:r>
        <w:rPr>
          <w:rFonts w:hint="eastAsia" w:ascii="宋体" w:hAnsi="宋体"/>
          <w:bCs/>
          <w:color w:val="auto"/>
          <w:szCs w:val="21"/>
          <w:highlight w:val="none"/>
        </w:rPr>
        <w:t>附件3-</w:t>
      </w:r>
      <w:r>
        <w:rPr>
          <w:rFonts w:hint="eastAsia" w:ascii="宋体" w:hAnsi="宋体"/>
          <w:bCs/>
          <w:color w:val="auto"/>
          <w:szCs w:val="21"/>
          <w:highlight w:val="none"/>
          <w:lang w:val="en-US" w:eastAsia="zh-CN"/>
        </w:rPr>
        <w:t>5</w:t>
      </w:r>
      <w:r>
        <w:rPr>
          <w:rFonts w:hint="eastAsia" w:ascii="宋体" w:hAnsi="宋体"/>
          <w:bCs/>
          <w:color w:val="auto"/>
          <w:szCs w:val="21"/>
          <w:highlight w:val="none"/>
        </w:rPr>
        <w:t xml:space="preserve"> 其他说明</w:t>
      </w:r>
      <w:bookmarkEnd w:id="153"/>
      <w:bookmarkEnd w:id="154"/>
    </w:p>
    <w:p w14:paraId="43D707C6">
      <w:pPr>
        <w:pStyle w:val="6"/>
        <w:bidi w:val="0"/>
        <w:rPr>
          <w:rFonts w:hAnsi="宋体"/>
          <w:b/>
          <w:color w:val="auto"/>
          <w:highlight w:val="none"/>
        </w:rPr>
      </w:pPr>
      <w:r>
        <w:rPr>
          <w:rFonts w:hint="eastAsia" w:hAnsi="宋体"/>
          <w:b/>
          <w:color w:val="auto"/>
          <w:highlight w:val="none"/>
        </w:rPr>
        <w:t>四、施工方案说明</w:t>
      </w:r>
    </w:p>
    <w:p w14:paraId="5F809B51">
      <w:pPr>
        <w:pStyle w:val="13"/>
        <w:adjustRightInd w:val="0"/>
        <w:snapToGrid w:val="0"/>
        <w:spacing w:line="360" w:lineRule="auto"/>
        <w:ind w:firstLine="435"/>
        <w:rPr>
          <w:rFonts w:hAnsi="宋体"/>
          <w:color w:val="auto"/>
          <w:highlight w:val="none"/>
        </w:rPr>
      </w:pPr>
      <w:r>
        <w:rPr>
          <w:rFonts w:hint="eastAsia" w:hAnsi="宋体"/>
          <w:color w:val="auto"/>
          <w:highlight w:val="none"/>
        </w:rPr>
        <w:t>附件4-1 施工方案说明</w:t>
      </w:r>
    </w:p>
    <w:p w14:paraId="7B95E4EA">
      <w:pPr>
        <w:pStyle w:val="13"/>
        <w:adjustRightInd w:val="0"/>
        <w:snapToGrid w:val="0"/>
        <w:spacing w:line="360" w:lineRule="auto"/>
        <w:ind w:firstLine="435"/>
        <w:rPr>
          <w:rFonts w:hAnsi="宋体"/>
          <w:b/>
          <w:color w:val="auto"/>
          <w:highlight w:val="none"/>
        </w:rPr>
      </w:pPr>
      <w:r>
        <w:rPr>
          <w:rFonts w:hint="eastAsia" w:hAnsi="宋体"/>
          <w:color w:val="auto"/>
          <w:highlight w:val="none"/>
        </w:rPr>
        <w:t>附件4-2 主要人员简历表</w:t>
      </w:r>
    </w:p>
    <w:p w14:paraId="06FE76D5">
      <w:pPr>
        <w:pStyle w:val="6"/>
        <w:bidi w:val="0"/>
        <w:rPr>
          <w:rFonts w:ascii="宋体" w:hAnsi="宋体"/>
          <w:b/>
          <w:color w:val="auto"/>
          <w:highlight w:val="none"/>
        </w:rPr>
      </w:pPr>
      <w:r>
        <w:rPr>
          <w:rFonts w:hint="eastAsia" w:ascii="宋体" w:hAnsi="宋体"/>
          <w:b/>
          <w:color w:val="auto"/>
          <w:highlight w:val="none"/>
        </w:rPr>
        <w:t>五、技术/商务响应与偏离表</w:t>
      </w:r>
    </w:p>
    <w:p w14:paraId="3B829928">
      <w:pPr>
        <w:pStyle w:val="6"/>
        <w:bidi w:val="0"/>
        <w:rPr>
          <w:rFonts w:hAnsi="宋体"/>
          <w:b/>
          <w:color w:val="auto"/>
          <w:highlight w:val="none"/>
        </w:rPr>
      </w:pPr>
      <w:r>
        <w:rPr>
          <w:rFonts w:hint="eastAsia" w:hAnsi="宋体"/>
          <w:b/>
          <w:color w:val="auto"/>
          <w:highlight w:val="none"/>
        </w:rPr>
        <w:t>六、报价一览表及报价文件</w:t>
      </w:r>
    </w:p>
    <w:p w14:paraId="00CD6047">
      <w:pPr>
        <w:pStyle w:val="13"/>
        <w:adjustRightInd w:val="0"/>
        <w:snapToGrid w:val="0"/>
        <w:spacing w:line="360" w:lineRule="auto"/>
        <w:ind w:firstLine="435"/>
        <w:rPr>
          <w:rFonts w:hAnsi="宋体"/>
          <w:color w:val="auto"/>
          <w:highlight w:val="none"/>
        </w:rPr>
      </w:pPr>
      <w:r>
        <w:rPr>
          <w:rFonts w:hint="eastAsia" w:hAnsi="宋体"/>
          <w:color w:val="auto"/>
          <w:highlight w:val="none"/>
        </w:rPr>
        <w:t>附件4-1 报价一览表</w:t>
      </w:r>
    </w:p>
    <w:p w14:paraId="3539E4C1">
      <w:pPr>
        <w:pStyle w:val="13"/>
        <w:adjustRightInd w:val="0"/>
        <w:snapToGrid w:val="0"/>
        <w:spacing w:line="360" w:lineRule="auto"/>
        <w:ind w:firstLine="435"/>
        <w:rPr>
          <w:rFonts w:hAnsi="宋体"/>
          <w:b/>
          <w:color w:val="auto"/>
          <w:highlight w:val="none"/>
        </w:rPr>
      </w:pPr>
      <w:r>
        <w:rPr>
          <w:rFonts w:hint="eastAsia" w:hAnsi="宋体"/>
          <w:color w:val="auto"/>
          <w:highlight w:val="none"/>
        </w:rPr>
        <w:t>附件4-2 分项报价表</w:t>
      </w:r>
    </w:p>
    <w:p w14:paraId="561A71D7">
      <w:pPr>
        <w:pStyle w:val="6"/>
        <w:bidi w:val="0"/>
        <w:rPr>
          <w:rFonts w:hAnsi="宋体"/>
          <w:b/>
          <w:color w:val="auto"/>
          <w:highlight w:val="none"/>
        </w:rPr>
      </w:pPr>
      <w:r>
        <w:rPr>
          <w:rFonts w:hint="eastAsia" w:hAnsi="宋体"/>
          <w:b/>
          <w:color w:val="auto"/>
          <w:highlight w:val="none"/>
        </w:rPr>
        <w:t>七、提供享受政府采购政策优惠的证明资料和清单表</w:t>
      </w:r>
    </w:p>
    <w:p w14:paraId="6C1E3F82">
      <w:pPr>
        <w:pStyle w:val="13"/>
        <w:adjustRightInd w:val="0"/>
        <w:snapToGrid w:val="0"/>
        <w:spacing w:line="360" w:lineRule="auto"/>
        <w:ind w:firstLine="420" w:firstLineChars="200"/>
        <w:rPr>
          <w:rFonts w:hint="eastAsia" w:ascii="宋体" w:hAnsi="宋体"/>
          <w:color w:val="auto"/>
          <w:szCs w:val="21"/>
          <w:highlight w:val="none"/>
        </w:rPr>
      </w:pPr>
      <w:bookmarkStart w:id="155" w:name="_Toc23566"/>
      <w:bookmarkStart w:id="156" w:name="_Toc18869"/>
      <w:r>
        <w:rPr>
          <w:rFonts w:hint="eastAsia" w:ascii="宋体" w:hAnsi="宋体"/>
          <w:color w:val="auto"/>
          <w:szCs w:val="21"/>
          <w:highlight w:val="none"/>
        </w:rPr>
        <w:t>附件7-</w:t>
      </w:r>
      <w:r>
        <w:rPr>
          <w:rFonts w:hint="eastAsia" w:ascii="宋体" w:hAnsi="宋体"/>
          <w:color w:val="auto"/>
          <w:szCs w:val="21"/>
          <w:highlight w:val="none"/>
          <w:lang w:val="en-US" w:eastAsia="zh-CN"/>
        </w:rPr>
        <w:t>1中小企业</w:t>
      </w:r>
      <w:r>
        <w:rPr>
          <w:rFonts w:hint="eastAsia" w:ascii="宋体" w:hAnsi="宋体"/>
          <w:color w:val="auto"/>
          <w:szCs w:val="21"/>
          <w:highlight w:val="none"/>
        </w:rPr>
        <w:t>声明函</w:t>
      </w:r>
      <w:bookmarkEnd w:id="155"/>
    </w:p>
    <w:p w14:paraId="1542CFE7">
      <w:pPr>
        <w:pStyle w:val="13"/>
        <w:adjustRightInd w:val="0"/>
        <w:snapToGrid w:val="0"/>
        <w:spacing w:line="360" w:lineRule="auto"/>
        <w:ind w:firstLine="420" w:firstLineChars="200"/>
        <w:rPr>
          <w:rFonts w:ascii="宋体" w:hAnsi="宋体"/>
          <w:color w:val="auto"/>
          <w:szCs w:val="21"/>
          <w:highlight w:val="none"/>
        </w:rPr>
      </w:pPr>
      <w:bookmarkStart w:id="157" w:name="_Toc13984"/>
      <w:r>
        <w:rPr>
          <w:rFonts w:hint="eastAsia" w:ascii="宋体" w:hAnsi="宋体"/>
          <w:color w:val="auto"/>
          <w:szCs w:val="21"/>
          <w:highlight w:val="none"/>
        </w:rPr>
        <w:t>附件7-</w:t>
      </w:r>
      <w:r>
        <w:rPr>
          <w:rFonts w:hint="eastAsia" w:ascii="宋体" w:hAnsi="宋体"/>
          <w:color w:val="auto"/>
          <w:szCs w:val="21"/>
          <w:highlight w:val="none"/>
          <w:lang w:val="en-US" w:eastAsia="zh-CN"/>
        </w:rPr>
        <w:t>2</w:t>
      </w:r>
      <w:r>
        <w:rPr>
          <w:rFonts w:hint="eastAsia" w:ascii="宋体" w:hAnsi="宋体"/>
          <w:color w:val="auto"/>
          <w:szCs w:val="21"/>
          <w:highlight w:val="none"/>
        </w:rPr>
        <w:t xml:space="preserve"> 残疾人福利性单位声明函</w:t>
      </w:r>
      <w:bookmarkEnd w:id="156"/>
      <w:bookmarkEnd w:id="157"/>
    </w:p>
    <w:p w14:paraId="3E5FCE6F">
      <w:pPr>
        <w:pStyle w:val="13"/>
        <w:adjustRightInd w:val="0"/>
        <w:snapToGrid w:val="0"/>
        <w:spacing w:line="360" w:lineRule="auto"/>
        <w:ind w:firstLine="420" w:firstLineChars="200"/>
        <w:rPr>
          <w:rFonts w:ascii="宋体" w:hAnsi="宋体"/>
          <w:color w:val="auto"/>
          <w:szCs w:val="21"/>
          <w:highlight w:val="none"/>
        </w:rPr>
      </w:pPr>
      <w:bookmarkStart w:id="158" w:name="_Toc16344"/>
      <w:bookmarkStart w:id="159" w:name="_Toc28447"/>
      <w:r>
        <w:rPr>
          <w:rFonts w:hint="eastAsia" w:ascii="宋体" w:hAnsi="宋体"/>
          <w:color w:val="auto"/>
          <w:szCs w:val="21"/>
          <w:highlight w:val="none"/>
        </w:rPr>
        <w:t>附件7-</w:t>
      </w:r>
      <w:r>
        <w:rPr>
          <w:rFonts w:hint="eastAsia" w:ascii="宋体" w:hAnsi="宋体"/>
          <w:color w:val="auto"/>
          <w:szCs w:val="21"/>
          <w:highlight w:val="none"/>
          <w:lang w:val="en-US" w:eastAsia="zh-CN"/>
        </w:rPr>
        <w:t>3</w:t>
      </w:r>
      <w:r>
        <w:rPr>
          <w:rFonts w:hint="eastAsia" w:ascii="宋体" w:hAnsi="宋体"/>
          <w:color w:val="auto"/>
          <w:szCs w:val="21"/>
          <w:highlight w:val="none"/>
        </w:rPr>
        <w:t>监狱企业证明资料</w:t>
      </w:r>
      <w:bookmarkEnd w:id="158"/>
      <w:bookmarkEnd w:id="159"/>
    </w:p>
    <w:p w14:paraId="3895FEB7">
      <w:pPr>
        <w:pStyle w:val="13"/>
        <w:adjustRightInd w:val="0"/>
        <w:snapToGrid w:val="0"/>
        <w:spacing w:line="360" w:lineRule="auto"/>
        <w:ind w:firstLine="420" w:firstLineChars="200"/>
        <w:rPr>
          <w:rFonts w:ascii="宋体" w:hAnsi="宋体"/>
          <w:color w:val="auto"/>
          <w:szCs w:val="21"/>
          <w:highlight w:val="none"/>
        </w:rPr>
      </w:pPr>
      <w:bookmarkStart w:id="160" w:name="_Toc28505"/>
      <w:bookmarkStart w:id="161" w:name="_Toc23059"/>
      <w:r>
        <w:rPr>
          <w:rFonts w:hint="eastAsia" w:ascii="宋体" w:hAnsi="宋体"/>
          <w:color w:val="auto"/>
          <w:szCs w:val="21"/>
          <w:highlight w:val="none"/>
        </w:rPr>
        <w:t>附件7-</w:t>
      </w:r>
      <w:r>
        <w:rPr>
          <w:rFonts w:hint="eastAsia" w:ascii="宋体" w:hAnsi="宋体"/>
          <w:color w:val="auto"/>
          <w:szCs w:val="21"/>
          <w:highlight w:val="none"/>
          <w:lang w:val="en-US" w:eastAsia="zh-CN"/>
        </w:rPr>
        <w:t>4</w:t>
      </w:r>
      <w:r>
        <w:rPr>
          <w:rFonts w:hint="eastAsia" w:ascii="宋体" w:hAnsi="宋体"/>
          <w:color w:val="auto"/>
          <w:szCs w:val="21"/>
          <w:highlight w:val="none"/>
        </w:rPr>
        <w:t xml:space="preserve"> 节能产品、环境标志产品的证明材料</w:t>
      </w:r>
      <w:bookmarkEnd w:id="160"/>
      <w:bookmarkEnd w:id="161"/>
    </w:p>
    <w:p w14:paraId="49B0A74E">
      <w:pPr>
        <w:pStyle w:val="13"/>
        <w:adjustRightInd w:val="0"/>
        <w:snapToGrid w:val="0"/>
        <w:spacing w:line="360" w:lineRule="auto"/>
        <w:ind w:firstLine="420" w:firstLineChars="200"/>
        <w:rPr>
          <w:rFonts w:ascii="宋体" w:hAnsi="宋体"/>
          <w:b/>
          <w:color w:val="auto"/>
          <w:szCs w:val="21"/>
          <w:highlight w:val="none"/>
        </w:rPr>
      </w:pPr>
      <w:bookmarkStart w:id="162" w:name="_Toc32137"/>
      <w:bookmarkStart w:id="163" w:name="_Toc15698"/>
      <w:r>
        <w:rPr>
          <w:rFonts w:hint="eastAsia" w:ascii="宋体" w:hAnsi="宋体" w:eastAsia="宋体"/>
          <w:color w:val="auto"/>
          <w:highlight w:val="none"/>
        </w:rPr>
        <w:t>附件</w:t>
      </w:r>
      <w:r>
        <w:rPr>
          <w:rFonts w:hint="eastAsia" w:ascii="宋体" w:hAnsi="宋体"/>
          <w:color w:val="auto"/>
          <w:szCs w:val="21"/>
          <w:highlight w:val="none"/>
        </w:rPr>
        <w:t>7-</w:t>
      </w:r>
      <w:r>
        <w:rPr>
          <w:rFonts w:hint="eastAsia" w:ascii="宋体" w:hAnsi="宋体"/>
          <w:color w:val="auto"/>
          <w:szCs w:val="21"/>
          <w:highlight w:val="none"/>
          <w:lang w:val="en-US" w:eastAsia="zh-CN"/>
        </w:rPr>
        <w:t>5</w:t>
      </w:r>
      <w:r>
        <w:rPr>
          <w:rFonts w:hint="eastAsia" w:ascii="宋体" w:hAnsi="宋体"/>
          <w:color w:val="auto"/>
          <w:szCs w:val="21"/>
          <w:highlight w:val="none"/>
        </w:rPr>
        <w:t xml:space="preserve"> 提供节能产品、环境标志产品清单</w:t>
      </w:r>
      <w:bookmarkEnd w:id="162"/>
      <w:bookmarkEnd w:id="163"/>
    </w:p>
    <w:p w14:paraId="089AABEC">
      <w:pPr>
        <w:pStyle w:val="6"/>
        <w:bidi w:val="0"/>
        <w:rPr>
          <w:rFonts w:hAnsi="宋体"/>
          <w:b/>
          <w:color w:val="auto"/>
          <w:highlight w:val="none"/>
        </w:rPr>
      </w:pPr>
      <w:r>
        <w:rPr>
          <w:rFonts w:hint="eastAsia" w:hAnsi="宋体"/>
          <w:b/>
          <w:color w:val="auto"/>
          <w:highlight w:val="none"/>
        </w:rPr>
        <w:t>八、供应商认为需提供的其它资料</w:t>
      </w:r>
    </w:p>
    <w:p w14:paraId="30003043">
      <w:pPr>
        <w:pStyle w:val="6"/>
        <w:bidi w:val="0"/>
        <w:rPr>
          <w:rFonts w:hAnsi="宋体"/>
          <w:b/>
          <w:color w:val="auto"/>
          <w:highlight w:val="none"/>
        </w:rPr>
      </w:pPr>
      <w:r>
        <w:rPr>
          <w:rFonts w:hint="eastAsia" w:eastAsia="宋体" w:cs="Times New Roman"/>
          <w:color w:val="auto"/>
          <w:highlight w:val="none"/>
        </w:rPr>
        <w:t>九</w:t>
      </w:r>
      <w:r>
        <w:rPr>
          <w:rFonts w:hint="eastAsia" w:hAnsi="宋体"/>
          <w:b/>
          <w:color w:val="auto"/>
          <w:highlight w:val="none"/>
        </w:rPr>
        <w:t>、最后报价</w:t>
      </w:r>
    </w:p>
    <w:p w14:paraId="20D9B090">
      <w:pPr>
        <w:pStyle w:val="13"/>
        <w:adjustRightInd w:val="0"/>
        <w:snapToGrid w:val="0"/>
        <w:spacing w:line="360" w:lineRule="auto"/>
        <w:ind w:firstLine="435"/>
        <w:rPr>
          <w:rFonts w:hAnsi="宋体"/>
          <w:color w:val="auto"/>
          <w:highlight w:val="none"/>
        </w:rPr>
      </w:pPr>
      <w:r>
        <w:rPr>
          <w:rFonts w:hint="eastAsia" w:hAnsi="宋体"/>
          <w:color w:val="auto"/>
          <w:highlight w:val="none"/>
        </w:rPr>
        <w:t>附件9-1 最后报价一览表</w:t>
      </w:r>
    </w:p>
    <w:p w14:paraId="41C32DF9">
      <w:pPr>
        <w:pStyle w:val="13"/>
        <w:adjustRightInd w:val="0"/>
        <w:snapToGrid w:val="0"/>
        <w:spacing w:line="360" w:lineRule="auto"/>
        <w:ind w:firstLine="435"/>
        <w:rPr>
          <w:rFonts w:hint="eastAsia" w:hAnsi="宋体"/>
          <w:color w:val="auto"/>
          <w:highlight w:val="none"/>
        </w:rPr>
      </w:pPr>
      <w:r>
        <w:rPr>
          <w:rFonts w:hint="eastAsia" w:hAnsi="宋体"/>
          <w:color w:val="auto"/>
          <w:highlight w:val="none"/>
        </w:rPr>
        <w:t>附件9-2 分项报价表</w:t>
      </w:r>
    </w:p>
    <w:p w14:paraId="4210FE52">
      <w:pPr>
        <w:adjustRightInd w:val="0"/>
        <w:snapToGrid w:val="0"/>
        <w:spacing w:line="360" w:lineRule="auto"/>
        <w:jc w:val="center"/>
        <w:outlineLvl w:val="0"/>
        <w:rPr>
          <w:rFonts w:ascii="宋体" w:hAnsi="宋体"/>
          <w:b/>
          <w:color w:val="auto"/>
          <w:sz w:val="30"/>
          <w:szCs w:val="30"/>
          <w:highlight w:val="none"/>
        </w:rPr>
      </w:pPr>
      <w:r>
        <w:rPr>
          <w:rFonts w:hint="eastAsia" w:hAnsi="宋体"/>
          <w:color w:val="auto"/>
          <w:highlight w:val="none"/>
        </w:rPr>
        <w:br w:type="page"/>
      </w:r>
      <w:r>
        <w:rPr>
          <w:rFonts w:hint="eastAsia" w:ascii="宋体" w:hAnsi="宋体"/>
          <w:b/>
          <w:color w:val="auto"/>
          <w:sz w:val="28"/>
          <w:szCs w:val="28"/>
          <w:highlight w:val="none"/>
        </w:rPr>
        <w:t>一、磋商响应声明</w:t>
      </w:r>
    </w:p>
    <w:p w14:paraId="770B6EDC">
      <w:pPr>
        <w:adjustRightInd w:val="0"/>
        <w:snapToGrid w:val="0"/>
        <w:spacing w:line="360" w:lineRule="auto"/>
        <w:rPr>
          <w:rFonts w:ascii="宋体" w:hAnsi="宋体"/>
          <w:color w:val="auto"/>
          <w:szCs w:val="21"/>
          <w:highlight w:val="none"/>
        </w:rPr>
      </w:pPr>
    </w:p>
    <w:p w14:paraId="0E990444">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致 (采购人或采购代理机构)：</w:t>
      </w:r>
    </w:p>
    <w:p w14:paraId="3B458058">
      <w:pPr>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我方已仔细研究了</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项目名称)的竞争性磋商文件（政府采购编号：</w:t>
      </w:r>
      <w:r>
        <w:rPr>
          <w:rFonts w:hint="eastAsia" w:ascii="宋体" w:hAnsi="宋体"/>
          <w:color w:val="auto"/>
          <w:szCs w:val="21"/>
          <w:highlight w:val="none"/>
          <w:u w:val="single"/>
        </w:rPr>
        <w:t xml:space="preserve">      </w:t>
      </w:r>
      <w:r>
        <w:rPr>
          <w:rFonts w:hint="eastAsia" w:ascii="宋体" w:hAnsi="宋体"/>
          <w:color w:val="auto"/>
          <w:szCs w:val="21"/>
          <w:highlight w:val="none"/>
        </w:rPr>
        <w:t>；采购代理编号：</w:t>
      </w:r>
      <w:r>
        <w:rPr>
          <w:rFonts w:hint="eastAsia" w:ascii="宋体" w:hAnsi="宋体"/>
          <w:color w:val="auto"/>
          <w:szCs w:val="21"/>
          <w:highlight w:val="none"/>
          <w:u w:val="single"/>
        </w:rPr>
        <w:t xml:space="preserve">     </w:t>
      </w:r>
      <w:r>
        <w:rPr>
          <w:rFonts w:hint="eastAsia" w:ascii="宋体" w:hAnsi="宋体"/>
          <w:color w:val="auto"/>
          <w:szCs w:val="21"/>
          <w:highlight w:val="none"/>
        </w:rPr>
        <w:t>）的全部内容，</w:t>
      </w:r>
      <w:r>
        <w:rPr>
          <w:rFonts w:hint="eastAsia" w:ascii="宋体" w:hAnsi="宋体"/>
          <w:color w:val="auto"/>
          <w:highlight w:val="none"/>
        </w:rPr>
        <w:t>知悉参加竞争性磋商的风险，我方承诺接受磋商文件的全部条款且无任何异议。</w:t>
      </w:r>
    </w:p>
    <w:p w14:paraId="0733885B">
      <w:pPr>
        <w:pStyle w:val="13"/>
        <w:adjustRightInd w:val="0"/>
        <w:snapToGrid w:val="0"/>
        <w:spacing w:line="360" w:lineRule="auto"/>
        <w:ind w:firstLine="420" w:firstLineChars="200"/>
        <w:rPr>
          <w:rFonts w:hAnsi="宋体"/>
          <w:color w:val="auto"/>
          <w:highlight w:val="none"/>
        </w:rPr>
      </w:pPr>
      <w:r>
        <w:rPr>
          <w:rFonts w:hint="eastAsia" w:hAnsi="宋体"/>
          <w:color w:val="auto"/>
          <w:highlight w:val="none"/>
        </w:rPr>
        <w:t>一、我方同意在磋商文件中规定的提交首次响应文件截止时间起</w:t>
      </w:r>
      <w:r>
        <w:rPr>
          <w:rFonts w:hint="eastAsia" w:hAnsi="宋体"/>
          <w:color w:val="auto"/>
          <w:highlight w:val="none"/>
          <w:u w:val="single"/>
        </w:rPr>
        <w:t xml:space="preserve">     </w:t>
      </w:r>
      <w:r>
        <w:rPr>
          <w:rFonts w:hint="eastAsia" w:hAnsi="宋体"/>
          <w:color w:val="auto"/>
          <w:highlight w:val="none"/>
        </w:rPr>
        <w:t>日内(响应文件有效期)遵守本响应文件中的承诺且在此期限期满之前均具有法律约束力。</w:t>
      </w:r>
    </w:p>
    <w:p w14:paraId="761319A3">
      <w:pPr>
        <w:pStyle w:val="13"/>
        <w:adjustRightInd w:val="0"/>
        <w:snapToGrid w:val="0"/>
        <w:spacing w:line="360" w:lineRule="auto"/>
        <w:ind w:firstLine="420" w:firstLineChars="200"/>
        <w:rPr>
          <w:rFonts w:hAnsi="宋体"/>
          <w:color w:val="auto"/>
          <w:highlight w:val="none"/>
        </w:rPr>
      </w:pPr>
      <w:r>
        <w:rPr>
          <w:rFonts w:hint="eastAsia" w:hAnsi="宋体"/>
          <w:color w:val="auto"/>
          <w:highlight w:val="none"/>
        </w:rPr>
        <w:t>二、我方提交响应文件正本一份和副本一式</w:t>
      </w:r>
      <w:r>
        <w:rPr>
          <w:rFonts w:hint="eastAsia" w:hAnsi="宋体"/>
          <w:color w:val="auto"/>
          <w:highlight w:val="none"/>
          <w:u w:val="single"/>
        </w:rPr>
        <w:t xml:space="preserve">    </w:t>
      </w:r>
      <w:r>
        <w:rPr>
          <w:rFonts w:hint="eastAsia" w:hAnsi="宋体"/>
          <w:color w:val="auto"/>
          <w:highlight w:val="none"/>
        </w:rPr>
        <w:t>份，并保证响应文件提供的数据和资料全部内容真实、合法、准确和完整，我们对此负责，并愿承担由此引起的法律责任。</w:t>
      </w:r>
    </w:p>
    <w:p w14:paraId="6897ACE8">
      <w:pPr>
        <w:pStyle w:val="13"/>
        <w:adjustRightInd w:val="0"/>
        <w:snapToGrid w:val="0"/>
        <w:spacing w:line="360" w:lineRule="auto"/>
        <w:ind w:firstLine="420" w:firstLineChars="200"/>
        <w:rPr>
          <w:rFonts w:hAnsi="宋体"/>
          <w:color w:val="auto"/>
          <w:highlight w:val="none"/>
        </w:rPr>
      </w:pPr>
      <w:r>
        <w:rPr>
          <w:rFonts w:hint="eastAsia" w:hAnsi="宋体"/>
          <w:color w:val="auto"/>
          <w:highlight w:val="none"/>
        </w:rPr>
        <w:t>三、我方愿意向贵方提供任何与本项采购有关的数据、情况和技术资料。若贵方需要，我方愿意提供我方作出的一切承诺的证明资料。</w:t>
      </w:r>
    </w:p>
    <w:p w14:paraId="6242F90F">
      <w:pPr>
        <w:pStyle w:val="13"/>
        <w:adjustRightInd w:val="0"/>
        <w:snapToGrid w:val="0"/>
        <w:spacing w:line="360" w:lineRule="auto"/>
        <w:ind w:firstLine="420" w:firstLineChars="200"/>
        <w:rPr>
          <w:rFonts w:hAnsi="宋体"/>
          <w:color w:val="auto"/>
          <w:highlight w:val="none"/>
        </w:rPr>
      </w:pPr>
      <w:r>
        <w:rPr>
          <w:rFonts w:hint="eastAsia" w:hAnsi="宋体"/>
          <w:color w:val="auto"/>
          <w:highlight w:val="none"/>
        </w:rPr>
        <w:t>四、我方愿意按磋商文件规定和磋商小组要求重新提交响应文件和最后报价。</w:t>
      </w:r>
    </w:p>
    <w:p w14:paraId="3A58184C">
      <w:pPr>
        <w:pStyle w:val="13"/>
        <w:adjustRightInd w:val="0"/>
        <w:snapToGrid w:val="0"/>
        <w:spacing w:line="360" w:lineRule="auto"/>
        <w:ind w:firstLine="420" w:firstLineChars="200"/>
        <w:rPr>
          <w:rFonts w:hAnsi="宋体"/>
          <w:color w:val="auto"/>
          <w:highlight w:val="none"/>
        </w:rPr>
      </w:pPr>
      <w:r>
        <w:rPr>
          <w:rFonts w:hint="eastAsia" w:hAnsi="宋体"/>
          <w:color w:val="auto"/>
          <w:highlight w:val="none"/>
        </w:rPr>
        <w:t>五、我方承诺遵守《中华人民共和国政府采购法》的有关规定，保证在获得成交资格后，按照磋商文件确定的事项签订政府采购合同，履行双方所签订的合同，并承担合同规定的责任和义务。</w:t>
      </w:r>
    </w:p>
    <w:p w14:paraId="00BD4760">
      <w:pPr>
        <w:pStyle w:val="13"/>
        <w:adjustRightInd w:val="0"/>
        <w:snapToGrid w:val="0"/>
        <w:spacing w:line="360" w:lineRule="auto"/>
        <w:ind w:firstLine="420" w:firstLineChars="200"/>
        <w:rPr>
          <w:rFonts w:hAnsi="宋体"/>
          <w:color w:val="auto"/>
          <w:highlight w:val="none"/>
        </w:rPr>
      </w:pPr>
      <w:r>
        <w:rPr>
          <w:rFonts w:hint="eastAsia" w:hAnsi="宋体"/>
          <w:color w:val="auto"/>
          <w:highlight w:val="none"/>
        </w:rPr>
        <w:t xml:space="preserve">六、我方在此声明： </w:t>
      </w:r>
    </w:p>
    <w:p w14:paraId="5874099E">
      <w:pPr>
        <w:pStyle w:val="13"/>
        <w:adjustRightInd w:val="0"/>
        <w:snapToGrid w:val="0"/>
        <w:spacing w:line="360" w:lineRule="auto"/>
        <w:ind w:firstLine="420" w:firstLineChars="200"/>
        <w:rPr>
          <w:rFonts w:hAnsi="宋体"/>
          <w:color w:val="auto"/>
          <w:highlight w:val="none"/>
        </w:rPr>
      </w:pPr>
      <w:r>
        <w:rPr>
          <w:rFonts w:hint="eastAsia" w:hAnsi="宋体"/>
          <w:color w:val="auto"/>
          <w:highlight w:val="none"/>
        </w:rPr>
        <w:t>（一）我方与采购人或采购代理机构不存在隶属关系或者其他利害关系。</w:t>
      </w:r>
    </w:p>
    <w:p w14:paraId="3ECCE149">
      <w:pPr>
        <w:pStyle w:val="13"/>
        <w:adjustRightInd w:val="0"/>
        <w:snapToGrid w:val="0"/>
        <w:spacing w:line="360" w:lineRule="auto"/>
        <w:ind w:firstLine="420" w:firstLineChars="200"/>
        <w:rPr>
          <w:rFonts w:hAnsi="宋体"/>
          <w:color w:val="auto"/>
          <w:highlight w:val="none"/>
        </w:rPr>
      </w:pPr>
      <w:r>
        <w:rPr>
          <w:rFonts w:hint="eastAsia" w:hAnsi="宋体"/>
          <w:color w:val="auto"/>
          <w:highlight w:val="none"/>
        </w:rPr>
        <w:t>（二）我方与参加本项目的其他供应商不存在直接控股、管理关系，或者与其他供应商法定代表人（或者负责人）为同一人。</w:t>
      </w:r>
    </w:p>
    <w:p w14:paraId="66348DB5">
      <w:pPr>
        <w:pStyle w:val="13"/>
        <w:adjustRightInd w:val="0"/>
        <w:snapToGrid w:val="0"/>
        <w:spacing w:line="360" w:lineRule="auto"/>
        <w:ind w:firstLine="420" w:firstLineChars="200"/>
        <w:rPr>
          <w:rFonts w:hAnsi="宋体"/>
          <w:color w:val="auto"/>
          <w:highlight w:val="none"/>
        </w:rPr>
      </w:pPr>
      <w:r>
        <w:rPr>
          <w:rFonts w:hint="eastAsia" w:hAnsi="宋体"/>
          <w:color w:val="auto"/>
          <w:highlight w:val="none"/>
        </w:rPr>
        <w:t>（三）我方未为本项目前期准备提供设计或咨询服务。</w:t>
      </w:r>
    </w:p>
    <w:p w14:paraId="53CA5D99">
      <w:pPr>
        <w:pStyle w:val="13"/>
        <w:adjustRightInd w:val="0"/>
        <w:snapToGrid w:val="0"/>
        <w:spacing w:line="360" w:lineRule="auto"/>
        <w:ind w:firstLine="420" w:firstLineChars="200"/>
        <w:rPr>
          <w:rFonts w:hAnsi="宋体"/>
          <w:color w:val="auto"/>
          <w:highlight w:val="none"/>
        </w:rPr>
      </w:pPr>
      <w:r>
        <w:rPr>
          <w:rFonts w:hint="eastAsia" w:hAnsi="宋体"/>
          <w:color w:val="auto"/>
          <w:highlight w:val="none"/>
        </w:rPr>
        <w:t>（四）我方承诺（承诺期：成立三年以上的，为提交首次响应文件截止时间前三年内；成立不足三年的，为实际时间）：</w:t>
      </w:r>
    </w:p>
    <w:p w14:paraId="7C13D5B3">
      <w:pPr>
        <w:pStyle w:val="13"/>
        <w:adjustRightInd w:val="0"/>
        <w:snapToGrid w:val="0"/>
        <w:spacing w:line="360" w:lineRule="auto"/>
        <w:ind w:firstLine="420" w:firstLineChars="200"/>
        <w:rPr>
          <w:rFonts w:hAnsi="宋体"/>
          <w:color w:val="auto"/>
          <w:highlight w:val="none"/>
        </w:rPr>
      </w:pPr>
      <w:r>
        <w:rPr>
          <w:rFonts w:hint="eastAsia" w:hAnsi="宋体"/>
          <w:color w:val="auto"/>
          <w:highlight w:val="none"/>
        </w:rPr>
        <w:t>1、我方依法缴纳了各项税费及各项社会保障资金，没有偷税、漏税及欠缴行为。</w:t>
      </w:r>
    </w:p>
    <w:p w14:paraId="2A94CF0F">
      <w:pPr>
        <w:pStyle w:val="13"/>
        <w:adjustRightInd w:val="0"/>
        <w:snapToGrid w:val="0"/>
        <w:spacing w:line="360" w:lineRule="auto"/>
        <w:ind w:firstLine="420" w:firstLineChars="200"/>
        <w:rPr>
          <w:rFonts w:hAnsi="宋体"/>
          <w:color w:val="auto"/>
          <w:highlight w:val="none"/>
        </w:rPr>
      </w:pPr>
      <w:r>
        <w:rPr>
          <w:rFonts w:hint="eastAsia" w:hAnsi="宋体"/>
          <w:color w:val="auto"/>
          <w:highlight w:val="none"/>
        </w:rPr>
        <w:t>2、我方在经营活动中没有存在下列重大违法记录：</w:t>
      </w:r>
    </w:p>
    <w:p w14:paraId="48F9B8E2">
      <w:pPr>
        <w:pStyle w:val="13"/>
        <w:adjustRightInd w:val="0"/>
        <w:snapToGrid w:val="0"/>
        <w:spacing w:line="360" w:lineRule="auto"/>
        <w:ind w:firstLine="420" w:firstLineChars="200"/>
        <w:rPr>
          <w:rFonts w:hAnsi="宋体"/>
          <w:color w:val="auto"/>
          <w:highlight w:val="none"/>
        </w:rPr>
      </w:pPr>
      <w:r>
        <w:rPr>
          <w:rFonts w:hint="eastAsia" w:hAnsi="宋体"/>
          <w:color w:val="auto"/>
          <w:highlight w:val="none"/>
        </w:rPr>
        <w:t>(1)受到刑事处罚；</w:t>
      </w:r>
    </w:p>
    <w:p w14:paraId="2CACB9FF">
      <w:pPr>
        <w:pStyle w:val="13"/>
        <w:adjustRightInd w:val="0"/>
        <w:snapToGrid w:val="0"/>
        <w:spacing w:line="360" w:lineRule="auto"/>
        <w:ind w:firstLine="420" w:firstLineChars="200"/>
        <w:rPr>
          <w:rFonts w:hAnsi="宋体"/>
          <w:color w:val="auto"/>
          <w:highlight w:val="none"/>
        </w:rPr>
      </w:pPr>
      <w:r>
        <w:rPr>
          <w:rFonts w:hint="eastAsia" w:hAnsi="宋体"/>
          <w:color w:val="auto"/>
          <w:highlight w:val="none"/>
        </w:rPr>
        <w:t>(2)受到200万元以上的罚款、责令停产停业、在一至三年内禁止参加政府采购活动、暂扣或者吊销许可证、暂扣或者吊销执照的行政处罚。</w:t>
      </w:r>
    </w:p>
    <w:p w14:paraId="78A2F5DD">
      <w:pPr>
        <w:adjustRightInd w:val="0"/>
        <w:snapToGrid w:val="0"/>
        <w:spacing w:line="360" w:lineRule="auto"/>
        <w:ind w:right="24"/>
        <w:rPr>
          <w:rFonts w:ascii="宋体" w:hAnsi="宋体"/>
          <w:color w:val="auto"/>
          <w:szCs w:val="21"/>
          <w:highlight w:val="none"/>
        </w:rPr>
      </w:pPr>
      <w:r>
        <w:rPr>
          <w:rFonts w:hint="eastAsia" w:ascii="宋体" w:hAnsi="宋体"/>
          <w:bCs/>
          <w:color w:val="auto"/>
          <w:szCs w:val="21"/>
          <w:highlight w:val="none"/>
        </w:rPr>
        <w:t>附件1：</w:t>
      </w:r>
      <w:r>
        <w:rPr>
          <w:rFonts w:hint="eastAsia" w:ascii="宋体" w:hAnsi="宋体"/>
          <w:color w:val="auto"/>
          <w:szCs w:val="21"/>
          <w:highlight w:val="none"/>
        </w:rPr>
        <w:t>法定代表人身份证明</w:t>
      </w:r>
    </w:p>
    <w:p w14:paraId="441AE702">
      <w:pPr>
        <w:adjustRightInd w:val="0"/>
        <w:snapToGrid w:val="0"/>
        <w:spacing w:line="360" w:lineRule="auto"/>
        <w:ind w:right="24"/>
        <w:rPr>
          <w:rFonts w:ascii="宋体" w:hAnsi="宋体"/>
          <w:color w:val="auto"/>
          <w:szCs w:val="21"/>
          <w:highlight w:val="none"/>
        </w:rPr>
      </w:pPr>
      <w:r>
        <w:rPr>
          <w:rFonts w:hint="eastAsia" w:ascii="宋体" w:hAnsi="宋体"/>
          <w:bCs/>
          <w:color w:val="auto"/>
          <w:szCs w:val="21"/>
          <w:highlight w:val="none"/>
        </w:rPr>
        <w:t>附件2</w:t>
      </w:r>
      <w:r>
        <w:rPr>
          <w:rFonts w:hint="eastAsia" w:ascii="宋体" w:hAnsi="宋体"/>
          <w:color w:val="auto"/>
          <w:szCs w:val="21"/>
          <w:highlight w:val="none"/>
        </w:rPr>
        <w:t>：法定代表人授权书</w:t>
      </w:r>
    </w:p>
    <w:p w14:paraId="1A2B6FB5">
      <w:pPr>
        <w:adjustRightInd w:val="0"/>
        <w:snapToGrid w:val="0"/>
        <w:spacing w:line="360" w:lineRule="auto"/>
        <w:rPr>
          <w:rFonts w:ascii="宋体" w:hAnsi="宋体"/>
          <w:color w:val="auto"/>
          <w:szCs w:val="21"/>
          <w:highlight w:val="none"/>
        </w:rPr>
      </w:pPr>
      <w:r>
        <w:rPr>
          <w:rFonts w:hint="eastAsia" w:ascii="宋体" w:hAnsi="宋体"/>
          <w:bCs/>
          <w:color w:val="auto"/>
          <w:szCs w:val="21"/>
          <w:highlight w:val="none"/>
        </w:rPr>
        <w:t>附件3</w:t>
      </w:r>
      <w:r>
        <w:rPr>
          <w:rFonts w:hint="eastAsia" w:ascii="宋体" w:hAnsi="宋体"/>
          <w:color w:val="auto"/>
          <w:szCs w:val="21"/>
          <w:highlight w:val="none"/>
        </w:rPr>
        <w:t>：工程质量保修书(工程类项目适用)</w:t>
      </w:r>
    </w:p>
    <w:p w14:paraId="3B62C9E6">
      <w:pPr>
        <w:pStyle w:val="13"/>
        <w:adjustRightInd w:val="0"/>
        <w:snapToGrid w:val="0"/>
        <w:spacing w:line="360" w:lineRule="auto"/>
        <w:ind w:right="420" w:firstLine="630" w:firstLineChars="300"/>
        <w:jc w:val="center"/>
        <w:rPr>
          <w:rFonts w:hAnsi="宋体"/>
          <w:color w:val="auto"/>
          <w:highlight w:val="none"/>
          <w:u w:val="single"/>
        </w:rPr>
      </w:pPr>
      <w:r>
        <w:rPr>
          <w:rFonts w:hint="eastAsia" w:hAnsi="宋体"/>
          <w:color w:val="auto"/>
          <w:highlight w:val="none"/>
        </w:rPr>
        <w:t xml:space="preserve">           供应商名称(盖单位章)：</w:t>
      </w:r>
      <w:r>
        <w:rPr>
          <w:rFonts w:hint="eastAsia" w:hAnsi="宋体"/>
          <w:color w:val="auto"/>
          <w:highlight w:val="none"/>
          <w:u w:val="single"/>
        </w:rPr>
        <w:t xml:space="preserve">       </w:t>
      </w:r>
    </w:p>
    <w:p w14:paraId="2CB10422">
      <w:pPr>
        <w:wordWrap w:val="0"/>
        <w:adjustRightInd w:val="0"/>
        <w:snapToGrid w:val="0"/>
        <w:spacing w:line="360" w:lineRule="auto"/>
        <w:ind w:right="105"/>
        <w:jc w:val="center"/>
        <w:rPr>
          <w:rFonts w:ascii="宋体" w:hAnsi="宋体"/>
          <w:color w:val="auto"/>
          <w:szCs w:val="21"/>
          <w:highlight w:val="none"/>
        </w:rPr>
      </w:pPr>
      <w:r>
        <w:rPr>
          <w:rFonts w:hint="eastAsia" w:ascii="宋体" w:hAnsi="宋体"/>
          <w:color w:val="auto"/>
          <w:szCs w:val="21"/>
          <w:highlight w:val="none"/>
        </w:rPr>
        <w:t xml:space="preserve">                                       法定代表人或其委托代理人 (签字或盖章)： </w:t>
      </w:r>
      <w:r>
        <w:rPr>
          <w:rFonts w:hint="eastAsia" w:hAnsi="宋体"/>
          <w:color w:val="auto"/>
          <w:highlight w:val="none"/>
          <w:u w:val="single"/>
        </w:rPr>
        <w:t xml:space="preserve">       </w:t>
      </w:r>
    </w:p>
    <w:p w14:paraId="5260DFCE">
      <w:pPr>
        <w:adjustRightInd w:val="0"/>
        <w:snapToGrid w:val="0"/>
        <w:spacing w:line="360" w:lineRule="auto"/>
        <w:ind w:right="525" w:firstLine="4200" w:firstLineChars="2000"/>
        <w:rPr>
          <w:rFonts w:ascii="宋体" w:hAnsi="宋体"/>
          <w:color w:val="auto"/>
          <w:szCs w:val="21"/>
          <w:highlight w:val="none"/>
        </w:rPr>
      </w:pPr>
      <w:r>
        <w:rPr>
          <w:rFonts w:hint="eastAsia" w:ascii="宋体" w:hAnsi="宋体"/>
          <w:color w:val="auto"/>
          <w:szCs w:val="21"/>
          <w:highlight w:val="none"/>
        </w:rPr>
        <w:t>日     期：</w:t>
      </w:r>
      <w:r>
        <w:rPr>
          <w:rFonts w:hint="eastAsia" w:hAnsi="宋体"/>
          <w:color w:val="auto"/>
          <w:highlight w:val="none"/>
          <w:u w:val="single"/>
        </w:rPr>
        <w:t xml:space="preserve">     </w:t>
      </w:r>
      <w:r>
        <w:rPr>
          <w:rFonts w:hint="eastAsia" w:ascii="宋体" w:hAnsi="宋体"/>
          <w:color w:val="auto"/>
          <w:szCs w:val="21"/>
          <w:highlight w:val="none"/>
        </w:rPr>
        <w:t>年</w:t>
      </w:r>
      <w:r>
        <w:rPr>
          <w:rFonts w:hint="eastAsia" w:hAnsi="宋体"/>
          <w:color w:val="auto"/>
          <w:highlight w:val="none"/>
          <w:u w:val="single"/>
        </w:rPr>
        <w:t xml:space="preserve">     </w:t>
      </w:r>
      <w:r>
        <w:rPr>
          <w:rFonts w:hint="eastAsia" w:ascii="宋体" w:hAnsi="宋体"/>
          <w:color w:val="auto"/>
          <w:szCs w:val="21"/>
          <w:highlight w:val="none"/>
        </w:rPr>
        <w:t>月</w:t>
      </w:r>
      <w:r>
        <w:rPr>
          <w:rFonts w:hint="eastAsia" w:hAnsi="宋体"/>
          <w:color w:val="auto"/>
          <w:highlight w:val="none"/>
          <w:u w:val="single"/>
        </w:rPr>
        <w:t xml:space="preserve">     </w:t>
      </w:r>
      <w:r>
        <w:rPr>
          <w:rFonts w:hint="eastAsia" w:ascii="宋体" w:hAnsi="宋体"/>
          <w:color w:val="auto"/>
          <w:szCs w:val="21"/>
          <w:highlight w:val="none"/>
        </w:rPr>
        <w:t>日</w:t>
      </w:r>
      <w:r>
        <w:rPr>
          <w:rFonts w:ascii="宋体" w:hAnsi="宋体"/>
          <w:color w:val="auto"/>
          <w:szCs w:val="21"/>
          <w:highlight w:val="none"/>
        </w:rPr>
        <w:br w:type="page"/>
      </w:r>
    </w:p>
    <w:p w14:paraId="360A666F">
      <w:pPr>
        <w:widowControl/>
        <w:spacing w:line="360" w:lineRule="auto"/>
        <w:jc w:val="left"/>
        <w:rPr>
          <w:rFonts w:ascii="宋体" w:hAnsi="宋体"/>
          <w:b/>
          <w:color w:val="auto"/>
          <w:sz w:val="28"/>
          <w:szCs w:val="28"/>
          <w:highlight w:val="none"/>
        </w:rPr>
      </w:pPr>
      <w:bookmarkStart w:id="164" w:name="_Toc24789_WPSOffice_Level1"/>
      <w:bookmarkStart w:id="165" w:name="_Toc18315_WPSOffice_Level1"/>
      <w:r>
        <w:rPr>
          <w:rFonts w:hint="eastAsia" w:ascii="宋体" w:hAnsi="宋体"/>
          <w:b/>
          <w:color w:val="auto"/>
          <w:sz w:val="28"/>
          <w:szCs w:val="28"/>
          <w:highlight w:val="none"/>
        </w:rPr>
        <w:t>附件1-1</w:t>
      </w:r>
      <w:bookmarkEnd w:id="164"/>
      <w:bookmarkEnd w:id="165"/>
    </w:p>
    <w:p w14:paraId="1DA00CA4">
      <w:pPr>
        <w:adjustRightInd w:val="0"/>
        <w:snapToGrid w:val="0"/>
        <w:spacing w:line="360" w:lineRule="auto"/>
        <w:jc w:val="center"/>
        <w:rPr>
          <w:rFonts w:ascii="宋体" w:hAnsi="宋体"/>
          <w:b/>
          <w:color w:val="auto"/>
          <w:sz w:val="28"/>
          <w:szCs w:val="28"/>
          <w:highlight w:val="none"/>
        </w:rPr>
      </w:pPr>
      <w:bookmarkStart w:id="166" w:name="_Toc10861_WPSOffice_Level1"/>
      <w:bookmarkStart w:id="167" w:name="_Toc5620_WPSOffice_Level1"/>
      <w:bookmarkStart w:id="168" w:name="_Toc2549_WPSOffice_Level1"/>
      <w:r>
        <w:rPr>
          <w:rFonts w:hint="eastAsia" w:ascii="宋体" w:hAnsi="宋体"/>
          <w:b/>
          <w:color w:val="auto"/>
          <w:sz w:val="28"/>
          <w:szCs w:val="28"/>
          <w:highlight w:val="none"/>
        </w:rPr>
        <w:t>法定代表人身份证明</w:t>
      </w:r>
      <w:bookmarkEnd w:id="166"/>
      <w:bookmarkEnd w:id="167"/>
      <w:bookmarkEnd w:id="168"/>
    </w:p>
    <w:p w14:paraId="6B65D38D">
      <w:pPr>
        <w:tabs>
          <w:tab w:val="left" w:pos="3880"/>
        </w:tabs>
        <w:autoSpaceDE w:val="0"/>
        <w:autoSpaceDN w:val="0"/>
        <w:adjustRightInd w:val="0"/>
        <w:snapToGrid w:val="0"/>
        <w:spacing w:before="156" w:beforeLines="50" w:line="360" w:lineRule="auto"/>
        <w:ind w:left="100" w:right="-20"/>
        <w:jc w:val="left"/>
        <w:rPr>
          <w:rFonts w:ascii="宋体" w:hAnsi="宋体" w:cs="微软雅黑"/>
          <w:color w:val="auto"/>
          <w:kern w:val="0"/>
          <w:position w:val="-4"/>
          <w:szCs w:val="21"/>
          <w:highlight w:val="none"/>
        </w:rPr>
      </w:pPr>
    </w:p>
    <w:p w14:paraId="2A0998A9">
      <w:pPr>
        <w:tabs>
          <w:tab w:val="left" w:pos="3880"/>
        </w:tabs>
        <w:autoSpaceDE w:val="0"/>
        <w:autoSpaceDN w:val="0"/>
        <w:adjustRightInd w:val="0"/>
        <w:snapToGrid w:val="0"/>
        <w:spacing w:before="156" w:beforeLines="50" w:line="360" w:lineRule="auto"/>
        <w:ind w:left="100" w:right="-20"/>
        <w:jc w:val="left"/>
        <w:rPr>
          <w:rFonts w:ascii="宋体" w:hAnsi="宋体" w:cs="微软雅黑"/>
          <w:color w:val="auto"/>
          <w:kern w:val="0"/>
          <w:szCs w:val="21"/>
          <w:highlight w:val="none"/>
        </w:rPr>
      </w:pPr>
      <w:r>
        <w:rPr>
          <w:rFonts w:hint="eastAsia" w:ascii="宋体" w:hAnsi="宋体" w:cs="微软雅黑"/>
          <w:color w:val="auto"/>
          <w:kern w:val="0"/>
          <w:position w:val="-4"/>
          <w:szCs w:val="21"/>
          <w:highlight w:val="none"/>
        </w:rPr>
        <w:t>供应商名</w:t>
      </w:r>
      <w:r>
        <w:rPr>
          <w:rFonts w:hint="eastAsia" w:ascii="宋体" w:hAnsi="宋体" w:cs="微软雅黑"/>
          <w:color w:val="auto"/>
          <w:spacing w:val="-2"/>
          <w:kern w:val="0"/>
          <w:position w:val="-4"/>
          <w:szCs w:val="21"/>
          <w:highlight w:val="none"/>
        </w:rPr>
        <w:t>称</w:t>
      </w:r>
      <w:r>
        <w:rPr>
          <w:rFonts w:hint="eastAsia" w:ascii="宋体" w:hAnsi="宋体" w:cs="微软雅黑"/>
          <w:color w:val="auto"/>
          <w:kern w:val="0"/>
          <w:position w:val="-4"/>
          <w:szCs w:val="21"/>
          <w:highlight w:val="none"/>
        </w:rPr>
        <w:t>：</w:t>
      </w:r>
      <w:r>
        <w:rPr>
          <w:rFonts w:hint="eastAsia" w:ascii="宋体" w:hAnsi="宋体"/>
          <w:color w:val="auto"/>
          <w:szCs w:val="21"/>
          <w:highlight w:val="none"/>
          <w:u w:val="single"/>
        </w:rPr>
        <w:t xml:space="preserve">                 </w:t>
      </w:r>
    </w:p>
    <w:p w14:paraId="5A77DB28">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ascii="宋体" w:hAnsi="宋体" w:cs="微软雅黑"/>
          <w:color w:val="auto"/>
          <w:kern w:val="0"/>
          <w:position w:val="-2"/>
          <w:szCs w:val="21"/>
          <w:highlight w:val="none"/>
        </w:rPr>
      </w:pPr>
      <w:r>
        <w:rPr>
          <w:rFonts w:hint="eastAsia" w:ascii="宋体" w:hAnsi="宋体" w:cs="微软雅黑"/>
          <w:color w:val="auto"/>
          <w:kern w:val="0"/>
          <w:position w:val="-2"/>
          <w:szCs w:val="21"/>
          <w:highlight w:val="none"/>
        </w:rPr>
        <w:t>统一社会信用代码：</w:t>
      </w:r>
      <w:r>
        <w:rPr>
          <w:rFonts w:hint="eastAsia" w:ascii="宋体" w:hAnsi="宋体"/>
          <w:color w:val="auto"/>
          <w:szCs w:val="21"/>
          <w:highlight w:val="none"/>
          <w:u w:val="single"/>
        </w:rPr>
        <w:t xml:space="preserve">                 </w:t>
      </w:r>
    </w:p>
    <w:p w14:paraId="7B6E1444">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ascii="宋体" w:hAnsi="宋体" w:cs="微软雅黑"/>
          <w:color w:val="auto"/>
          <w:kern w:val="0"/>
          <w:position w:val="-2"/>
          <w:szCs w:val="21"/>
          <w:highlight w:val="none"/>
        </w:rPr>
      </w:pPr>
      <w:r>
        <w:rPr>
          <w:rFonts w:hint="eastAsia" w:ascii="宋体" w:hAnsi="宋体" w:cs="微软雅黑"/>
          <w:color w:val="auto"/>
          <w:kern w:val="0"/>
          <w:position w:val="-2"/>
          <w:szCs w:val="21"/>
          <w:highlight w:val="none"/>
        </w:rPr>
        <w:t>注册地址：</w:t>
      </w:r>
      <w:r>
        <w:rPr>
          <w:rFonts w:hint="eastAsia" w:ascii="宋体" w:hAnsi="宋体"/>
          <w:color w:val="auto"/>
          <w:szCs w:val="21"/>
          <w:highlight w:val="none"/>
          <w:u w:val="single"/>
        </w:rPr>
        <w:t xml:space="preserve">                 </w:t>
      </w:r>
    </w:p>
    <w:p w14:paraId="2775FDD5">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ascii="宋体" w:hAnsi="宋体" w:cs="微软雅黑"/>
          <w:color w:val="auto"/>
          <w:kern w:val="0"/>
          <w:szCs w:val="21"/>
          <w:highlight w:val="none"/>
        </w:rPr>
      </w:pPr>
      <w:r>
        <w:rPr>
          <w:rFonts w:hint="eastAsia" w:ascii="宋体" w:hAnsi="宋体" w:cs="微软雅黑"/>
          <w:color w:val="auto"/>
          <w:kern w:val="0"/>
          <w:position w:val="-2"/>
          <w:szCs w:val="21"/>
          <w:highlight w:val="none"/>
        </w:rPr>
        <w:t>姓名</w:t>
      </w:r>
      <w:r>
        <w:rPr>
          <w:rFonts w:hint="eastAsia" w:ascii="宋体" w:hAnsi="宋体" w:cs="微软雅黑"/>
          <w:color w:val="auto"/>
          <w:spacing w:val="-2"/>
          <w:kern w:val="0"/>
          <w:position w:val="-2"/>
          <w:szCs w:val="21"/>
          <w:highlight w:val="none"/>
        </w:rPr>
        <w:t>：</w:t>
      </w:r>
      <w:r>
        <w:rPr>
          <w:rFonts w:hint="eastAsia" w:ascii="宋体" w:hAnsi="宋体"/>
          <w:color w:val="auto"/>
          <w:szCs w:val="21"/>
          <w:highlight w:val="none"/>
          <w:u w:val="single"/>
        </w:rPr>
        <w:t xml:space="preserve">         </w:t>
      </w:r>
      <w:r>
        <w:rPr>
          <w:rFonts w:hint="eastAsia" w:ascii="宋体" w:hAnsi="宋体" w:cs="微软雅黑"/>
          <w:color w:val="auto"/>
          <w:kern w:val="0"/>
          <w:position w:val="-2"/>
          <w:szCs w:val="21"/>
          <w:highlight w:val="none"/>
        </w:rPr>
        <w:t>性别</w:t>
      </w:r>
      <w:r>
        <w:rPr>
          <w:rFonts w:hint="eastAsia" w:ascii="宋体" w:hAnsi="宋体" w:cs="微软雅黑"/>
          <w:color w:val="auto"/>
          <w:spacing w:val="-2"/>
          <w:kern w:val="0"/>
          <w:position w:val="-2"/>
          <w:szCs w:val="21"/>
          <w:highlight w:val="none"/>
        </w:rPr>
        <w:t>：</w:t>
      </w:r>
      <w:r>
        <w:rPr>
          <w:rFonts w:hint="eastAsia" w:ascii="宋体" w:hAnsi="宋体"/>
          <w:color w:val="auto"/>
          <w:szCs w:val="21"/>
          <w:highlight w:val="none"/>
          <w:u w:val="single"/>
        </w:rPr>
        <w:t xml:space="preserve">         </w:t>
      </w:r>
      <w:r>
        <w:rPr>
          <w:rFonts w:hint="eastAsia" w:ascii="宋体" w:hAnsi="宋体" w:cs="微软雅黑"/>
          <w:color w:val="auto"/>
          <w:kern w:val="0"/>
          <w:position w:val="-2"/>
          <w:szCs w:val="21"/>
          <w:highlight w:val="none"/>
        </w:rPr>
        <w:t>年</w:t>
      </w:r>
      <w:r>
        <w:rPr>
          <w:rFonts w:hint="eastAsia" w:ascii="宋体" w:hAnsi="宋体" w:cs="微软雅黑"/>
          <w:color w:val="auto"/>
          <w:spacing w:val="-2"/>
          <w:kern w:val="0"/>
          <w:position w:val="-2"/>
          <w:szCs w:val="21"/>
          <w:highlight w:val="none"/>
        </w:rPr>
        <w:t>龄</w:t>
      </w:r>
      <w:r>
        <w:rPr>
          <w:rFonts w:hint="eastAsia" w:ascii="宋体" w:hAnsi="宋体" w:cs="微软雅黑"/>
          <w:color w:val="auto"/>
          <w:kern w:val="0"/>
          <w:position w:val="-2"/>
          <w:szCs w:val="21"/>
          <w:highlight w:val="none"/>
        </w:rPr>
        <w:t>：</w:t>
      </w:r>
      <w:r>
        <w:rPr>
          <w:rFonts w:hint="eastAsia" w:ascii="宋体" w:hAnsi="宋体"/>
          <w:color w:val="auto"/>
          <w:szCs w:val="21"/>
          <w:highlight w:val="none"/>
          <w:u w:val="single"/>
        </w:rPr>
        <w:t xml:space="preserve">         </w:t>
      </w:r>
      <w:r>
        <w:rPr>
          <w:rFonts w:hint="eastAsia" w:ascii="宋体" w:hAnsi="宋体" w:cs="微软雅黑"/>
          <w:color w:val="auto"/>
          <w:kern w:val="0"/>
          <w:position w:val="-2"/>
          <w:szCs w:val="21"/>
          <w:highlight w:val="none"/>
        </w:rPr>
        <w:t>职</w:t>
      </w:r>
      <w:r>
        <w:rPr>
          <w:rFonts w:hint="eastAsia" w:ascii="宋体" w:hAnsi="宋体" w:cs="微软雅黑"/>
          <w:color w:val="auto"/>
          <w:spacing w:val="-2"/>
          <w:kern w:val="0"/>
          <w:position w:val="-2"/>
          <w:szCs w:val="21"/>
          <w:highlight w:val="none"/>
        </w:rPr>
        <w:t>务</w:t>
      </w:r>
      <w:r>
        <w:rPr>
          <w:rFonts w:hint="eastAsia" w:ascii="宋体" w:hAnsi="宋体" w:cs="微软雅黑"/>
          <w:color w:val="auto"/>
          <w:kern w:val="0"/>
          <w:position w:val="-2"/>
          <w:szCs w:val="21"/>
          <w:highlight w:val="none"/>
        </w:rPr>
        <w:t>：</w:t>
      </w:r>
      <w:r>
        <w:rPr>
          <w:rFonts w:hint="eastAsia" w:ascii="宋体" w:hAnsi="宋体"/>
          <w:color w:val="auto"/>
          <w:szCs w:val="21"/>
          <w:highlight w:val="none"/>
          <w:u w:val="single"/>
        </w:rPr>
        <w:t xml:space="preserve">         </w:t>
      </w:r>
      <w:r>
        <w:rPr>
          <w:rFonts w:hint="eastAsia" w:ascii="宋体" w:hAnsi="宋体" w:cs="微软雅黑"/>
          <w:color w:val="auto"/>
          <w:kern w:val="0"/>
          <w:position w:val="-2"/>
          <w:szCs w:val="21"/>
          <w:highlight w:val="none"/>
        </w:rPr>
        <w:t>系</w:t>
      </w:r>
      <w:r>
        <w:rPr>
          <w:rFonts w:hint="eastAsia" w:ascii="宋体" w:hAnsi="宋体"/>
          <w:color w:val="auto"/>
          <w:szCs w:val="21"/>
          <w:highlight w:val="none"/>
          <w:u w:val="single"/>
        </w:rPr>
        <w:t xml:space="preserve">         </w:t>
      </w:r>
      <w:r>
        <w:rPr>
          <w:rFonts w:hint="eastAsia" w:ascii="宋体" w:hAnsi="宋体" w:cs="微软雅黑"/>
          <w:color w:val="auto"/>
          <w:spacing w:val="-2"/>
          <w:kern w:val="0"/>
          <w:position w:val="-2"/>
          <w:szCs w:val="21"/>
          <w:highlight w:val="none"/>
        </w:rPr>
        <w:t>（</w:t>
      </w:r>
      <w:r>
        <w:rPr>
          <w:rFonts w:hint="eastAsia" w:ascii="宋体" w:hAnsi="宋体" w:cs="微软雅黑"/>
          <w:color w:val="auto"/>
          <w:kern w:val="0"/>
          <w:position w:val="-2"/>
          <w:szCs w:val="21"/>
          <w:highlight w:val="none"/>
        </w:rPr>
        <w:t>供应商</w:t>
      </w:r>
      <w:r>
        <w:rPr>
          <w:rFonts w:hint="eastAsia" w:ascii="宋体" w:hAnsi="宋体" w:cs="微软雅黑"/>
          <w:color w:val="auto"/>
          <w:spacing w:val="-2"/>
          <w:kern w:val="0"/>
          <w:position w:val="-2"/>
          <w:szCs w:val="21"/>
          <w:highlight w:val="none"/>
        </w:rPr>
        <w:t>名</w:t>
      </w:r>
      <w:r>
        <w:rPr>
          <w:rFonts w:hint="eastAsia" w:ascii="宋体" w:hAnsi="宋体" w:cs="微软雅黑"/>
          <w:color w:val="auto"/>
          <w:kern w:val="0"/>
          <w:position w:val="-2"/>
          <w:szCs w:val="21"/>
          <w:highlight w:val="none"/>
        </w:rPr>
        <w:t>称</w:t>
      </w:r>
      <w:r>
        <w:rPr>
          <w:rFonts w:hint="eastAsia" w:ascii="宋体" w:hAnsi="宋体" w:cs="微软雅黑"/>
          <w:color w:val="auto"/>
          <w:spacing w:val="-2"/>
          <w:kern w:val="0"/>
          <w:position w:val="-2"/>
          <w:szCs w:val="21"/>
          <w:highlight w:val="none"/>
        </w:rPr>
        <w:t>）</w:t>
      </w:r>
      <w:r>
        <w:rPr>
          <w:rFonts w:hint="eastAsia" w:ascii="宋体" w:hAnsi="宋体" w:cs="微软雅黑"/>
          <w:color w:val="auto"/>
          <w:kern w:val="0"/>
          <w:position w:val="-2"/>
          <w:szCs w:val="21"/>
          <w:highlight w:val="none"/>
        </w:rPr>
        <w:t>的</w:t>
      </w:r>
      <w:r>
        <w:rPr>
          <w:rFonts w:hint="eastAsia" w:ascii="宋体" w:hAnsi="宋体" w:cs="微软雅黑"/>
          <w:color w:val="auto"/>
          <w:spacing w:val="-2"/>
          <w:kern w:val="0"/>
          <w:position w:val="-2"/>
          <w:szCs w:val="21"/>
          <w:highlight w:val="none"/>
        </w:rPr>
        <w:t>法定</w:t>
      </w:r>
      <w:r>
        <w:rPr>
          <w:rFonts w:hint="eastAsia" w:ascii="宋体" w:hAnsi="宋体" w:cs="微软雅黑"/>
          <w:color w:val="auto"/>
          <w:kern w:val="0"/>
          <w:position w:val="-2"/>
          <w:szCs w:val="21"/>
          <w:highlight w:val="none"/>
        </w:rPr>
        <w:t>代表</w:t>
      </w:r>
      <w:r>
        <w:rPr>
          <w:rFonts w:hint="eastAsia" w:ascii="宋体" w:hAnsi="宋体" w:cs="微软雅黑"/>
          <w:color w:val="auto"/>
          <w:spacing w:val="-2"/>
          <w:kern w:val="0"/>
          <w:position w:val="-2"/>
          <w:szCs w:val="21"/>
          <w:highlight w:val="none"/>
        </w:rPr>
        <w:t>人</w:t>
      </w:r>
      <w:r>
        <w:rPr>
          <w:rFonts w:hint="eastAsia" w:ascii="宋体" w:hAnsi="宋体" w:cs="微软雅黑"/>
          <w:color w:val="auto"/>
          <w:kern w:val="0"/>
          <w:position w:val="-2"/>
          <w:szCs w:val="21"/>
          <w:highlight w:val="none"/>
        </w:rPr>
        <w:t>（</w:t>
      </w:r>
      <w:r>
        <w:rPr>
          <w:rFonts w:hint="eastAsia" w:ascii="宋体" w:hAnsi="宋体" w:cs="微软雅黑"/>
          <w:color w:val="auto"/>
          <w:spacing w:val="-2"/>
          <w:kern w:val="0"/>
          <w:position w:val="-2"/>
          <w:szCs w:val="21"/>
          <w:highlight w:val="none"/>
        </w:rPr>
        <w:t>单</w:t>
      </w:r>
      <w:r>
        <w:rPr>
          <w:rFonts w:hint="eastAsia" w:ascii="宋体" w:hAnsi="宋体" w:cs="微软雅黑"/>
          <w:color w:val="auto"/>
          <w:kern w:val="0"/>
          <w:position w:val="-2"/>
          <w:szCs w:val="21"/>
          <w:highlight w:val="none"/>
        </w:rPr>
        <w:t>位</w:t>
      </w:r>
      <w:r>
        <w:rPr>
          <w:rFonts w:hint="eastAsia" w:ascii="宋体" w:hAnsi="宋体" w:cs="微软雅黑"/>
          <w:color w:val="auto"/>
          <w:spacing w:val="-2"/>
          <w:kern w:val="0"/>
          <w:position w:val="-2"/>
          <w:szCs w:val="21"/>
          <w:highlight w:val="none"/>
        </w:rPr>
        <w:t>负</w:t>
      </w:r>
      <w:r>
        <w:rPr>
          <w:rFonts w:hint="eastAsia" w:ascii="宋体" w:hAnsi="宋体" w:cs="微软雅黑"/>
          <w:color w:val="auto"/>
          <w:kern w:val="0"/>
          <w:position w:val="-2"/>
          <w:szCs w:val="21"/>
          <w:highlight w:val="none"/>
        </w:rPr>
        <w:t>责</w:t>
      </w:r>
      <w:r>
        <w:rPr>
          <w:rFonts w:hint="eastAsia" w:ascii="宋体" w:hAnsi="宋体" w:cs="微软雅黑"/>
          <w:color w:val="auto"/>
          <w:spacing w:val="-2"/>
          <w:kern w:val="0"/>
          <w:position w:val="-2"/>
          <w:szCs w:val="21"/>
          <w:highlight w:val="none"/>
        </w:rPr>
        <w:t>人</w:t>
      </w:r>
      <w:r>
        <w:rPr>
          <w:rFonts w:hint="eastAsia" w:ascii="宋体" w:hAnsi="宋体" w:cs="微软雅黑"/>
          <w:color w:val="auto"/>
          <w:spacing w:val="-106"/>
          <w:kern w:val="0"/>
          <w:position w:val="-2"/>
          <w:szCs w:val="21"/>
          <w:highlight w:val="none"/>
        </w:rPr>
        <w:t>）</w:t>
      </w:r>
      <w:r>
        <w:rPr>
          <w:rFonts w:hint="eastAsia" w:ascii="宋体" w:hAnsi="宋体" w:cs="微软雅黑"/>
          <w:color w:val="auto"/>
          <w:kern w:val="0"/>
          <w:position w:val="-2"/>
          <w:szCs w:val="21"/>
          <w:highlight w:val="none"/>
        </w:rPr>
        <w:t>。</w:t>
      </w:r>
    </w:p>
    <w:p w14:paraId="22DBA01E">
      <w:pPr>
        <w:autoSpaceDE w:val="0"/>
        <w:autoSpaceDN w:val="0"/>
        <w:adjustRightInd w:val="0"/>
        <w:snapToGrid w:val="0"/>
        <w:spacing w:before="156" w:beforeLines="50" w:line="360" w:lineRule="auto"/>
        <w:ind w:left="520" w:right="-20"/>
        <w:jc w:val="left"/>
        <w:rPr>
          <w:rFonts w:ascii="宋体" w:hAnsi="宋体" w:cs="微软雅黑"/>
          <w:color w:val="auto"/>
          <w:kern w:val="0"/>
          <w:szCs w:val="21"/>
          <w:highlight w:val="none"/>
        </w:rPr>
      </w:pPr>
      <w:r>
        <w:rPr>
          <w:rFonts w:hint="eastAsia" w:ascii="宋体" w:hAnsi="宋体" w:cs="微软雅黑"/>
          <w:color w:val="auto"/>
          <w:kern w:val="0"/>
          <w:szCs w:val="21"/>
          <w:highlight w:val="none"/>
        </w:rPr>
        <w:t>特此</w:t>
      </w:r>
      <w:r>
        <w:rPr>
          <w:rFonts w:hint="eastAsia" w:ascii="宋体" w:hAnsi="宋体" w:cs="微软雅黑"/>
          <w:color w:val="auto"/>
          <w:spacing w:val="-2"/>
          <w:kern w:val="0"/>
          <w:szCs w:val="21"/>
          <w:highlight w:val="none"/>
        </w:rPr>
        <w:t>证</w:t>
      </w:r>
      <w:r>
        <w:rPr>
          <w:rFonts w:hint="eastAsia" w:ascii="宋体" w:hAnsi="宋体" w:cs="微软雅黑"/>
          <w:color w:val="auto"/>
          <w:kern w:val="0"/>
          <w:szCs w:val="21"/>
          <w:highlight w:val="none"/>
        </w:rPr>
        <w:t>明。</w:t>
      </w:r>
    </w:p>
    <w:p w14:paraId="2A9477F2">
      <w:pPr>
        <w:autoSpaceDE w:val="0"/>
        <w:autoSpaceDN w:val="0"/>
        <w:adjustRightInd w:val="0"/>
        <w:snapToGrid w:val="0"/>
        <w:spacing w:before="156" w:beforeLines="50" w:line="360" w:lineRule="auto"/>
        <w:ind w:left="100" w:right="4231"/>
        <w:jc w:val="left"/>
        <w:rPr>
          <w:rFonts w:ascii="宋体" w:hAnsi="宋体" w:cs="微软雅黑"/>
          <w:color w:val="auto"/>
          <w:kern w:val="0"/>
          <w:szCs w:val="21"/>
          <w:highlight w:val="none"/>
        </w:rPr>
      </w:pPr>
      <w:r>
        <w:rPr>
          <w:rFonts w:hint="eastAsia" w:ascii="宋体" w:hAnsi="宋体" w:cs="微软雅黑"/>
          <w:color w:val="auto"/>
          <w:kern w:val="0"/>
          <w:szCs w:val="21"/>
          <w:highlight w:val="none"/>
        </w:rPr>
        <w:t>附：</w:t>
      </w:r>
      <w:r>
        <w:rPr>
          <w:rFonts w:hint="eastAsia" w:ascii="宋体" w:hAnsi="宋体" w:cs="微软雅黑"/>
          <w:color w:val="auto"/>
          <w:spacing w:val="-2"/>
          <w:kern w:val="0"/>
          <w:szCs w:val="21"/>
          <w:highlight w:val="none"/>
        </w:rPr>
        <w:t>法</w:t>
      </w:r>
      <w:r>
        <w:rPr>
          <w:rFonts w:hint="eastAsia" w:ascii="宋体" w:hAnsi="宋体" w:cs="微软雅黑"/>
          <w:color w:val="auto"/>
          <w:kern w:val="0"/>
          <w:szCs w:val="21"/>
          <w:highlight w:val="none"/>
        </w:rPr>
        <w:t>定</w:t>
      </w:r>
      <w:r>
        <w:rPr>
          <w:rFonts w:hint="eastAsia" w:ascii="宋体" w:hAnsi="宋体" w:cs="微软雅黑"/>
          <w:color w:val="auto"/>
          <w:spacing w:val="-2"/>
          <w:kern w:val="0"/>
          <w:szCs w:val="21"/>
          <w:highlight w:val="none"/>
        </w:rPr>
        <w:t>代</w:t>
      </w:r>
      <w:r>
        <w:rPr>
          <w:rFonts w:hint="eastAsia" w:ascii="宋体" w:hAnsi="宋体" w:cs="微软雅黑"/>
          <w:color w:val="auto"/>
          <w:kern w:val="0"/>
          <w:szCs w:val="21"/>
          <w:highlight w:val="none"/>
        </w:rPr>
        <w:t>表</w:t>
      </w:r>
      <w:r>
        <w:rPr>
          <w:rFonts w:hint="eastAsia" w:ascii="宋体" w:hAnsi="宋体" w:cs="微软雅黑"/>
          <w:color w:val="auto"/>
          <w:spacing w:val="-2"/>
          <w:kern w:val="0"/>
          <w:szCs w:val="21"/>
          <w:highlight w:val="none"/>
        </w:rPr>
        <w:t>人</w:t>
      </w:r>
      <w:r>
        <w:rPr>
          <w:rFonts w:hint="eastAsia" w:ascii="宋体" w:hAnsi="宋体" w:cs="微软雅黑"/>
          <w:color w:val="auto"/>
          <w:kern w:val="0"/>
          <w:szCs w:val="21"/>
          <w:highlight w:val="none"/>
        </w:rPr>
        <w:t>（</w:t>
      </w:r>
      <w:r>
        <w:rPr>
          <w:rFonts w:hint="eastAsia" w:ascii="宋体" w:hAnsi="宋体" w:cs="微软雅黑"/>
          <w:color w:val="auto"/>
          <w:spacing w:val="-2"/>
          <w:kern w:val="0"/>
          <w:szCs w:val="21"/>
          <w:highlight w:val="none"/>
        </w:rPr>
        <w:t>单</w:t>
      </w:r>
      <w:r>
        <w:rPr>
          <w:rFonts w:hint="eastAsia" w:ascii="宋体" w:hAnsi="宋体" w:cs="微软雅黑"/>
          <w:color w:val="auto"/>
          <w:kern w:val="0"/>
          <w:szCs w:val="21"/>
          <w:highlight w:val="none"/>
        </w:rPr>
        <w:t>位</w:t>
      </w:r>
      <w:r>
        <w:rPr>
          <w:rFonts w:hint="eastAsia" w:ascii="宋体" w:hAnsi="宋体" w:cs="微软雅黑"/>
          <w:color w:val="auto"/>
          <w:spacing w:val="-2"/>
          <w:kern w:val="0"/>
          <w:szCs w:val="21"/>
          <w:highlight w:val="none"/>
        </w:rPr>
        <w:t>负</w:t>
      </w:r>
      <w:r>
        <w:rPr>
          <w:rFonts w:hint="eastAsia" w:ascii="宋体" w:hAnsi="宋体" w:cs="微软雅黑"/>
          <w:color w:val="auto"/>
          <w:kern w:val="0"/>
          <w:szCs w:val="21"/>
          <w:highlight w:val="none"/>
        </w:rPr>
        <w:t>责人</w:t>
      </w:r>
      <w:r>
        <w:rPr>
          <w:rFonts w:hint="eastAsia" w:ascii="宋体" w:hAnsi="宋体" w:cs="微软雅黑"/>
          <w:color w:val="auto"/>
          <w:spacing w:val="-2"/>
          <w:kern w:val="0"/>
          <w:szCs w:val="21"/>
          <w:highlight w:val="none"/>
        </w:rPr>
        <w:t>）</w:t>
      </w:r>
      <w:r>
        <w:rPr>
          <w:rFonts w:hint="eastAsia" w:ascii="宋体" w:hAnsi="宋体" w:cs="微软雅黑"/>
          <w:color w:val="auto"/>
          <w:kern w:val="0"/>
          <w:szCs w:val="21"/>
          <w:highlight w:val="none"/>
        </w:rPr>
        <w:t>身</w:t>
      </w:r>
      <w:r>
        <w:rPr>
          <w:rFonts w:hint="eastAsia" w:ascii="宋体" w:hAnsi="宋体" w:cs="微软雅黑"/>
          <w:color w:val="auto"/>
          <w:spacing w:val="-2"/>
          <w:kern w:val="0"/>
          <w:szCs w:val="21"/>
          <w:highlight w:val="none"/>
        </w:rPr>
        <w:t>份</w:t>
      </w:r>
      <w:r>
        <w:rPr>
          <w:rFonts w:hint="eastAsia" w:ascii="宋体" w:hAnsi="宋体" w:cs="微软雅黑"/>
          <w:color w:val="auto"/>
          <w:kern w:val="0"/>
          <w:szCs w:val="21"/>
          <w:highlight w:val="none"/>
        </w:rPr>
        <w:t>证</w:t>
      </w:r>
      <w:r>
        <w:rPr>
          <w:rFonts w:hint="eastAsia" w:ascii="宋体" w:hAnsi="宋体" w:cs="微软雅黑"/>
          <w:color w:val="auto"/>
          <w:spacing w:val="-2"/>
          <w:kern w:val="0"/>
          <w:szCs w:val="21"/>
          <w:highlight w:val="none"/>
        </w:rPr>
        <w:t>复</w:t>
      </w:r>
      <w:r>
        <w:rPr>
          <w:rFonts w:hint="eastAsia" w:ascii="宋体" w:hAnsi="宋体" w:cs="微软雅黑"/>
          <w:color w:val="auto"/>
          <w:kern w:val="0"/>
          <w:szCs w:val="21"/>
          <w:highlight w:val="none"/>
        </w:rPr>
        <w:t>印</w:t>
      </w:r>
      <w:r>
        <w:rPr>
          <w:rFonts w:hint="eastAsia" w:ascii="宋体" w:hAnsi="宋体" w:cs="微软雅黑"/>
          <w:color w:val="auto"/>
          <w:spacing w:val="-2"/>
          <w:kern w:val="0"/>
          <w:szCs w:val="21"/>
          <w:highlight w:val="none"/>
        </w:rPr>
        <w:t>件</w:t>
      </w:r>
      <w:r>
        <w:rPr>
          <w:rFonts w:hint="eastAsia" w:ascii="宋体" w:hAnsi="宋体" w:cs="微软雅黑"/>
          <w:color w:val="auto"/>
          <w:kern w:val="0"/>
          <w:szCs w:val="21"/>
          <w:highlight w:val="none"/>
        </w:rPr>
        <w:t>。</w:t>
      </w:r>
    </w:p>
    <w:p w14:paraId="4AE31D21">
      <w:pPr>
        <w:adjustRightInd w:val="0"/>
        <w:snapToGrid w:val="0"/>
        <w:spacing w:before="156" w:beforeLines="50" w:line="360" w:lineRule="auto"/>
        <w:rPr>
          <w:rFonts w:ascii="宋体" w:hAnsi="宋体"/>
          <w:color w:val="auto"/>
          <w:szCs w:val="21"/>
          <w:highlight w:val="none"/>
        </w:rPr>
      </w:pPr>
    </w:p>
    <w:p w14:paraId="16AA5BE8">
      <w:pPr>
        <w:pStyle w:val="2"/>
        <w:ind w:left="0" w:leftChars="0" w:firstLine="0"/>
        <w:jc w:val="left"/>
        <w:rPr>
          <w:rFonts w:ascii="宋体" w:hAnsi="宋体"/>
          <w:color w:val="auto"/>
          <w:szCs w:val="21"/>
          <w:highlight w:val="none"/>
        </w:rPr>
      </w:pPr>
    </w:p>
    <w:p w14:paraId="6D73BB90">
      <w:pPr>
        <w:pStyle w:val="2"/>
        <w:ind w:left="0" w:leftChars="0" w:firstLine="0"/>
        <w:jc w:val="left"/>
        <w:rPr>
          <w:rFonts w:ascii="宋体" w:hAnsi="宋体"/>
          <w:color w:val="auto"/>
          <w:szCs w:val="21"/>
          <w:highlight w:val="none"/>
        </w:rPr>
      </w:pPr>
    </w:p>
    <w:p w14:paraId="0B75F241">
      <w:pPr>
        <w:pStyle w:val="2"/>
        <w:ind w:left="0" w:leftChars="0" w:firstLine="0"/>
        <w:jc w:val="left"/>
        <w:rPr>
          <w:rFonts w:ascii="宋体" w:hAnsi="宋体"/>
          <w:color w:val="auto"/>
          <w:szCs w:val="21"/>
          <w:highlight w:val="none"/>
        </w:rPr>
      </w:pPr>
    </w:p>
    <w:p w14:paraId="7C7579CA">
      <w:pPr>
        <w:pStyle w:val="2"/>
        <w:ind w:left="0" w:leftChars="0" w:firstLine="0"/>
        <w:jc w:val="left"/>
        <w:rPr>
          <w:rFonts w:ascii="宋体" w:hAnsi="宋体"/>
          <w:color w:val="auto"/>
          <w:szCs w:val="21"/>
          <w:highlight w:val="none"/>
        </w:rPr>
      </w:pPr>
    </w:p>
    <w:p w14:paraId="61ECF478">
      <w:pPr>
        <w:adjustRightInd w:val="0"/>
        <w:snapToGrid w:val="0"/>
        <w:spacing w:before="156" w:beforeLines="50" w:line="360" w:lineRule="auto"/>
        <w:rPr>
          <w:rFonts w:ascii="宋体" w:hAnsi="宋体"/>
          <w:color w:val="auto"/>
          <w:szCs w:val="21"/>
          <w:highlight w:val="none"/>
        </w:rPr>
      </w:pPr>
      <w:r>
        <w:rPr>
          <w:rFonts w:hint="eastAsia" w:ascii="宋体" w:hAnsi="宋体"/>
          <w:color w:val="auto"/>
          <w:szCs w:val="21"/>
          <w:highlight w:val="none"/>
        </w:rPr>
        <w:t>注：供应商代表为法定代表人（单位负责人）的提供。供应商为自然人的无需提供。</w:t>
      </w:r>
    </w:p>
    <w:p w14:paraId="232856CD">
      <w:pPr>
        <w:adjustRightInd w:val="0"/>
        <w:snapToGrid w:val="0"/>
        <w:spacing w:before="156" w:beforeLines="50" w:line="360" w:lineRule="auto"/>
        <w:rPr>
          <w:rFonts w:ascii="宋体" w:hAnsi="宋体"/>
          <w:color w:val="auto"/>
          <w:szCs w:val="21"/>
          <w:highlight w:val="none"/>
        </w:rPr>
      </w:pPr>
    </w:p>
    <w:p w14:paraId="0835A881">
      <w:pPr>
        <w:pStyle w:val="13"/>
        <w:adjustRightInd w:val="0"/>
        <w:snapToGrid w:val="0"/>
        <w:spacing w:before="156" w:beforeLines="50" w:line="360" w:lineRule="auto"/>
        <w:rPr>
          <w:rFonts w:hAnsi="宋体"/>
          <w:color w:val="auto"/>
          <w:highlight w:val="none"/>
        </w:rPr>
      </w:pPr>
      <w:r>
        <w:rPr>
          <w:rFonts w:hint="eastAsia" w:hAnsi="宋体"/>
          <w:color w:val="auto"/>
          <w:highlight w:val="none"/>
        </w:rPr>
        <w:t>供应商名称(盖单位公章)：</w:t>
      </w:r>
    </w:p>
    <w:p w14:paraId="5EA19E1C">
      <w:pPr>
        <w:adjustRightInd w:val="0"/>
        <w:snapToGrid w:val="0"/>
        <w:spacing w:before="156" w:beforeLines="50" w:line="360" w:lineRule="auto"/>
        <w:ind w:right="24"/>
        <w:rPr>
          <w:rFonts w:ascii="仿宋_GB2312" w:hAnsi="宋体" w:eastAsia="仿宋_GB2312"/>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06F73F50">
      <w:pPr>
        <w:adjustRightInd w:val="0"/>
        <w:snapToGrid w:val="0"/>
        <w:spacing w:before="156" w:beforeLines="50" w:line="360" w:lineRule="auto"/>
        <w:rPr>
          <w:rFonts w:ascii="仿宋_GB2312" w:hAnsi="宋体" w:eastAsia="仿宋_GB2312"/>
          <w:color w:val="auto"/>
          <w:szCs w:val="21"/>
          <w:highlight w:val="none"/>
        </w:rPr>
      </w:pPr>
    </w:p>
    <w:p w14:paraId="5DC3A4D1">
      <w:pPr>
        <w:adjustRightInd w:val="0"/>
        <w:snapToGrid w:val="0"/>
        <w:spacing w:line="360" w:lineRule="auto"/>
        <w:ind w:right="420"/>
        <w:jc w:val="right"/>
        <w:rPr>
          <w:rFonts w:ascii="宋体" w:hAnsi="宋体"/>
          <w:color w:val="auto"/>
          <w:szCs w:val="21"/>
          <w:highlight w:val="none"/>
        </w:rPr>
      </w:pPr>
      <w:r>
        <w:rPr>
          <w:rFonts w:hint="eastAsia" w:ascii="宋体" w:hAnsi="宋体"/>
          <w:color w:val="auto"/>
          <w:szCs w:val="21"/>
          <w:highlight w:val="none"/>
        </w:rPr>
        <w:t xml:space="preserve">    </w:t>
      </w:r>
    </w:p>
    <w:p w14:paraId="30164AC7">
      <w:pPr>
        <w:widowControl/>
        <w:spacing w:line="360" w:lineRule="auto"/>
        <w:jc w:val="left"/>
        <w:rPr>
          <w:rFonts w:ascii="宋体" w:hAnsi="宋体"/>
          <w:color w:val="auto"/>
          <w:sz w:val="30"/>
          <w:szCs w:val="30"/>
          <w:highlight w:val="none"/>
        </w:rPr>
      </w:pPr>
      <w:r>
        <w:rPr>
          <w:rFonts w:ascii="宋体" w:hAnsi="宋体"/>
          <w:color w:val="auto"/>
          <w:szCs w:val="21"/>
          <w:highlight w:val="none"/>
        </w:rPr>
        <w:br w:type="page"/>
      </w:r>
      <w:bookmarkStart w:id="169" w:name="_Toc30934_WPSOffice_Level1"/>
      <w:bookmarkStart w:id="170" w:name="_Toc18773_WPSOffice_Level1"/>
      <w:bookmarkStart w:id="171" w:name="_Toc6144_WPSOffice_Level1"/>
      <w:bookmarkStart w:id="172" w:name="_Toc20008_WPSOffice_Level1"/>
      <w:r>
        <w:rPr>
          <w:rFonts w:hint="eastAsia" w:ascii="宋体" w:hAnsi="宋体"/>
          <w:b/>
          <w:color w:val="auto"/>
          <w:sz w:val="28"/>
          <w:szCs w:val="28"/>
          <w:highlight w:val="none"/>
        </w:rPr>
        <w:t>附件1-2</w:t>
      </w:r>
      <w:bookmarkEnd w:id="169"/>
      <w:bookmarkEnd w:id="170"/>
      <w:bookmarkEnd w:id="171"/>
      <w:bookmarkEnd w:id="172"/>
    </w:p>
    <w:p w14:paraId="456DC137">
      <w:pPr>
        <w:adjustRightInd w:val="0"/>
        <w:snapToGrid w:val="0"/>
        <w:spacing w:line="360" w:lineRule="auto"/>
        <w:jc w:val="center"/>
        <w:rPr>
          <w:rFonts w:ascii="宋体" w:hAnsi="宋体"/>
          <w:b/>
          <w:color w:val="auto"/>
          <w:sz w:val="28"/>
          <w:szCs w:val="28"/>
          <w:highlight w:val="none"/>
        </w:rPr>
      </w:pPr>
      <w:bookmarkStart w:id="173" w:name="_Toc24304_WPSOffice_Level1"/>
      <w:bookmarkStart w:id="174" w:name="_Toc31180_WPSOffice_Level1"/>
      <w:bookmarkStart w:id="175" w:name="_Toc8095_WPSOffice_Level1"/>
      <w:bookmarkStart w:id="176" w:name="_Toc20526_WPSOffice_Level1"/>
      <w:r>
        <w:rPr>
          <w:rFonts w:hint="eastAsia" w:ascii="宋体" w:hAnsi="宋体"/>
          <w:b/>
          <w:color w:val="auto"/>
          <w:sz w:val="28"/>
          <w:szCs w:val="28"/>
          <w:highlight w:val="none"/>
        </w:rPr>
        <w:t>法定代表人授权委托书</w:t>
      </w:r>
      <w:bookmarkEnd w:id="173"/>
      <w:bookmarkEnd w:id="174"/>
      <w:bookmarkEnd w:id="175"/>
      <w:bookmarkEnd w:id="176"/>
    </w:p>
    <w:p w14:paraId="37F4655C">
      <w:pPr>
        <w:adjustRightInd w:val="0"/>
        <w:snapToGrid w:val="0"/>
        <w:spacing w:line="360" w:lineRule="auto"/>
        <w:jc w:val="center"/>
        <w:rPr>
          <w:rFonts w:ascii="宋体" w:hAnsi="宋体"/>
          <w:b/>
          <w:color w:val="auto"/>
          <w:sz w:val="28"/>
          <w:szCs w:val="28"/>
          <w:highlight w:val="none"/>
        </w:rPr>
      </w:pPr>
    </w:p>
    <w:p w14:paraId="2DF56894">
      <w:pPr>
        <w:autoSpaceDE w:val="0"/>
        <w:autoSpaceDN w:val="0"/>
        <w:adjustRightInd w:val="0"/>
        <w:snapToGrid w:val="0"/>
        <w:spacing w:before="156" w:beforeLines="50"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本人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（姓名、职务）系</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w:t>
      </w:r>
      <w:r>
        <w:rPr>
          <w:rFonts w:hint="eastAsia" w:ascii="宋体" w:hAnsi="宋体"/>
          <w:color w:val="auto"/>
          <w:szCs w:val="21"/>
          <w:highlight w:val="none"/>
        </w:rPr>
        <w:t>供应商</w:t>
      </w:r>
      <w:r>
        <w:rPr>
          <w:rFonts w:hint="eastAsia" w:ascii="宋体" w:hAnsi="宋体" w:cs="宋体"/>
          <w:color w:val="auto"/>
          <w:kern w:val="0"/>
          <w:szCs w:val="21"/>
          <w:highlight w:val="none"/>
        </w:rPr>
        <w:t>名称）的法定代表人</w:t>
      </w:r>
      <w:r>
        <w:rPr>
          <w:rFonts w:hint="eastAsia" w:ascii="宋体" w:hAnsi="宋体" w:cs="微软雅黑"/>
          <w:color w:val="auto"/>
          <w:kern w:val="0"/>
          <w:szCs w:val="21"/>
          <w:highlight w:val="none"/>
        </w:rPr>
        <w:t>（</w:t>
      </w:r>
      <w:r>
        <w:rPr>
          <w:rFonts w:hint="eastAsia" w:ascii="宋体" w:hAnsi="宋体" w:cs="微软雅黑"/>
          <w:color w:val="auto"/>
          <w:spacing w:val="-2"/>
          <w:kern w:val="0"/>
          <w:szCs w:val="21"/>
          <w:highlight w:val="none"/>
        </w:rPr>
        <w:t>单</w:t>
      </w:r>
      <w:r>
        <w:rPr>
          <w:rFonts w:hint="eastAsia" w:ascii="宋体" w:hAnsi="宋体" w:cs="微软雅黑"/>
          <w:color w:val="auto"/>
          <w:kern w:val="0"/>
          <w:szCs w:val="21"/>
          <w:highlight w:val="none"/>
        </w:rPr>
        <w:t>位</w:t>
      </w:r>
      <w:r>
        <w:rPr>
          <w:rFonts w:hint="eastAsia" w:ascii="宋体" w:hAnsi="宋体" w:cs="微软雅黑"/>
          <w:color w:val="auto"/>
          <w:spacing w:val="-2"/>
          <w:kern w:val="0"/>
          <w:szCs w:val="21"/>
          <w:highlight w:val="none"/>
        </w:rPr>
        <w:t>负</w:t>
      </w:r>
      <w:r>
        <w:rPr>
          <w:rFonts w:hint="eastAsia" w:ascii="宋体" w:hAnsi="宋体" w:cs="微软雅黑"/>
          <w:color w:val="auto"/>
          <w:kern w:val="0"/>
          <w:szCs w:val="21"/>
          <w:highlight w:val="none"/>
        </w:rPr>
        <w:t>责人</w:t>
      </w:r>
      <w:r>
        <w:rPr>
          <w:rFonts w:hint="eastAsia" w:ascii="宋体" w:hAnsi="宋体" w:cs="微软雅黑"/>
          <w:color w:val="auto"/>
          <w:spacing w:val="-2"/>
          <w:kern w:val="0"/>
          <w:szCs w:val="21"/>
          <w:highlight w:val="none"/>
        </w:rPr>
        <w:t>）</w:t>
      </w:r>
      <w:r>
        <w:rPr>
          <w:rFonts w:hint="eastAsia" w:ascii="宋体" w:hAnsi="宋体" w:cs="宋体"/>
          <w:color w:val="auto"/>
          <w:kern w:val="0"/>
          <w:szCs w:val="21"/>
          <w:highlight w:val="none"/>
        </w:rPr>
        <w:t>，现授权</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（姓名、职务）为我方代理人。代理人根据授权，以我方名义：(1)签署、澄清、补正、修改、撤回、提交</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（项目名称、</w:t>
      </w:r>
      <w:r>
        <w:rPr>
          <w:rFonts w:hint="eastAsia" w:ascii="宋体" w:hAnsi="宋体"/>
          <w:color w:val="auto"/>
          <w:szCs w:val="21"/>
          <w:highlight w:val="none"/>
        </w:rPr>
        <w:t>政府</w:t>
      </w:r>
      <w:r>
        <w:rPr>
          <w:rFonts w:hint="eastAsia" w:ascii="宋体" w:hAnsi="宋体" w:cs="宋体"/>
          <w:color w:val="auto"/>
          <w:kern w:val="0"/>
          <w:szCs w:val="21"/>
          <w:highlight w:val="none"/>
        </w:rPr>
        <w:t>采购编号、委托代理编号）响应文件；(2)签署并重新提交响应文件及最后报价；(3)退出</w:t>
      </w:r>
      <w:r>
        <w:rPr>
          <w:rFonts w:hint="eastAsia" w:ascii="宋体" w:hAnsi="宋体" w:cs="宋体"/>
          <w:color w:val="auto"/>
          <w:kern w:val="0"/>
          <w:szCs w:val="21"/>
          <w:highlight w:val="none"/>
          <w:lang w:val="en-US" w:eastAsia="zh-CN"/>
        </w:rPr>
        <w:t>磋商</w:t>
      </w:r>
      <w:r>
        <w:rPr>
          <w:rFonts w:hint="eastAsia" w:ascii="宋体" w:hAnsi="宋体" w:cs="宋体"/>
          <w:color w:val="auto"/>
          <w:kern w:val="0"/>
          <w:szCs w:val="21"/>
          <w:highlight w:val="none"/>
        </w:rPr>
        <w:t>（如可能）；(4)签订合同和处理有关事宜，其法律后果由我方承担。</w:t>
      </w:r>
    </w:p>
    <w:p w14:paraId="371B12C5">
      <w:pPr>
        <w:autoSpaceDE w:val="0"/>
        <w:autoSpaceDN w:val="0"/>
        <w:adjustRightInd w:val="0"/>
        <w:snapToGrid w:val="0"/>
        <w:spacing w:before="156" w:beforeLines="50"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委托期限：</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w:t>
      </w:r>
    </w:p>
    <w:p w14:paraId="7CEA85C3">
      <w:pPr>
        <w:adjustRightInd w:val="0"/>
        <w:snapToGrid w:val="0"/>
        <w:spacing w:before="156" w:beforeLines="50" w:line="360" w:lineRule="auto"/>
        <w:ind w:firstLine="435"/>
        <w:rPr>
          <w:rFonts w:ascii="宋体" w:hAnsi="宋体" w:cs="宋体"/>
          <w:color w:val="auto"/>
          <w:kern w:val="0"/>
          <w:szCs w:val="21"/>
          <w:highlight w:val="none"/>
        </w:rPr>
      </w:pPr>
      <w:r>
        <w:rPr>
          <w:rFonts w:hint="eastAsia" w:ascii="宋体" w:hAnsi="宋体" w:cs="宋体"/>
          <w:color w:val="auto"/>
          <w:kern w:val="0"/>
          <w:szCs w:val="21"/>
          <w:highlight w:val="none"/>
        </w:rPr>
        <w:t>代理人无转委托权。</w:t>
      </w:r>
    </w:p>
    <w:p w14:paraId="2933F888">
      <w:pPr>
        <w:adjustRightInd w:val="0"/>
        <w:snapToGrid w:val="0"/>
        <w:spacing w:before="156" w:beforeLines="50" w:line="360" w:lineRule="auto"/>
        <w:ind w:firstLine="435"/>
        <w:rPr>
          <w:rFonts w:ascii="宋体" w:hAnsi="宋体" w:cs="微软雅黑"/>
          <w:color w:val="auto"/>
          <w:kern w:val="0"/>
          <w:szCs w:val="21"/>
          <w:highlight w:val="none"/>
        </w:rPr>
      </w:pPr>
      <w:r>
        <w:rPr>
          <w:rFonts w:hint="eastAsia" w:ascii="宋体" w:hAnsi="宋体"/>
          <w:color w:val="auto"/>
          <w:szCs w:val="21"/>
          <w:highlight w:val="none"/>
        </w:rPr>
        <w:t>本授权书于</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日签字生效，特此声明。</w:t>
      </w:r>
    </w:p>
    <w:p w14:paraId="247F1595">
      <w:pPr>
        <w:adjustRightInd w:val="0"/>
        <w:snapToGrid w:val="0"/>
        <w:spacing w:before="156" w:beforeLines="50"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附：委托代理人身份证复印件及法定代表人身份证明(附件1，原件)</w:t>
      </w:r>
    </w:p>
    <w:p w14:paraId="01285A5B">
      <w:pPr>
        <w:adjustRightInd w:val="0"/>
        <w:snapToGrid w:val="0"/>
        <w:spacing w:before="156" w:beforeLines="50" w:line="360" w:lineRule="auto"/>
        <w:ind w:firstLine="420" w:firstLineChars="200"/>
        <w:rPr>
          <w:rFonts w:ascii="宋体" w:hAnsi="宋体"/>
          <w:color w:val="auto"/>
          <w:szCs w:val="21"/>
          <w:highlight w:val="none"/>
        </w:rPr>
      </w:pPr>
    </w:p>
    <w:p w14:paraId="604697D1">
      <w:pPr>
        <w:pStyle w:val="2"/>
        <w:rPr>
          <w:color w:val="auto"/>
          <w:highlight w:val="none"/>
        </w:rPr>
      </w:pPr>
    </w:p>
    <w:p w14:paraId="45D0C76F">
      <w:pPr>
        <w:pStyle w:val="2"/>
        <w:rPr>
          <w:rFonts w:ascii="宋体" w:hAnsi="宋体"/>
          <w:color w:val="auto"/>
          <w:szCs w:val="21"/>
          <w:highlight w:val="none"/>
        </w:rPr>
      </w:pPr>
    </w:p>
    <w:p w14:paraId="6AF3688F">
      <w:pPr>
        <w:pStyle w:val="2"/>
        <w:rPr>
          <w:rFonts w:ascii="宋体" w:hAnsi="宋体"/>
          <w:color w:val="auto"/>
          <w:szCs w:val="21"/>
          <w:highlight w:val="none"/>
        </w:rPr>
      </w:pPr>
    </w:p>
    <w:p w14:paraId="4E5CAD80">
      <w:pPr>
        <w:adjustRightInd w:val="0"/>
        <w:snapToGrid w:val="0"/>
        <w:spacing w:before="156" w:beforeLines="50" w:line="360" w:lineRule="auto"/>
        <w:ind w:firstLine="420" w:firstLineChars="200"/>
        <w:rPr>
          <w:rFonts w:ascii="宋体" w:hAnsi="宋体"/>
          <w:color w:val="auto"/>
          <w:szCs w:val="21"/>
          <w:highlight w:val="none"/>
        </w:rPr>
      </w:pPr>
    </w:p>
    <w:p w14:paraId="7C17AABC">
      <w:pPr>
        <w:adjustRightInd w:val="0"/>
        <w:snapToGrid w:val="0"/>
        <w:spacing w:line="360" w:lineRule="auto"/>
        <w:ind w:right="420"/>
        <w:rPr>
          <w:rFonts w:ascii="宋体" w:hAnsi="宋体"/>
          <w:color w:val="auto"/>
          <w:szCs w:val="21"/>
          <w:highlight w:val="none"/>
        </w:rPr>
      </w:pPr>
      <w:r>
        <w:rPr>
          <w:rFonts w:hint="eastAsia" w:ascii="宋体" w:hAnsi="宋体"/>
          <w:color w:val="auto"/>
          <w:szCs w:val="21"/>
          <w:highlight w:val="none"/>
        </w:rPr>
        <w:t>注：供应商代表不是供应商的法定代表人（单位负责人）的提供。供应商为自然人的无需提供。</w:t>
      </w:r>
    </w:p>
    <w:p w14:paraId="6053D4ED">
      <w:pPr>
        <w:adjustRightInd w:val="0"/>
        <w:snapToGrid w:val="0"/>
        <w:spacing w:line="360" w:lineRule="auto"/>
        <w:ind w:right="420"/>
        <w:rPr>
          <w:rFonts w:ascii="宋体" w:hAnsi="宋体"/>
          <w:color w:val="auto"/>
          <w:szCs w:val="21"/>
          <w:highlight w:val="none"/>
        </w:rPr>
      </w:pPr>
    </w:p>
    <w:p w14:paraId="61A07668">
      <w:pPr>
        <w:adjustRightInd w:val="0"/>
        <w:snapToGrid w:val="0"/>
        <w:spacing w:line="360" w:lineRule="auto"/>
        <w:ind w:right="420"/>
        <w:rPr>
          <w:rFonts w:ascii="宋体" w:hAnsi="宋体"/>
          <w:color w:val="auto"/>
          <w:szCs w:val="21"/>
          <w:highlight w:val="none"/>
        </w:rPr>
      </w:pPr>
    </w:p>
    <w:p w14:paraId="6F6D882A">
      <w:pPr>
        <w:adjustRightInd w:val="0"/>
        <w:snapToGrid w:val="0"/>
        <w:spacing w:line="360" w:lineRule="auto"/>
        <w:ind w:right="420"/>
        <w:rPr>
          <w:rFonts w:ascii="宋体" w:hAnsi="宋体"/>
          <w:color w:val="auto"/>
          <w:szCs w:val="21"/>
          <w:highlight w:val="none"/>
        </w:rPr>
      </w:pPr>
    </w:p>
    <w:p w14:paraId="43897F01">
      <w:pPr>
        <w:adjustRightInd w:val="0"/>
        <w:snapToGrid w:val="0"/>
        <w:spacing w:line="360" w:lineRule="auto"/>
        <w:ind w:right="420"/>
        <w:rPr>
          <w:rFonts w:ascii="宋体" w:hAnsi="宋体"/>
          <w:color w:val="auto"/>
          <w:szCs w:val="21"/>
          <w:highlight w:val="none"/>
        </w:rPr>
      </w:pPr>
    </w:p>
    <w:p w14:paraId="5C997E01">
      <w:pPr>
        <w:adjustRightInd w:val="0"/>
        <w:snapToGrid w:val="0"/>
        <w:spacing w:line="360" w:lineRule="auto"/>
        <w:ind w:right="420"/>
        <w:rPr>
          <w:rFonts w:ascii="宋体" w:hAnsi="宋体"/>
          <w:color w:val="auto"/>
          <w:szCs w:val="21"/>
          <w:highlight w:val="none"/>
        </w:rPr>
      </w:pPr>
    </w:p>
    <w:p w14:paraId="586709EC">
      <w:pPr>
        <w:adjustRightInd w:val="0"/>
        <w:snapToGrid w:val="0"/>
        <w:spacing w:line="360" w:lineRule="auto"/>
        <w:ind w:right="420"/>
        <w:rPr>
          <w:rFonts w:ascii="宋体" w:hAnsi="宋体"/>
          <w:color w:val="auto"/>
          <w:szCs w:val="21"/>
          <w:highlight w:val="none"/>
        </w:rPr>
      </w:pPr>
      <w:r>
        <w:rPr>
          <w:rFonts w:hint="eastAsia" w:ascii="宋体" w:hAnsi="宋体"/>
          <w:color w:val="auto"/>
          <w:szCs w:val="21"/>
          <w:highlight w:val="none"/>
        </w:rPr>
        <w:t>法定代表人（签字）：</w:t>
      </w:r>
      <w:r>
        <w:rPr>
          <w:rFonts w:hint="eastAsia" w:ascii="宋体" w:hAnsi="宋体"/>
          <w:color w:val="auto"/>
          <w:szCs w:val="21"/>
          <w:highlight w:val="none"/>
          <w:u w:val="single"/>
        </w:rPr>
        <w:t xml:space="preserve">                     </w:t>
      </w:r>
    </w:p>
    <w:p w14:paraId="7745E891">
      <w:pPr>
        <w:adjustRightInd w:val="0"/>
        <w:snapToGrid w:val="0"/>
        <w:spacing w:line="360" w:lineRule="auto"/>
        <w:ind w:right="420"/>
        <w:rPr>
          <w:rFonts w:ascii="宋体" w:hAnsi="宋体"/>
          <w:color w:val="auto"/>
          <w:szCs w:val="21"/>
          <w:highlight w:val="none"/>
        </w:rPr>
      </w:pPr>
      <w:r>
        <w:rPr>
          <w:rFonts w:hint="eastAsia" w:ascii="宋体" w:hAnsi="宋体"/>
          <w:color w:val="auto"/>
          <w:szCs w:val="21"/>
          <w:highlight w:val="none"/>
        </w:rPr>
        <w:t>委托代理人（签字）：</w:t>
      </w:r>
      <w:r>
        <w:rPr>
          <w:rFonts w:hint="eastAsia" w:ascii="宋体" w:hAnsi="宋体"/>
          <w:color w:val="auto"/>
          <w:szCs w:val="21"/>
          <w:highlight w:val="none"/>
          <w:u w:val="single"/>
        </w:rPr>
        <w:t xml:space="preserve">                     </w:t>
      </w:r>
    </w:p>
    <w:p w14:paraId="306BEB9C">
      <w:pPr>
        <w:adjustRightInd w:val="0"/>
        <w:snapToGrid w:val="0"/>
        <w:spacing w:line="360" w:lineRule="auto"/>
        <w:ind w:right="24"/>
        <w:rPr>
          <w:rFonts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2BA14CCD">
      <w:pPr>
        <w:adjustRightInd w:val="0"/>
        <w:snapToGrid w:val="0"/>
        <w:spacing w:line="360" w:lineRule="auto"/>
        <w:ind w:right="420" w:firstLine="5355" w:firstLineChars="2550"/>
        <w:jc w:val="left"/>
        <w:rPr>
          <w:rFonts w:ascii="宋体" w:hAnsi="宋体"/>
          <w:color w:val="auto"/>
          <w:szCs w:val="21"/>
          <w:highlight w:val="none"/>
        </w:rPr>
      </w:pPr>
    </w:p>
    <w:p w14:paraId="5F15C0BC">
      <w:pPr>
        <w:spacing w:line="360" w:lineRule="auto"/>
        <w:rPr>
          <w:rFonts w:ascii="宋体" w:hAnsi="宋体"/>
          <w:b/>
          <w:color w:val="auto"/>
          <w:highlight w:val="none"/>
        </w:rPr>
      </w:pPr>
    </w:p>
    <w:p w14:paraId="6808D5AC">
      <w:pPr>
        <w:spacing w:line="360" w:lineRule="auto"/>
        <w:rPr>
          <w:rFonts w:ascii="宋体" w:hAnsi="宋体"/>
          <w:color w:val="auto"/>
          <w:sz w:val="28"/>
          <w:szCs w:val="28"/>
          <w:highlight w:val="none"/>
        </w:rPr>
      </w:pPr>
      <w:r>
        <w:rPr>
          <w:rFonts w:ascii="宋体" w:hAnsi="宋体"/>
          <w:b/>
          <w:color w:val="auto"/>
          <w:highlight w:val="none"/>
        </w:rPr>
        <w:br w:type="page"/>
      </w:r>
      <w:r>
        <w:rPr>
          <w:rFonts w:hint="eastAsia" w:ascii="宋体" w:hAnsi="宋体"/>
          <w:b/>
          <w:color w:val="auto"/>
          <w:sz w:val="28"/>
          <w:szCs w:val="28"/>
          <w:highlight w:val="none"/>
        </w:rPr>
        <w:t>附件2</w:t>
      </w:r>
    </w:p>
    <w:p w14:paraId="4C97FBE3">
      <w:pPr>
        <w:adjustRightInd w:val="0"/>
        <w:snapToGrid w:val="0"/>
        <w:spacing w:line="360" w:lineRule="auto"/>
        <w:jc w:val="center"/>
        <w:rPr>
          <w:rFonts w:ascii="宋体" w:hAnsi="宋体"/>
          <w:b/>
          <w:color w:val="auto"/>
          <w:sz w:val="28"/>
          <w:szCs w:val="28"/>
          <w:highlight w:val="none"/>
        </w:rPr>
      </w:pPr>
      <w:bookmarkStart w:id="177" w:name="_Toc21845_WPSOffice_Level1"/>
      <w:bookmarkStart w:id="178" w:name="_Toc31857_WPSOffice_Level1"/>
      <w:bookmarkStart w:id="179" w:name="_Toc4898_WPSOffice_Level1"/>
      <w:bookmarkStart w:id="180" w:name="_Toc31331_WPSOffice_Level1"/>
      <w:r>
        <w:rPr>
          <w:rFonts w:hint="eastAsia" w:ascii="宋体" w:hAnsi="宋体"/>
          <w:b/>
          <w:color w:val="auto"/>
          <w:sz w:val="28"/>
          <w:szCs w:val="28"/>
          <w:highlight w:val="none"/>
        </w:rPr>
        <w:t>工程质量保修书</w:t>
      </w:r>
      <w:bookmarkEnd w:id="177"/>
      <w:bookmarkEnd w:id="178"/>
      <w:bookmarkEnd w:id="179"/>
      <w:bookmarkEnd w:id="180"/>
    </w:p>
    <w:p w14:paraId="6F484DED">
      <w:pPr>
        <w:adjustRightInd w:val="0"/>
        <w:snapToGrid w:val="0"/>
        <w:spacing w:line="360" w:lineRule="auto"/>
        <w:rPr>
          <w:rFonts w:ascii="宋体" w:hAnsi="宋体"/>
          <w:color w:val="auto"/>
          <w:sz w:val="24"/>
          <w:szCs w:val="18"/>
          <w:highlight w:val="none"/>
        </w:rPr>
      </w:pPr>
    </w:p>
    <w:p w14:paraId="63D80995">
      <w:pPr>
        <w:adjustRightInd w:val="0"/>
        <w:snapToGrid w:val="0"/>
        <w:spacing w:line="360" w:lineRule="auto"/>
        <w:ind w:firstLine="420" w:firstLineChars="200"/>
        <w:rPr>
          <w:rFonts w:ascii="宋体" w:hAnsi="宋体"/>
          <w:color w:val="auto"/>
          <w:szCs w:val="21"/>
          <w:highlight w:val="none"/>
          <w:u w:val="single"/>
        </w:rPr>
      </w:pPr>
      <w:r>
        <w:rPr>
          <w:rFonts w:ascii="宋体" w:hAnsi="宋体"/>
          <w:color w:val="auto"/>
          <w:szCs w:val="21"/>
          <w:highlight w:val="none"/>
        </w:rPr>
        <w:t>发包人：（全称）</w:t>
      </w:r>
    </w:p>
    <w:p w14:paraId="6CA0289B">
      <w:pPr>
        <w:adjustRightInd w:val="0"/>
        <w:snapToGrid w:val="0"/>
        <w:spacing w:line="360" w:lineRule="auto"/>
        <w:ind w:firstLine="420" w:firstLineChars="200"/>
        <w:rPr>
          <w:rFonts w:ascii="宋体" w:hAnsi="宋体"/>
          <w:color w:val="auto"/>
          <w:szCs w:val="21"/>
          <w:highlight w:val="none"/>
          <w:u w:val="single"/>
        </w:rPr>
      </w:pPr>
      <w:r>
        <w:rPr>
          <w:rFonts w:ascii="宋体" w:hAnsi="宋体"/>
          <w:color w:val="auto"/>
          <w:szCs w:val="21"/>
          <w:highlight w:val="none"/>
        </w:rPr>
        <w:t>承包人：（全称）</w:t>
      </w:r>
    </w:p>
    <w:p w14:paraId="7836C74D">
      <w:pPr>
        <w:adjustRightInd w:val="0"/>
        <w:snapToGrid w:val="0"/>
        <w:spacing w:line="360" w:lineRule="auto"/>
        <w:ind w:firstLine="480"/>
        <w:rPr>
          <w:rFonts w:ascii="宋体" w:hAnsi="宋体"/>
          <w:color w:val="auto"/>
          <w:szCs w:val="21"/>
          <w:highlight w:val="none"/>
          <w:u w:val="single"/>
        </w:rPr>
      </w:pPr>
    </w:p>
    <w:p w14:paraId="3B6D5717">
      <w:pPr>
        <w:adjustRightInd w:val="0"/>
        <w:snapToGrid w:val="0"/>
        <w:spacing w:line="360" w:lineRule="auto"/>
        <w:ind w:firstLine="420" w:firstLineChars="200"/>
        <w:rPr>
          <w:rFonts w:ascii="宋体" w:hAnsi="宋体"/>
          <w:color w:val="auto"/>
          <w:szCs w:val="21"/>
          <w:highlight w:val="none"/>
        </w:rPr>
      </w:pPr>
      <w:r>
        <w:rPr>
          <w:rFonts w:ascii="宋体" w:hAnsi="宋体"/>
          <w:color w:val="auto"/>
          <w:szCs w:val="21"/>
          <w:highlight w:val="none"/>
        </w:rPr>
        <w:t>为保证（工程名称）在合理使用期限内正常使用，发包人和承包人根据《中华人民共和国建筑法》、《建设工程质量管理条例》和《房屋建筑工程质量保修办法》，经协商一致，签订工程质量保修书，承包人在质量保修期内应按照有关规定及双方约定承担工程质量保修责任。</w:t>
      </w:r>
    </w:p>
    <w:p w14:paraId="575A093A">
      <w:pPr>
        <w:adjustRightInd w:val="0"/>
        <w:snapToGrid w:val="0"/>
        <w:spacing w:line="360" w:lineRule="auto"/>
        <w:ind w:firstLine="422" w:firstLineChars="200"/>
        <w:rPr>
          <w:rFonts w:ascii="宋体" w:hAnsi="宋体"/>
          <w:b/>
          <w:color w:val="auto"/>
          <w:szCs w:val="21"/>
          <w:highlight w:val="none"/>
        </w:rPr>
      </w:pPr>
      <w:bookmarkStart w:id="181" w:name="_Toc32058_WPSOffice_Level1"/>
      <w:bookmarkStart w:id="182" w:name="_Toc4579_WPSOffice_Level1"/>
      <w:bookmarkStart w:id="183" w:name="_Toc1134_WPSOffice_Level1"/>
      <w:bookmarkStart w:id="184" w:name="_Toc1233_WPSOffice_Level1"/>
      <w:r>
        <w:rPr>
          <w:rFonts w:hint="eastAsia" w:ascii="宋体" w:hAnsi="宋体"/>
          <w:b/>
          <w:color w:val="auto"/>
          <w:szCs w:val="21"/>
          <w:highlight w:val="none"/>
        </w:rPr>
        <w:t>1 质量保修范围</w:t>
      </w:r>
      <w:bookmarkEnd w:id="181"/>
      <w:bookmarkEnd w:id="182"/>
      <w:bookmarkEnd w:id="183"/>
      <w:bookmarkEnd w:id="184"/>
    </w:p>
    <w:p w14:paraId="41D39F6C">
      <w:pPr>
        <w:adjustRightInd w:val="0"/>
        <w:snapToGrid w:val="0"/>
        <w:spacing w:line="360" w:lineRule="auto"/>
        <w:ind w:firstLine="420" w:firstLineChars="200"/>
        <w:rPr>
          <w:rFonts w:ascii="宋体" w:hAnsi="宋体"/>
          <w:color w:val="auto"/>
          <w:szCs w:val="21"/>
          <w:highlight w:val="none"/>
        </w:rPr>
      </w:pPr>
      <w:r>
        <w:rPr>
          <w:rFonts w:ascii="宋体" w:hAnsi="宋体"/>
          <w:color w:val="auto"/>
          <w:szCs w:val="21"/>
          <w:highlight w:val="none"/>
        </w:rPr>
        <w:t>质量保修范围包括地基基础工程、主体结构工程、屋面防水工程、有防水要求的卫生间、房间、外墙面的防渗漏工程、电气管线工程、给排水管道工程、设备安装工程、供热、供冷系统工程、装饰装修工程以及双方约定其他项目。具体质量保修范围，双方约定如下：</w:t>
      </w:r>
    </w:p>
    <w:p w14:paraId="46D427A8">
      <w:pPr>
        <w:adjustRightInd w:val="0"/>
        <w:snapToGrid w:val="0"/>
        <w:spacing w:line="360" w:lineRule="auto"/>
        <w:ind w:firstLine="420" w:firstLineChars="200"/>
        <w:rPr>
          <w:rFonts w:ascii="宋体" w:hAnsi="宋体"/>
          <w:color w:val="auto"/>
          <w:szCs w:val="21"/>
          <w:highlight w:val="none"/>
          <w:u w:val="single"/>
        </w:rPr>
      </w:pPr>
      <w:r>
        <w:rPr>
          <w:rFonts w:ascii="宋体" w:hAnsi="宋体"/>
          <w:color w:val="auto"/>
          <w:szCs w:val="21"/>
          <w:highlight w:val="none"/>
        </w:rPr>
        <w:t>（1）</w:t>
      </w:r>
    </w:p>
    <w:p w14:paraId="6C08381B">
      <w:pPr>
        <w:adjustRightInd w:val="0"/>
        <w:snapToGrid w:val="0"/>
        <w:spacing w:line="360" w:lineRule="auto"/>
        <w:ind w:firstLine="420" w:firstLineChars="200"/>
        <w:rPr>
          <w:rFonts w:ascii="宋体" w:hAnsi="宋体"/>
          <w:color w:val="auto"/>
          <w:szCs w:val="21"/>
          <w:highlight w:val="none"/>
        </w:rPr>
      </w:pPr>
      <w:r>
        <w:rPr>
          <w:rFonts w:ascii="宋体" w:hAnsi="宋体"/>
          <w:color w:val="auto"/>
          <w:szCs w:val="21"/>
          <w:highlight w:val="none"/>
        </w:rPr>
        <w:t>（2）</w:t>
      </w:r>
    </w:p>
    <w:p w14:paraId="711F67D2">
      <w:pPr>
        <w:adjustRightInd w:val="0"/>
        <w:snapToGrid w:val="0"/>
        <w:spacing w:line="360" w:lineRule="auto"/>
        <w:ind w:firstLine="420" w:firstLineChars="200"/>
        <w:rPr>
          <w:rFonts w:ascii="宋体" w:hAnsi="宋体"/>
          <w:color w:val="auto"/>
          <w:szCs w:val="21"/>
          <w:highlight w:val="none"/>
        </w:rPr>
      </w:pPr>
      <w:r>
        <w:rPr>
          <w:rFonts w:ascii="宋体" w:hAnsi="宋体"/>
          <w:color w:val="auto"/>
          <w:szCs w:val="21"/>
          <w:highlight w:val="none"/>
        </w:rPr>
        <w:t>（3）</w:t>
      </w:r>
    </w:p>
    <w:p w14:paraId="1F8A9C2F">
      <w:pPr>
        <w:adjustRightInd w:val="0"/>
        <w:snapToGrid w:val="0"/>
        <w:spacing w:line="360" w:lineRule="auto"/>
        <w:ind w:firstLine="422" w:firstLineChars="200"/>
        <w:rPr>
          <w:rFonts w:ascii="宋体" w:hAnsi="宋体"/>
          <w:b/>
          <w:color w:val="auto"/>
          <w:szCs w:val="21"/>
          <w:highlight w:val="none"/>
        </w:rPr>
      </w:pPr>
      <w:bookmarkStart w:id="185" w:name="_Toc6069_WPSOffice_Level1"/>
      <w:bookmarkStart w:id="186" w:name="_Toc16443_WPSOffice_Level1"/>
      <w:bookmarkStart w:id="187" w:name="_Toc1477_WPSOffice_Level1"/>
      <w:bookmarkStart w:id="188" w:name="_Toc27884_WPSOffice_Level1"/>
      <w:r>
        <w:rPr>
          <w:rFonts w:hint="eastAsia" w:ascii="宋体" w:hAnsi="宋体"/>
          <w:b/>
          <w:color w:val="auto"/>
          <w:szCs w:val="21"/>
          <w:highlight w:val="none"/>
        </w:rPr>
        <w:t>2 质量保修期</w:t>
      </w:r>
      <w:bookmarkEnd w:id="185"/>
      <w:bookmarkEnd w:id="186"/>
      <w:bookmarkEnd w:id="187"/>
      <w:bookmarkEnd w:id="188"/>
    </w:p>
    <w:p w14:paraId="01E46D2F">
      <w:pPr>
        <w:adjustRightInd w:val="0"/>
        <w:snapToGrid w:val="0"/>
        <w:spacing w:line="360" w:lineRule="auto"/>
        <w:ind w:firstLine="420" w:firstLineChars="200"/>
        <w:rPr>
          <w:rFonts w:ascii="宋体" w:hAnsi="宋体"/>
          <w:color w:val="auto"/>
          <w:szCs w:val="21"/>
          <w:highlight w:val="none"/>
        </w:rPr>
      </w:pPr>
      <w:r>
        <w:rPr>
          <w:rFonts w:ascii="宋体" w:hAnsi="宋体"/>
          <w:color w:val="auto"/>
          <w:szCs w:val="21"/>
          <w:highlight w:val="none"/>
        </w:rPr>
        <w:t>2.1 质量保修期从工程实际竣工验收合格之日起计算。单项竣工验收的工程，按单项工程分别计算质量保修期。</w:t>
      </w:r>
    </w:p>
    <w:p w14:paraId="77E07A8D">
      <w:pPr>
        <w:adjustRightInd w:val="0"/>
        <w:snapToGrid w:val="0"/>
        <w:spacing w:line="360" w:lineRule="auto"/>
        <w:ind w:firstLine="420" w:firstLineChars="200"/>
        <w:rPr>
          <w:rFonts w:ascii="宋体" w:hAnsi="宋体"/>
          <w:color w:val="auto"/>
          <w:szCs w:val="21"/>
          <w:highlight w:val="none"/>
        </w:rPr>
      </w:pPr>
      <w:r>
        <w:rPr>
          <w:rFonts w:ascii="宋体" w:hAnsi="宋体"/>
          <w:color w:val="auto"/>
          <w:szCs w:val="21"/>
          <w:highlight w:val="none"/>
        </w:rPr>
        <w:t>2.2 双方根据《建设工程质量管理条例》及有关规定，约定本工程质量保修期如下：</w:t>
      </w:r>
    </w:p>
    <w:p w14:paraId="664310C9">
      <w:pPr>
        <w:adjustRightInd w:val="0"/>
        <w:snapToGrid w:val="0"/>
        <w:spacing w:line="360" w:lineRule="auto"/>
        <w:ind w:firstLine="420" w:firstLineChars="200"/>
        <w:rPr>
          <w:rFonts w:ascii="宋体" w:hAnsi="宋体"/>
          <w:color w:val="auto"/>
          <w:szCs w:val="21"/>
          <w:highlight w:val="none"/>
        </w:rPr>
      </w:pPr>
      <w:r>
        <w:rPr>
          <w:rFonts w:ascii="宋体" w:hAnsi="宋体"/>
          <w:color w:val="auto"/>
          <w:szCs w:val="21"/>
          <w:highlight w:val="none"/>
        </w:rPr>
        <w:t>（1）地基基础工程、主体结构工程为设计文件规定的合理使用年限；</w:t>
      </w:r>
    </w:p>
    <w:p w14:paraId="7D55BCCE">
      <w:pPr>
        <w:adjustRightInd w:val="0"/>
        <w:snapToGrid w:val="0"/>
        <w:spacing w:line="360" w:lineRule="auto"/>
        <w:ind w:firstLine="420" w:firstLineChars="200"/>
        <w:rPr>
          <w:rFonts w:ascii="宋体" w:hAnsi="宋体"/>
          <w:color w:val="auto"/>
          <w:szCs w:val="21"/>
          <w:highlight w:val="none"/>
        </w:rPr>
      </w:pPr>
      <w:r>
        <w:rPr>
          <w:rFonts w:ascii="宋体" w:hAnsi="宋体"/>
          <w:color w:val="auto"/>
          <w:szCs w:val="21"/>
          <w:highlight w:val="none"/>
        </w:rPr>
        <w:t>（2）屋面防水工程、有防水要求的卫生间、房间和外墙面的防渗漏工程为：</w:t>
      </w:r>
      <w:r>
        <w:rPr>
          <w:rFonts w:hint="eastAsia" w:ascii="宋体" w:hAnsi="宋体"/>
          <w:color w:val="auto"/>
          <w:szCs w:val="21"/>
          <w:highlight w:val="none"/>
          <w:u w:val="single"/>
        </w:rPr>
        <w:t xml:space="preserve">   </w:t>
      </w:r>
      <w:r>
        <w:rPr>
          <w:rFonts w:ascii="宋体" w:hAnsi="宋体"/>
          <w:color w:val="auto"/>
          <w:szCs w:val="21"/>
          <w:highlight w:val="none"/>
        </w:rPr>
        <w:t>年；</w:t>
      </w:r>
    </w:p>
    <w:p w14:paraId="600A373A">
      <w:pPr>
        <w:adjustRightInd w:val="0"/>
        <w:snapToGrid w:val="0"/>
        <w:spacing w:line="360" w:lineRule="auto"/>
        <w:ind w:firstLine="420" w:firstLineChars="200"/>
        <w:rPr>
          <w:rFonts w:ascii="宋体" w:hAnsi="宋体"/>
          <w:color w:val="auto"/>
          <w:szCs w:val="21"/>
          <w:highlight w:val="none"/>
        </w:rPr>
      </w:pPr>
      <w:r>
        <w:rPr>
          <w:rFonts w:ascii="宋体" w:hAnsi="宋体"/>
          <w:color w:val="auto"/>
          <w:szCs w:val="21"/>
          <w:highlight w:val="none"/>
        </w:rPr>
        <w:t>（3）电气管线工程、</w:t>
      </w:r>
      <w:r>
        <w:rPr>
          <w:rFonts w:hint="eastAsia" w:ascii="宋体" w:hAnsi="宋体"/>
          <w:color w:val="auto"/>
          <w:szCs w:val="21"/>
          <w:highlight w:val="none"/>
        </w:rPr>
        <w:t>给排水管道</w:t>
      </w:r>
      <w:r>
        <w:rPr>
          <w:rFonts w:ascii="宋体" w:hAnsi="宋体"/>
          <w:color w:val="auto"/>
          <w:szCs w:val="21"/>
          <w:highlight w:val="none"/>
        </w:rPr>
        <w:t>、设备安装工程为：</w:t>
      </w:r>
      <w:r>
        <w:rPr>
          <w:rFonts w:hint="eastAsia" w:ascii="宋体" w:hAnsi="宋体"/>
          <w:color w:val="auto"/>
          <w:szCs w:val="21"/>
          <w:highlight w:val="none"/>
          <w:u w:val="single"/>
        </w:rPr>
        <w:t xml:space="preserve">   </w:t>
      </w:r>
      <w:r>
        <w:rPr>
          <w:rFonts w:ascii="宋体" w:hAnsi="宋体"/>
          <w:color w:val="auto"/>
          <w:szCs w:val="21"/>
          <w:highlight w:val="none"/>
        </w:rPr>
        <w:t>年；</w:t>
      </w:r>
    </w:p>
    <w:p w14:paraId="6554725B">
      <w:pPr>
        <w:adjustRightInd w:val="0"/>
        <w:snapToGrid w:val="0"/>
        <w:spacing w:line="360" w:lineRule="auto"/>
        <w:ind w:firstLine="420" w:firstLineChars="200"/>
        <w:rPr>
          <w:rFonts w:ascii="宋体" w:hAnsi="宋体"/>
          <w:color w:val="auto"/>
          <w:szCs w:val="21"/>
          <w:highlight w:val="none"/>
        </w:rPr>
      </w:pPr>
      <w:r>
        <w:rPr>
          <w:rFonts w:ascii="宋体" w:hAnsi="宋体"/>
          <w:color w:val="auto"/>
          <w:szCs w:val="21"/>
          <w:highlight w:val="none"/>
        </w:rPr>
        <w:t>（4）供热、供冷系统工程为：</w:t>
      </w:r>
      <w:r>
        <w:rPr>
          <w:rFonts w:hint="eastAsia" w:ascii="宋体" w:hAnsi="宋体"/>
          <w:color w:val="auto"/>
          <w:szCs w:val="21"/>
          <w:highlight w:val="none"/>
          <w:u w:val="single"/>
        </w:rPr>
        <w:t xml:space="preserve">   </w:t>
      </w:r>
      <w:r>
        <w:rPr>
          <w:rFonts w:ascii="宋体" w:hAnsi="宋体"/>
          <w:color w:val="auto"/>
          <w:szCs w:val="21"/>
          <w:highlight w:val="none"/>
        </w:rPr>
        <w:t>个采暖期、供冷期；</w:t>
      </w:r>
    </w:p>
    <w:p w14:paraId="331D54F3">
      <w:pPr>
        <w:adjustRightInd w:val="0"/>
        <w:snapToGrid w:val="0"/>
        <w:spacing w:line="360" w:lineRule="auto"/>
        <w:ind w:firstLine="420" w:firstLineChars="200"/>
        <w:rPr>
          <w:rFonts w:ascii="宋体" w:hAnsi="宋体"/>
          <w:color w:val="auto"/>
          <w:szCs w:val="21"/>
          <w:highlight w:val="none"/>
        </w:rPr>
      </w:pPr>
      <w:r>
        <w:rPr>
          <w:rFonts w:ascii="宋体" w:hAnsi="宋体"/>
          <w:color w:val="auto"/>
          <w:szCs w:val="21"/>
          <w:highlight w:val="none"/>
        </w:rPr>
        <w:t>（5）装饰装修工程为</w:t>
      </w:r>
      <w:r>
        <w:rPr>
          <w:rFonts w:hint="eastAsia" w:ascii="宋体" w:hAnsi="宋体"/>
          <w:color w:val="auto"/>
          <w:szCs w:val="21"/>
          <w:highlight w:val="none"/>
          <w:u w:val="single"/>
        </w:rPr>
        <w:t xml:space="preserve">   </w:t>
      </w:r>
      <w:r>
        <w:rPr>
          <w:rFonts w:ascii="宋体" w:hAnsi="宋体"/>
          <w:color w:val="auto"/>
          <w:szCs w:val="21"/>
          <w:highlight w:val="none"/>
        </w:rPr>
        <w:t>年；</w:t>
      </w:r>
    </w:p>
    <w:p w14:paraId="6D8655BC">
      <w:pPr>
        <w:adjustRightInd w:val="0"/>
        <w:snapToGrid w:val="0"/>
        <w:spacing w:line="360" w:lineRule="auto"/>
        <w:ind w:firstLine="420" w:firstLineChars="200"/>
        <w:rPr>
          <w:rFonts w:ascii="宋体" w:hAnsi="宋体"/>
          <w:color w:val="auto"/>
          <w:szCs w:val="21"/>
          <w:highlight w:val="none"/>
        </w:rPr>
      </w:pPr>
      <w:r>
        <w:rPr>
          <w:rFonts w:ascii="宋体" w:hAnsi="宋体"/>
          <w:color w:val="auto"/>
          <w:szCs w:val="21"/>
          <w:highlight w:val="none"/>
        </w:rPr>
        <w:t>（6）其他项目</w:t>
      </w:r>
      <w:r>
        <w:rPr>
          <w:rFonts w:hint="eastAsia" w:ascii="宋体" w:hAnsi="宋体"/>
          <w:color w:val="auto"/>
          <w:szCs w:val="21"/>
          <w:highlight w:val="none"/>
          <w:u w:val="single"/>
        </w:rPr>
        <w:t xml:space="preserve">   </w:t>
      </w:r>
      <w:r>
        <w:rPr>
          <w:rFonts w:ascii="宋体" w:hAnsi="宋体"/>
          <w:color w:val="auto"/>
          <w:szCs w:val="21"/>
          <w:highlight w:val="none"/>
        </w:rPr>
        <w:t>年。</w:t>
      </w:r>
    </w:p>
    <w:p w14:paraId="513CA3EA">
      <w:pPr>
        <w:adjustRightInd w:val="0"/>
        <w:snapToGrid w:val="0"/>
        <w:spacing w:line="360" w:lineRule="auto"/>
        <w:ind w:firstLine="422" w:firstLineChars="200"/>
        <w:rPr>
          <w:rFonts w:ascii="宋体" w:hAnsi="宋体"/>
          <w:b/>
          <w:color w:val="auto"/>
          <w:szCs w:val="21"/>
          <w:highlight w:val="none"/>
        </w:rPr>
      </w:pPr>
      <w:bookmarkStart w:id="189" w:name="_Toc28457_WPSOffice_Level1"/>
      <w:bookmarkStart w:id="190" w:name="_Toc12014_WPSOffice_Level1"/>
      <w:bookmarkStart w:id="191" w:name="_Toc17463_WPSOffice_Level1"/>
      <w:bookmarkStart w:id="192" w:name="_Toc14491_WPSOffice_Level1"/>
      <w:r>
        <w:rPr>
          <w:rFonts w:hint="eastAsia" w:ascii="宋体" w:hAnsi="宋体"/>
          <w:b/>
          <w:color w:val="auto"/>
          <w:szCs w:val="21"/>
          <w:highlight w:val="none"/>
        </w:rPr>
        <w:t>3 质量保修责任</w:t>
      </w:r>
      <w:bookmarkEnd w:id="189"/>
      <w:bookmarkEnd w:id="190"/>
      <w:bookmarkEnd w:id="191"/>
      <w:bookmarkEnd w:id="192"/>
    </w:p>
    <w:p w14:paraId="1BFC43DE">
      <w:pPr>
        <w:adjustRightInd w:val="0"/>
        <w:snapToGrid w:val="0"/>
        <w:spacing w:line="360" w:lineRule="auto"/>
        <w:ind w:firstLine="420" w:firstLineChars="200"/>
        <w:rPr>
          <w:rFonts w:ascii="宋体" w:hAnsi="宋体"/>
          <w:color w:val="auto"/>
          <w:szCs w:val="21"/>
          <w:highlight w:val="none"/>
        </w:rPr>
      </w:pPr>
      <w:r>
        <w:rPr>
          <w:rFonts w:ascii="宋体" w:hAnsi="宋体"/>
          <w:color w:val="auto"/>
          <w:szCs w:val="21"/>
          <w:highlight w:val="none"/>
        </w:rPr>
        <w:t>3.1 属于保修范围的项目，承包人应在接到通知后的7天内派人保修，承包人不在约定期限内派人保修，发包人可自行或指派第三方保修。</w:t>
      </w:r>
    </w:p>
    <w:p w14:paraId="6A88A23C">
      <w:pPr>
        <w:adjustRightInd w:val="0"/>
        <w:snapToGrid w:val="0"/>
        <w:spacing w:line="360" w:lineRule="auto"/>
        <w:ind w:firstLine="420" w:firstLineChars="200"/>
        <w:rPr>
          <w:rFonts w:ascii="宋体" w:hAnsi="宋体"/>
          <w:color w:val="auto"/>
          <w:szCs w:val="21"/>
          <w:highlight w:val="none"/>
        </w:rPr>
      </w:pPr>
      <w:r>
        <w:rPr>
          <w:rFonts w:ascii="宋体" w:hAnsi="宋体"/>
          <w:color w:val="auto"/>
          <w:szCs w:val="21"/>
          <w:highlight w:val="none"/>
        </w:rPr>
        <w:t>3.2 发生紧急抢修事故的，承包人在接到通知后，应立即到达事故现场抢修。</w:t>
      </w:r>
    </w:p>
    <w:p w14:paraId="33584F88">
      <w:pPr>
        <w:adjustRightInd w:val="0"/>
        <w:snapToGrid w:val="0"/>
        <w:spacing w:line="360" w:lineRule="auto"/>
        <w:ind w:firstLine="420" w:firstLineChars="200"/>
        <w:rPr>
          <w:rFonts w:ascii="宋体" w:hAnsi="宋体"/>
          <w:color w:val="auto"/>
          <w:szCs w:val="21"/>
          <w:highlight w:val="none"/>
        </w:rPr>
      </w:pPr>
      <w:r>
        <w:rPr>
          <w:rFonts w:ascii="宋体" w:hAnsi="宋体"/>
          <w:color w:val="auto"/>
          <w:szCs w:val="21"/>
          <w:highlight w:val="none"/>
        </w:rPr>
        <w:t>3.3 在国家规定的工程合理使用期限内，承包人应确保地基基础工程和主体结构的安全和质量。凡出现</w:t>
      </w:r>
      <w:r>
        <w:rPr>
          <w:rFonts w:hint="eastAsia" w:ascii="宋体" w:hAnsi="宋体"/>
          <w:color w:val="auto"/>
          <w:szCs w:val="21"/>
          <w:highlight w:val="none"/>
        </w:rPr>
        <w:t>其</w:t>
      </w:r>
      <w:r>
        <w:rPr>
          <w:rFonts w:ascii="宋体" w:hAnsi="宋体"/>
          <w:color w:val="auto"/>
          <w:szCs w:val="21"/>
          <w:highlight w:val="none"/>
        </w:rPr>
        <w:t>质量问题，应立即报告当地建设行政主管部门，由设计单位提出保修方案，承包人应立即实施保修。</w:t>
      </w:r>
    </w:p>
    <w:p w14:paraId="1189BB4F">
      <w:pPr>
        <w:adjustRightInd w:val="0"/>
        <w:snapToGrid w:val="0"/>
        <w:spacing w:line="360" w:lineRule="auto"/>
        <w:ind w:firstLine="420" w:firstLineChars="200"/>
        <w:rPr>
          <w:rFonts w:ascii="宋体" w:hAnsi="宋体"/>
          <w:color w:val="auto"/>
          <w:szCs w:val="21"/>
          <w:highlight w:val="none"/>
        </w:rPr>
      </w:pPr>
      <w:r>
        <w:rPr>
          <w:rFonts w:ascii="宋体" w:hAnsi="宋体"/>
          <w:color w:val="auto"/>
          <w:szCs w:val="21"/>
          <w:highlight w:val="none"/>
        </w:rPr>
        <w:t>3.4 质量保修完成后，由发包人组织验收。</w:t>
      </w:r>
    </w:p>
    <w:p w14:paraId="5A47D2C8">
      <w:pPr>
        <w:adjustRightInd w:val="0"/>
        <w:snapToGrid w:val="0"/>
        <w:spacing w:line="360" w:lineRule="auto"/>
        <w:ind w:firstLine="422" w:firstLineChars="200"/>
        <w:rPr>
          <w:rFonts w:ascii="宋体" w:hAnsi="宋体"/>
          <w:b/>
          <w:color w:val="auto"/>
          <w:szCs w:val="21"/>
          <w:highlight w:val="none"/>
        </w:rPr>
      </w:pPr>
      <w:bookmarkStart w:id="193" w:name="_Toc6121_WPSOffice_Level1"/>
      <w:bookmarkStart w:id="194" w:name="_Toc7703_WPSOffice_Level1"/>
      <w:bookmarkStart w:id="195" w:name="_Toc15815_WPSOffice_Level1"/>
      <w:bookmarkStart w:id="196" w:name="_Toc654_WPSOffice_Level1"/>
      <w:r>
        <w:rPr>
          <w:rFonts w:hint="eastAsia" w:ascii="宋体" w:hAnsi="宋体"/>
          <w:b/>
          <w:color w:val="auto"/>
          <w:szCs w:val="21"/>
          <w:highlight w:val="none"/>
        </w:rPr>
        <w:t>4 质量保修费用</w:t>
      </w:r>
      <w:bookmarkEnd w:id="193"/>
      <w:bookmarkEnd w:id="194"/>
      <w:bookmarkEnd w:id="195"/>
      <w:bookmarkEnd w:id="196"/>
    </w:p>
    <w:p w14:paraId="4037ABE1">
      <w:pPr>
        <w:adjustRightInd w:val="0"/>
        <w:snapToGrid w:val="0"/>
        <w:spacing w:line="360" w:lineRule="auto"/>
        <w:ind w:firstLine="420" w:firstLineChars="200"/>
        <w:rPr>
          <w:rFonts w:ascii="宋体" w:hAnsi="宋体"/>
          <w:color w:val="auto"/>
          <w:szCs w:val="21"/>
          <w:highlight w:val="none"/>
        </w:rPr>
      </w:pPr>
      <w:r>
        <w:rPr>
          <w:rFonts w:ascii="宋体" w:hAnsi="宋体"/>
          <w:color w:val="auto"/>
          <w:szCs w:val="21"/>
          <w:highlight w:val="none"/>
        </w:rPr>
        <w:t>质量保修费用及相关的损害赔偿费，由造成质量缺陷的责任方承担。</w:t>
      </w:r>
    </w:p>
    <w:p w14:paraId="2B5AEF10">
      <w:pPr>
        <w:adjustRightInd w:val="0"/>
        <w:snapToGrid w:val="0"/>
        <w:spacing w:line="360" w:lineRule="auto"/>
        <w:ind w:firstLine="422" w:firstLineChars="200"/>
        <w:rPr>
          <w:rFonts w:ascii="宋体" w:hAnsi="宋体"/>
          <w:b/>
          <w:color w:val="auto"/>
          <w:szCs w:val="21"/>
          <w:highlight w:val="none"/>
        </w:rPr>
      </w:pPr>
      <w:bookmarkStart w:id="197" w:name="_Toc15103_WPSOffice_Level1"/>
      <w:bookmarkStart w:id="198" w:name="_Toc1819_WPSOffice_Level1"/>
      <w:bookmarkStart w:id="199" w:name="_Toc24904_WPSOffice_Level1"/>
      <w:bookmarkStart w:id="200" w:name="_Toc22358_WPSOffice_Level1"/>
      <w:r>
        <w:rPr>
          <w:rFonts w:hint="eastAsia" w:ascii="宋体" w:hAnsi="宋体"/>
          <w:b/>
          <w:color w:val="auto"/>
          <w:szCs w:val="21"/>
          <w:highlight w:val="none"/>
        </w:rPr>
        <w:t>5 质量保证金</w:t>
      </w:r>
      <w:bookmarkEnd w:id="197"/>
      <w:bookmarkEnd w:id="198"/>
      <w:bookmarkEnd w:id="199"/>
      <w:bookmarkEnd w:id="200"/>
    </w:p>
    <w:p w14:paraId="3280387E">
      <w:pPr>
        <w:adjustRightInd w:val="0"/>
        <w:snapToGrid w:val="0"/>
        <w:spacing w:line="360" w:lineRule="auto"/>
        <w:ind w:firstLine="420" w:firstLineChars="200"/>
        <w:rPr>
          <w:rFonts w:ascii="宋体" w:hAnsi="宋体"/>
          <w:color w:val="auto"/>
          <w:szCs w:val="21"/>
          <w:highlight w:val="none"/>
        </w:rPr>
      </w:pPr>
      <w:r>
        <w:rPr>
          <w:rFonts w:ascii="宋体" w:hAnsi="宋体"/>
          <w:color w:val="auto"/>
          <w:szCs w:val="21"/>
          <w:highlight w:val="none"/>
        </w:rPr>
        <w:t>质量保证金的使用、约定、支付、返还与本合同的质量保证金赋予的约定一致。</w:t>
      </w:r>
    </w:p>
    <w:p w14:paraId="5CE06A26">
      <w:pPr>
        <w:adjustRightInd w:val="0"/>
        <w:snapToGrid w:val="0"/>
        <w:spacing w:line="360" w:lineRule="auto"/>
        <w:ind w:firstLine="422" w:firstLineChars="200"/>
        <w:rPr>
          <w:rFonts w:ascii="宋体" w:hAnsi="宋体"/>
          <w:b/>
          <w:color w:val="auto"/>
          <w:szCs w:val="21"/>
          <w:highlight w:val="none"/>
        </w:rPr>
      </w:pPr>
      <w:bookmarkStart w:id="201" w:name="_Toc12087_WPSOffice_Level1"/>
      <w:bookmarkStart w:id="202" w:name="_Toc5370_WPSOffice_Level1"/>
      <w:bookmarkStart w:id="203" w:name="_Toc21863_WPSOffice_Level1"/>
      <w:bookmarkStart w:id="204" w:name="_Toc7561_WPSOffice_Level1"/>
      <w:r>
        <w:rPr>
          <w:rFonts w:hint="eastAsia" w:ascii="宋体" w:hAnsi="宋体"/>
          <w:b/>
          <w:color w:val="auto"/>
          <w:szCs w:val="21"/>
          <w:highlight w:val="none"/>
        </w:rPr>
        <w:t>6 其他</w:t>
      </w:r>
      <w:bookmarkEnd w:id="201"/>
      <w:bookmarkEnd w:id="202"/>
      <w:bookmarkEnd w:id="203"/>
      <w:bookmarkEnd w:id="204"/>
    </w:p>
    <w:p w14:paraId="44B5EA9B">
      <w:pPr>
        <w:adjustRightInd w:val="0"/>
        <w:snapToGrid w:val="0"/>
        <w:spacing w:line="360" w:lineRule="auto"/>
        <w:ind w:firstLine="420" w:firstLineChars="200"/>
        <w:rPr>
          <w:rFonts w:ascii="宋体" w:hAnsi="宋体"/>
          <w:color w:val="auto"/>
          <w:szCs w:val="21"/>
          <w:highlight w:val="none"/>
          <w:u w:val="single"/>
        </w:rPr>
      </w:pPr>
      <w:r>
        <w:rPr>
          <w:rFonts w:ascii="宋体" w:hAnsi="宋体"/>
          <w:color w:val="auto"/>
          <w:szCs w:val="21"/>
          <w:highlight w:val="none"/>
        </w:rPr>
        <w:t>6.1 双方约定的其它工程质量保修事项：</w:t>
      </w:r>
    </w:p>
    <w:p w14:paraId="48D8510A">
      <w:pPr>
        <w:adjustRightInd w:val="0"/>
        <w:snapToGrid w:val="0"/>
        <w:spacing w:line="360" w:lineRule="auto"/>
        <w:ind w:firstLine="420" w:firstLineChars="200"/>
        <w:rPr>
          <w:rFonts w:ascii="宋体" w:hAnsi="宋体"/>
          <w:color w:val="auto"/>
          <w:szCs w:val="21"/>
          <w:highlight w:val="none"/>
        </w:rPr>
      </w:pPr>
      <w:r>
        <w:rPr>
          <w:rFonts w:ascii="宋体" w:hAnsi="宋体"/>
          <w:color w:val="auto"/>
          <w:szCs w:val="21"/>
          <w:highlight w:val="none"/>
        </w:rPr>
        <w:t>6.2 本工程质量保修书，由发包人承包人在工程竣工验收前签署，作为合同附件，其有效期限至保修期满。</w:t>
      </w:r>
    </w:p>
    <w:p w14:paraId="5DD761C3">
      <w:pPr>
        <w:adjustRightInd w:val="0"/>
        <w:snapToGrid w:val="0"/>
        <w:spacing w:line="360" w:lineRule="auto"/>
        <w:ind w:firstLine="480"/>
        <w:rPr>
          <w:rFonts w:ascii="宋体" w:hAnsi="宋体"/>
          <w:color w:val="auto"/>
          <w:szCs w:val="21"/>
          <w:highlight w:val="none"/>
        </w:rPr>
      </w:pPr>
    </w:p>
    <w:p w14:paraId="645A8016">
      <w:pPr>
        <w:adjustRightInd w:val="0"/>
        <w:snapToGrid w:val="0"/>
        <w:spacing w:line="360" w:lineRule="auto"/>
        <w:ind w:firstLine="480"/>
        <w:rPr>
          <w:rFonts w:ascii="宋体" w:hAnsi="宋体"/>
          <w:color w:val="auto"/>
          <w:szCs w:val="21"/>
          <w:highlight w:val="none"/>
        </w:rPr>
      </w:pPr>
    </w:p>
    <w:p w14:paraId="304B815A">
      <w:pPr>
        <w:adjustRightInd w:val="0"/>
        <w:snapToGrid w:val="0"/>
        <w:spacing w:line="360" w:lineRule="auto"/>
        <w:ind w:firstLine="420" w:firstLineChars="200"/>
        <w:rPr>
          <w:rFonts w:ascii="宋体" w:hAnsi="宋体"/>
          <w:color w:val="auto"/>
          <w:szCs w:val="21"/>
          <w:highlight w:val="none"/>
          <w:u w:val="single"/>
        </w:rPr>
      </w:pPr>
      <w:r>
        <w:rPr>
          <w:rFonts w:ascii="宋体" w:hAnsi="宋体"/>
          <w:color w:val="auto"/>
          <w:szCs w:val="21"/>
          <w:highlight w:val="none"/>
        </w:rPr>
        <w:t>发包人（公章）：</w:t>
      </w:r>
      <w:r>
        <w:rPr>
          <w:rFonts w:hint="eastAsia" w:ascii="宋体" w:hAnsi="宋体"/>
          <w:color w:val="auto"/>
          <w:szCs w:val="21"/>
          <w:highlight w:val="none"/>
          <w:lang w:val="en-US" w:eastAsia="zh-CN"/>
        </w:rPr>
        <w:t xml:space="preserve">                        </w:t>
      </w:r>
      <w:r>
        <w:rPr>
          <w:rFonts w:ascii="宋体" w:hAnsi="宋体"/>
          <w:color w:val="auto"/>
          <w:szCs w:val="21"/>
          <w:highlight w:val="none"/>
        </w:rPr>
        <w:t>承包人（公章）：</w:t>
      </w:r>
    </w:p>
    <w:p w14:paraId="7DCB88A5">
      <w:pPr>
        <w:adjustRightInd w:val="0"/>
        <w:snapToGrid w:val="0"/>
        <w:spacing w:line="360" w:lineRule="auto"/>
        <w:ind w:firstLine="420" w:firstLineChars="200"/>
        <w:rPr>
          <w:rFonts w:ascii="宋体" w:hAnsi="宋体"/>
          <w:color w:val="auto"/>
          <w:szCs w:val="21"/>
          <w:highlight w:val="none"/>
          <w:u w:val="single"/>
        </w:rPr>
      </w:pPr>
      <w:r>
        <w:rPr>
          <w:rFonts w:ascii="宋体" w:hAnsi="宋体"/>
          <w:color w:val="auto"/>
          <w:szCs w:val="21"/>
          <w:highlight w:val="none"/>
        </w:rPr>
        <w:t>法定代表人（</w:t>
      </w:r>
      <w:r>
        <w:rPr>
          <w:rFonts w:hint="eastAsia" w:ascii="宋体" w:hAnsi="宋体"/>
          <w:color w:val="auto"/>
          <w:szCs w:val="21"/>
          <w:highlight w:val="none"/>
        </w:rPr>
        <w:t>签字或盖章</w:t>
      </w:r>
      <w:r>
        <w:rPr>
          <w:rFonts w:ascii="宋体" w:hAnsi="宋体"/>
          <w:color w:val="auto"/>
          <w:szCs w:val="21"/>
          <w:highlight w:val="none"/>
        </w:rPr>
        <w:t>）：</w:t>
      </w:r>
      <w:r>
        <w:rPr>
          <w:rFonts w:hint="eastAsia" w:ascii="宋体" w:hAnsi="宋体"/>
          <w:color w:val="auto"/>
          <w:szCs w:val="21"/>
          <w:highlight w:val="none"/>
          <w:lang w:val="en-US" w:eastAsia="zh-CN"/>
        </w:rPr>
        <w:t xml:space="preserve">              </w:t>
      </w:r>
      <w:r>
        <w:rPr>
          <w:rFonts w:ascii="宋体" w:hAnsi="宋体"/>
          <w:color w:val="auto"/>
          <w:szCs w:val="21"/>
          <w:highlight w:val="none"/>
        </w:rPr>
        <w:t>法定代表人（</w:t>
      </w:r>
      <w:r>
        <w:rPr>
          <w:rFonts w:hint="eastAsia" w:ascii="宋体" w:hAnsi="宋体"/>
          <w:color w:val="auto"/>
          <w:szCs w:val="21"/>
          <w:highlight w:val="none"/>
        </w:rPr>
        <w:t>签字或盖章</w:t>
      </w:r>
      <w:r>
        <w:rPr>
          <w:rFonts w:ascii="宋体" w:hAnsi="宋体"/>
          <w:color w:val="auto"/>
          <w:szCs w:val="21"/>
          <w:highlight w:val="none"/>
        </w:rPr>
        <w:t>）：</w:t>
      </w:r>
    </w:p>
    <w:p w14:paraId="38C023C2">
      <w:pPr>
        <w:adjustRightInd w:val="0"/>
        <w:snapToGrid w:val="0"/>
        <w:spacing w:line="360" w:lineRule="auto"/>
        <w:ind w:firstLine="420" w:firstLineChars="200"/>
        <w:rPr>
          <w:rFonts w:ascii="宋体" w:hAnsi="宋体"/>
          <w:b/>
          <w:color w:val="auto"/>
          <w:szCs w:val="21"/>
          <w:highlight w:val="none"/>
        </w:rPr>
      </w:pPr>
      <w:r>
        <w:rPr>
          <w:rFonts w:ascii="宋体" w:hAnsi="宋体"/>
          <w:color w:val="auto"/>
          <w:szCs w:val="21"/>
          <w:highlight w:val="none"/>
        </w:rPr>
        <w:t xml:space="preserve">年月日            </w:t>
      </w:r>
      <w:r>
        <w:rPr>
          <w:rFonts w:hint="eastAsia" w:ascii="宋体" w:hAnsi="宋体"/>
          <w:color w:val="auto"/>
          <w:szCs w:val="21"/>
          <w:highlight w:val="none"/>
          <w:lang w:val="en-US" w:eastAsia="zh-CN"/>
        </w:rPr>
        <w:t xml:space="preserve">                      </w:t>
      </w:r>
      <w:r>
        <w:rPr>
          <w:rFonts w:ascii="宋体" w:hAnsi="宋体"/>
          <w:color w:val="auto"/>
          <w:szCs w:val="21"/>
          <w:highlight w:val="none"/>
        </w:rPr>
        <w:t>年月日</w:t>
      </w:r>
    </w:p>
    <w:p w14:paraId="008AA0BE">
      <w:pPr>
        <w:spacing w:line="360" w:lineRule="auto"/>
        <w:rPr>
          <w:rFonts w:ascii="宋体" w:hAnsi="宋体"/>
          <w:b/>
          <w:color w:val="auto"/>
          <w:highlight w:val="none"/>
        </w:rPr>
      </w:pPr>
    </w:p>
    <w:p w14:paraId="3648B139">
      <w:pPr>
        <w:ind w:firstLine="422" w:firstLineChars="200"/>
        <w:jc w:val="left"/>
        <w:textAlignment w:val="center"/>
        <w:rPr>
          <w:rFonts w:eastAsia="仿宋_GB2312"/>
          <w:color w:val="auto"/>
          <w:szCs w:val="21"/>
          <w:highlight w:val="none"/>
        </w:rPr>
      </w:pPr>
      <w:r>
        <w:rPr>
          <w:rFonts w:ascii="宋体" w:hAnsi="宋体"/>
          <w:b/>
          <w:color w:val="auto"/>
          <w:highlight w:val="none"/>
        </w:rPr>
        <w:br w:type="page"/>
      </w:r>
    </w:p>
    <w:p w14:paraId="3C3577E5">
      <w:pPr>
        <w:adjustRightInd w:val="0"/>
        <w:snapToGrid w:val="0"/>
        <w:spacing w:line="360" w:lineRule="auto"/>
        <w:jc w:val="center"/>
        <w:outlineLvl w:val="0"/>
        <w:rPr>
          <w:rFonts w:ascii="宋体" w:hAnsi="宋体"/>
          <w:b/>
          <w:color w:val="auto"/>
          <w:sz w:val="28"/>
          <w:szCs w:val="28"/>
          <w:highlight w:val="none"/>
        </w:rPr>
      </w:pPr>
      <w:bookmarkStart w:id="205" w:name="_Toc16978"/>
      <w:bookmarkStart w:id="206" w:name="_Toc17971"/>
      <w:r>
        <w:rPr>
          <w:rFonts w:hint="eastAsia" w:ascii="宋体" w:hAnsi="宋体"/>
          <w:b/>
          <w:color w:val="auto"/>
          <w:sz w:val="28"/>
          <w:szCs w:val="28"/>
          <w:highlight w:val="none"/>
          <w:lang w:val="en-US" w:eastAsia="zh-CN"/>
        </w:rPr>
        <w:t>二</w:t>
      </w:r>
      <w:r>
        <w:rPr>
          <w:rFonts w:hint="eastAsia" w:ascii="宋体" w:hAnsi="宋体"/>
          <w:b/>
          <w:color w:val="auto"/>
          <w:sz w:val="28"/>
          <w:szCs w:val="28"/>
          <w:highlight w:val="none"/>
        </w:rPr>
        <w:t>、供应商的资格证明资料</w:t>
      </w:r>
      <w:bookmarkEnd w:id="205"/>
      <w:bookmarkEnd w:id="206"/>
    </w:p>
    <w:p w14:paraId="64B4272D">
      <w:pPr>
        <w:adjustRightInd w:val="0"/>
        <w:snapToGrid w:val="0"/>
        <w:spacing w:line="360" w:lineRule="auto"/>
        <w:rPr>
          <w:rFonts w:ascii="宋体" w:hAnsi="宋体"/>
          <w:b/>
          <w:color w:val="auto"/>
          <w:sz w:val="28"/>
          <w:szCs w:val="28"/>
          <w:highlight w:val="none"/>
        </w:rPr>
      </w:pPr>
      <w:bookmarkStart w:id="207" w:name="_Toc31369_WPSOffice_Level1"/>
      <w:bookmarkStart w:id="208" w:name="_Toc24959_WPSOffice_Level1"/>
      <w:r>
        <w:rPr>
          <w:rFonts w:hint="eastAsia" w:ascii="宋体" w:hAnsi="宋体"/>
          <w:b/>
          <w:color w:val="auto"/>
          <w:sz w:val="28"/>
          <w:szCs w:val="28"/>
          <w:highlight w:val="none"/>
        </w:rPr>
        <w:t>附件</w:t>
      </w:r>
      <w:r>
        <w:rPr>
          <w:rFonts w:hint="eastAsia" w:ascii="宋体" w:hAnsi="宋体"/>
          <w:b/>
          <w:color w:val="auto"/>
          <w:sz w:val="28"/>
          <w:szCs w:val="28"/>
          <w:highlight w:val="none"/>
          <w:lang w:val="en-US" w:eastAsia="zh-CN"/>
        </w:rPr>
        <w:t>2</w:t>
      </w:r>
      <w:r>
        <w:rPr>
          <w:rFonts w:hint="eastAsia" w:ascii="宋体" w:hAnsi="宋体"/>
          <w:b/>
          <w:color w:val="auto"/>
          <w:sz w:val="28"/>
          <w:szCs w:val="28"/>
          <w:highlight w:val="none"/>
        </w:rPr>
        <w:t>-1</w:t>
      </w:r>
      <w:bookmarkEnd w:id="207"/>
      <w:bookmarkEnd w:id="208"/>
    </w:p>
    <w:p w14:paraId="2E629DB6">
      <w:pPr>
        <w:adjustRightInd w:val="0"/>
        <w:snapToGrid w:val="0"/>
        <w:spacing w:line="360" w:lineRule="auto"/>
        <w:jc w:val="center"/>
        <w:rPr>
          <w:rFonts w:ascii="宋体" w:hAnsi="宋体"/>
          <w:b/>
          <w:color w:val="auto"/>
          <w:sz w:val="28"/>
          <w:szCs w:val="28"/>
          <w:highlight w:val="none"/>
        </w:rPr>
      </w:pPr>
      <w:bookmarkStart w:id="209" w:name="_Toc25954_WPSOffice_Level1"/>
      <w:bookmarkStart w:id="210" w:name="_Toc14734_WPSOffice_Level1"/>
      <w:bookmarkStart w:id="211" w:name="_Toc26400_WPSOffice_Level1"/>
      <w:bookmarkStart w:id="212" w:name="_Toc7833_WPSOffice_Level1"/>
      <w:r>
        <w:rPr>
          <w:rFonts w:hint="eastAsia" w:ascii="宋体" w:hAnsi="宋体"/>
          <w:b/>
          <w:color w:val="auto"/>
          <w:sz w:val="28"/>
          <w:szCs w:val="28"/>
          <w:highlight w:val="none"/>
        </w:rPr>
        <w:t>供应商基本情况表</w:t>
      </w:r>
      <w:bookmarkEnd w:id="209"/>
      <w:bookmarkEnd w:id="210"/>
      <w:bookmarkEnd w:id="211"/>
      <w:bookmarkEnd w:id="212"/>
    </w:p>
    <w:p w14:paraId="02488611">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盖供应商单位章</w:t>
      </w:r>
    </w:p>
    <w:tbl>
      <w:tblPr>
        <w:tblStyle w:val="2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49"/>
        <w:gridCol w:w="299"/>
        <w:gridCol w:w="1713"/>
        <w:gridCol w:w="1345"/>
        <w:gridCol w:w="915"/>
        <w:gridCol w:w="38"/>
        <w:gridCol w:w="908"/>
        <w:gridCol w:w="422"/>
        <w:gridCol w:w="117"/>
        <w:gridCol w:w="2350"/>
      </w:tblGrid>
      <w:tr w14:paraId="1FF40A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6" w:hRule="atLeast"/>
        </w:trPr>
        <w:tc>
          <w:tcPr>
            <w:tcW w:w="1548" w:type="dxa"/>
            <w:gridSpan w:val="2"/>
            <w:tcBorders>
              <w:top w:val="double" w:color="auto" w:sz="4" w:space="0"/>
              <w:left w:val="double" w:color="auto" w:sz="4" w:space="0"/>
              <w:bottom w:val="single" w:color="auto" w:sz="6" w:space="0"/>
              <w:right w:val="single" w:color="auto" w:sz="6" w:space="0"/>
            </w:tcBorders>
            <w:noWrap w:val="0"/>
            <w:vAlign w:val="center"/>
          </w:tcPr>
          <w:p w14:paraId="06AB8014">
            <w:pPr>
              <w:topLinePunct/>
              <w:spacing w:line="360" w:lineRule="auto"/>
              <w:jc w:val="center"/>
              <w:rPr>
                <w:rFonts w:ascii="宋体" w:hAnsi="宋体"/>
                <w:color w:val="auto"/>
                <w:szCs w:val="21"/>
                <w:highlight w:val="none"/>
              </w:rPr>
            </w:pPr>
            <w:r>
              <w:rPr>
                <w:rFonts w:hint="eastAsia" w:ascii="宋体" w:hAnsi="宋体"/>
                <w:color w:val="auto"/>
                <w:szCs w:val="21"/>
                <w:highlight w:val="none"/>
              </w:rPr>
              <w:t>供应商</w:t>
            </w:r>
            <w:r>
              <w:rPr>
                <w:rFonts w:ascii="宋体" w:hAnsi="宋体"/>
                <w:color w:val="auto"/>
                <w:szCs w:val="21"/>
                <w:highlight w:val="none"/>
              </w:rPr>
              <w:t>名称</w:t>
            </w:r>
          </w:p>
        </w:tc>
        <w:tc>
          <w:tcPr>
            <w:tcW w:w="4011" w:type="dxa"/>
            <w:gridSpan w:val="4"/>
            <w:tcBorders>
              <w:top w:val="double" w:color="auto" w:sz="4" w:space="0"/>
              <w:left w:val="single" w:color="auto" w:sz="6" w:space="0"/>
              <w:bottom w:val="single" w:color="auto" w:sz="6" w:space="0"/>
              <w:right w:val="single" w:color="auto" w:sz="6" w:space="0"/>
            </w:tcBorders>
            <w:noWrap w:val="0"/>
            <w:vAlign w:val="center"/>
          </w:tcPr>
          <w:p w14:paraId="5FDFBBB4">
            <w:pPr>
              <w:topLinePunct/>
              <w:spacing w:line="360" w:lineRule="auto"/>
              <w:jc w:val="center"/>
              <w:rPr>
                <w:rFonts w:ascii="宋体" w:hAnsi="宋体"/>
                <w:color w:val="auto"/>
                <w:szCs w:val="21"/>
                <w:highlight w:val="none"/>
              </w:rPr>
            </w:pPr>
          </w:p>
        </w:tc>
        <w:tc>
          <w:tcPr>
            <w:tcW w:w="1330" w:type="dxa"/>
            <w:gridSpan w:val="2"/>
            <w:tcBorders>
              <w:top w:val="double" w:color="auto" w:sz="4" w:space="0"/>
              <w:left w:val="single" w:color="auto" w:sz="6" w:space="0"/>
              <w:bottom w:val="single" w:color="auto" w:sz="6" w:space="0"/>
              <w:right w:val="single" w:color="auto" w:sz="6" w:space="0"/>
            </w:tcBorders>
            <w:noWrap w:val="0"/>
            <w:vAlign w:val="center"/>
          </w:tcPr>
          <w:p w14:paraId="7932825D">
            <w:pPr>
              <w:topLinePunct/>
              <w:spacing w:line="360" w:lineRule="auto"/>
              <w:jc w:val="center"/>
              <w:rPr>
                <w:rFonts w:ascii="宋体" w:hAnsi="宋体"/>
                <w:color w:val="auto"/>
                <w:szCs w:val="21"/>
                <w:highlight w:val="none"/>
              </w:rPr>
            </w:pPr>
            <w:r>
              <w:rPr>
                <w:rFonts w:ascii="宋体" w:hAnsi="宋体"/>
                <w:color w:val="auto"/>
                <w:szCs w:val="21"/>
                <w:highlight w:val="none"/>
              </w:rPr>
              <w:t>邮政编码</w:t>
            </w:r>
          </w:p>
        </w:tc>
        <w:tc>
          <w:tcPr>
            <w:tcW w:w="2467" w:type="dxa"/>
            <w:gridSpan w:val="2"/>
            <w:tcBorders>
              <w:top w:val="double" w:color="auto" w:sz="4" w:space="0"/>
              <w:left w:val="single" w:color="auto" w:sz="6" w:space="0"/>
              <w:bottom w:val="single" w:color="auto" w:sz="6" w:space="0"/>
              <w:right w:val="double" w:color="auto" w:sz="4" w:space="0"/>
            </w:tcBorders>
            <w:noWrap w:val="0"/>
            <w:vAlign w:val="center"/>
          </w:tcPr>
          <w:p w14:paraId="52A4B2D1">
            <w:pPr>
              <w:topLinePunct/>
              <w:spacing w:line="360" w:lineRule="auto"/>
              <w:jc w:val="center"/>
              <w:rPr>
                <w:rFonts w:ascii="宋体" w:hAnsi="宋体"/>
                <w:color w:val="auto"/>
                <w:szCs w:val="21"/>
                <w:highlight w:val="none"/>
              </w:rPr>
            </w:pPr>
          </w:p>
        </w:tc>
      </w:tr>
      <w:tr w14:paraId="3390A8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8" w:hRule="atLeast"/>
        </w:trPr>
        <w:tc>
          <w:tcPr>
            <w:tcW w:w="1548" w:type="dxa"/>
            <w:gridSpan w:val="2"/>
            <w:vMerge w:val="restart"/>
            <w:tcBorders>
              <w:top w:val="single" w:color="auto" w:sz="6" w:space="0"/>
              <w:left w:val="double" w:color="auto" w:sz="4" w:space="0"/>
              <w:bottom w:val="single" w:color="auto" w:sz="6" w:space="0"/>
              <w:right w:val="single" w:color="auto" w:sz="6" w:space="0"/>
            </w:tcBorders>
            <w:noWrap w:val="0"/>
            <w:vAlign w:val="center"/>
          </w:tcPr>
          <w:p w14:paraId="6D5589AF">
            <w:pPr>
              <w:topLinePunct/>
              <w:spacing w:line="360" w:lineRule="auto"/>
              <w:jc w:val="center"/>
              <w:rPr>
                <w:rFonts w:ascii="宋体" w:hAnsi="宋体"/>
                <w:color w:val="auto"/>
                <w:szCs w:val="21"/>
                <w:highlight w:val="none"/>
              </w:rPr>
            </w:pPr>
            <w:r>
              <w:rPr>
                <w:rFonts w:hint="eastAsia" w:ascii="宋体" w:hAnsi="宋体"/>
                <w:color w:val="auto"/>
                <w:highlight w:val="none"/>
              </w:rPr>
              <w:t>联系方式</w:t>
            </w:r>
          </w:p>
        </w:tc>
        <w:tc>
          <w:tcPr>
            <w:tcW w:w="1713" w:type="dxa"/>
            <w:tcBorders>
              <w:top w:val="single" w:color="auto" w:sz="6" w:space="0"/>
              <w:left w:val="single" w:color="auto" w:sz="6" w:space="0"/>
              <w:bottom w:val="single" w:color="auto" w:sz="6" w:space="0"/>
              <w:right w:val="single" w:color="auto" w:sz="6" w:space="0"/>
            </w:tcBorders>
            <w:noWrap w:val="0"/>
            <w:vAlign w:val="center"/>
          </w:tcPr>
          <w:p w14:paraId="006D0844">
            <w:pPr>
              <w:topLinePunct/>
              <w:spacing w:line="360" w:lineRule="auto"/>
              <w:jc w:val="center"/>
              <w:rPr>
                <w:rFonts w:ascii="宋体" w:hAnsi="宋体"/>
                <w:color w:val="auto"/>
                <w:szCs w:val="21"/>
                <w:highlight w:val="none"/>
              </w:rPr>
            </w:pPr>
            <w:r>
              <w:rPr>
                <w:rFonts w:hint="eastAsia" w:ascii="宋体" w:hAnsi="宋体"/>
                <w:color w:val="auto"/>
                <w:highlight w:val="none"/>
              </w:rPr>
              <w:t>联系人</w:t>
            </w:r>
          </w:p>
        </w:tc>
        <w:tc>
          <w:tcPr>
            <w:tcW w:w="2298" w:type="dxa"/>
            <w:gridSpan w:val="3"/>
            <w:tcBorders>
              <w:top w:val="single" w:color="auto" w:sz="6" w:space="0"/>
              <w:left w:val="single" w:color="auto" w:sz="6" w:space="0"/>
              <w:bottom w:val="single" w:color="auto" w:sz="6" w:space="0"/>
              <w:right w:val="single" w:color="auto" w:sz="6" w:space="0"/>
            </w:tcBorders>
            <w:noWrap w:val="0"/>
            <w:vAlign w:val="center"/>
          </w:tcPr>
          <w:p w14:paraId="6CE12BA8">
            <w:pPr>
              <w:topLinePunct/>
              <w:spacing w:line="360" w:lineRule="auto"/>
              <w:jc w:val="center"/>
              <w:rPr>
                <w:rFonts w:ascii="宋体" w:hAnsi="宋体"/>
                <w:color w:val="auto"/>
                <w:szCs w:val="21"/>
                <w:highlight w:val="none"/>
              </w:rPr>
            </w:pPr>
          </w:p>
        </w:tc>
        <w:tc>
          <w:tcPr>
            <w:tcW w:w="1330" w:type="dxa"/>
            <w:gridSpan w:val="2"/>
            <w:tcBorders>
              <w:top w:val="single" w:color="auto" w:sz="6" w:space="0"/>
              <w:left w:val="single" w:color="auto" w:sz="6" w:space="0"/>
              <w:bottom w:val="single" w:color="auto" w:sz="6" w:space="0"/>
              <w:right w:val="single" w:color="auto" w:sz="6" w:space="0"/>
            </w:tcBorders>
            <w:noWrap w:val="0"/>
            <w:vAlign w:val="center"/>
          </w:tcPr>
          <w:p w14:paraId="544D7F4D">
            <w:pPr>
              <w:topLinePunct/>
              <w:spacing w:line="360" w:lineRule="auto"/>
              <w:jc w:val="center"/>
              <w:rPr>
                <w:rFonts w:ascii="宋体" w:hAnsi="宋体"/>
                <w:color w:val="auto"/>
                <w:szCs w:val="21"/>
                <w:highlight w:val="none"/>
              </w:rPr>
            </w:pPr>
            <w:r>
              <w:rPr>
                <w:rFonts w:hint="eastAsia" w:ascii="宋体" w:hAnsi="宋体"/>
                <w:color w:val="auto"/>
                <w:highlight w:val="none"/>
              </w:rPr>
              <w:t>电    话</w:t>
            </w:r>
          </w:p>
        </w:tc>
        <w:tc>
          <w:tcPr>
            <w:tcW w:w="2467" w:type="dxa"/>
            <w:gridSpan w:val="2"/>
            <w:tcBorders>
              <w:top w:val="single" w:color="auto" w:sz="6" w:space="0"/>
              <w:left w:val="single" w:color="auto" w:sz="6" w:space="0"/>
              <w:bottom w:val="single" w:color="auto" w:sz="6" w:space="0"/>
              <w:right w:val="double" w:color="auto" w:sz="4" w:space="0"/>
            </w:tcBorders>
            <w:noWrap w:val="0"/>
            <w:vAlign w:val="center"/>
          </w:tcPr>
          <w:p w14:paraId="0F034B22">
            <w:pPr>
              <w:topLinePunct/>
              <w:spacing w:line="360" w:lineRule="auto"/>
              <w:jc w:val="center"/>
              <w:rPr>
                <w:rFonts w:ascii="宋体" w:hAnsi="宋体"/>
                <w:color w:val="auto"/>
                <w:szCs w:val="21"/>
                <w:highlight w:val="none"/>
              </w:rPr>
            </w:pPr>
          </w:p>
        </w:tc>
      </w:tr>
      <w:tr w14:paraId="638205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8" w:hRule="atLeast"/>
        </w:trPr>
        <w:tc>
          <w:tcPr>
            <w:tcW w:w="1548" w:type="dxa"/>
            <w:gridSpan w:val="2"/>
            <w:vMerge w:val="continue"/>
            <w:tcBorders>
              <w:top w:val="single" w:color="auto" w:sz="6" w:space="0"/>
              <w:left w:val="double" w:color="auto" w:sz="4" w:space="0"/>
              <w:bottom w:val="single" w:color="auto" w:sz="6" w:space="0"/>
              <w:right w:val="single" w:color="auto" w:sz="6" w:space="0"/>
            </w:tcBorders>
            <w:noWrap w:val="0"/>
            <w:vAlign w:val="center"/>
          </w:tcPr>
          <w:p w14:paraId="7C75A2C0">
            <w:pPr>
              <w:topLinePunct/>
              <w:spacing w:line="360" w:lineRule="auto"/>
              <w:jc w:val="center"/>
              <w:rPr>
                <w:rFonts w:ascii="宋体" w:hAnsi="宋体"/>
                <w:color w:val="auto"/>
                <w:szCs w:val="21"/>
                <w:highlight w:val="none"/>
              </w:rPr>
            </w:pPr>
          </w:p>
        </w:tc>
        <w:tc>
          <w:tcPr>
            <w:tcW w:w="1713" w:type="dxa"/>
            <w:tcBorders>
              <w:top w:val="single" w:color="auto" w:sz="6" w:space="0"/>
              <w:left w:val="single" w:color="auto" w:sz="6" w:space="0"/>
              <w:bottom w:val="single" w:color="auto" w:sz="6" w:space="0"/>
              <w:right w:val="single" w:color="auto" w:sz="6" w:space="0"/>
            </w:tcBorders>
            <w:noWrap w:val="0"/>
            <w:vAlign w:val="center"/>
          </w:tcPr>
          <w:p w14:paraId="17C7A35E">
            <w:pPr>
              <w:topLinePunct/>
              <w:spacing w:line="360" w:lineRule="auto"/>
              <w:jc w:val="center"/>
              <w:rPr>
                <w:rFonts w:ascii="宋体" w:hAnsi="宋体"/>
                <w:color w:val="auto"/>
                <w:szCs w:val="21"/>
                <w:highlight w:val="none"/>
              </w:rPr>
            </w:pPr>
            <w:r>
              <w:rPr>
                <w:rFonts w:hint="eastAsia" w:ascii="宋体" w:hAnsi="宋体"/>
                <w:color w:val="auto"/>
                <w:highlight w:val="none"/>
              </w:rPr>
              <w:t>传  真</w:t>
            </w:r>
          </w:p>
        </w:tc>
        <w:tc>
          <w:tcPr>
            <w:tcW w:w="2298" w:type="dxa"/>
            <w:gridSpan w:val="3"/>
            <w:tcBorders>
              <w:top w:val="single" w:color="auto" w:sz="6" w:space="0"/>
              <w:left w:val="single" w:color="auto" w:sz="6" w:space="0"/>
              <w:bottom w:val="single" w:color="auto" w:sz="6" w:space="0"/>
              <w:right w:val="single" w:color="auto" w:sz="6" w:space="0"/>
            </w:tcBorders>
            <w:noWrap w:val="0"/>
            <w:vAlign w:val="center"/>
          </w:tcPr>
          <w:p w14:paraId="716872F3">
            <w:pPr>
              <w:topLinePunct/>
              <w:spacing w:line="360" w:lineRule="auto"/>
              <w:jc w:val="center"/>
              <w:rPr>
                <w:rFonts w:ascii="宋体" w:hAnsi="宋体"/>
                <w:color w:val="auto"/>
                <w:szCs w:val="21"/>
                <w:highlight w:val="none"/>
              </w:rPr>
            </w:pPr>
          </w:p>
        </w:tc>
        <w:tc>
          <w:tcPr>
            <w:tcW w:w="1330" w:type="dxa"/>
            <w:gridSpan w:val="2"/>
            <w:tcBorders>
              <w:top w:val="single" w:color="auto" w:sz="6" w:space="0"/>
              <w:left w:val="single" w:color="auto" w:sz="6" w:space="0"/>
              <w:bottom w:val="single" w:color="auto" w:sz="6" w:space="0"/>
              <w:right w:val="single" w:color="auto" w:sz="6" w:space="0"/>
            </w:tcBorders>
            <w:noWrap w:val="0"/>
            <w:vAlign w:val="center"/>
          </w:tcPr>
          <w:p w14:paraId="668F0677">
            <w:pPr>
              <w:topLinePunct/>
              <w:spacing w:line="360" w:lineRule="auto"/>
              <w:jc w:val="center"/>
              <w:rPr>
                <w:rFonts w:ascii="宋体" w:hAnsi="宋体"/>
                <w:color w:val="auto"/>
                <w:szCs w:val="21"/>
                <w:highlight w:val="none"/>
              </w:rPr>
            </w:pPr>
            <w:r>
              <w:rPr>
                <w:rFonts w:hint="eastAsia" w:ascii="宋体" w:hAnsi="宋体"/>
                <w:color w:val="auto"/>
                <w:szCs w:val="21"/>
                <w:highlight w:val="none"/>
              </w:rPr>
              <w:t>电子邮箱</w:t>
            </w:r>
          </w:p>
        </w:tc>
        <w:tc>
          <w:tcPr>
            <w:tcW w:w="2467" w:type="dxa"/>
            <w:gridSpan w:val="2"/>
            <w:tcBorders>
              <w:top w:val="single" w:color="auto" w:sz="6" w:space="0"/>
              <w:left w:val="single" w:color="auto" w:sz="6" w:space="0"/>
              <w:bottom w:val="single" w:color="auto" w:sz="6" w:space="0"/>
              <w:right w:val="double" w:color="auto" w:sz="4" w:space="0"/>
            </w:tcBorders>
            <w:noWrap w:val="0"/>
            <w:vAlign w:val="center"/>
          </w:tcPr>
          <w:p w14:paraId="0422ED2C">
            <w:pPr>
              <w:topLinePunct/>
              <w:spacing w:line="360" w:lineRule="auto"/>
              <w:jc w:val="center"/>
              <w:rPr>
                <w:rFonts w:ascii="宋体" w:hAnsi="宋体"/>
                <w:color w:val="auto"/>
                <w:szCs w:val="21"/>
                <w:highlight w:val="none"/>
              </w:rPr>
            </w:pPr>
          </w:p>
        </w:tc>
      </w:tr>
      <w:tr w14:paraId="318144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1548" w:type="dxa"/>
            <w:gridSpan w:val="2"/>
            <w:vMerge w:val="restart"/>
            <w:tcBorders>
              <w:top w:val="single" w:color="auto" w:sz="6" w:space="0"/>
              <w:left w:val="double" w:color="auto" w:sz="4" w:space="0"/>
              <w:bottom w:val="single" w:color="auto" w:sz="6" w:space="0"/>
              <w:right w:val="single" w:color="auto" w:sz="6" w:space="0"/>
            </w:tcBorders>
            <w:noWrap w:val="0"/>
            <w:vAlign w:val="center"/>
          </w:tcPr>
          <w:p w14:paraId="7638050F">
            <w:pPr>
              <w:topLinePunct/>
              <w:spacing w:line="360" w:lineRule="auto"/>
              <w:jc w:val="center"/>
              <w:rPr>
                <w:rFonts w:ascii="宋体" w:hAnsi="宋体"/>
                <w:color w:val="auto"/>
                <w:szCs w:val="21"/>
                <w:highlight w:val="none"/>
              </w:rPr>
            </w:pPr>
            <w:r>
              <w:rPr>
                <w:rFonts w:hint="eastAsia" w:ascii="宋体" w:hAnsi="宋体"/>
                <w:color w:val="auto"/>
                <w:szCs w:val="21"/>
                <w:highlight w:val="none"/>
              </w:rPr>
              <w:t>营业执照</w:t>
            </w:r>
          </w:p>
        </w:tc>
        <w:tc>
          <w:tcPr>
            <w:tcW w:w="4011" w:type="dxa"/>
            <w:gridSpan w:val="4"/>
            <w:tcBorders>
              <w:top w:val="single" w:color="auto" w:sz="6" w:space="0"/>
              <w:left w:val="single" w:color="auto" w:sz="6" w:space="0"/>
              <w:bottom w:val="single" w:color="auto" w:sz="6" w:space="0"/>
              <w:right w:val="single" w:color="auto" w:sz="6" w:space="0"/>
            </w:tcBorders>
            <w:noWrap w:val="0"/>
            <w:vAlign w:val="center"/>
          </w:tcPr>
          <w:p w14:paraId="24EB2F7A">
            <w:pPr>
              <w:topLinePunct/>
              <w:spacing w:line="360" w:lineRule="auto"/>
              <w:ind w:firstLine="105" w:firstLineChars="50"/>
              <w:jc w:val="center"/>
              <w:rPr>
                <w:rFonts w:ascii="宋体" w:hAnsi="宋体"/>
                <w:color w:val="auto"/>
                <w:szCs w:val="21"/>
                <w:highlight w:val="none"/>
              </w:rPr>
            </w:pPr>
            <w:r>
              <w:rPr>
                <w:rFonts w:hint="eastAsia" w:ascii="宋体" w:hAnsi="宋体"/>
                <w:color w:val="auto"/>
                <w:szCs w:val="21"/>
                <w:highlight w:val="none"/>
              </w:rPr>
              <w:t>统一社会信用代码或注册号</w:t>
            </w:r>
          </w:p>
        </w:tc>
        <w:tc>
          <w:tcPr>
            <w:tcW w:w="3797" w:type="dxa"/>
            <w:gridSpan w:val="4"/>
            <w:tcBorders>
              <w:top w:val="single" w:color="auto" w:sz="6" w:space="0"/>
              <w:left w:val="single" w:color="auto" w:sz="6" w:space="0"/>
              <w:bottom w:val="single" w:color="auto" w:sz="6" w:space="0"/>
              <w:right w:val="double" w:color="auto" w:sz="4" w:space="0"/>
            </w:tcBorders>
            <w:noWrap w:val="0"/>
            <w:vAlign w:val="center"/>
          </w:tcPr>
          <w:p w14:paraId="6D55978C">
            <w:pPr>
              <w:topLinePunct/>
              <w:spacing w:line="360" w:lineRule="auto"/>
              <w:ind w:firstLine="105" w:firstLineChars="50"/>
              <w:jc w:val="center"/>
              <w:rPr>
                <w:rFonts w:ascii="宋体" w:hAnsi="宋体"/>
                <w:color w:val="auto"/>
                <w:szCs w:val="21"/>
                <w:highlight w:val="none"/>
              </w:rPr>
            </w:pPr>
          </w:p>
        </w:tc>
      </w:tr>
      <w:tr w14:paraId="26FDAC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1548" w:type="dxa"/>
            <w:gridSpan w:val="2"/>
            <w:vMerge w:val="continue"/>
            <w:tcBorders>
              <w:top w:val="single" w:color="auto" w:sz="6" w:space="0"/>
              <w:left w:val="double" w:color="auto" w:sz="4" w:space="0"/>
              <w:bottom w:val="single" w:color="auto" w:sz="6" w:space="0"/>
              <w:right w:val="single" w:color="auto" w:sz="6" w:space="0"/>
            </w:tcBorders>
            <w:noWrap w:val="0"/>
            <w:vAlign w:val="center"/>
          </w:tcPr>
          <w:p w14:paraId="74204CED">
            <w:pPr>
              <w:topLinePunct/>
              <w:spacing w:line="360" w:lineRule="auto"/>
              <w:jc w:val="center"/>
              <w:rPr>
                <w:rFonts w:ascii="宋体" w:hAnsi="宋体"/>
                <w:color w:val="auto"/>
                <w:szCs w:val="21"/>
                <w:highlight w:val="none"/>
              </w:rPr>
            </w:pPr>
          </w:p>
        </w:tc>
        <w:tc>
          <w:tcPr>
            <w:tcW w:w="1713" w:type="dxa"/>
            <w:tcBorders>
              <w:top w:val="single" w:color="auto" w:sz="6" w:space="0"/>
              <w:left w:val="single" w:color="auto" w:sz="6" w:space="0"/>
              <w:bottom w:val="single" w:color="auto" w:sz="6" w:space="0"/>
              <w:right w:val="single" w:color="auto" w:sz="6" w:space="0"/>
            </w:tcBorders>
            <w:noWrap w:val="0"/>
            <w:vAlign w:val="center"/>
          </w:tcPr>
          <w:p w14:paraId="12077866">
            <w:pPr>
              <w:topLinePunct/>
              <w:spacing w:line="360" w:lineRule="auto"/>
              <w:jc w:val="center"/>
              <w:rPr>
                <w:rFonts w:ascii="宋体" w:hAnsi="宋体"/>
                <w:color w:val="auto"/>
                <w:szCs w:val="21"/>
                <w:highlight w:val="none"/>
              </w:rPr>
            </w:pPr>
            <w:r>
              <w:rPr>
                <w:rFonts w:hint="eastAsia" w:ascii="宋体" w:hAnsi="宋体"/>
                <w:color w:val="auto"/>
                <w:szCs w:val="21"/>
                <w:highlight w:val="none"/>
              </w:rPr>
              <w:t>住所</w:t>
            </w:r>
          </w:p>
        </w:tc>
        <w:tc>
          <w:tcPr>
            <w:tcW w:w="6095" w:type="dxa"/>
            <w:gridSpan w:val="7"/>
            <w:tcBorders>
              <w:top w:val="single" w:color="auto" w:sz="6" w:space="0"/>
              <w:left w:val="single" w:color="auto" w:sz="6" w:space="0"/>
              <w:bottom w:val="single" w:color="auto" w:sz="6" w:space="0"/>
              <w:right w:val="double" w:color="auto" w:sz="4" w:space="0"/>
            </w:tcBorders>
            <w:noWrap w:val="0"/>
            <w:vAlign w:val="center"/>
          </w:tcPr>
          <w:p w14:paraId="5C07AC73">
            <w:pPr>
              <w:topLinePunct/>
              <w:spacing w:line="360" w:lineRule="auto"/>
              <w:ind w:firstLine="105" w:firstLineChars="50"/>
              <w:jc w:val="center"/>
              <w:rPr>
                <w:rFonts w:ascii="宋体" w:hAnsi="宋体"/>
                <w:color w:val="auto"/>
                <w:szCs w:val="21"/>
                <w:highlight w:val="none"/>
              </w:rPr>
            </w:pPr>
          </w:p>
        </w:tc>
      </w:tr>
      <w:tr w14:paraId="56FC16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1548" w:type="dxa"/>
            <w:gridSpan w:val="2"/>
            <w:vMerge w:val="continue"/>
            <w:tcBorders>
              <w:top w:val="single" w:color="auto" w:sz="6" w:space="0"/>
              <w:left w:val="double" w:color="auto" w:sz="4" w:space="0"/>
              <w:bottom w:val="single" w:color="auto" w:sz="6" w:space="0"/>
              <w:right w:val="single" w:color="auto" w:sz="6" w:space="0"/>
            </w:tcBorders>
            <w:noWrap w:val="0"/>
            <w:vAlign w:val="center"/>
          </w:tcPr>
          <w:p w14:paraId="3062784A">
            <w:pPr>
              <w:topLinePunct/>
              <w:spacing w:line="360" w:lineRule="auto"/>
              <w:jc w:val="center"/>
              <w:rPr>
                <w:rFonts w:ascii="宋体" w:hAnsi="宋体"/>
                <w:color w:val="auto"/>
                <w:szCs w:val="21"/>
                <w:highlight w:val="none"/>
              </w:rPr>
            </w:pPr>
          </w:p>
        </w:tc>
        <w:tc>
          <w:tcPr>
            <w:tcW w:w="1713" w:type="dxa"/>
            <w:tcBorders>
              <w:top w:val="single" w:color="auto" w:sz="6" w:space="0"/>
              <w:left w:val="single" w:color="auto" w:sz="6" w:space="0"/>
              <w:bottom w:val="single" w:color="auto" w:sz="6" w:space="0"/>
              <w:right w:val="single" w:color="auto" w:sz="6" w:space="0"/>
            </w:tcBorders>
            <w:noWrap w:val="0"/>
            <w:vAlign w:val="center"/>
          </w:tcPr>
          <w:p w14:paraId="4D12424E">
            <w:pPr>
              <w:topLinePunct/>
              <w:spacing w:line="360" w:lineRule="auto"/>
              <w:jc w:val="center"/>
              <w:rPr>
                <w:rFonts w:ascii="宋体" w:hAnsi="宋体"/>
                <w:color w:val="auto"/>
                <w:szCs w:val="21"/>
                <w:highlight w:val="none"/>
              </w:rPr>
            </w:pPr>
            <w:r>
              <w:rPr>
                <w:rFonts w:ascii="宋体" w:hAnsi="宋体"/>
                <w:color w:val="auto"/>
                <w:szCs w:val="21"/>
                <w:highlight w:val="none"/>
              </w:rPr>
              <w:t>法定代表人</w:t>
            </w:r>
          </w:p>
        </w:tc>
        <w:tc>
          <w:tcPr>
            <w:tcW w:w="2298" w:type="dxa"/>
            <w:gridSpan w:val="3"/>
            <w:tcBorders>
              <w:top w:val="single" w:color="auto" w:sz="6" w:space="0"/>
              <w:left w:val="single" w:color="auto" w:sz="6" w:space="0"/>
              <w:bottom w:val="single" w:color="auto" w:sz="6" w:space="0"/>
              <w:right w:val="single" w:color="auto" w:sz="6" w:space="0"/>
            </w:tcBorders>
            <w:noWrap w:val="0"/>
            <w:vAlign w:val="center"/>
          </w:tcPr>
          <w:p w14:paraId="2A552CEA">
            <w:pPr>
              <w:topLinePunct/>
              <w:spacing w:line="360" w:lineRule="auto"/>
              <w:ind w:firstLine="105" w:firstLineChars="50"/>
              <w:jc w:val="center"/>
              <w:rPr>
                <w:rFonts w:ascii="宋体" w:hAnsi="宋体"/>
                <w:color w:val="auto"/>
                <w:szCs w:val="21"/>
                <w:highlight w:val="none"/>
              </w:rPr>
            </w:pPr>
          </w:p>
        </w:tc>
        <w:tc>
          <w:tcPr>
            <w:tcW w:w="1330" w:type="dxa"/>
            <w:gridSpan w:val="2"/>
            <w:tcBorders>
              <w:top w:val="single" w:color="auto" w:sz="6" w:space="0"/>
              <w:left w:val="single" w:color="auto" w:sz="6" w:space="0"/>
              <w:bottom w:val="single" w:color="auto" w:sz="6" w:space="0"/>
              <w:right w:val="single" w:color="auto" w:sz="6" w:space="0"/>
            </w:tcBorders>
            <w:noWrap w:val="0"/>
            <w:vAlign w:val="center"/>
          </w:tcPr>
          <w:p w14:paraId="55CB8482">
            <w:pPr>
              <w:topLinePunct/>
              <w:spacing w:line="360" w:lineRule="auto"/>
              <w:ind w:firstLine="105" w:firstLineChars="50"/>
              <w:jc w:val="center"/>
              <w:rPr>
                <w:rFonts w:ascii="宋体" w:hAnsi="宋体"/>
                <w:color w:val="auto"/>
                <w:szCs w:val="21"/>
                <w:highlight w:val="none"/>
              </w:rPr>
            </w:pPr>
            <w:r>
              <w:rPr>
                <w:rFonts w:hint="eastAsia" w:ascii="宋体" w:hAnsi="宋体"/>
                <w:color w:val="auto"/>
                <w:szCs w:val="21"/>
                <w:highlight w:val="none"/>
              </w:rPr>
              <w:t>注册资本</w:t>
            </w:r>
          </w:p>
        </w:tc>
        <w:tc>
          <w:tcPr>
            <w:tcW w:w="2467" w:type="dxa"/>
            <w:gridSpan w:val="2"/>
            <w:tcBorders>
              <w:top w:val="single" w:color="auto" w:sz="6" w:space="0"/>
              <w:left w:val="single" w:color="auto" w:sz="6" w:space="0"/>
              <w:bottom w:val="single" w:color="auto" w:sz="6" w:space="0"/>
              <w:right w:val="double" w:color="auto" w:sz="4" w:space="0"/>
            </w:tcBorders>
            <w:noWrap w:val="0"/>
            <w:vAlign w:val="center"/>
          </w:tcPr>
          <w:p w14:paraId="5C7BB9FE">
            <w:pPr>
              <w:topLinePunct/>
              <w:spacing w:line="360" w:lineRule="auto"/>
              <w:ind w:firstLine="105" w:firstLineChars="50"/>
              <w:jc w:val="center"/>
              <w:rPr>
                <w:rFonts w:ascii="宋体" w:hAnsi="宋体"/>
                <w:color w:val="auto"/>
                <w:szCs w:val="21"/>
                <w:highlight w:val="none"/>
              </w:rPr>
            </w:pPr>
          </w:p>
        </w:tc>
      </w:tr>
      <w:tr w14:paraId="02272F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1548" w:type="dxa"/>
            <w:gridSpan w:val="2"/>
            <w:vMerge w:val="continue"/>
            <w:tcBorders>
              <w:top w:val="single" w:color="auto" w:sz="6" w:space="0"/>
              <w:left w:val="double" w:color="auto" w:sz="4" w:space="0"/>
              <w:bottom w:val="single" w:color="auto" w:sz="6" w:space="0"/>
              <w:right w:val="single" w:color="auto" w:sz="6" w:space="0"/>
            </w:tcBorders>
            <w:noWrap w:val="0"/>
            <w:vAlign w:val="center"/>
          </w:tcPr>
          <w:p w14:paraId="1D8052E4">
            <w:pPr>
              <w:topLinePunct/>
              <w:spacing w:line="360" w:lineRule="auto"/>
              <w:jc w:val="center"/>
              <w:rPr>
                <w:rFonts w:ascii="宋体" w:hAnsi="宋体"/>
                <w:color w:val="auto"/>
                <w:szCs w:val="21"/>
                <w:highlight w:val="none"/>
              </w:rPr>
            </w:pPr>
          </w:p>
        </w:tc>
        <w:tc>
          <w:tcPr>
            <w:tcW w:w="1713" w:type="dxa"/>
            <w:tcBorders>
              <w:top w:val="single" w:color="auto" w:sz="6" w:space="0"/>
              <w:left w:val="single" w:color="auto" w:sz="6" w:space="0"/>
              <w:bottom w:val="single" w:color="auto" w:sz="6" w:space="0"/>
              <w:right w:val="single" w:color="auto" w:sz="6" w:space="0"/>
            </w:tcBorders>
            <w:noWrap w:val="0"/>
            <w:vAlign w:val="center"/>
          </w:tcPr>
          <w:p w14:paraId="69DDD269">
            <w:pPr>
              <w:topLinePunct/>
              <w:spacing w:line="360" w:lineRule="auto"/>
              <w:jc w:val="center"/>
              <w:rPr>
                <w:rFonts w:ascii="宋体" w:hAnsi="宋体"/>
                <w:color w:val="auto"/>
                <w:szCs w:val="21"/>
                <w:highlight w:val="none"/>
              </w:rPr>
            </w:pPr>
            <w:r>
              <w:rPr>
                <w:rFonts w:hint="eastAsia" w:ascii="宋体" w:hAnsi="宋体"/>
                <w:color w:val="auto"/>
                <w:szCs w:val="21"/>
                <w:highlight w:val="none"/>
              </w:rPr>
              <w:t>发证机关</w:t>
            </w:r>
          </w:p>
        </w:tc>
        <w:tc>
          <w:tcPr>
            <w:tcW w:w="2298" w:type="dxa"/>
            <w:gridSpan w:val="3"/>
            <w:tcBorders>
              <w:top w:val="single" w:color="auto" w:sz="6" w:space="0"/>
              <w:left w:val="single" w:color="auto" w:sz="6" w:space="0"/>
              <w:bottom w:val="single" w:color="auto" w:sz="6" w:space="0"/>
              <w:right w:val="single" w:color="auto" w:sz="6" w:space="0"/>
            </w:tcBorders>
            <w:noWrap w:val="0"/>
            <w:vAlign w:val="center"/>
          </w:tcPr>
          <w:p w14:paraId="7AAE8E36">
            <w:pPr>
              <w:topLinePunct/>
              <w:spacing w:line="360" w:lineRule="auto"/>
              <w:ind w:firstLine="105" w:firstLineChars="50"/>
              <w:jc w:val="center"/>
              <w:rPr>
                <w:rFonts w:ascii="宋体" w:hAnsi="宋体"/>
                <w:color w:val="auto"/>
                <w:szCs w:val="21"/>
                <w:highlight w:val="none"/>
              </w:rPr>
            </w:pPr>
          </w:p>
        </w:tc>
        <w:tc>
          <w:tcPr>
            <w:tcW w:w="1330" w:type="dxa"/>
            <w:gridSpan w:val="2"/>
            <w:tcBorders>
              <w:top w:val="single" w:color="auto" w:sz="6" w:space="0"/>
              <w:left w:val="single" w:color="auto" w:sz="6" w:space="0"/>
              <w:bottom w:val="single" w:color="auto" w:sz="6" w:space="0"/>
              <w:right w:val="single" w:color="auto" w:sz="6" w:space="0"/>
            </w:tcBorders>
            <w:noWrap w:val="0"/>
            <w:vAlign w:val="center"/>
          </w:tcPr>
          <w:p w14:paraId="76227BD4">
            <w:pPr>
              <w:topLinePunct/>
              <w:spacing w:line="360" w:lineRule="auto"/>
              <w:ind w:firstLine="105" w:firstLineChars="50"/>
              <w:jc w:val="center"/>
              <w:rPr>
                <w:rFonts w:ascii="宋体" w:hAnsi="宋体"/>
                <w:color w:val="auto"/>
                <w:szCs w:val="21"/>
                <w:highlight w:val="none"/>
              </w:rPr>
            </w:pPr>
            <w:r>
              <w:rPr>
                <w:rFonts w:hint="eastAsia" w:ascii="宋体" w:hAnsi="宋体"/>
                <w:color w:val="auto"/>
                <w:szCs w:val="21"/>
                <w:highlight w:val="none"/>
              </w:rPr>
              <w:t>成立时间</w:t>
            </w:r>
          </w:p>
        </w:tc>
        <w:tc>
          <w:tcPr>
            <w:tcW w:w="2467" w:type="dxa"/>
            <w:gridSpan w:val="2"/>
            <w:tcBorders>
              <w:top w:val="single" w:color="auto" w:sz="6" w:space="0"/>
              <w:left w:val="single" w:color="auto" w:sz="6" w:space="0"/>
              <w:bottom w:val="single" w:color="auto" w:sz="6" w:space="0"/>
              <w:right w:val="double" w:color="auto" w:sz="4" w:space="0"/>
            </w:tcBorders>
            <w:noWrap w:val="0"/>
            <w:vAlign w:val="center"/>
          </w:tcPr>
          <w:p w14:paraId="68229204">
            <w:pPr>
              <w:topLinePunct/>
              <w:spacing w:line="360" w:lineRule="auto"/>
              <w:ind w:firstLine="105" w:firstLineChars="50"/>
              <w:jc w:val="center"/>
              <w:rPr>
                <w:rFonts w:ascii="宋体" w:hAnsi="宋体"/>
                <w:color w:val="auto"/>
                <w:szCs w:val="21"/>
                <w:highlight w:val="none"/>
              </w:rPr>
            </w:pPr>
          </w:p>
        </w:tc>
      </w:tr>
      <w:tr w14:paraId="637644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5" w:hRule="atLeast"/>
        </w:trPr>
        <w:tc>
          <w:tcPr>
            <w:tcW w:w="1548" w:type="dxa"/>
            <w:gridSpan w:val="2"/>
            <w:vMerge w:val="continue"/>
            <w:tcBorders>
              <w:top w:val="single" w:color="auto" w:sz="6" w:space="0"/>
              <w:left w:val="double" w:color="auto" w:sz="4" w:space="0"/>
              <w:bottom w:val="single" w:color="auto" w:sz="6" w:space="0"/>
              <w:right w:val="single" w:color="auto" w:sz="6" w:space="0"/>
            </w:tcBorders>
            <w:noWrap w:val="0"/>
            <w:vAlign w:val="center"/>
          </w:tcPr>
          <w:p w14:paraId="1FD0F9EF">
            <w:pPr>
              <w:topLinePunct/>
              <w:spacing w:line="360" w:lineRule="auto"/>
              <w:jc w:val="center"/>
              <w:rPr>
                <w:rFonts w:ascii="宋体" w:hAnsi="宋体"/>
                <w:color w:val="auto"/>
                <w:szCs w:val="21"/>
                <w:highlight w:val="none"/>
              </w:rPr>
            </w:pPr>
          </w:p>
        </w:tc>
        <w:tc>
          <w:tcPr>
            <w:tcW w:w="1713" w:type="dxa"/>
            <w:tcBorders>
              <w:top w:val="single" w:color="auto" w:sz="6" w:space="0"/>
              <w:left w:val="single" w:color="auto" w:sz="6" w:space="0"/>
              <w:bottom w:val="single" w:color="auto" w:sz="6" w:space="0"/>
              <w:right w:val="single" w:color="auto" w:sz="6" w:space="0"/>
            </w:tcBorders>
            <w:noWrap w:val="0"/>
            <w:vAlign w:val="center"/>
          </w:tcPr>
          <w:p w14:paraId="65515F77">
            <w:pPr>
              <w:topLinePunct/>
              <w:spacing w:line="360" w:lineRule="auto"/>
              <w:jc w:val="center"/>
              <w:rPr>
                <w:rFonts w:ascii="宋体" w:hAnsi="宋体"/>
                <w:color w:val="auto"/>
                <w:szCs w:val="21"/>
                <w:highlight w:val="none"/>
              </w:rPr>
            </w:pPr>
            <w:r>
              <w:rPr>
                <w:rFonts w:hint="eastAsia" w:ascii="宋体" w:hAnsi="宋体"/>
                <w:color w:val="auto"/>
                <w:szCs w:val="21"/>
                <w:highlight w:val="none"/>
              </w:rPr>
              <w:t>营业范围</w:t>
            </w:r>
          </w:p>
        </w:tc>
        <w:tc>
          <w:tcPr>
            <w:tcW w:w="6095" w:type="dxa"/>
            <w:gridSpan w:val="7"/>
            <w:tcBorders>
              <w:top w:val="single" w:color="auto" w:sz="6" w:space="0"/>
              <w:left w:val="single" w:color="auto" w:sz="6" w:space="0"/>
              <w:bottom w:val="single" w:color="auto" w:sz="6" w:space="0"/>
              <w:right w:val="double" w:color="auto" w:sz="4" w:space="0"/>
            </w:tcBorders>
            <w:noWrap w:val="0"/>
            <w:vAlign w:val="center"/>
          </w:tcPr>
          <w:p w14:paraId="30C26BFA">
            <w:pPr>
              <w:topLinePunct/>
              <w:spacing w:line="360" w:lineRule="auto"/>
              <w:ind w:firstLine="105" w:firstLineChars="50"/>
              <w:jc w:val="center"/>
              <w:rPr>
                <w:rFonts w:ascii="宋体" w:hAnsi="宋体"/>
                <w:color w:val="auto"/>
                <w:szCs w:val="21"/>
                <w:highlight w:val="none"/>
              </w:rPr>
            </w:pPr>
          </w:p>
        </w:tc>
      </w:tr>
      <w:tr w14:paraId="061D2B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4" w:hRule="atLeast"/>
        </w:trPr>
        <w:tc>
          <w:tcPr>
            <w:tcW w:w="3261" w:type="dxa"/>
            <w:gridSpan w:val="3"/>
            <w:tcBorders>
              <w:top w:val="single" w:color="auto" w:sz="6" w:space="0"/>
              <w:left w:val="double" w:color="auto" w:sz="4" w:space="0"/>
              <w:bottom w:val="single" w:color="auto" w:sz="6" w:space="0"/>
              <w:right w:val="single" w:color="auto" w:sz="6" w:space="0"/>
            </w:tcBorders>
            <w:noWrap w:val="0"/>
            <w:vAlign w:val="center"/>
          </w:tcPr>
          <w:p w14:paraId="2CA8BB14">
            <w:pPr>
              <w:topLinePunct/>
              <w:spacing w:line="360" w:lineRule="auto"/>
              <w:jc w:val="center"/>
              <w:rPr>
                <w:rFonts w:ascii="宋体" w:hAnsi="宋体"/>
                <w:color w:val="auto"/>
                <w:szCs w:val="21"/>
                <w:highlight w:val="none"/>
              </w:rPr>
            </w:pPr>
            <w:r>
              <w:rPr>
                <w:rFonts w:hint="eastAsia" w:ascii="宋体" w:hAnsi="宋体"/>
                <w:color w:val="auto"/>
                <w:szCs w:val="21"/>
                <w:highlight w:val="none"/>
              </w:rPr>
              <w:t>基本账户开户行</w:t>
            </w:r>
          </w:p>
        </w:tc>
        <w:tc>
          <w:tcPr>
            <w:tcW w:w="2260" w:type="dxa"/>
            <w:gridSpan w:val="2"/>
            <w:tcBorders>
              <w:top w:val="single" w:color="auto" w:sz="6" w:space="0"/>
              <w:left w:val="single" w:color="auto" w:sz="6" w:space="0"/>
              <w:bottom w:val="single" w:color="auto" w:sz="6" w:space="0"/>
              <w:right w:val="single" w:color="auto" w:sz="6" w:space="0"/>
            </w:tcBorders>
            <w:noWrap w:val="0"/>
            <w:vAlign w:val="center"/>
          </w:tcPr>
          <w:p w14:paraId="02D892A7">
            <w:pPr>
              <w:topLinePunct/>
              <w:spacing w:line="360" w:lineRule="auto"/>
              <w:jc w:val="center"/>
              <w:rPr>
                <w:rFonts w:ascii="宋体" w:hAnsi="宋体"/>
                <w:color w:val="auto"/>
                <w:szCs w:val="21"/>
                <w:highlight w:val="none"/>
              </w:rPr>
            </w:pPr>
          </w:p>
        </w:tc>
        <w:tc>
          <w:tcPr>
            <w:tcW w:w="1485" w:type="dxa"/>
            <w:gridSpan w:val="4"/>
            <w:tcBorders>
              <w:top w:val="single" w:color="auto" w:sz="6" w:space="0"/>
              <w:left w:val="single" w:color="auto" w:sz="6" w:space="0"/>
              <w:bottom w:val="single" w:color="auto" w:sz="6" w:space="0"/>
              <w:right w:val="single" w:color="auto" w:sz="6" w:space="0"/>
            </w:tcBorders>
            <w:noWrap w:val="0"/>
            <w:vAlign w:val="center"/>
          </w:tcPr>
          <w:p w14:paraId="5F900D1D">
            <w:pPr>
              <w:topLinePunct/>
              <w:spacing w:line="360" w:lineRule="auto"/>
              <w:jc w:val="center"/>
              <w:rPr>
                <w:rFonts w:ascii="宋体" w:hAnsi="宋体"/>
                <w:color w:val="auto"/>
                <w:szCs w:val="21"/>
                <w:highlight w:val="none"/>
              </w:rPr>
            </w:pPr>
            <w:r>
              <w:rPr>
                <w:rFonts w:hint="eastAsia" w:ascii="宋体" w:hAnsi="宋体"/>
                <w:color w:val="auto"/>
                <w:szCs w:val="21"/>
                <w:highlight w:val="none"/>
              </w:rPr>
              <w:t>账号</w:t>
            </w:r>
          </w:p>
        </w:tc>
        <w:tc>
          <w:tcPr>
            <w:tcW w:w="2350" w:type="dxa"/>
            <w:tcBorders>
              <w:top w:val="single" w:color="auto" w:sz="6" w:space="0"/>
              <w:left w:val="single" w:color="auto" w:sz="6" w:space="0"/>
              <w:bottom w:val="single" w:color="auto" w:sz="6" w:space="0"/>
              <w:right w:val="double" w:color="auto" w:sz="4" w:space="0"/>
            </w:tcBorders>
            <w:noWrap w:val="0"/>
            <w:vAlign w:val="center"/>
          </w:tcPr>
          <w:p w14:paraId="33549AD1">
            <w:pPr>
              <w:topLinePunct/>
              <w:spacing w:line="360" w:lineRule="auto"/>
              <w:jc w:val="center"/>
              <w:rPr>
                <w:rFonts w:ascii="宋体" w:hAnsi="宋体"/>
                <w:color w:val="auto"/>
                <w:szCs w:val="21"/>
                <w:highlight w:val="none"/>
              </w:rPr>
            </w:pPr>
          </w:p>
        </w:tc>
      </w:tr>
      <w:tr w14:paraId="57AB82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4" w:hRule="atLeast"/>
        </w:trPr>
        <w:tc>
          <w:tcPr>
            <w:tcW w:w="3261" w:type="dxa"/>
            <w:gridSpan w:val="3"/>
            <w:tcBorders>
              <w:top w:val="single" w:color="auto" w:sz="6" w:space="0"/>
              <w:left w:val="double" w:color="auto" w:sz="4" w:space="0"/>
              <w:bottom w:val="single" w:color="auto" w:sz="6" w:space="0"/>
              <w:right w:val="single" w:color="auto" w:sz="6" w:space="0"/>
            </w:tcBorders>
            <w:noWrap w:val="0"/>
            <w:vAlign w:val="center"/>
          </w:tcPr>
          <w:p w14:paraId="4F3A9BEA">
            <w:pPr>
              <w:topLinePunct/>
              <w:spacing w:line="360" w:lineRule="auto"/>
              <w:jc w:val="center"/>
              <w:rPr>
                <w:rFonts w:ascii="宋体" w:hAnsi="宋体"/>
                <w:color w:val="auto"/>
                <w:szCs w:val="21"/>
                <w:highlight w:val="none"/>
              </w:rPr>
            </w:pPr>
            <w:r>
              <w:rPr>
                <w:rFonts w:hint="eastAsia" w:ascii="宋体" w:hAnsi="宋体"/>
                <w:color w:val="auto"/>
                <w:szCs w:val="21"/>
                <w:highlight w:val="none"/>
              </w:rPr>
              <w:t>税务登记机关</w:t>
            </w:r>
          </w:p>
        </w:tc>
        <w:tc>
          <w:tcPr>
            <w:tcW w:w="6095" w:type="dxa"/>
            <w:gridSpan w:val="7"/>
            <w:tcBorders>
              <w:top w:val="single" w:color="auto" w:sz="6" w:space="0"/>
              <w:left w:val="single" w:color="auto" w:sz="6" w:space="0"/>
              <w:bottom w:val="single" w:color="auto" w:sz="6" w:space="0"/>
              <w:right w:val="double" w:color="auto" w:sz="4" w:space="0"/>
            </w:tcBorders>
            <w:noWrap w:val="0"/>
            <w:vAlign w:val="center"/>
          </w:tcPr>
          <w:p w14:paraId="56612CA5">
            <w:pPr>
              <w:topLinePunct/>
              <w:spacing w:line="360" w:lineRule="auto"/>
              <w:jc w:val="center"/>
              <w:rPr>
                <w:rFonts w:ascii="宋体" w:hAnsi="宋体"/>
                <w:color w:val="auto"/>
                <w:szCs w:val="21"/>
                <w:highlight w:val="none"/>
              </w:rPr>
            </w:pPr>
          </w:p>
        </w:tc>
      </w:tr>
      <w:tr w14:paraId="1B63C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4" w:hRule="atLeast"/>
        </w:trPr>
        <w:tc>
          <w:tcPr>
            <w:tcW w:w="3261" w:type="dxa"/>
            <w:gridSpan w:val="3"/>
            <w:tcBorders>
              <w:top w:val="single" w:color="auto" w:sz="6" w:space="0"/>
              <w:left w:val="double" w:color="auto" w:sz="4" w:space="0"/>
              <w:bottom w:val="single" w:color="auto" w:sz="4" w:space="0"/>
              <w:right w:val="single" w:color="auto" w:sz="6" w:space="0"/>
            </w:tcBorders>
            <w:noWrap w:val="0"/>
            <w:vAlign w:val="center"/>
          </w:tcPr>
          <w:p w14:paraId="0932F1B8">
            <w:pPr>
              <w:topLinePunct/>
              <w:spacing w:line="360" w:lineRule="auto"/>
              <w:jc w:val="center"/>
              <w:rPr>
                <w:rFonts w:ascii="宋体" w:hAnsi="宋体"/>
                <w:color w:val="auto"/>
                <w:szCs w:val="21"/>
                <w:highlight w:val="none"/>
              </w:rPr>
            </w:pPr>
            <w:r>
              <w:rPr>
                <w:rFonts w:ascii="宋体" w:hAnsi="宋体"/>
                <w:color w:val="auto"/>
                <w:szCs w:val="21"/>
                <w:highlight w:val="none"/>
              </w:rPr>
              <w:t>资质</w:t>
            </w:r>
            <w:r>
              <w:rPr>
                <w:rFonts w:hint="eastAsia" w:ascii="宋体" w:hAnsi="宋体"/>
                <w:color w:val="auto"/>
                <w:szCs w:val="21"/>
                <w:highlight w:val="none"/>
              </w:rPr>
              <w:t>名称</w:t>
            </w:r>
          </w:p>
        </w:tc>
        <w:tc>
          <w:tcPr>
            <w:tcW w:w="1345" w:type="dxa"/>
            <w:tcBorders>
              <w:top w:val="single" w:color="auto" w:sz="6" w:space="0"/>
              <w:left w:val="single" w:color="auto" w:sz="6" w:space="0"/>
              <w:bottom w:val="single" w:color="auto" w:sz="4" w:space="0"/>
              <w:right w:val="single" w:color="auto" w:sz="4" w:space="0"/>
            </w:tcBorders>
            <w:noWrap w:val="0"/>
            <w:vAlign w:val="center"/>
          </w:tcPr>
          <w:p w14:paraId="1BAAE87E">
            <w:pPr>
              <w:topLinePunct/>
              <w:spacing w:line="360" w:lineRule="auto"/>
              <w:jc w:val="center"/>
              <w:rPr>
                <w:rFonts w:ascii="宋体" w:hAnsi="宋体"/>
                <w:color w:val="auto"/>
                <w:szCs w:val="21"/>
                <w:highlight w:val="none"/>
              </w:rPr>
            </w:pPr>
            <w:r>
              <w:rPr>
                <w:rFonts w:hint="eastAsia" w:ascii="宋体" w:hAnsi="宋体"/>
                <w:color w:val="auto"/>
                <w:szCs w:val="21"/>
                <w:highlight w:val="none"/>
              </w:rPr>
              <w:t>等级</w:t>
            </w:r>
          </w:p>
        </w:tc>
        <w:tc>
          <w:tcPr>
            <w:tcW w:w="1861" w:type="dxa"/>
            <w:gridSpan w:val="3"/>
            <w:tcBorders>
              <w:top w:val="single" w:color="auto" w:sz="6" w:space="0"/>
              <w:left w:val="single" w:color="auto" w:sz="4" w:space="0"/>
              <w:bottom w:val="single" w:color="auto" w:sz="6" w:space="0"/>
              <w:right w:val="single" w:color="auto" w:sz="4" w:space="0"/>
            </w:tcBorders>
            <w:noWrap w:val="0"/>
            <w:vAlign w:val="center"/>
          </w:tcPr>
          <w:p w14:paraId="7B7FE854">
            <w:pPr>
              <w:topLinePunct/>
              <w:spacing w:line="360" w:lineRule="auto"/>
              <w:ind w:left="340"/>
              <w:jc w:val="center"/>
              <w:rPr>
                <w:rFonts w:ascii="宋体" w:hAnsi="宋体"/>
                <w:color w:val="auto"/>
                <w:szCs w:val="21"/>
                <w:highlight w:val="none"/>
              </w:rPr>
            </w:pPr>
            <w:r>
              <w:rPr>
                <w:rFonts w:hint="eastAsia" w:ascii="宋体" w:hAnsi="宋体"/>
                <w:color w:val="auto"/>
                <w:szCs w:val="21"/>
                <w:highlight w:val="none"/>
              </w:rPr>
              <w:t>证书号</w:t>
            </w:r>
          </w:p>
        </w:tc>
        <w:tc>
          <w:tcPr>
            <w:tcW w:w="2889" w:type="dxa"/>
            <w:gridSpan w:val="3"/>
            <w:tcBorders>
              <w:top w:val="single" w:color="auto" w:sz="6" w:space="0"/>
              <w:left w:val="single" w:color="auto" w:sz="4" w:space="0"/>
              <w:bottom w:val="single" w:color="auto" w:sz="6" w:space="0"/>
              <w:right w:val="double" w:color="auto" w:sz="4" w:space="0"/>
            </w:tcBorders>
            <w:noWrap w:val="0"/>
            <w:vAlign w:val="center"/>
          </w:tcPr>
          <w:p w14:paraId="5D170229">
            <w:pPr>
              <w:topLinePunct/>
              <w:spacing w:line="360" w:lineRule="auto"/>
              <w:ind w:left="395"/>
              <w:jc w:val="center"/>
              <w:rPr>
                <w:rFonts w:ascii="宋体" w:hAnsi="宋体"/>
                <w:color w:val="auto"/>
                <w:szCs w:val="21"/>
                <w:highlight w:val="none"/>
              </w:rPr>
            </w:pPr>
            <w:r>
              <w:rPr>
                <w:rFonts w:hint="eastAsia" w:ascii="宋体" w:hAnsi="宋体"/>
                <w:color w:val="auto"/>
                <w:szCs w:val="21"/>
                <w:highlight w:val="none"/>
              </w:rPr>
              <w:t>发证机关</w:t>
            </w:r>
          </w:p>
        </w:tc>
      </w:tr>
      <w:tr w14:paraId="260F76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4" w:hRule="atLeast"/>
        </w:trPr>
        <w:tc>
          <w:tcPr>
            <w:tcW w:w="3261" w:type="dxa"/>
            <w:gridSpan w:val="3"/>
            <w:tcBorders>
              <w:top w:val="single" w:color="auto" w:sz="4" w:space="0"/>
              <w:left w:val="double" w:color="auto" w:sz="4" w:space="0"/>
              <w:bottom w:val="single" w:color="auto" w:sz="4" w:space="0"/>
              <w:right w:val="single" w:color="auto" w:sz="6" w:space="0"/>
            </w:tcBorders>
            <w:noWrap w:val="0"/>
            <w:vAlign w:val="center"/>
          </w:tcPr>
          <w:p w14:paraId="5ED63066">
            <w:pPr>
              <w:topLinePunct/>
              <w:spacing w:line="360" w:lineRule="auto"/>
              <w:jc w:val="center"/>
              <w:rPr>
                <w:rFonts w:ascii="宋体" w:hAnsi="宋体"/>
                <w:color w:val="auto"/>
                <w:szCs w:val="21"/>
                <w:highlight w:val="none"/>
              </w:rPr>
            </w:pPr>
          </w:p>
        </w:tc>
        <w:tc>
          <w:tcPr>
            <w:tcW w:w="1345" w:type="dxa"/>
            <w:tcBorders>
              <w:top w:val="single" w:color="auto" w:sz="4" w:space="0"/>
              <w:left w:val="single" w:color="auto" w:sz="6" w:space="0"/>
              <w:bottom w:val="single" w:color="auto" w:sz="4" w:space="0"/>
              <w:right w:val="single" w:color="auto" w:sz="4" w:space="0"/>
            </w:tcBorders>
            <w:noWrap w:val="0"/>
            <w:vAlign w:val="center"/>
          </w:tcPr>
          <w:p w14:paraId="479BD344">
            <w:pPr>
              <w:topLinePunct/>
              <w:spacing w:line="360" w:lineRule="auto"/>
              <w:jc w:val="center"/>
              <w:rPr>
                <w:rFonts w:ascii="宋体" w:hAnsi="宋体"/>
                <w:color w:val="auto"/>
                <w:szCs w:val="21"/>
                <w:highlight w:val="none"/>
              </w:rPr>
            </w:pPr>
          </w:p>
        </w:tc>
        <w:tc>
          <w:tcPr>
            <w:tcW w:w="1861" w:type="dxa"/>
            <w:gridSpan w:val="3"/>
            <w:tcBorders>
              <w:top w:val="single" w:color="auto" w:sz="6" w:space="0"/>
              <w:left w:val="single" w:color="auto" w:sz="4" w:space="0"/>
              <w:bottom w:val="single" w:color="auto" w:sz="6" w:space="0"/>
              <w:right w:val="single" w:color="auto" w:sz="4" w:space="0"/>
            </w:tcBorders>
            <w:noWrap w:val="0"/>
            <w:vAlign w:val="center"/>
          </w:tcPr>
          <w:p w14:paraId="6AB0C7B7">
            <w:pPr>
              <w:topLinePunct/>
              <w:spacing w:line="360" w:lineRule="auto"/>
              <w:jc w:val="center"/>
              <w:rPr>
                <w:rFonts w:ascii="宋体" w:hAnsi="宋体"/>
                <w:color w:val="auto"/>
                <w:szCs w:val="21"/>
                <w:highlight w:val="none"/>
              </w:rPr>
            </w:pPr>
          </w:p>
        </w:tc>
        <w:tc>
          <w:tcPr>
            <w:tcW w:w="2889" w:type="dxa"/>
            <w:gridSpan w:val="3"/>
            <w:tcBorders>
              <w:top w:val="single" w:color="auto" w:sz="6" w:space="0"/>
              <w:left w:val="single" w:color="auto" w:sz="4" w:space="0"/>
              <w:bottom w:val="single" w:color="auto" w:sz="6" w:space="0"/>
              <w:right w:val="double" w:color="auto" w:sz="4" w:space="0"/>
            </w:tcBorders>
            <w:noWrap w:val="0"/>
            <w:vAlign w:val="center"/>
          </w:tcPr>
          <w:p w14:paraId="184E97CE">
            <w:pPr>
              <w:topLinePunct/>
              <w:spacing w:line="360" w:lineRule="auto"/>
              <w:jc w:val="center"/>
              <w:rPr>
                <w:rFonts w:ascii="宋体" w:hAnsi="宋体"/>
                <w:color w:val="auto"/>
                <w:szCs w:val="21"/>
                <w:highlight w:val="none"/>
              </w:rPr>
            </w:pPr>
          </w:p>
        </w:tc>
      </w:tr>
      <w:tr w14:paraId="7CDC27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4" w:hRule="atLeast"/>
        </w:trPr>
        <w:tc>
          <w:tcPr>
            <w:tcW w:w="3261" w:type="dxa"/>
            <w:gridSpan w:val="3"/>
            <w:tcBorders>
              <w:top w:val="single" w:color="auto" w:sz="4" w:space="0"/>
              <w:left w:val="double" w:color="auto" w:sz="4" w:space="0"/>
              <w:bottom w:val="single" w:color="auto" w:sz="6" w:space="0"/>
              <w:right w:val="single" w:color="auto" w:sz="6" w:space="0"/>
            </w:tcBorders>
            <w:noWrap w:val="0"/>
            <w:vAlign w:val="center"/>
          </w:tcPr>
          <w:p w14:paraId="3A0F7039">
            <w:pPr>
              <w:topLinePunct/>
              <w:spacing w:line="360" w:lineRule="auto"/>
              <w:jc w:val="center"/>
              <w:rPr>
                <w:rFonts w:ascii="宋体" w:hAnsi="宋体"/>
                <w:color w:val="auto"/>
                <w:szCs w:val="21"/>
                <w:highlight w:val="none"/>
              </w:rPr>
            </w:pPr>
          </w:p>
        </w:tc>
        <w:tc>
          <w:tcPr>
            <w:tcW w:w="1345" w:type="dxa"/>
            <w:tcBorders>
              <w:top w:val="single" w:color="auto" w:sz="4" w:space="0"/>
              <w:left w:val="single" w:color="auto" w:sz="6" w:space="0"/>
              <w:bottom w:val="single" w:color="auto" w:sz="6" w:space="0"/>
              <w:right w:val="single" w:color="auto" w:sz="4" w:space="0"/>
            </w:tcBorders>
            <w:noWrap w:val="0"/>
            <w:vAlign w:val="center"/>
          </w:tcPr>
          <w:p w14:paraId="7E988B83">
            <w:pPr>
              <w:topLinePunct/>
              <w:spacing w:line="360" w:lineRule="auto"/>
              <w:jc w:val="center"/>
              <w:rPr>
                <w:rFonts w:ascii="宋体" w:hAnsi="宋体"/>
                <w:color w:val="auto"/>
                <w:szCs w:val="21"/>
                <w:highlight w:val="none"/>
              </w:rPr>
            </w:pPr>
          </w:p>
        </w:tc>
        <w:tc>
          <w:tcPr>
            <w:tcW w:w="1861" w:type="dxa"/>
            <w:gridSpan w:val="3"/>
            <w:tcBorders>
              <w:top w:val="single" w:color="auto" w:sz="6" w:space="0"/>
              <w:left w:val="single" w:color="auto" w:sz="4" w:space="0"/>
              <w:bottom w:val="single" w:color="auto" w:sz="6" w:space="0"/>
              <w:right w:val="single" w:color="auto" w:sz="4" w:space="0"/>
            </w:tcBorders>
            <w:noWrap w:val="0"/>
            <w:vAlign w:val="center"/>
          </w:tcPr>
          <w:p w14:paraId="5EAAA7C8">
            <w:pPr>
              <w:topLinePunct/>
              <w:spacing w:line="360" w:lineRule="auto"/>
              <w:jc w:val="center"/>
              <w:rPr>
                <w:rFonts w:ascii="宋体" w:hAnsi="宋体"/>
                <w:color w:val="auto"/>
                <w:szCs w:val="21"/>
                <w:highlight w:val="none"/>
              </w:rPr>
            </w:pPr>
          </w:p>
        </w:tc>
        <w:tc>
          <w:tcPr>
            <w:tcW w:w="2889" w:type="dxa"/>
            <w:gridSpan w:val="3"/>
            <w:tcBorders>
              <w:top w:val="single" w:color="auto" w:sz="6" w:space="0"/>
              <w:left w:val="single" w:color="auto" w:sz="4" w:space="0"/>
              <w:bottom w:val="single" w:color="auto" w:sz="6" w:space="0"/>
              <w:right w:val="double" w:color="auto" w:sz="4" w:space="0"/>
            </w:tcBorders>
            <w:noWrap w:val="0"/>
            <w:vAlign w:val="center"/>
          </w:tcPr>
          <w:p w14:paraId="249691C8">
            <w:pPr>
              <w:topLinePunct/>
              <w:spacing w:line="360" w:lineRule="auto"/>
              <w:jc w:val="center"/>
              <w:rPr>
                <w:rFonts w:ascii="宋体" w:hAnsi="宋体"/>
                <w:color w:val="auto"/>
                <w:szCs w:val="21"/>
                <w:highlight w:val="none"/>
              </w:rPr>
            </w:pPr>
          </w:p>
        </w:tc>
      </w:tr>
      <w:tr w14:paraId="337328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4" w:hRule="atLeast"/>
        </w:trPr>
        <w:tc>
          <w:tcPr>
            <w:tcW w:w="3261" w:type="dxa"/>
            <w:gridSpan w:val="3"/>
            <w:tcBorders>
              <w:top w:val="single" w:color="auto" w:sz="6" w:space="0"/>
              <w:left w:val="double" w:color="auto" w:sz="4" w:space="0"/>
              <w:bottom w:val="single" w:color="auto" w:sz="6" w:space="0"/>
              <w:right w:val="single" w:color="auto" w:sz="6" w:space="0"/>
            </w:tcBorders>
            <w:noWrap w:val="0"/>
            <w:vAlign w:val="center"/>
          </w:tcPr>
          <w:p w14:paraId="56E01315">
            <w:pPr>
              <w:topLinePunct/>
              <w:spacing w:line="360" w:lineRule="auto"/>
              <w:jc w:val="center"/>
              <w:rPr>
                <w:rFonts w:ascii="宋体" w:hAnsi="宋体"/>
                <w:color w:val="auto"/>
                <w:szCs w:val="21"/>
                <w:highlight w:val="none"/>
              </w:rPr>
            </w:pPr>
            <w:r>
              <w:rPr>
                <w:rFonts w:hint="eastAsia" w:ascii="宋体" w:hAnsi="宋体"/>
                <w:color w:val="auto"/>
                <w:szCs w:val="21"/>
                <w:highlight w:val="none"/>
              </w:rPr>
              <w:t>体系认证名称</w:t>
            </w:r>
          </w:p>
        </w:tc>
        <w:tc>
          <w:tcPr>
            <w:tcW w:w="1345" w:type="dxa"/>
            <w:tcBorders>
              <w:top w:val="single" w:color="auto" w:sz="6" w:space="0"/>
              <w:left w:val="single" w:color="auto" w:sz="6" w:space="0"/>
              <w:right w:val="single" w:color="auto" w:sz="4" w:space="0"/>
            </w:tcBorders>
            <w:noWrap w:val="0"/>
            <w:vAlign w:val="center"/>
          </w:tcPr>
          <w:p w14:paraId="189B2A1C">
            <w:pPr>
              <w:topLinePunct/>
              <w:spacing w:line="360" w:lineRule="auto"/>
              <w:jc w:val="center"/>
              <w:rPr>
                <w:rFonts w:ascii="宋体" w:hAnsi="宋体"/>
                <w:color w:val="auto"/>
                <w:szCs w:val="21"/>
                <w:highlight w:val="none"/>
              </w:rPr>
            </w:pPr>
            <w:r>
              <w:rPr>
                <w:rFonts w:hint="eastAsia" w:ascii="宋体" w:hAnsi="宋体"/>
                <w:color w:val="auto"/>
                <w:szCs w:val="21"/>
                <w:highlight w:val="none"/>
              </w:rPr>
              <w:t>名称</w:t>
            </w:r>
          </w:p>
        </w:tc>
        <w:tc>
          <w:tcPr>
            <w:tcW w:w="1861" w:type="dxa"/>
            <w:gridSpan w:val="3"/>
            <w:tcBorders>
              <w:top w:val="single" w:color="auto" w:sz="6" w:space="0"/>
              <w:left w:val="single" w:color="auto" w:sz="4" w:space="0"/>
              <w:right w:val="single" w:color="auto" w:sz="4" w:space="0"/>
            </w:tcBorders>
            <w:noWrap w:val="0"/>
            <w:vAlign w:val="center"/>
          </w:tcPr>
          <w:p w14:paraId="2A64C0EC">
            <w:pPr>
              <w:topLinePunct/>
              <w:spacing w:line="360" w:lineRule="auto"/>
              <w:jc w:val="center"/>
              <w:rPr>
                <w:rFonts w:ascii="宋体" w:hAnsi="宋体"/>
                <w:color w:val="auto"/>
                <w:szCs w:val="21"/>
                <w:highlight w:val="none"/>
              </w:rPr>
            </w:pPr>
            <w:r>
              <w:rPr>
                <w:rFonts w:hint="eastAsia" w:ascii="宋体" w:hAnsi="宋体"/>
                <w:color w:val="auto"/>
                <w:szCs w:val="21"/>
                <w:highlight w:val="none"/>
              </w:rPr>
              <w:t>证书号</w:t>
            </w:r>
          </w:p>
        </w:tc>
        <w:tc>
          <w:tcPr>
            <w:tcW w:w="2889" w:type="dxa"/>
            <w:gridSpan w:val="3"/>
            <w:tcBorders>
              <w:top w:val="single" w:color="auto" w:sz="6" w:space="0"/>
              <w:left w:val="single" w:color="auto" w:sz="4" w:space="0"/>
              <w:right w:val="double" w:color="auto" w:sz="4" w:space="0"/>
            </w:tcBorders>
            <w:noWrap w:val="0"/>
            <w:vAlign w:val="center"/>
          </w:tcPr>
          <w:p w14:paraId="35AEB038">
            <w:pPr>
              <w:topLinePunct/>
              <w:spacing w:line="360" w:lineRule="auto"/>
              <w:jc w:val="center"/>
              <w:rPr>
                <w:rFonts w:ascii="宋体" w:hAnsi="宋体"/>
                <w:color w:val="auto"/>
                <w:szCs w:val="21"/>
                <w:highlight w:val="none"/>
              </w:rPr>
            </w:pPr>
            <w:r>
              <w:rPr>
                <w:rFonts w:hint="eastAsia" w:ascii="宋体" w:hAnsi="宋体"/>
                <w:color w:val="auto"/>
                <w:szCs w:val="21"/>
                <w:highlight w:val="none"/>
              </w:rPr>
              <w:t>发证单位</w:t>
            </w:r>
          </w:p>
        </w:tc>
      </w:tr>
      <w:tr w14:paraId="50673E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34" w:hRule="atLeast"/>
        </w:trPr>
        <w:tc>
          <w:tcPr>
            <w:tcW w:w="3261" w:type="dxa"/>
            <w:gridSpan w:val="3"/>
            <w:tcBorders>
              <w:top w:val="single" w:color="auto" w:sz="6" w:space="0"/>
              <w:left w:val="double" w:color="auto" w:sz="4" w:space="0"/>
              <w:bottom w:val="single" w:color="auto" w:sz="6" w:space="0"/>
              <w:right w:val="single" w:color="auto" w:sz="6" w:space="0"/>
            </w:tcBorders>
            <w:noWrap w:val="0"/>
            <w:vAlign w:val="center"/>
          </w:tcPr>
          <w:p w14:paraId="14B8FF08">
            <w:pPr>
              <w:topLinePunct/>
              <w:spacing w:line="360" w:lineRule="auto"/>
              <w:jc w:val="center"/>
              <w:rPr>
                <w:rFonts w:ascii="宋体" w:hAnsi="宋体"/>
                <w:color w:val="auto"/>
                <w:szCs w:val="21"/>
                <w:highlight w:val="none"/>
              </w:rPr>
            </w:pPr>
          </w:p>
        </w:tc>
        <w:tc>
          <w:tcPr>
            <w:tcW w:w="1345" w:type="dxa"/>
            <w:tcBorders>
              <w:top w:val="single" w:color="auto" w:sz="6" w:space="0"/>
              <w:left w:val="single" w:color="auto" w:sz="6" w:space="0"/>
              <w:right w:val="single" w:color="auto" w:sz="4" w:space="0"/>
            </w:tcBorders>
            <w:noWrap w:val="0"/>
            <w:vAlign w:val="center"/>
          </w:tcPr>
          <w:p w14:paraId="746E72A8">
            <w:pPr>
              <w:topLinePunct/>
              <w:spacing w:line="360" w:lineRule="auto"/>
              <w:jc w:val="center"/>
              <w:rPr>
                <w:rFonts w:ascii="宋体" w:hAnsi="宋体"/>
                <w:color w:val="auto"/>
                <w:szCs w:val="21"/>
                <w:highlight w:val="none"/>
              </w:rPr>
            </w:pPr>
          </w:p>
        </w:tc>
        <w:tc>
          <w:tcPr>
            <w:tcW w:w="1861" w:type="dxa"/>
            <w:gridSpan w:val="3"/>
            <w:tcBorders>
              <w:top w:val="single" w:color="auto" w:sz="6" w:space="0"/>
              <w:left w:val="single" w:color="auto" w:sz="4" w:space="0"/>
              <w:right w:val="single" w:color="auto" w:sz="4" w:space="0"/>
            </w:tcBorders>
            <w:noWrap w:val="0"/>
            <w:vAlign w:val="center"/>
          </w:tcPr>
          <w:p w14:paraId="5AE99B9A">
            <w:pPr>
              <w:topLinePunct/>
              <w:spacing w:line="360" w:lineRule="auto"/>
              <w:jc w:val="center"/>
              <w:rPr>
                <w:rFonts w:ascii="宋体" w:hAnsi="宋体"/>
                <w:color w:val="auto"/>
                <w:szCs w:val="21"/>
                <w:highlight w:val="none"/>
              </w:rPr>
            </w:pPr>
          </w:p>
        </w:tc>
        <w:tc>
          <w:tcPr>
            <w:tcW w:w="2889" w:type="dxa"/>
            <w:gridSpan w:val="3"/>
            <w:tcBorders>
              <w:top w:val="single" w:color="auto" w:sz="6" w:space="0"/>
              <w:left w:val="single" w:color="auto" w:sz="4" w:space="0"/>
              <w:right w:val="double" w:color="auto" w:sz="4" w:space="0"/>
            </w:tcBorders>
            <w:noWrap w:val="0"/>
            <w:vAlign w:val="center"/>
          </w:tcPr>
          <w:p w14:paraId="3FAC3DDD">
            <w:pPr>
              <w:topLinePunct/>
              <w:spacing w:line="360" w:lineRule="auto"/>
              <w:jc w:val="center"/>
              <w:rPr>
                <w:rFonts w:ascii="宋体" w:hAnsi="宋体"/>
                <w:color w:val="auto"/>
                <w:szCs w:val="21"/>
                <w:highlight w:val="none"/>
              </w:rPr>
            </w:pPr>
          </w:p>
        </w:tc>
      </w:tr>
      <w:tr w14:paraId="10DA86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2" w:hRule="atLeast"/>
        </w:trPr>
        <w:tc>
          <w:tcPr>
            <w:tcW w:w="1249" w:type="dxa"/>
            <w:tcBorders>
              <w:top w:val="single" w:color="auto" w:sz="6" w:space="0"/>
              <w:left w:val="double" w:color="auto" w:sz="4" w:space="0"/>
              <w:bottom w:val="double" w:color="auto" w:sz="4" w:space="0"/>
              <w:right w:val="single" w:color="auto" w:sz="6" w:space="0"/>
            </w:tcBorders>
            <w:noWrap w:val="0"/>
            <w:vAlign w:val="center"/>
          </w:tcPr>
          <w:p w14:paraId="4FBC4EB6">
            <w:pPr>
              <w:topLinePunct/>
              <w:spacing w:line="360" w:lineRule="auto"/>
              <w:ind w:firstLine="315" w:firstLineChars="150"/>
              <w:rPr>
                <w:rFonts w:ascii="宋体" w:hAnsi="宋体"/>
                <w:color w:val="auto"/>
                <w:szCs w:val="21"/>
                <w:highlight w:val="none"/>
              </w:rPr>
            </w:pPr>
            <w:r>
              <w:rPr>
                <w:rFonts w:ascii="宋体" w:hAnsi="宋体"/>
                <w:color w:val="auto"/>
                <w:szCs w:val="21"/>
                <w:highlight w:val="none"/>
              </w:rPr>
              <w:t>备注</w:t>
            </w:r>
          </w:p>
        </w:tc>
        <w:tc>
          <w:tcPr>
            <w:tcW w:w="8107" w:type="dxa"/>
            <w:gridSpan w:val="9"/>
            <w:tcBorders>
              <w:top w:val="single" w:color="auto" w:sz="6" w:space="0"/>
              <w:left w:val="single" w:color="auto" w:sz="6" w:space="0"/>
              <w:bottom w:val="double" w:color="auto" w:sz="4" w:space="0"/>
              <w:right w:val="double" w:color="auto" w:sz="4" w:space="0"/>
            </w:tcBorders>
            <w:noWrap w:val="0"/>
            <w:vAlign w:val="center"/>
          </w:tcPr>
          <w:p w14:paraId="46450CFE">
            <w:pPr>
              <w:spacing w:line="360" w:lineRule="auto"/>
              <w:rPr>
                <w:rFonts w:ascii="宋体" w:hAnsi="宋体"/>
                <w:color w:val="auto"/>
                <w:szCs w:val="21"/>
                <w:highlight w:val="none"/>
              </w:rPr>
            </w:pPr>
          </w:p>
        </w:tc>
      </w:tr>
    </w:tbl>
    <w:p w14:paraId="79B2E8AD">
      <w:pPr>
        <w:topLinePunct/>
        <w:adjustRightInd w:val="0"/>
        <w:snapToGrid w:val="0"/>
        <w:spacing w:line="360" w:lineRule="auto"/>
        <w:rPr>
          <w:rFonts w:ascii="宋体" w:hAnsi="宋体"/>
          <w:color w:val="auto"/>
          <w:szCs w:val="21"/>
          <w:highlight w:val="none"/>
        </w:rPr>
      </w:pPr>
    </w:p>
    <w:p w14:paraId="0FCD2095">
      <w:pPr>
        <w:spacing w:line="360" w:lineRule="auto"/>
        <w:rPr>
          <w:rFonts w:ascii="宋体" w:hAnsi="宋体"/>
          <w:color w:val="auto"/>
          <w:sz w:val="30"/>
          <w:szCs w:val="30"/>
          <w:highlight w:val="none"/>
        </w:rPr>
      </w:pPr>
    </w:p>
    <w:p w14:paraId="26E56DE5">
      <w:pPr>
        <w:spacing w:line="360" w:lineRule="auto"/>
        <w:rPr>
          <w:rFonts w:ascii="宋体" w:hAnsi="宋体"/>
          <w:color w:val="auto"/>
          <w:sz w:val="30"/>
          <w:szCs w:val="30"/>
          <w:highlight w:val="none"/>
        </w:rPr>
      </w:pPr>
    </w:p>
    <w:p w14:paraId="6AD3BCBB">
      <w:pPr>
        <w:spacing w:line="360" w:lineRule="auto"/>
        <w:rPr>
          <w:rFonts w:ascii="宋体" w:hAnsi="宋体"/>
          <w:color w:val="auto"/>
          <w:sz w:val="30"/>
          <w:szCs w:val="30"/>
          <w:highlight w:val="none"/>
        </w:rPr>
      </w:pPr>
    </w:p>
    <w:p w14:paraId="4A4886A8">
      <w:pPr>
        <w:adjustRightInd w:val="0"/>
        <w:snapToGrid w:val="0"/>
        <w:spacing w:line="360" w:lineRule="auto"/>
        <w:rPr>
          <w:rFonts w:ascii="宋体" w:hAnsi="宋体"/>
          <w:b/>
          <w:color w:val="auto"/>
          <w:sz w:val="28"/>
          <w:szCs w:val="28"/>
          <w:highlight w:val="none"/>
        </w:rPr>
      </w:pPr>
      <w:bookmarkStart w:id="213" w:name="_Toc28694_WPSOffice_Level1"/>
      <w:bookmarkStart w:id="214" w:name="_Toc28701_WPSOffice_Level1"/>
      <w:r>
        <w:rPr>
          <w:rFonts w:hint="eastAsia" w:ascii="宋体" w:hAnsi="宋体"/>
          <w:b/>
          <w:color w:val="auto"/>
          <w:sz w:val="28"/>
          <w:szCs w:val="28"/>
          <w:highlight w:val="none"/>
        </w:rPr>
        <w:t>附件</w:t>
      </w:r>
      <w:r>
        <w:rPr>
          <w:rFonts w:hint="eastAsia" w:ascii="宋体" w:hAnsi="宋体"/>
          <w:b/>
          <w:color w:val="auto"/>
          <w:sz w:val="28"/>
          <w:szCs w:val="28"/>
          <w:highlight w:val="none"/>
          <w:lang w:val="en-US" w:eastAsia="zh-CN"/>
        </w:rPr>
        <w:t>2</w:t>
      </w:r>
      <w:r>
        <w:rPr>
          <w:rFonts w:hint="eastAsia" w:ascii="宋体" w:hAnsi="宋体"/>
          <w:b/>
          <w:color w:val="auto"/>
          <w:sz w:val="28"/>
          <w:szCs w:val="28"/>
          <w:highlight w:val="none"/>
        </w:rPr>
        <w:t>-2</w:t>
      </w:r>
      <w:bookmarkEnd w:id="213"/>
      <w:bookmarkEnd w:id="214"/>
    </w:p>
    <w:p w14:paraId="740FC725">
      <w:pPr>
        <w:adjustRightInd w:val="0"/>
        <w:snapToGrid w:val="0"/>
        <w:spacing w:line="360" w:lineRule="auto"/>
        <w:jc w:val="center"/>
        <w:rPr>
          <w:rFonts w:ascii="宋体" w:hAnsi="宋体"/>
          <w:color w:val="auto"/>
          <w:sz w:val="30"/>
          <w:szCs w:val="30"/>
          <w:highlight w:val="none"/>
        </w:rPr>
      </w:pPr>
      <w:bookmarkStart w:id="215" w:name="_Toc2897_WPSOffice_Level1"/>
      <w:bookmarkStart w:id="216" w:name="_Toc15310_WPSOffice_Level1"/>
      <w:bookmarkStart w:id="217" w:name="_Toc20130_WPSOffice_Level1"/>
      <w:bookmarkStart w:id="218" w:name="_Toc9654_WPSOffice_Level1"/>
      <w:r>
        <w:rPr>
          <w:rFonts w:hint="eastAsia" w:ascii="宋体" w:hAnsi="宋体"/>
          <w:b/>
          <w:color w:val="auto"/>
          <w:sz w:val="28"/>
          <w:szCs w:val="28"/>
          <w:highlight w:val="none"/>
        </w:rPr>
        <w:t>磋商文件规定的基本资格条件证明资料</w:t>
      </w:r>
      <w:bookmarkEnd w:id="215"/>
      <w:bookmarkEnd w:id="216"/>
      <w:bookmarkEnd w:id="217"/>
      <w:bookmarkEnd w:id="218"/>
    </w:p>
    <w:p w14:paraId="71357BC6">
      <w:pPr>
        <w:autoSpaceDE w:val="0"/>
        <w:autoSpaceDN w:val="0"/>
        <w:adjustRightInd w:val="0"/>
        <w:spacing w:line="360" w:lineRule="auto"/>
        <w:jc w:val="left"/>
        <w:rPr>
          <w:rFonts w:ascii="宋体"/>
          <w:b/>
          <w:bCs/>
          <w:color w:val="auto"/>
          <w:szCs w:val="21"/>
          <w:highlight w:val="none"/>
        </w:rPr>
      </w:pPr>
      <w:r>
        <w:rPr>
          <w:rFonts w:hint="eastAsia" w:ascii="宋体"/>
          <w:b/>
          <w:bCs/>
          <w:color w:val="auto"/>
          <w:szCs w:val="21"/>
          <w:highlight w:val="none"/>
        </w:rPr>
        <w:t>（符合法定条件的供应商凭《湖南省政府采购供应商资格承诺函》（格式见附件）参与政府采购活动，也可通过在金融机构办理电子增信取得对应信用星级参与政府采购活动和电子卖场交易，无需提供财务状况、缴纳税收和社会保障资金等资格证明材料。）</w:t>
      </w:r>
    </w:p>
    <w:p w14:paraId="449D8F49">
      <w:pPr>
        <w:autoSpaceDE w:val="0"/>
        <w:autoSpaceDN w:val="0"/>
        <w:adjustRightInd w:val="0"/>
        <w:jc w:val="center"/>
        <w:rPr>
          <w:rFonts w:eastAsia="黑体"/>
          <w:color w:val="auto"/>
          <w:kern w:val="0"/>
          <w:sz w:val="30"/>
          <w:szCs w:val="30"/>
          <w:highlight w:val="none"/>
        </w:rPr>
      </w:pPr>
    </w:p>
    <w:p w14:paraId="216AF046">
      <w:pPr>
        <w:autoSpaceDE w:val="0"/>
        <w:autoSpaceDN w:val="0"/>
        <w:adjustRightInd w:val="0"/>
        <w:jc w:val="center"/>
        <w:rPr>
          <w:rFonts w:eastAsia="黑体"/>
          <w:color w:val="auto"/>
          <w:kern w:val="0"/>
          <w:sz w:val="30"/>
          <w:szCs w:val="30"/>
          <w:highlight w:val="none"/>
        </w:rPr>
      </w:pPr>
      <w:r>
        <w:rPr>
          <w:rFonts w:hint="eastAsia" w:eastAsia="黑体"/>
          <w:color w:val="auto"/>
          <w:kern w:val="0"/>
          <w:sz w:val="30"/>
          <w:szCs w:val="30"/>
          <w:highlight w:val="none"/>
        </w:rPr>
        <w:t>湖南省政府采购供应商资格承诺函</w:t>
      </w:r>
    </w:p>
    <w:p w14:paraId="3F66CF1A">
      <w:pPr>
        <w:autoSpaceDE w:val="0"/>
        <w:autoSpaceDN w:val="0"/>
        <w:adjustRightInd w:val="0"/>
        <w:spacing w:line="360" w:lineRule="auto"/>
        <w:ind w:firstLine="420" w:firstLineChars="200"/>
        <w:jc w:val="left"/>
        <w:rPr>
          <w:rFonts w:ascii="宋体"/>
          <w:bCs/>
          <w:color w:val="auto"/>
          <w:szCs w:val="21"/>
          <w:highlight w:val="none"/>
        </w:rPr>
      </w:pPr>
      <w:r>
        <w:rPr>
          <w:rFonts w:hint="eastAsia" w:ascii="宋体"/>
          <w:bCs/>
          <w:color w:val="auto"/>
          <w:szCs w:val="21"/>
          <w:highlight w:val="none"/>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08802A50">
      <w:pPr>
        <w:autoSpaceDE w:val="0"/>
        <w:autoSpaceDN w:val="0"/>
        <w:adjustRightInd w:val="0"/>
        <w:spacing w:line="360" w:lineRule="auto"/>
        <w:ind w:firstLine="420" w:firstLineChars="200"/>
        <w:jc w:val="left"/>
        <w:rPr>
          <w:rFonts w:ascii="宋体"/>
          <w:bCs/>
          <w:color w:val="auto"/>
          <w:szCs w:val="21"/>
          <w:highlight w:val="none"/>
        </w:rPr>
      </w:pPr>
      <w:r>
        <w:rPr>
          <w:rFonts w:hint="eastAsia" w:ascii="宋体"/>
          <w:bCs/>
          <w:color w:val="auto"/>
          <w:szCs w:val="21"/>
          <w:highlight w:val="none"/>
        </w:rPr>
        <w:t>按照《政府采购促进中小企业发展管理办法》（</w:t>
      </w:r>
      <w:r>
        <w:rPr>
          <w:rFonts w:ascii="宋体"/>
          <w:bCs/>
          <w:color w:val="auto"/>
          <w:szCs w:val="21"/>
          <w:highlight w:val="none"/>
        </w:rPr>
        <w:t xml:space="preserve"> </w:t>
      </w:r>
      <w:r>
        <w:rPr>
          <w:rFonts w:hint="eastAsia" w:ascii="宋体"/>
          <w:bCs/>
          <w:color w:val="auto"/>
          <w:szCs w:val="21"/>
          <w:highlight w:val="none"/>
        </w:rPr>
        <w:t>财库〔</w:t>
      </w:r>
      <w:r>
        <w:rPr>
          <w:rFonts w:ascii="宋体"/>
          <w:bCs/>
          <w:color w:val="auto"/>
          <w:szCs w:val="21"/>
          <w:highlight w:val="none"/>
        </w:rPr>
        <w:t>2020</w:t>
      </w:r>
      <w:r>
        <w:rPr>
          <w:rFonts w:hint="eastAsia" w:ascii="宋体"/>
          <w:bCs/>
          <w:color w:val="auto"/>
          <w:szCs w:val="21"/>
          <w:highlight w:val="none"/>
        </w:rPr>
        <w:t>〕</w:t>
      </w:r>
      <w:r>
        <w:rPr>
          <w:rFonts w:ascii="宋体"/>
          <w:bCs/>
          <w:color w:val="auto"/>
          <w:szCs w:val="21"/>
          <w:highlight w:val="none"/>
        </w:rPr>
        <w:t xml:space="preserve">46 </w:t>
      </w:r>
      <w:r>
        <w:rPr>
          <w:rFonts w:hint="eastAsia" w:ascii="宋体"/>
          <w:bCs/>
          <w:color w:val="auto"/>
          <w:szCs w:val="21"/>
          <w:highlight w:val="none"/>
        </w:rPr>
        <w:t>号），本公司企业规模为：</w:t>
      </w:r>
      <w:r>
        <w:rPr>
          <w:rFonts w:hint="eastAsia" w:ascii="宋体" w:hAnsi="宋体"/>
          <w:bCs/>
          <w:color w:val="auto"/>
          <w:szCs w:val="21"/>
          <w:highlight w:val="none"/>
        </w:rPr>
        <w:t>□</w:t>
      </w:r>
      <w:r>
        <w:rPr>
          <w:rFonts w:hint="eastAsia" w:ascii="宋体"/>
          <w:bCs/>
          <w:color w:val="auto"/>
          <w:szCs w:val="21"/>
          <w:highlight w:val="none"/>
        </w:rPr>
        <w:t xml:space="preserve">大型 </w:t>
      </w:r>
      <w:r>
        <w:rPr>
          <w:rFonts w:ascii="宋体"/>
          <w:bCs/>
          <w:color w:val="auto"/>
          <w:szCs w:val="21"/>
          <w:highlight w:val="none"/>
        </w:rPr>
        <w:t xml:space="preserve"> </w:t>
      </w:r>
      <w:r>
        <w:rPr>
          <w:rFonts w:hint="eastAsia" w:ascii="宋体" w:hAnsi="宋体"/>
          <w:bCs/>
          <w:color w:val="auto"/>
          <w:szCs w:val="21"/>
          <w:highlight w:val="none"/>
        </w:rPr>
        <w:t>□</w:t>
      </w:r>
      <w:r>
        <w:rPr>
          <w:rFonts w:hint="eastAsia" w:ascii="宋体"/>
          <w:bCs/>
          <w:color w:val="auto"/>
          <w:szCs w:val="21"/>
          <w:highlight w:val="none"/>
        </w:rPr>
        <w:t xml:space="preserve">中型 </w:t>
      </w:r>
      <w:r>
        <w:rPr>
          <w:rFonts w:ascii="宋体"/>
          <w:bCs/>
          <w:color w:val="auto"/>
          <w:szCs w:val="21"/>
          <w:highlight w:val="none"/>
        </w:rPr>
        <w:t xml:space="preserve"> </w:t>
      </w:r>
      <w:r>
        <w:rPr>
          <w:rFonts w:hint="eastAsia" w:ascii="宋体" w:hAnsi="宋体"/>
          <w:bCs/>
          <w:color w:val="auto"/>
          <w:szCs w:val="21"/>
          <w:highlight w:val="none"/>
        </w:rPr>
        <w:t>□</w:t>
      </w:r>
      <w:r>
        <w:rPr>
          <w:rFonts w:hint="eastAsia" w:ascii="宋体"/>
          <w:bCs/>
          <w:color w:val="auto"/>
          <w:szCs w:val="21"/>
          <w:highlight w:val="none"/>
        </w:rPr>
        <w:t xml:space="preserve">小型 </w:t>
      </w:r>
      <w:r>
        <w:rPr>
          <w:rFonts w:ascii="宋体"/>
          <w:bCs/>
          <w:color w:val="auto"/>
          <w:szCs w:val="21"/>
          <w:highlight w:val="none"/>
        </w:rPr>
        <w:t xml:space="preserve"> </w:t>
      </w:r>
      <w:r>
        <w:rPr>
          <w:rFonts w:hint="eastAsia" w:ascii="宋体" w:hAnsi="宋体"/>
          <w:bCs/>
          <w:color w:val="auto"/>
          <w:szCs w:val="21"/>
          <w:highlight w:val="none"/>
        </w:rPr>
        <w:t>□</w:t>
      </w:r>
      <w:r>
        <w:rPr>
          <w:rFonts w:hint="eastAsia" w:ascii="宋体"/>
          <w:bCs/>
          <w:color w:val="auto"/>
          <w:szCs w:val="21"/>
          <w:highlight w:val="none"/>
        </w:rPr>
        <w:t>微型</w:t>
      </w:r>
    </w:p>
    <w:p w14:paraId="54EBD79D">
      <w:pPr>
        <w:autoSpaceDE w:val="0"/>
        <w:autoSpaceDN w:val="0"/>
        <w:adjustRightInd w:val="0"/>
        <w:spacing w:line="360" w:lineRule="auto"/>
        <w:ind w:firstLine="420" w:firstLineChars="200"/>
        <w:jc w:val="left"/>
        <w:rPr>
          <w:rFonts w:ascii="宋体"/>
          <w:bCs/>
          <w:color w:val="auto"/>
          <w:szCs w:val="21"/>
          <w:highlight w:val="none"/>
          <w:u w:val="single"/>
        </w:rPr>
      </w:pPr>
      <w:r>
        <w:rPr>
          <w:rFonts w:hint="eastAsia" w:ascii="宋体"/>
          <w:bCs/>
          <w:color w:val="auto"/>
          <w:szCs w:val="21"/>
          <w:highlight w:val="none"/>
        </w:rPr>
        <w:t>公司（单位）名称（盖章）：</w:t>
      </w:r>
      <w:r>
        <w:rPr>
          <w:rFonts w:hint="eastAsia" w:ascii="宋体"/>
          <w:bCs/>
          <w:color w:val="auto"/>
          <w:szCs w:val="21"/>
          <w:highlight w:val="none"/>
          <w:u w:val="single"/>
        </w:rPr>
        <w:t xml:space="preserve"> </w:t>
      </w:r>
      <w:r>
        <w:rPr>
          <w:rFonts w:ascii="宋体"/>
          <w:bCs/>
          <w:color w:val="auto"/>
          <w:szCs w:val="21"/>
          <w:highlight w:val="none"/>
          <w:u w:val="single"/>
        </w:rPr>
        <w:t xml:space="preserve">      </w:t>
      </w:r>
    </w:p>
    <w:p w14:paraId="724ECA47">
      <w:pPr>
        <w:autoSpaceDE w:val="0"/>
        <w:autoSpaceDN w:val="0"/>
        <w:adjustRightInd w:val="0"/>
        <w:spacing w:line="360" w:lineRule="auto"/>
        <w:ind w:firstLine="420" w:firstLineChars="200"/>
        <w:jc w:val="left"/>
        <w:rPr>
          <w:rFonts w:ascii="宋体"/>
          <w:bCs/>
          <w:color w:val="auto"/>
          <w:szCs w:val="21"/>
          <w:highlight w:val="none"/>
        </w:rPr>
      </w:pPr>
      <w:r>
        <w:rPr>
          <w:rFonts w:hint="eastAsia" w:ascii="宋体"/>
          <w:bCs/>
          <w:color w:val="auto"/>
          <w:szCs w:val="21"/>
          <w:highlight w:val="none"/>
          <w:u w:val="single"/>
        </w:rPr>
        <w:t xml:space="preserve"> </w:t>
      </w:r>
      <w:r>
        <w:rPr>
          <w:rFonts w:ascii="宋体"/>
          <w:bCs/>
          <w:color w:val="auto"/>
          <w:szCs w:val="21"/>
          <w:highlight w:val="none"/>
          <w:u w:val="single"/>
        </w:rPr>
        <w:t xml:space="preserve">   </w:t>
      </w:r>
      <w:r>
        <w:rPr>
          <w:rFonts w:hint="eastAsia" w:ascii="宋体"/>
          <w:bCs/>
          <w:color w:val="auto"/>
          <w:szCs w:val="21"/>
          <w:highlight w:val="none"/>
        </w:rPr>
        <w:t>年</w:t>
      </w:r>
      <w:r>
        <w:rPr>
          <w:rFonts w:hint="eastAsia" w:ascii="宋体"/>
          <w:bCs/>
          <w:color w:val="auto"/>
          <w:szCs w:val="21"/>
          <w:highlight w:val="none"/>
          <w:u w:val="single"/>
        </w:rPr>
        <w:t xml:space="preserve"> </w:t>
      </w:r>
      <w:r>
        <w:rPr>
          <w:rFonts w:ascii="宋体"/>
          <w:bCs/>
          <w:color w:val="auto"/>
          <w:szCs w:val="21"/>
          <w:highlight w:val="none"/>
          <w:u w:val="single"/>
        </w:rPr>
        <w:t xml:space="preserve">  </w:t>
      </w:r>
      <w:r>
        <w:rPr>
          <w:rFonts w:hint="eastAsia" w:ascii="宋体"/>
          <w:bCs/>
          <w:color w:val="auto"/>
          <w:szCs w:val="21"/>
          <w:highlight w:val="none"/>
        </w:rPr>
        <w:t>月</w:t>
      </w:r>
      <w:r>
        <w:rPr>
          <w:rFonts w:hint="eastAsia" w:ascii="宋体"/>
          <w:bCs/>
          <w:color w:val="auto"/>
          <w:szCs w:val="21"/>
          <w:highlight w:val="none"/>
          <w:u w:val="single"/>
        </w:rPr>
        <w:t xml:space="preserve"> </w:t>
      </w:r>
      <w:r>
        <w:rPr>
          <w:rFonts w:ascii="宋体"/>
          <w:bCs/>
          <w:color w:val="auto"/>
          <w:szCs w:val="21"/>
          <w:highlight w:val="none"/>
          <w:u w:val="single"/>
        </w:rPr>
        <w:t xml:space="preserve">  </w:t>
      </w:r>
      <w:r>
        <w:rPr>
          <w:rFonts w:hint="eastAsia" w:ascii="宋体"/>
          <w:bCs/>
          <w:color w:val="auto"/>
          <w:szCs w:val="21"/>
          <w:highlight w:val="none"/>
        </w:rPr>
        <w:t>日</w:t>
      </w:r>
    </w:p>
    <w:p w14:paraId="52812840">
      <w:pPr>
        <w:autoSpaceDE w:val="0"/>
        <w:autoSpaceDN w:val="0"/>
        <w:adjustRightInd w:val="0"/>
        <w:spacing w:line="360" w:lineRule="auto"/>
        <w:jc w:val="left"/>
        <w:rPr>
          <w:rFonts w:ascii="宋体"/>
          <w:bCs/>
          <w:color w:val="auto"/>
          <w:szCs w:val="21"/>
          <w:highlight w:val="none"/>
        </w:rPr>
      </w:pPr>
    </w:p>
    <w:p w14:paraId="0D2C49AD">
      <w:pPr>
        <w:autoSpaceDE w:val="0"/>
        <w:autoSpaceDN w:val="0"/>
        <w:adjustRightInd w:val="0"/>
        <w:spacing w:line="360" w:lineRule="auto"/>
        <w:jc w:val="left"/>
        <w:rPr>
          <w:rFonts w:ascii="宋体"/>
          <w:bCs/>
          <w:color w:val="auto"/>
          <w:szCs w:val="21"/>
          <w:highlight w:val="none"/>
        </w:rPr>
      </w:pPr>
      <w:r>
        <w:rPr>
          <w:rFonts w:hint="eastAsia" w:ascii="宋体"/>
          <w:bCs/>
          <w:color w:val="auto"/>
          <w:szCs w:val="21"/>
          <w:highlight w:val="none"/>
        </w:rPr>
        <w:t>机构代码：</w:t>
      </w:r>
      <w:r>
        <w:rPr>
          <w:rFonts w:hint="eastAsia" w:ascii="宋体"/>
          <w:bCs/>
          <w:color w:val="auto"/>
          <w:szCs w:val="21"/>
          <w:highlight w:val="none"/>
          <w:u w:val="single"/>
        </w:rPr>
        <w:t xml:space="preserve"> </w:t>
      </w:r>
      <w:r>
        <w:rPr>
          <w:rFonts w:ascii="宋体"/>
          <w:bCs/>
          <w:color w:val="auto"/>
          <w:szCs w:val="21"/>
          <w:highlight w:val="none"/>
          <w:u w:val="single"/>
        </w:rPr>
        <w:t xml:space="preserve">      </w:t>
      </w:r>
      <w:r>
        <w:rPr>
          <w:rFonts w:hint="eastAsia" w:ascii="宋体"/>
          <w:bCs/>
          <w:color w:val="auto"/>
          <w:szCs w:val="21"/>
          <w:highlight w:val="none"/>
        </w:rPr>
        <w:t>、注册登记机构：</w:t>
      </w:r>
      <w:r>
        <w:rPr>
          <w:rFonts w:hint="eastAsia" w:ascii="宋体"/>
          <w:bCs/>
          <w:color w:val="auto"/>
          <w:szCs w:val="21"/>
          <w:highlight w:val="none"/>
          <w:u w:val="single"/>
        </w:rPr>
        <w:t xml:space="preserve"> </w:t>
      </w:r>
      <w:r>
        <w:rPr>
          <w:rFonts w:ascii="宋体"/>
          <w:bCs/>
          <w:color w:val="auto"/>
          <w:szCs w:val="21"/>
          <w:highlight w:val="none"/>
          <w:u w:val="single"/>
        </w:rPr>
        <w:t xml:space="preserve">      </w:t>
      </w:r>
      <w:r>
        <w:rPr>
          <w:rFonts w:hint="eastAsia" w:ascii="宋体"/>
          <w:bCs/>
          <w:color w:val="auto"/>
          <w:szCs w:val="21"/>
          <w:highlight w:val="none"/>
        </w:rPr>
        <w:t>、日期：</w:t>
      </w:r>
      <w:r>
        <w:rPr>
          <w:rFonts w:hint="eastAsia" w:ascii="宋体"/>
          <w:bCs/>
          <w:color w:val="auto"/>
          <w:szCs w:val="21"/>
          <w:highlight w:val="none"/>
          <w:u w:val="single"/>
        </w:rPr>
        <w:t xml:space="preserve"> </w:t>
      </w:r>
      <w:r>
        <w:rPr>
          <w:rFonts w:ascii="宋体"/>
          <w:bCs/>
          <w:color w:val="auto"/>
          <w:szCs w:val="21"/>
          <w:highlight w:val="none"/>
          <w:u w:val="single"/>
        </w:rPr>
        <w:t xml:space="preserve">      </w:t>
      </w:r>
      <w:r>
        <w:rPr>
          <w:rFonts w:hint="eastAsia" w:ascii="宋体"/>
          <w:bCs/>
          <w:color w:val="auto"/>
          <w:szCs w:val="21"/>
          <w:highlight w:val="none"/>
        </w:rPr>
        <w:t>、有效期：</w:t>
      </w:r>
      <w:r>
        <w:rPr>
          <w:rFonts w:hint="eastAsia" w:ascii="宋体"/>
          <w:bCs/>
          <w:color w:val="auto"/>
          <w:szCs w:val="21"/>
          <w:highlight w:val="none"/>
          <w:u w:val="single"/>
        </w:rPr>
        <w:t xml:space="preserve"> </w:t>
      </w:r>
      <w:r>
        <w:rPr>
          <w:rFonts w:ascii="宋体"/>
          <w:bCs/>
          <w:color w:val="auto"/>
          <w:szCs w:val="21"/>
          <w:highlight w:val="none"/>
          <w:u w:val="single"/>
        </w:rPr>
        <w:t xml:space="preserve">      </w:t>
      </w:r>
      <w:r>
        <w:rPr>
          <w:rFonts w:hint="eastAsia" w:ascii="宋体"/>
          <w:bCs/>
          <w:color w:val="auto"/>
          <w:szCs w:val="21"/>
          <w:highlight w:val="none"/>
        </w:rPr>
        <w:t>、注册资本：</w:t>
      </w:r>
      <w:r>
        <w:rPr>
          <w:rFonts w:hint="eastAsia" w:ascii="宋体"/>
          <w:bCs/>
          <w:color w:val="auto"/>
          <w:szCs w:val="21"/>
          <w:highlight w:val="none"/>
          <w:u w:val="single"/>
        </w:rPr>
        <w:t xml:space="preserve"> </w:t>
      </w:r>
      <w:r>
        <w:rPr>
          <w:rFonts w:ascii="宋体"/>
          <w:bCs/>
          <w:color w:val="auto"/>
          <w:szCs w:val="21"/>
          <w:highlight w:val="none"/>
          <w:u w:val="single"/>
        </w:rPr>
        <w:t xml:space="preserve">      </w:t>
      </w:r>
      <w:r>
        <w:rPr>
          <w:rFonts w:hint="eastAsia" w:ascii="宋体"/>
          <w:bCs/>
          <w:color w:val="auto"/>
          <w:szCs w:val="21"/>
          <w:highlight w:val="none"/>
        </w:rPr>
        <w:t>、地址：</w:t>
      </w:r>
      <w:r>
        <w:rPr>
          <w:rFonts w:hint="eastAsia" w:ascii="宋体"/>
          <w:bCs/>
          <w:color w:val="auto"/>
          <w:szCs w:val="21"/>
          <w:highlight w:val="none"/>
          <w:u w:val="single"/>
        </w:rPr>
        <w:t xml:space="preserve"> </w:t>
      </w:r>
      <w:r>
        <w:rPr>
          <w:rFonts w:ascii="宋体"/>
          <w:bCs/>
          <w:color w:val="auto"/>
          <w:szCs w:val="21"/>
          <w:highlight w:val="none"/>
          <w:u w:val="single"/>
        </w:rPr>
        <w:t xml:space="preserve">      </w:t>
      </w:r>
      <w:r>
        <w:rPr>
          <w:rFonts w:hint="eastAsia" w:ascii="宋体"/>
          <w:bCs/>
          <w:color w:val="auto"/>
          <w:szCs w:val="21"/>
          <w:highlight w:val="none"/>
        </w:rPr>
        <w:t>、经济行业：</w:t>
      </w:r>
      <w:r>
        <w:rPr>
          <w:rFonts w:hint="eastAsia" w:ascii="宋体"/>
          <w:bCs/>
          <w:color w:val="auto"/>
          <w:szCs w:val="21"/>
          <w:highlight w:val="none"/>
          <w:u w:val="single"/>
        </w:rPr>
        <w:t xml:space="preserve"> </w:t>
      </w:r>
      <w:r>
        <w:rPr>
          <w:rFonts w:ascii="宋体"/>
          <w:bCs/>
          <w:color w:val="auto"/>
          <w:szCs w:val="21"/>
          <w:highlight w:val="none"/>
          <w:u w:val="single"/>
        </w:rPr>
        <w:t xml:space="preserve">      </w:t>
      </w:r>
      <w:r>
        <w:rPr>
          <w:rFonts w:hint="eastAsia" w:ascii="宋体"/>
          <w:bCs/>
          <w:color w:val="auto"/>
          <w:szCs w:val="21"/>
          <w:highlight w:val="none"/>
        </w:rPr>
        <w:t>、经济性质：</w:t>
      </w:r>
      <w:r>
        <w:rPr>
          <w:rFonts w:hint="eastAsia" w:ascii="宋体"/>
          <w:bCs/>
          <w:color w:val="auto"/>
          <w:szCs w:val="21"/>
          <w:highlight w:val="none"/>
          <w:u w:val="single"/>
        </w:rPr>
        <w:t xml:space="preserve"> </w:t>
      </w:r>
      <w:r>
        <w:rPr>
          <w:rFonts w:ascii="宋体"/>
          <w:bCs/>
          <w:color w:val="auto"/>
          <w:szCs w:val="21"/>
          <w:highlight w:val="none"/>
          <w:u w:val="single"/>
        </w:rPr>
        <w:t xml:space="preserve">      </w:t>
      </w:r>
    </w:p>
    <w:p w14:paraId="452316C0">
      <w:pPr>
        <w:autoSpaceDE w:val="0"/>
        <w:autoSpaceDN w:val="0"/>
        <w:adjustRightInd w:val="0"/>
        <w:spacing w:line="360" w:lineRule="auto"/>
        <w:jc w:val="left"/>
        <w:rPr>
          <w:rFonts w:ascii="宋体"/>
          <w:bCs/>
          <w:color w:val="auto"/>
          <w:szCs w:val="21"/>
          <w:highlight w:val="none"/>
        </w:rPr>
      </w:pPr>
      <w:r>
        <w:rPr>
          <w:rFonts w:hint="eastAsia" w:ascii="宋体"/>
          <w:bCs/>
          <w:color w:val="auto"/>
          <w:szCs w:val="21"/>
          <w:highlight w:val="none"/>
        </w:rPr>
        <w:t>法定代表人（负责人）姓名（签字）、身份证号、手机号：</w:t>
      </w:r>
      <w:r>
        <w:rPr>
          <w:rFonts w:hint="eastAsia" w:ascii="宋体"/>
          <w:bCs/>
          <w:color w:val="auto"/>
          <w:szCs w:val="21"/>
          <w:highlight w:val="none"/>
          <w:u w:val="single"/>
        </w:rPr>
        <w:t xml:space="preserve"> </w:t>
      </w:r>
      <w:r>
        <w:rPr>
          <w:rFonts w:ascii="宋体"/>
          <w:bCs/>
          <w:color w:val="auto"/>
          <w:szCs w:val="21"/>
          <w:highlight w:val="none"/>
          <w:u w:val="single"/>
        </w:rPr>
        <w:t xml:space="preserve">      </w:t>
      </w:r>
    </w:p>
    <w:p w14:paraId="1B525359">
      <w:pPr>
        <w:spacing w:line="360" w:lineRule="auto"/>
        <w:rPr>
          <w:rFonts w:ascii="宋体"/>
          <w:bCs/>
          <w:color w:val="auto"/>
          <w:szCs w:val="21"/>
          <w:highlight w:val="none"/>
          <w:u w:val="single"/>
        </w:rPr>
      </w:pPr>
      <w:r>
        <w:rPr>
          <w:rFonts w:hint="eastAsia" w:ascii="宋体"/>
          <w:bCs/>
          <w:color w:val="auto"/>
          <w:szCs w:val="21"/>
          <w:highlight w:val="none"/>
        </w:rPr>
        <w:t>授权代表人姓名（签字）、身份证号、手机号：</w:t>
      </w:r>
      <w:r>
        <w:rPr>
          <w:rFonts w:hint="eastAsia" w:ascii="宋体"/>
          <w:bCs/>
          <w:color w:val="auto"/>
          <w:szCs w:val="21"/>
          <w:highlight w:val="none"/>
          <w:u w:val="single"/>
        </w:rPr>
        <w:t xml:space="preserve"> </w:t>
      </w:r>
      <w:r>
        <w:rPr>
          <w:rFonts w:ascii="宋体"/>
          <w:bCs/>
          <w:color w:val="auto"/>
          <w:szCs w:val="21"/>
          <w:highlight w:val="none"/>
          <w:u w:val="single"/>
        </w:rPr>
        <w:t xml:space="preserve">    </w:t>
      </w:r>
    </w:p>
    <w:p w14:paraId="516B36CE">
      <w:pPr>
        <w:pStyle w:val="34"/>
        <w:rPr>
          <w:color w:val="auto"/>
          <w:highlight w:val="none"/>
        </w:rPr>
      </w:pPr>
    </w:p>
    <w:p w14:paraId="7C69AA31">
      <w:pPr>
        <w:pStyle w:val="34"/>
        <w:rPr>
          <w:color w:val="auto"/>
          <w:highlight w:val="none"/>
        </w:rPr>
      </w:pPr>
    </w:p>
    <w:p w14:paraId="03FCE509">
      <w:pPr>
        <w:pStyle w:val="34"/>
        <w:rPr>
          <w:color w:val="auto"/>
          <w:highlight w:val="none"/>
        </w:rPr>
      </w:pPr>
    </w:p>
    <w:p w14:paraId="527FC079">
      <w:pPr>
        <w:pStyle w:val="34"/>
        <w:rPr>
          <w:color w:val="auto"/>
          <w:highlight w:val="none"/>
        </w:rPr>
      </w:pPr>
    </w:p>
    <w:p w14:paraId="5B79E22F">
      <w:pPr>
        <w:pStyle w:val="34"/>
        <w:rPr>
          <w:color w:val="auto"/>
          <w:highlight w:val="none"/>
        </w:rPr>
      </w:pPr>
    </w:p>
    <w:p w14:paraId="01DE3962">
      <w:pPr>
        <w:spacing w:line="360" w:lineRule="auto"/>
        <w:rPr>
          <w:rFonts w:ascii="宋体"/>
          <w:bCs/>
          <w:color w:val="auto"/>
          <w:szCs w:val="21"/>
          <w:highlight w:val="none"/>
        </w:rPr>
        <w:sectPr>
          <w:headerReference r:id="rId6" w:type="default"/>
          <w:footerReference r:id="rId7" w:type="default"/>
          <w:pgSz w:w="11906" w:h="16838"/>
          <w:pgMar w:top="1134" w:right="1361" w:bottom="1134" w:left="1361" w:header="680" w:footer="992" w:gutter="0"/>
          <w:pgNumType w:fmt="decimal"/>
          <w:cols w:space="720" w:num="1"/>
          <w:docGrid w:type="lines" w:linePitch="312" w:charSpace="0"/>
        </w:sectPr>
      </w:pPr>
    </w:p>
    <w:p w14:paraId="660E2967">
      <w:pPr>
        <w:adjustRightInd w:val="0"/>
        <w:snapToGrid w:val="0"/>
        <w:spacing w:line="360" w:lineRule="auto"/>
        <w:rPr>
          <w:rFonts w:ascii="宋体" w:hAnsi="宋体"/>
          <w:b/>
          <w:color w:val="auto"/>
          <w:sz w:val="28"/>
          <w:szCs w:val="28"/>
          <w:highlight w:val="none"/>
        </w:rPr>
      </w:pPr>
      <w:bookmarkStart w:id="219" w:name="_Toc25311_WPSOffice_Level1"/>
      <w:bookmarkStart w:id="220" w:name="_Toc1373_WPSOffice_Level1"/>
      <w:bookmarkStart w:id="221" w:name="_Toc18477_WPSOffice_Level1"/>
      <w:bookmarkStart w:id="222" w:name="_Toc31224_WPSOffice_Level1"/>
      <w:r>
        <w:rPr>
          <w:rFonts w:hint="eastAsia" w:ascii="宋体" w:hAnsi="宋体"/>
          <w:b/>
          <w:color w:val="auto"/>
          <w:sz w:val="28"/>
          <w:szCs w:val="28"/>
          <w:highlight w:val="none"/>
        </w:rPr>
        <w:t>附件</w:t>
      </w:r>
      <w:r>
        <w:rPr>
          <w:rFonts w:hint="eastAsia" w:ascii="宋体" w:hAnsi="宋体"/>
          <w:b/>
          <w:color w:val="auto"/>
          <w:sz w:val="28"/>
          <w:szCs w:val="28"/>
          <w:highlight w:val="none"/>
          <w:lang w:val="en-US" w:eastAsia="zh-CN"/>
        </w:rPr>
        <w:t>2</w:t>
      </w:r>
      <w:r>
        <w:rPr>
          <w:rFonts w:hint="eastAsia" w:ascii="宋体" w:hAnsi="宋体"/>
          <w:b/>
          <w:color w:val="auto"/>
          <w:sz w:val="28"/>
          <w:szCs w:val="28"/>
          <w:highlight w:val="none"/>
        </w:rPr>
        <w:t>-3</w:t>
      </w:r>
      <w:bookmarkEnd w:id="219"/>
      <w:bookmarkEnd w:id="220"/>
      <w:bookmarkEnd w:id="221"/>
      <w:bookmarkEnd w:id="222"/>
    </w:p>
    <w:p w14:paraId="689830C0">
      <w:pPr>
        <w:adjustRightInd w:val="0"/>
        <w:snapToGrid w:val="0"/>
        <w:spacing w:line="360" w:lineRule="auto"/>
        <w:jc w:val="center"/>
        <w:rPr>
          <w:rFonts w:ascii="宋体" w:hAnsi="宋体"/>
          <w:b/>
          <w:color w:val="auto"/>
          <w:sz w:val="28"/>
          <w:szCs w:val="28"/>
          <w:highlight w:val="none"/>
        </w:rPr>
      </w:pPr>
      <w:bookmarkStart w:id="223" w:name="_Toc19594_WPSOffice_Level1"/>
      <w:bookmarkStart w:id="224" w:name="_Toc11257_WPSOffice_Level1"/>
      <w:bookmarkStart w:id="225" w:name="_Toc22447_WPSOffice_Level1"/>
      <w:bookmarkStart w:id="226" w:name="_Toc20928_WPSOffice_Level1"/>
      <w:r>
        <w:rPr>
          <w:rFonts w:hint="eastAsia" w:ascii="宋体" w:hAnsi="宋体"/>
          <w:b/>
          <w:color w:val="auto"/>
          <w:sz w:val="28"/>
          <w:szCs w:val="28"/>
          <w:highlight w:val="none"/>
        </w:rPr>
        <w:t>磋商文件规定的特定资格条件证明资料</w:t>
      </w:r>
      <w:bookmarkEnd w:id="223"/>
      <w:bookmarkEnd w:id="224"/>
      <w:bookmarkEnd w:id="225"/>
      <w:bookmarkEnd w:id="226"/>
    </w:p>
    <w:p w14:paraId="3E3AF3EC">
      <w:pPr>
        <w:spacing w:line="360" w:lineRule="auto"/>
        <w:rPr>
          <w:rFonts w:ascii="宋体" w:hAnsi="宋体"/>
          <w:color w:val="auto"/>
          <w:szCs w:val="21"/>
          <w:highlight w:val="none"/>
        </w:rPr>
      </w:pPr>
    </w:p>
    <w:p w14:paraId="0424B612">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备注：1、提供第二章 磋商须知第3.1款供应商特定资格条件证明资料的复印件。</w:t>
      </w:r>
    </w:p>
    <w:p w14:paraId="7A9232FA">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2、项目负责人无在建工程，由供应商自行承诺，并对</w:t>
      </w:r>
      <w:r>
        <w:rPr>
          <w:rFonts w:hint="eastAsia" w:ascii="宋体" w:hAnsi="宋体" w:cs="宋体"/>
          <w:color w:val="auto"/>
          <w:szCs w:val="21"/>
          <w:highlight w:val="none"/>
        </w:rPr>
        <w:t>真实性负责。</w:t>
      </w:r>
      <w:r>
        <w:rPr>
          <w:rFonts w:hint="eastAsia" w:ascii="宋体" w:hAnsi="宋体"/>
          <w:color w:val="auto"/>
          <w:szCs w:val="21"/>
          <w:highlight w:val="none"/>
        </w:rPr>
        <w:t>格式自拟。</w:t>
      </w:r>
    </w:p>
    <w:p w14:paraId="3557E5D0">
      <w:pPr>
        <w:pStyle w:val="34"/>
        <w:rPr>
          <w:color w:val="auto"/>
          <w:highlight w:val="none"/>
        </w:rPr>
      </w:pPr>
    </w:p>
    <w:p w14:paraId="1254893B">
      <w:pPr>
        <w:pStyle w:val="34"/>
        <w:rPr>
          <w:color w:val="auto"/>
          <w:highlight w:val="none"/>
        </w:rPr>
      </w:pPr>
    </w:p>
    <w:p w14:paraId="4D2EC986">
      <w:pPr>
        <w:pStyle w:val="34"/>
        <w:rPr>
          <w:color w:val="auto"/>
          <w:highlight w:val="none"/>
        </w:rPr>
      </w:pPr>
    </w:p>
    <w:p w14:paraId="661CCC01">
      <w:pPr>
        <w:spacing w:line="360" w:lineRule="auto"/>
        <w:rPr>
          <w:rFonts w:ascii="宋体" w:hAnsi="宋体"/>
          <w:color w:val="auto"/>
          <w:szCs w:val="21"/>
          <w:highlight w:val="none"/>
        </w:rPr>
      </w:pPr>
    </w:p>
    <w:p w14:paraId="351780CB">
      <w:pPr>
        <w:spacing w:line="360" w:lineRule="auto"/>
        <w:rPr>
          <w:rFonts w:ascii="宋体" w:hAnsi="宋体"/>
          <w:color w:val="auto"/>
          <w:sz w:val="30"/>
          <w:szCs w:val="30"/>
          <w:highlight w:val="none"/>
        </w:rPr>
        <w:sectPr>
          <w:pgSz w:w="11906" w:h="16838"/>
          <w:pgMar w:top="1418" w:right="1134" w:bottom="1134" w:left="1418" w:header="851" w:footer="850" w:gutter="0"/>
          <w:pgNumType w:fmt="decimal"/>
          <w:cols w:space="720" w:num="1"/>
          <w:docGrid w:type="lines" w:linePitch="312" w:charSpace="0"/>
        </w:sectPr>
      </w:pPr>
    </w:p>
    <w:p w14:paraId="6C6710E9">
      <w:pPr>
        <w:adjustRightInd w:val="0"/>
        <w:snapToGrid w:val="0"/>
        <w:spacing w:line="360" w:lineRule="auto"/>
        <w:rPr>
          <w:rFonts w:ascii="宋体" w:hAnsi="宋体"/>
          <w:b/>
          <w:color w:val="auto"/>
          <w:sz w:val="28"/>
          <w:szCs w:val="28"/>
          <w:highlight w:val="none"/>
        </w:rPr>
      </w:pPr>
      <w:bookmarkStart w:id="227" w:name="_Toc21405_WPSOffice_Level1"/>
      <w:bookmarkStart w:id="228" w:name="_Toc25117_WPSOffice_Level1"/>
      <w:bookmarkStart w:id="229" w:name="_Toc7036_WPSOffice_Level1"/>
      <w:bookmarkStart w:id="230" w:name="_Toc27106_WPSOffice_Level1"/>
      <w:r>
        <w:rPr>
          <w:rFonts w:hint="eastAsia" w:ascii="宋体" w:hAnsi="宋体"/>
          <w:b/>
          <w:color w:val="auto"/>
          <w:sz w:val="28"/>
          <w:szCs w:val="28"/>
          <w:highlight w:val="none"/>
        </w:rPr>
        <w:t>附件</w:t>
      </w:r>
      <w:r>
        <w:rPr>
          <w:rFonts w:hint="eastAsia" w:ascii="宋体" w:hAnsi="宋体"/>
          <w:b/>
          <w:color w:val="auto"/>
          <w:sz w:val="28"/>
          <w:szCs w:val="28"/>
          <w:highlight w:val="none"/>
          <w:lang w:val="en-US" w:eastAsia="zh-CN"/>
        </w:rPr>
        <w:t>2</w:t>
      </w:r>
      <w:r>
        <w:rPr>
          <w:rFonts w:hint="eastAsia" w:ascii="宋体" w:hAnsi="宋体"/>
          <w:b/>
          <w:color w:val="auto"/>
          <w:sz w:val="28"/>
          <w:szCs w:val="28"/>
          <w:highlight w:val="none"/>
        </w:rPr>
        <w:t>-4</w:t>
      </w:r>
      <w:bookmarkEnd w:id="227"/>
      <w:bookmarkEnd w:id="228"/>
      <w:bookmarkEnd w:id="229"/>
      <w:bookmarkEnd w:id="230"/>
    </w:p>
    <w:p w14:paraId="376AC0B8">
      <w:pPr>
        <w:pStyle w:val="6"/>
        <w:spacing w:before="0" w:after="0" w:line="360" w:lineRule="auto"/>
        <w:jc w:val="center"/>
        <w:rPr>
          <w:rFonts w:hint="eastAsia" w:ascii="宋体" w:hAnsi="宋体" w:eastAsia="宋体" w:cs="宋体"/>
          <w:b/>
          <w:bCs/>
          <w:color w:val="auto"/>
          <w:sz w:val="28"/>
          <w:szCs w:val="28"/>
          <w:highlight w:val="none"/>
        </w:rPr>
      </w:pPr>
      <w:bookmarkStart w:id="231" w:name="_Toc30433"/>
      <w:bookmarkStart w:id="232" w:name="_Toc5534"/>
      <w:r>
        <w:rPr>
          <w:rFonts w:hint="eastAsia" w:ascii="宋体" w:hAnsi="宋体" w:eastAsia="宋体" w:cs="宋体"/>
          <w:b/>
          <w:bCs/>
          <w:color w:val="auto"/>
          <w:sz w:val="28"/>
          <w:szCs w:val="28"/>
          <w:highlight w:val="none"/>
        </w:rPr>
        <w:t>承 诺 书</w:t>
      </w:r>
      <w:bookmarkEnd w:id="231"/>
      <w:bookmarkEnd w:id="232"/>
    </w:p>
    <w:p w14:paraId="15867FE8">
      <w:pPr>
        <w:snapToGrid w:val="0"/>
        <w:spacing w:line="360" w:lineRule="auto"/>
        <w:rPr>
          <w:color w:val="auto"/>
          <w:highlight w:val="none"/>
        </w:rPr>
      </w:pPr>
    </w:p>
    <w:p w14:paraId="153EADCA">
      <w:pPr>
        <w:snapToGri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采购</w:t>
      </w:r>
      <w:r>
        <w:rPr>
          <w:rFonts w:hint="eastAsia" w:ascii="宋体" w:hAnsi="宋体" w:eastAsia="宋体" w:cs="宋体"/>
          <w:color w:val="auto"/>
          <w:highlight w:val="none"/>
        </w:rPr>
        <w:t>人名称）：</w:t>
      </w:r>
    </w:p>
    <w:p w14:paraId="30C3D05C">
      <w:pPr>
        <w:snapToGrid w:val="0"/>
        <w:spacing w:line="360" w:lineRule="auto"/>
        <w:rPr>
          <w:rFonts w:hint="eastAsia" w:ascii="宋体" w:hAnsi="宋体" w:eastAsia="宋体" w:cs="宋体"/>
          <w:color w:val="auto"/>
          <w:highlight w:val="none"/>
        </w:rPr>
      </w:pPr>
    </w:p>
    <w:p w14:paraId="655724B5">
      <w:pPr>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我方在此声明：</w:t>
      </w:r>
    </w:p>
    <w:p w14:paraId="6D6D14E2">
      <w:pPr>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1.我方拟派往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采购</w:t>
      </w:r>
      <w:r>
        <w:rPr>
          <w:rFonts w:hint="eastAsia" w:ascii="宋体" w:hAnsi="宋体" w:eastAsia="宋体" w:cs="宋体"/>
          <w:color w:val="auto"/>
          <w:highlight w:val="none"/>
          <w:u w:val="single"/>
        </w:rPr>
        <w:t xml:space="preserve">项目及标段       </w:t>
      </w:r>
      <w:r>
        <w:rPr>
          <w:rFonts w:hint="eastAsia" w:ascii="宋体" w:hAnsi="宋体" w:eastAsia="宋体" w:cs="宋体"/>
          <w:color w:val="auto"/>
          <w:highlight w:val="none"/>
        </w:rPr>
        <w:t xml:space="preserve"> 的项目</w:t>
      </w:r>
      <w:r>
        <w:rPr>
          <w:rFonts w:hint="eastAsia" w:ascii="宋体" w:hAnsi="宋体" w:eastAsia="宋体" w:cs="宋体"/>
          <w:color w:val="auto"/>
          <w:highlight w:val="none"/>
          <w:lang w:val="en-US" w:eastAsia="zh-CN"/>
        </w:rPr>
        <w:t>负责人</w:t>
      </w:r>
      <w:r>
        <w:rPr>
          <w:rFonts w:hint="eastAsia" w:ascii="宋体" w:hAnsi="宋体" w:eastAsia="宋体" w:cs="宋体"/>
          <w:color w:val="auto"/>
          <w:highlight w:val="none"/>
        </w:rPr>
        <w:t>能够到位履行职责，如不能到位，我方自愿接受处罚和被予不良行为记录。</w:t>
      </w:r>
    </w:p>
    <w:p w14:paraId="2F175A87">
      <w:pPr>
        <w:snapToGrid w:val="0"/>
        <w:spacing w:line="360" w:lineRule="auto"/>
        <w:ind w:firstLine="420" w:firstLineChars="200"/>
        <w:rPr>
          <w:rFonts w:hint="eastAsia" w:ascii="宋体" w:hAnsi="宋体" w:eastAsia="宋体" w:cs="宋体"/>
          <w:color w:val="auto"/>
          <w:highlight w:val="none"/>
          <w:lang w:val="sq-AL"/>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val="sq-AL"/>
        </w:rPr>
        <w:t>.我方严格遵守相关法律法规规定，没有串通投标、资质挂靠等违法、违规行为，</w:t>
      </w:r>
      <w:r>
        <w:rPr>
          <w:rFonts w:hint="eastAsia" w:ascii="宋体" w:hAnsi="宋体" w:eastAsia="宋体" w:cs="宋体"/>
          <w:color w:val="auto"/>
          <w:highlight w:val="none"/>
          <w:lang w:val="en-US" w:eastAsia="zh-CN"/>
        </w:rPr>
        <w:t>响应</w:t>
      </w:r>
      <w:r>
        <w:rPr>
          <w:rFonts w:hint="eastAsia" w:ascii="宋体" w:hAnsi="宋体" w:eastAsia="宋体" w:cs="宋体"/>
          <w:color w:val="auto"/>
          <w:highlight w:val="none"/>
          <w:lang w:val="sq-AL"/>
        </w:rPr>
        <w:t>文件所投入的管理、技术人员均为我公司正式在职人员。</w:t>
      </w:r>
    </w:p>
    <w:p w14:paraId="3F892D4E">
      <w:pPr>
        <w:snapToGrid w:val="0"/>
        <w:spacing w:line="360" w:lineRule="auto"/>
        <w:ind w:firstLine="420" w:firstLineChars="200"/>
        <w:rPr>
          <w:rFonts w:hint="eastAsia" w:ascii="宋体" w:hAnsi="宋体" w:eastAsia="宋体" w:cs="宋体"/>
          <w:color w:val="auto"/>
          <w:highlight w:val="none"/>
          <w:lang w:val="sq-AL"/>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val="sq-AL"/>
        </w:rPr>
        <w:t>.我方保证提供的资质、业绩等证明材料真实、合法、有效，</w:t>
      </w:r>
      <w:r>
        <w:rPr>
          <w:rFonts w:hint="eastAsia" w:ascii="宋体" w:hAnsi="宋体" w:eastAsia="宋体" w:cs="宋体"/>
          <w:color w:val="auto"/>
          <w:highlight w:val="none"/>
        </w:rPr>
        <w:t>并愿意承担因我方就此弄虚作假所引起的一切后果。</w:t>
      </w:r>
    </w:p>
    <w:p w14:paraId="5996B2B1">
      <w:pPr>
        <w:snapToGrid w:val="0"/>
        <w:spacing w:line="360" w:lineRule="auto"/>
        <w:ind w:firstLine="420" w:firstLineChars="200"/>
        <w:rPr>
          <w:rFonts w:hint="eastAsia" w:ascii="宋体" w:hAnsi="宋体" w:eastAsia="宋体" w:cs="宋体"/>
          <w:color w:val="auto"/>
          <w:highlight w:val="none"/>
          <w:lang w:val="sq-AL"/>
        </w:rPr>
      </w:pP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val="sq-AL"/>
        </w:rPr>
        <w:t>.我方不参与不正当竞争，不向</w:t>
      </w:r>
      <w:r>
        <w:rPr>
          <w:rFonts w:hint="eastAsia" w:ascii="宋体" w:hAnsi="宋体" w:eastAsia="宋体" w:cs="宋体"/>
          <w:color w:val="auto"/>
          <w:highlight w:val="none"/>
          <w:lang w:val="en-US" w:eastAsia="zh-CN"/>
        </w:rPr>
        <w:t>采购</w:t>
      </w:r>
      <w:r>
        <w:rPr>
          <w:rFonts w:hint="eastAsia" w:ascii="宋体" w:hAnsi="宋体" w:eastAsia="宋体" w:cs="宋体"/>
          <w:color w:val="auto"/>
          <w:highlight w:val="none"/>
          <w:lang w:val="sq-AL"/>
        </w:rPr>
        <w:t>人、</w:t>
      </w:r>
      <w:r>
        <w:rPr>
          <w:rFonts w:hint="eastAsia" w:ascii="宋体" w:hAnsi="宋体" w:eastAsia="宋体" w:cs="宋体"/>
          <w:color w:val="auto"/>
          <w:highlight w:val="none"/>
          <w:lang w:val="en-US" w:eastAsia="zh-CN"/>
        </w:rPr>
        <w:t>采购</w:t>
      </w:r>
      <w:r>
        <w:rPr>
          <w:rFonts w:hint="eastAsia" w:ascii="宋体" w:hAnsi="宋体" w:eastAsia="宋体" w:cs="宋体"/>
          <w:color w:val="auto"/>
          <w:highlight w:val="none"/>
          <w:lang w:val="sq-AL"/>
        </w:rPr>
        <w:t>代理机构、评标专家以及行业监督部门行贿以谋取不正当利益。</w:t>
      </w:r>
    </w:p>
    <w:p w14:paraId="2493D41A">
      <w:pPr>
        <w:snapToGrid w:val="0"/>
        <w:spacing w:line="360" w:lineRule="auto"/>
        <w:ind w:firstLine="420" w:firstLineChars="200"/>
        <w:rPr>
          <w:rFonts w:hint="eastAsia" w:ascii="宋体" w:hAnsi="宋体" w:eastAsia="宋体" w:cs="宋体"/>
          <w:color w:val="auto"/>
          <w:highlight w:val="none"/>
          <w:lang w:val="sq-AL"/>
        </w:rPr>
      </w:pPr>
      <w:r>
        <w:rPr>
          <w:rFonts w:hint="eastAsia" w:ascii="宋体" w:hAnsi="宋体" w:eastAsia="宋体" w:cs="宋体"/>
          <w:color w:val="auto"/>
          <w:highlight w:val="none"/>
          <w:lang w:val="sq-AL"/>
        </w:rPr>
        <w:t>6.我方严格按照</w:t>
      </w:r>
      <w:r>
        <w:rPr>
          <w:rFonts w:hint="eastAsia" w:ascii="宋体" w:hAnsi="宋体" w:eastAsia="宋体" w:cs="宋体"/>
          <w:color w:val="auto"/>
          <w:highlight w:val="none"/>
          <w:lang w:val="en-US" w:eastAsia="zh-CN"/>
        </w:rPr>
        <w:t>采购</w:t>
      </w:r>
      <w:r>
        <w:rPr>
          <w:rFonts w:hint="eastAsia" w:ascii="宋体" w:hAnsi="宋体" w:eastAsia="宋体" w:cs="宋体"/>
          <w:color w:val="auto"/>
          <w:highlight w:val="none"/>
          <w:lang w:val="sq-AL"/>
        </w:rPr>
        <w:t>、</w:t>
      </w:r>
      <w:r>
        <w:rPr>
          <w:rFonts w:hint="eastAsia" w:ascii="宋体" w:hAnsi="宋体" w:eastAsia="宋体" w:cs="宋体"/>
          <w:color w:val="auto"/>
          <w:highlight w:val="none"/>
          <w:lang w:val="en-US" w:eastAsia="zh-CN"/>
        </w:rPr>
        <w:t>响应</w:t>
      </w:r>
      <w:r>
        <w:rPr>
          <w:rFonts w:hint="eastAsia" w:ascii="宋体" w:hAnsi="宋体" w:eastAsia="宋体" w:cs="宋体"/>
          <w:color w:val="auto"/>
          <w:highlight w:val="none"/>
          <w:lang w:val="sq-AL"/>
        </w:rPr>
        <w:t>文件约定签订合同，不将中标项目转包或违法分包。</w:t>
      </w:r>
    </w:p>
    <w:p w14:paraId="5FA505F5">
      <w:pPr>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val="sq-AL"/>
        </w:rPr>
        <w:t>7.</w:t>
      </w:r>
      <w:r>
        <w:rPr>
          <w:rFonts w:hint="eastAsia" w:ascii="宋体" w:hAnsi="宋体" w:eastAsia="宋体" w:cs="宋体"/>
          <w:color w:val="auto"/>
          <w:highlight w:val="none"/>
        </w:rPr>
        <w:t>一旦我方中标，坚决维护农民工的合法权益，按时足额支付农民工工资，绝不拖欠。</w:t>
      </w:r>
    </w:p>
    <w:p w14:paraId="6AD8323C">
      <w:pPr>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特此承诺！</w:t>
      </w:r>
    </w:p>
    <w:p w14:paraId="1DE51DC6">
      <w:pPr>
        <w:snapToGrid w:val="0"/>
        <w:spacing w:line="360" w:lineRule="auto"/>
        <w:ind w:firstLine="420" w:firstLineChars="200"/>
        <w:rPr>
          <w:rFonts w:hint="eastAsia" w:ascii="宋体" w:hAnsi="宋体" w:eastAsia="宋体" w:cs="宋体"/>
          <w:color w:val="auto"/>
          <w:highlight w:val="none"/>
        </w:rPr>
      </w:pPr>
    </w:p>
    <w:p w14:paraId="3E38F1DC">
      <w:pPr>
        <w:snapToGrid w:val="0"/>
        <w:spacing w:line="360" w:lineRule="auto"/>
        <w:ind w:firstLine="420" w:firstLineChars="200"/>
        <w:rPr>
          <w:rFonts w:hint="eastAsia" w:ascii="宋体" w:hAnsi="宋体" w:eastAsia="宋体" w:cs="宋体"/>
          <w:color w:val="auto"/>
          <w:highlight w:val="none"/>
        </w:rPr>
      </w:pPr>
    </w:p>
    <w:p w14:paraId="6FF17BE6">
      <w:pPr>
        <w:snapToGrid w:val="0"/>
        <w:spacing w:line="360" w:lineRule="auto"/>
        <w:ind w:firstLine="420" w:firstLineChars="200"/>
        <w:jc w:val="right"/>
        <w:rPr>
          <w:rFonts w:hint="eastAsia" w:ascii="宋体" w:hAnsi="宋体" w:eastAsia="宋体" w:cs="宋体"/>
          <w:color w:val="auto"/>
          <w:highlight w:val="none"/>
        </w:rPr>
      </w:pPr>
      <w:r>
        <w:rPr>
          <w:rFonts w:hint="eastAsia" w:ascii="宋体" w:hAnsi="宋体" w:cs="宋体"/>
          <w:color w:val="auto"/>
          <w:highlight w:val="none"/>
          <w:lang w:val="en-US" w:eastAsia="zh-CN"/>
        </w:rPr>
        <w:t>供应商名称</w:t>
      </w:r>
      <w:r>
        <w:rPr>
          <w:rFonts w:hint="eastAsia" w:ascii="宋体" w:hAnsi="宋体" w:eastAsia="宋体" w:cs="宋体"/>
          <w:color w:val="auto"/>
          <w:highlight w:val="none"/>
        </w:rPr>
        <w:t>：（盖单位章）</w:t>
      </w:r>
    </w:p>
    <w:p w14:paraId="31B6A60E">
      <w:pPr>
        <w:snapToGrid w:val="0"/>
        <w:spacing w:line="360" w:lineRule="auto"/>
        <w:ind w:firstLine="420" w:firstLineChars="200"/>
        <w:jc w:val="right"/>
        <w:rPr>
          <w:rFonts w:hint="eastAsia" w:ascii="宋体" w:hAnsi="宋体" w:eastAsia="宋体" w:cs="宋体"/>
          <w:color w:val="auto"/>
          <w:highlight w:val="none"/>
        </w:rPr>
      </w:pPr>
      <w:r>
        <w:rPr>
          <w:rFonts w:hint="eastAsia" w:ascii="宋体" w:hAnsi="宋体" w:eastAsia="宋体" w:cs="宋体"/>
          <w:color w:val="auto"/>
          <w:highlight w:val="none"/>
        </w:rPr>
        <w:t>法定代表人或其委托代理人：（签字或盖章）</w:t>
      </w:r>
    </w:p>
    <w:p w14:paraId="5DEBE6B4">
      <w:pPr>
        <w:snapToGrid w:val="0"/>
        <w:spacing w:line="360" w:lineRule="auto"/>
        <w:ind w:firstLine="420" w:firstLineChars="200"/>
        <w:jc w:val="right"/>
        <w:rPr>
          <w:rFonts w:hint="eastAsia" w:ascii="宋体" w:hAnsi="宋体" w:eastAsia="宋体" w:cs="宋体"/>
          <w:color w:val="auto"/>
          <w:highlight w:val="none"/>
        </w:rPr>
        <w:sectPr>
          <w:pgSz w:w="11906" w:h="16838"/>
          <w:pgMar w:top="1418" w:right="1134" w:bottom="1134" w:left="1418" w:header="851" w:footer="850" w:gutter="0"/>
          <w:pgNumType w:fmt="decimal"/>
          <w:cols w:space="720" w:num="1"/>
          <w:docGrid w:type="lines" w:linePitch="312" w:charSpace="0"/>
        </w:sectPr>
      </w:pPr>
      <w:r>
        <w:rPr>
          <w:rFonts w:hint="eastAsia" w:ascii="宋体" w:hAnsi="宋体" w:eastAsia="宋体" w:cs="宋体"/>
          <w:color w:val="auto"/>
          <w:highlight w:val="none"/>
        </w:rPr>
        <w:t xml:space="preserve">   年   月  日</w:t>
      </w:r>
    </w:p>
    <w:p w14:paraId="280936AB">
      <w:pPr>
        <w:adjustRightInd w:val="0"/>
        <w:snapToGrid w:val="0"/>
        <w:spacing w:line="360" w:lineRule="auto"/>
        <w:rPr>
          <w:rFonts w:ascii="宋体" w:hAnsi="宋体"/>
          <w:b/>
          <w:color w:val="auto"/>
          <w:sz w:val="28"/>
          <w:szCs w:val="28"/>
          <w:highlight w:val="none"/>
        </w:rPr>
      </w:pPr>
      <w:r>
        <w:rPr>
          <w:rFonts w:hint="eastAsia" w:ascii="宋体" w:hAnsi="宋体"/>
          <w:b/>
          <w:color w:val="auto"/>
          <w:sz w:val="28"/>
          <w:szCs w:val="28"/>
          <w:highlight w:val="none"/>
        </w:rPr>
        <w:t>附件</w:t>
      </w:r>
      <w:r>
        <w:rPr>
          <w:rFonts w:hint="eastAsia" w:ascii="宋体" w:hAnsi="宋体"/>
          <w:b/>
          <w:color w:val="auto"/>
          <w:sz w:val="28"/>
          <w:szCs w:val="28"/>
          <w:highlight w:val="none"/>
          <w:lang w:val="en-US" w:eastAsia="zh-CN"/>
        </w:rPr>
        <w:t>2</w:t>
      </w:r>
      <w:r>
        <w:rPr>
          <w:rFonts w:hint="eastAsia" w:ascii="宋体" w:hAnsi="宋体"/>
          <w:b/>
          <w:color w:val="auto"/>
          <w:sz w:val="28"/>
          <w:szCs w:val="28"/>
          <w:highlight w:val="none"/>
        </w:rPr>
        <w:t>-4</w:t>
      </w:r>
    </w:p>
    <w:p w14:paraId="12A3E8AC">
      <w:pPr>
        <w:pStyle w:val="3"/>
        <w:jc w:val="center"/>
        <w:rPr>
          <w:rFonts w:hint="default" w:eastAsia="宋体"/>
          <w:b/>
          <w:bCs w:val="0"/>
          <w:color w:val="auto"/>
          <w:sz w:val="28"/>
          <w:szCs w:val="28"/>
          <w:highlight w:val="none"/>
          <w:lang w:val="en-US" w:eastAsia="zh-CN"/>
        </w:rPr>
      </w:pPr>
      <w:r>
        <w:rPr>
          <w:rFonts w:hint="eastAsia" w:ascii="宋体" w:hAnsi="宋体"/>
          <w:b/>
          <w:bCs w:val="0"/>
          <w:color w:val="auto"/>
          <w:sz w:val="28"/>
          <w:szCs w:val="28"/>
          <w:highlight w:val="none"/>
        </w:rPr>
        <w:t>其他说明</w:t>
      </w:r>
    </w:p>
    <w:p w14:paraId="71C7E90C">
      <w:pPr>
        <w:adjustRightInd w:val="0"/>
        <w:snapToGrid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                           供应商认为需要提供的评审资料及其他说明</w:t>
      </w:r>
    </w:p>
    <w:p w14:paraId="753C3417">
      <w:pPr>
        <w:adjustRightInd w:val="0"/>
        <w:snapToGrid w:val="0"/>
        <w:spacing w:line="360" w:lineRule="auto"/>
        <w:jc w:val="center"/>
        <w:rPr>
          <w:rFonts w:ascii="宋体" w:hAnsi="宋体"/>
          <w:b/>
          <w:color w:val="auto"/>
          <w:sz w:val="28"/>
          <w:szCs w:val="28"/>
          <w:highlight w:val="none"/>
        </w:rPr>
      </w:pPr>
      <w:r>
        <w:rPr>
          <w:rFonts w:ascii="宋体" w:hAnsi="宋体" w:cs="宋体"/>
          <w:color w:val="auto"/>
          <w:kern w:val="0"/>
          <w:szCs w:val="21"/>
          <w:highlight w:val="none"/>
        </w:rPr>
        <w:br w:type="page"/>
      </w:r>
      <w:bookmarkStart w:id="233" w:name="_Toc24547_WPSOffice_Level1"/>
      <w:bookmarkStart w:id="234" w:name="_Toc17176_WPSOffice_Level1"/>
      <w:bookmarkStart w:id="235" w:name="_Toc14837_WPSOffice_Level1"/>
      <w:bookmarkStart w:id="236" w:name="_Toc11956_WPSOffice_Level1"/>
      <w:r>
        <w:rPr>
          <w:rFonts w:hint="eastAsia" w:ascii="宋体" w:hAnsi="宋体"/>
          <w:b/>
          <w:color w:val="auto"/>
          <w:sz w:val="28"/>
          <w:szCs w:val="28"/>
          <w:highlight w:val="none"/>
          <w:lang w:val="en-US" w:eastAsia="zh-CN"/>
        </w:rPr>
        <w:t>三</w:t>
      </w:r>
      <w:r>
        <w:rPr>
          <w:rFonts w:hint="eastAsia" w:ascii="宋体" w:hAnsi="宋体"/>
          <w:b/>
          <w:color w:val="auto"/>
          <w:sz w:val="28"/>
          <w:szCs w:val="28"/>
          <w:highlight w:val="none"/>
        </w:rPr>
        <w:t>、施工方案说明</w:t>
      </w:r>
      <w:bookmarkEnd w:id="233"/>
      <w:bookmarkEnd w:id="234"/>
      <w:bookmarkEnd w:id="235"/>
      <w:bookmarkEnd w:id="236"/>
    </w:p>
    <w:p w14:paraId="657A832D">
      <w:pPr>
        <w:adjustRightInd w:val="0"/>
        <w:snapToGrid w:val="0"/>
        <w:spacing w:line="360" w:lineRule="auto"/>
        <w:rPr>
          <w:rFonts w:ascii="宋体" w:hAnsi="宋体"/>
          <w:b/>
          <w:color w:val="auto"/>
          <w:sz w:val="28"/>
          <w:szCs w:val="28"/>
          <w:highlight w:val="none"/>
        </w:rPr>
      </w:pPr>
      <w:bookmarkStart w:id="237" w:name="_Toc26447_WPSOffice_Level1"/>
      <w:bookmarkStart w:id="238" w:name="_Toc19866_WPSOffice_Level1"/>
      <w:bookmarkStart w:id="239" w:name="_Toc17702_WPSOffice_Level1"/>
      <w:bookmarkStart w:id="240" w:name="_Toc16954_WPSOffice_Level1"/>
      <w:r>
        <w:rPr>
          <w:rFonts w:hint="eastAsia" w:ascii="宋体" w:hAnsi="宋体"/>
          <w:b/>
          <w:color w:val="auto"/>
          <w:sz w:val="28"/>
          <w:szCs w:val="28"/>
          <w:highlight w:val="none"/>
        </w:rPr>
        <w:t>附件</w:t>
      </w:r>
      <w:r>
        <w:rPr>
          <w:rFonts w:hint="eastAsia" w:ascii="宋体" w:hAnsi="宋体"/>
          <w:b/>
          <w:color w:val="auto"/>
          <w:sz w:val="28"/>
          <w:szCs w:val="28"/>
          <w:highlight w:val="none"/>
          <w:lang w:val="en-US" w:eastAsia="zh-CN"/>
        </w:rPr>
        <w:t>3</w:t>
      </w:r>
      <w:r>
        <w:rPr>
          <w:rFonts w:hint="eastAsia" w:ascii="宋体" w:hAnsi="宋体"/>
          <w:b/>
          <w:color w:val="auto"/>
          <w:sz w:val="28"/>
          <w:szCs w:val="28"/>
          <w:highlight w:val="none"/>
        </w:rPr>
        <w:t>-1</w:t>
      </w:r>
      <w:bookmarkEnd w:id="237"/>
      <w:bookmarkEnd w:id="238"/>
      <w:bookmarkEnd w:id="239"/>
      <w:bookmarkEnd w:id="240"/>
    </w:p>
    <w:p w14:paraId="1D3BD741">
      <w:pPr>
        <w:adjustRightInd w:val="0"/>
        <w:snapToGrid w:val="0"/>
        <w:spacing w:line="360" w:lineRule="auto"/>
        <w:ind w:firstLine="420" w:firstLineChars="200"/>
        <w:rPr>
          <w:rFonts w:ascii="宋体" w:hAnsi="宋体"/>
          <w:color w:val="auto"/>
          <w:sz w:val="21"/>
          <w:szCs w:val="21"/>
          <w:highlight w:val="none"/>
        </w:rPr>
      </w:pPr>
      <w:bookmarkStart w:id="241" w:name="_Toc6479"/>
      <w:r>
        <w:rPr>
          <w:rFonts w:hint="eastAsia" w:ascii="宋体" w:hAnsi="宋体"/>
          <w:bCs/>
          <w:color w:val="auto"/>
          <w:sz w:val="21"/>
          <w:szCs w:val="21"/>
          <w:highlight w:val="none"/>
        </w:rPr>
        <w:t>说明：投标供应商须根据项目特点编写技术标（施工组织设计）。技术标为明标，内容包括但不限于：</w:t>
      </w:r>
      <w:r>
        <w:rPr>
          <w:rFonts w:hint="eastAsia" w:ascii="宋体" w:hAnsi="宋体"/>
          <w:color w:val="auto"/>
          <w:sz w:val="21"/>
          <w:szCs w:val="21"/>
          <w:highlight w:val="none"/>
        </w:rPr>
        <w:t>⑴施工方案与技术措施、⑵工程进度计划与保证措施、⑶质量管理体系与措施、⑷安全管理体系与措施、⑸文明施工现场措施。</w:t>
      </w:r>
      <w:bookmarkEnd w:id="241"/>
    </w:p>
    <w:p w14:paraId="256E673F">
      <w:pPr>
        <w:spacing w:line="360" w:lineRule="auto"/>
        <w:rPr>
          <w:rFonts w:ascii="宋体" w:hAnsi="宋体"/>
          <w:color w:val="auto"/>
          <w:szCs w:val="21"/>
          <w:highlight w:val="none"/>
        </w:rPr>
      </w:pPr>
    </w:p>
    <w:p w14:paraId="4AB41A18">
      <w:pPr>
        <w:adjustRightInd w:val="0"/>
        <w:snapToGrid w:val="0"/>
        <w:spacing w:line="360" w:lineRule="auto"/>
        <w:rPr>
          <w:rFonts w:ascii="宋体" w:hAnsi="宋体"/>
          <w:b/>
          <w:color w:val="auto"/>
          <w:sz w:val="28"/>
          <w:szCs w:val="28"/>
          <w:highlight w:val="none"/>
        </w:rPr>
      </w:pPr>
      <w:bookmarkStart w:id="242" w:name="_Toc29288_WPSOffice_Level1"/>
      <w:bookmarkStart w:id="243" w:name="_Toc18430_WPSOffice_Level1"/>
      <w:bookmarkStart w:id="244" w:name="_Toc10050_WPSOffice_Level1"/>
      <w:bookmarkStart w:id="245" w:name="_Toc9744_WPSOffice_Level1"/>
      <w:r>
        <w:rPr>
          <w:rFonts w:hint="eastAsia" w:ascii="宋体" w:hAnsi="宋体"/>
          <w:b/>
          <w:color w:val="auto"/>
          <w:sz w:val="28"/>
          <w:szCs w:val="28"/>
          <w:highlight w:val="none"/>
        </w:rPr>
        <w:t>附件</w:t>
      </w:r>
      <w:r>
        <w:rPr>
          <w:rFonts w:hint="eastAsia" w:ascii="宋体" w:hAnsi="宋体"/>
          <w:b/>
          <w:color w:val="auto"/>
          <w:sz w:val="28"/>
          <w:szCs w:val="28"/>
          <w:highlight w:val="none"/>
          <w:lang w:val="en-US" w:eastAsia="zh-CN"/>
        </w:rPr>
        <w:t>3</w:t>
      </w:r>
      <w:r>
        <w:rPr>
          <w:rFonts w:hint="eastAsia" w:ascii="宋体" w:hAnsi="宋体"/>
          <w:b/>
          <w:color w:val="auto"/>
          <w:sz w:val="28"/>
          <w:szCs w:val="28"/>
          <w:highlight w:val="none"/>
        </w:rPr>
        <w:t>-2</w:t>
      </w:r>
      <w:bookmarkEnd w:id="242"/>
      <w:bookmarkEnd w:id="243"/>
      <w:bookmarkEnd w:id="244"/>
      <w:bookmarkEnd w:id="245"/>
    </w:p>
    <w:p w14:paraId="62FC3762">
      <w:pPr>
        <w:spacing w:line="360" w:lineRule="auto"/>
        <w:jc w:val="center"/>
        <w:rPr>
          <w:rFonts w:ascii="宋体" w:hAnsi="宋体"/>
          <w:color w:val="auto"/>
          <w:szCs w:val="21"/>
          <w:highlight w:val="none"/>
        </w:rPr>
      </w:pPr>
      <w:bookmarkStart w:id="246" w:name="_Toc17324_WPSOffice_Level1"/>
      <w:bookmarkStart w:id="247" w:name="_Toc3329_WPSOffice_Level1"/>
      <w:bookmarkStart w:id="248" w:name="_Toc3751_WPSOffice_Level1"/>
      <w:bookmarkStart w:id="249" w:name="_Toc7795_WPSOffice_Level1"/>
      <w:r>
        <w:rPr>
          <w:rFonts w:hint="eastAsia" w:ascii="宋体" w:hAnsi="宋体"/>
          <w:b/>
          <w:color w:val="auto"/>
          <w:sz w:val="28"/>
          <w:szCs w:val="28"/>
          <w:highlight w:val="none"/>
        </w:rPr>
        <w:t>主要人员简历表</w:t>
      </w:r>
      <w:bookmarkEnd w:id="246"/>
      <w:bookmarkEnd w:id="247"/>
      <w:bookmarkEnd w:id="248"/>
      <w:bookmarkEnd w:id="249"/>
    </w:p>
    <w:tbl>
      <w:tblPr>
        <w:tblStyle w:val="24"/>
        <w:tblW w:w="0" w:type="auto"/>
        <w:tblInd w:w="96"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64"/>
        <w:gridCol w:w="833"/>
        <w:gridCol w:w="2664"/>
        <w:gridCol w:w="428"/>
        <w:gridCol w:w="1515"/>
        <w:gridCol w:w="583"/>
        <w:gridCol w:w="1795"/>
      </w:tblGrid>
      <w:tr w14:paraId="01D386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94" w:hRule="exact"/>
        </w:trPr>
        <w:tc>
          <w:tcPr>
            <w:tcW w:w="2097" w:type="dxa"/>
            <w:gridSpan w:val="2"/>
            <w:noWrap w:val="0"/>
            <w:vAlign w:val="center"/>
          </w:tcPr>
          <w:p w14:paraId="410D5B7A">
            <w:pPr>
              <w:spacing w:line="360" w:lineRule="auto"/>
              <w:jc w:val="center"/>
              <w:rPr>
                <w:rFonts w:ascii="宋体" w:hAnsi="宋体"/>
                <w:color w:val="auto"/>
                <w:highlight w:val="none"/>
              </w:rPr>
            </w:pPr>
            <w:r>
              <w:rPr>
                <w:rFonts w:hint="eastAsia" w:ascii="宋体" w:hAnsi="宋体"/>
                <w:color w:val="auto"/>
                <w:highlight w:val="none"/>
              </w:rPr>
              <w:t>姓名</w:t>
            </w:r>
          </w:p>
        </w:tc>
        <w:tc>
          <w:tcPr>
            <w:tcW w:w="2664" w:type="dxa"/>
            <w:noWrap w:val="0"/>
            <w:vAlign w:val="center"/>
          </w:tcPr>
          <w:p w14:paraId="7D9B6DBF">
            <w:pPr>
              <w:spacing w:line="360" w:lineRule="auto"/>
              <w:jc w:val="center"/>
              <w:rPr>
                <w:rFonts w:ascii="宋体" w:hAnsi="宋体"/>
                <w:color w:val="auto"/>
                <w:highlight w:val="none"/>
              </w:rPr>
            </w:pPr>
          </w:p>
        </w:tc>
        <w:tc>
          <w:tcPr>
            <w:tcW w:w="2526" w:type="dxa"/>
            <w:gridSpan w:val="3"/>
            <w:noWrap w:val="0"/>
            <w:vAlign w:val="center"/>
          </w:tcPr>
          <w:p w14:paraId="3E206428">
            <w:pPr>
              <w:spacing w:line="360" w:lineRule="auto"/>
              <w:jc w:val="center"/>
              <w:rPr>
                <w:rFonts w:ascii="宋体" w:hAnsi="宋体"/>
                <w:color w:val="auto"/>
                <w:highlight w:val="none"/>
              </w:rPr>
            </w:pPr>
            <w:r>
              <w:rPr>
                <w:rFonts w:hint="eastAsia" w:ascii="宋体" w:hAnsi="宋体"/>
                <w:color w:val="auto"/>
                <w:highlight w:val="none"/>
              </w:rPr>
              <w:t>性别</w:t>
            </w:r>
          </w:p>
        </w:tc>
        <w:tc>
          <w:tcPr>
            <w:tcW w:w="1795" w:type="dxa"/>
            <w:noWrap w:val="0"/>
            <w:vAlign w:val="center"/>
          </w:tcPr>
          <w:p w14:paraId="54735CC1">
            <w:pPr>
              <w:spacing w:line="360" w:lineRule="auto"/>
              <w:jc w:val="center"/>
              <w:rPr>
                <w:rFonts w:ascii="宋体" w:hAnsi="宋体"/>
                <w:color w:val="auto"/>
                <w:highlight w:val="none"/>
              </w:rPr>
            </w:pPr>
          </w:p>
        </w:tc>
      </w:tr>
      <w:tr w14:paraId="214384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16" w:hRule="exact"/>
        </w:trPr>
        <w:tc>
          <w:tcPr>
            <w:tcW w:w="2097" w:type="dxa"/>
            <w:gridSpan w:val="2"/>
            <w:noWrap w:val="0"/>
            <w:vAlign w:val="center"/>
          </w:tcPr>
          <w:p w14:paraId="3D534F64">
            <w:pPr>
              <w:spacing w:line="360" w:lineRule="auto"/>
              <w:jc w:val="center"/>
              <w:rPr>
                <w:rFonts w:ascii="宋体" w:hAnsi="宋体"/>
                <w:color w:val="auto"/>
                <w:highlight w:val="none"/>
              </w:rPr>
            </w:pPr>
            <w:r>
              <w:rPr>
                <w:rFonts w:hint="eastAsia" w:ascii="宋体" w:hAnsi="宋体"/>
                <w:color w:val="auto"/>
                <w:highlight w:val="none"/>
              </w:rPr>
              <w:t>职务</w:t>
            </w:r>
          </w:p>
        </w:tc>
        <w:tc>
          <w:tcPr>
            <w:tcW w:w="2664" w:type="dxa"/>
            <w:noWrap w:val="0"/>
            <w:vAlign w:val="center"/>
          </w:tcPr>
          <w:p w14:paraId="655F8B33">
            <w:pPr>
              <w:spacing w:line="360" w:lineRule="auto"/>
              <w:jc w:val="center"/>
              <w:rPr>
                <w:rFonts w:ascii="宋体" w:hAnsi="宋体"/>
                <w:color w:val="auto"/>
                <w:highlight w:val="none"/>
              </w:rPr>
            </w:pPr>
          </w:p>
        </w:tc>
        <w:tc>
          <w:tcPr>
            <w:tcW w:w="2526" w:type="dxa"/>
            <w:gridSpan w:val="3"/>
            <w:noWrap w:val="0"/>
            <w:vAlign w:val="center"/>
          </w:tcPr>
          <w:p w14:paraId="413B26E4">
            <w:pPr>
              <w:spacing w:line="360" w:lineRule="auto"/>
              <w:jc w:val="center"/>
              <w:rPr>
                <w:rFonts w:ascii="宋体" w:hAnsi="宋体"/>
                <w:color w:val="auto"/>
                <w:highlight w:val="none"/>
              </w:rPr>
            </w:pPr>
            <w:r>
              <w:rPr>
                <w:rFonts w:hint="eastAsia" w:ascii="宋体" w:hAnsi="宋体"/>
                <w:color w:val="auto"/>
                <w:highlight w:val="none"/>
              </w:rPr>
              <w:t>职称</w:t>
            </w:r>
          </w:p>
        </w:tc>
        <w:tc>
          <w:tcPr>
            <w:tcW w:w="1795" w:type="dxa"/>
            <w:noWrap w:val="0"/>
            <w:vAlign w:val="center"/>
          </w:tcPr>
          <w:p w14:paraId="0727B424">
            <w:pPr>
              <w:spacing w:line="360" w:lineRule="auto"/>
              <w:jc w:val="center"/>
              <w:rPr>
                <w:rFonts w:ascii="宋体" w:hAnsi="宋体"/>
                <w:color w:val="auto"/>
                <w:highlight w:val="none"/>
              </w:rPr>
            </w:pPr>
          </w:p>
        </w:tc>
      </w:tr>
      <w:tr w14:paraId="34E1E9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24" w:hRule="exact"/>
        </w:trPr>
        <w:tc>
          <w:tcPr>
            <w:tcW w:w="2097" w:type="dxa"/>
            <w:gridSpan w:val="2"/>
            <w:noWrap w:val="0"/>
            <w:vAlign w:val="center"/>
          </w:tcPr>
          <w:p w14:paraId="3E891AB2">
            <w:pPr>
              <w:spacing w:line="360" w:lineRule="auto"/>
              <w:jc w:val="center"/>
              <w:rPr>
                <w:rFonts w:ascii="宋体" w:hAnsi="宋体"/>
                <w:color w:val="auto"/>
                <w:highlight w:val="none"/>
              </w:rPr>
            </w:pPr>
            <w:r>
              <w:rPr>
                <w:rFonts w:hint="eastAsia" w:ascii="宋体" w:hAnsi="宋体"/>
                <w:color w:val="auto"/>
                <w:highlight w:val="none"/>
              </w:rPr>
              <w:t>毕业学校、专业</w:t>
            </w:r>
          </w:p>
        </w:tc>
        <w:tc>
          <w:tcPr>
            <w:tcW w:w="6985" w:type="dxa"/>
            <w:gridSpan w:val="5"/>
            <w:noWrap w:val="0"/>
            <w:vAlign w:val="center"/>
          </w:tcPr>
          <w:p w14:paraId="0D199BC1">
            <w:pPr>
              <w:spacing w:line="360" w:lineRule="auto"/>
              <w:jc w:val="center"/>
              <w:rPr>
                <w:rFonts w:ascii="宋体" w:hAnsi="宋体"/>
                <w:color w:val="auto"/>
                <w:highlight w:val="none"/>
              </w:rPr>
            </w:pPr>
          </w:p>
        </w:tc>
      </w:tr>
      <w:tr w14:paraId="6085D0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5" w:hRule="exact"/>
        </w:trPr>
        <w:tc>
          <w:tcPr>
            <w:tcW w:w="2097" w:type="dxa"/>
            <w:gridSpan w:val="2"/>
            <w:noWrap w:val="0"/>
            <w:vAlign w:val="center"/>
          </w:tcPr>
          <w:p w14:paraId="5C1B9B46">
            <w:pPr>
              <w:spacing w:line="360" w:lineRule="auto"/>
              <w:jc w:val="center"/>
              <w:rPr>
                <w:rFonts w:ascii="宋体" w:hAnsi="宋体"/>
                <w:color w:val="auto"/>
                <w:highlight w:val="none"/>
              </w:rPr>
            </w:pPr>
            <w:r>
              <w:rPr>
                <w:rFonts w:hint="eastAsia" w:ascii="宋体" w:hAnsi="宋体"/>
                <w:color w:val="auto"/>
                <w:highlight w:val="none"/>
              </w:rPr>
              <w:t>身份证号</w:t>
            </w:r>
          </w:p>
        </w:tc>
        <w:tc>
          <w:tcPr>
            <w:tcW w:w="2664" w:type="dxa"/>
            <w:noWrap w:val="0"/>
            <w:vAlign w:val="center"/>
          </w:tcPr>
          <w:p w14:paraId="08DF9281">
            <w:pPr>
              <w:spacing w:line="360" w:lineRule="auto"/>
              <w:jc w:val="center"/>
              <w:rPr>
                <w:rFonts w:ascii="宋体" w:hAnsi="宋体"/>
                <w:color w:val="auto"/>
                <w:highlight w:val="none"/>
              </w:rPr>
            </w:pPr>
          </w:p>
        </w:tc>
        <w:tc>
          <w:tcPr>
            <w:tcW w:w="2526" w:type="dxa"/>
            <w:gridSpan w:val="3"/>
            <w:noWrap w:val="0"/>
            <w:vAlign w:val="center"/>
          </w:tcPr>
          <w:p w14:paraId="020CB61E">
            <w:pPr>
              <w:spacing w:line="360" w:lineRule="auto"/>
              <w:jc w:val="center"/>
              <w:rPr>
                <w:rFonts w:ascii="宋体" w:hAnsi="宋体"/>
                <w:color w:val="auto"/>
                <w:highlight w:val="none"/>
              </w:rPr>
            </w:pPr>
            <w:r>
              <w:rPr>
                <w:rFonts w:hint="eastAsia" w:ascii="宋体" w:hAnsi="宋体"/>
                <w:color w:val="auto"/>
                <w:highlight w:val="none"/>
              </w:rPr>
              <w:t>拟在本合同任职</w:t>
            </w:r>
          </w:p>
        </w:tc>
        <w:tc>
          <w:tcPr>
            <w:tcW w:w="1795" w:type="dxa"/>
            <w:noWrap w:val="0"/>
            <w:vAlign w:val="center"/>
          </w:tcPr>
          <w:p w14:paraId="17774B42">
            <w:pPr>
              <w:spacing w:line="360" w:lineRule="auto"/>
              <w:ind w:right="-105" w:rightChars="-50"/>
              <w:jc w:val="center"/>
              <w:rPr>
                <w:rFonts w:ascii="宋体" w:hAnsi="宋体"/>
                <w:color w:val="auto"/>
                <w:highlight w:val="none"/>
              </w:rPr>
            </w:pPr>
          </w:p>
        </w:tc>
      </w:tr>
      <w:tr w14:paraId="35957F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5" w:hRule="exact"/>
        </w:trPr>
        <w:tc>
          <w:tcPr>
            <w:tcW w:w="2097" w:type="dxa"/>
            <w:gridSpan w:val="2"/>
            <w:noWrap w:val="0"/>
            <w:vAlign w:val="center"/>
          </w:tcPr>
          <w:p w14:paraId="4DFF6467">
            <w:pPr>
              <w:spacing w:line="360" w:lineRule="auto"/>
              <w:jc w:val="center"/>
              <w:rPr>
                <w:rFonts w:ascii="宋体" w:hAnsi="宋体"/>
                <w:color w:val="auto"/>
                <w:highlight w:val="none"/>
              </w:rPr>
            </w:pPr>
            <w:r>
              <w:rPr>
                <w:rFonts w:hint="eastAsia" w:ascii="宋体" w:hAnsi="宋体"/>
                <w:color w:val="auto"/>
                <w:highlight w:val="none"/>
              </w:rPr>
              <w:t>执业资格证</w:t>
            </w:r>
          </w:p>
        </w:tc>
        <w:tc>
          <w:tcPr>
            <w:tcW w:w="2664" w:type="dxa"/>
            <w:noWrap w:val="0"/>
            <w:vAlign w:val="center"/>
          </w:tcPr>
          <w:p w14:paraId="1D556B9C">
            <w:pPr>
              <w:spacing w:line="360" w:lineRule="auto"/>
              <w:jc w:val="center"/>
              <w:rPr>
                <w:rFonts w:ascii="宋体" w:hAnsi="宋体"/>
                <w:color w:val="auto"/>
                <w:highlight w:val="none"/>
              </w:rPr>
            </w:pPr>
          </w:p>
        </w:tc>
        <w:tc>
          <w:tcPr>
            <w:tcW w:w="2526" w:type="dxa"/>
            <w:gridSpan w:val="3"/>
            <w:noWrap w:val="0"/>
            <w:vAlign w:val="center"/>
          </w:tcPr>
          <w:p w14:paraId="191D792F">
            <w:pPr>
              <w:spacing w:line="360" w:lineRule="auto"/>
              <w:jc w:val="center"/>
              <w:rPr>
                <w:rFonts w:ascii="宋体" w:hAnsi="宋体"/>
                <w:color w:val="auto"/>
                <w:highlight w:val="none"/>
              </w:rPr>
            </w:pPr>
            <w:r>
              <w:rPr>
                <w:rFonts w:hint="eastAsia" w:ascii="宋体" w:hAnsi="宋体"/>
                <w:color w:val="auto"/>
                <w:highlight w:val="none"/>
              </w:rPr>
              <w:t>执业资格证书号</w:t>
            </w:r>
          </w:p>
        </w:tc>
        <w:tc>
          <w:tcPr>
            <w:tcW w:w="1795" w:type="dxa"/>
            <w:noWrap w:val="0"/>
            <w:vAlign w:val="center"/>
          </w:tcPr>
          <w:p w14:paraId="29328E8E">
            <w:pPr>
              <w:spacing w:line="360" w:lineRule="auto"/>
              <w:ind w:right="-105" w:rightChars="-50"/>
              <w:jc w:val="center"/>
              <w:rPr>
                <w:rFonts w:ascii="宋体" w:hAnsi="宋体"/>
                <w:color w:val="auto"/>
                <w:highlight w:val="none"/>
              </w:rPr>
            </w:pPr>
          </w:p>
        </w:tc>
      </w:tr>
      <w:tr w14:paraId="20B7A1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03" w:hRule="exact"/>
        </w:trPr>
        <w:tc>
          <w:tcPr>
            <w:tcW w:w="9082" w:type="dxa"/>
            <w:gridSpan w:val="7"/>
            <w:noWrap w:val="0"/>
            <w:vAlign w:val="center"/>
          </w:tcPr>
          <w:p w14:paraId="292178BC">
            <w:pPr>
              <w:spacing w:line="360" w:lineRule="auto"/>
              <w:rPr>
                <w:rFonts w:ascii="宋体" w:hAnsi="宋体"/>
                <w:color w:val="auto"/>
                <w:highlight w:val="none"/>
              </w:rPr>
            </w:pPr>
            <w:r>
              <w:rPr>
                <w:rFonts w:hint="eastAsia" w:ascii="宋体" w:hAnsi="宋体"/>
                <w:color w:val="auto"/>
                <w:highlight w:val="none"/>
              </w:rPr>
              <w:t>近三年承担项目情况</w:t>
            </w:r>
          </w:p>
        </w:tc>
      </w:tr>
      <w:tr w14:paraId="27B7C9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3" w:hRule="exact"/>
        </w:trPr>
        <w:tc>
          <w:tcPr>
            <w:tcW w:w="1264" w:type="dxa"/>
            <w:noWrap w:val="0"/>
            <w:vAlign w:val="center"/>
          </w:tcPr>
          <w:p w14:paraId="7AA19A88">
            <w:pPr>
              <w:spacing w:line="360" w:lineRule="auto"/>
              <w:jc w:val="center"/>
              <w:rPr>
                <w:rFonts w:ascii="宋体" w:hAnsi="宋体"/>
                <w:color w:val="auto"/>
                <w:highlight w:val="none"/>
              </w:rPr>
            </w:pPr>
            <w:r>
              <w:rPr>
                <w:rFonts w:hint="eastAsia" w:ascii="宋体" w:hAnsi="宋体"/>
                <w:color w:val="auto"/>
                <w:highlight w:val="none"/>
              </w:rPr>
              <w:t>时间</w:t>
            </w:r>
          </w:p>
        </w:tc>
        <w:tc>
          <w:tcPr>
            <w:tcW w:w="3925" w:type="dxa"/>
            <w:gridSpan w:val="3"/>
            <w:noWrap w:val="0"/>
            <w:vAlign w:val="center"/>
          </w:tcPr>
          <w:p w14:paraId="5897CD3B">
            <w:pPr>
              <w:spacing w:line="360" w:lineRule="auto"/>
              <w:jc w:val="center"/>
              <w:rPr>
                <w:rFonts w:ascii="宋体" w:hAnsi="宋体"/>
                <w:color w:val="auto"/>
                <w:highlight w:val="none"/>
              </w:rPr>
            </w:pPr>
            <w:r>
              <w:rPr>
                <w:rFonts w:hint="eastAsia" w:ascii="宋体" w:hAnsi="宋体"/>
                <w:color w:val="auto"/>
                <w:highlight w:val="none"/>
              </w:rPr>
              <w:t>类似项目名称</w:t>
            </w:r>
          </w:p>
        </w:tc>
        <w:tc>
          <w:tcPr>
            <w:tcW w:w="1515" w:type="dxa"/>
            <w:noWrap w:val="0"/>
            <w:vAlign w:val="center"/>
          </w:tcPr>
          <w:p w14:paraId="32BCFD33">
            <w:pPr>
              <w:spacing w:line="360" w:lineRule="auto"/>
              <w:jc w:val="center"/>
              <w:rPr>
                <w:rFonts w:ascii="宋体" w:hAnsi="宋体"/>
                <w:color w:val="auto"/>
                <w:highlight w:val="none"/>
              </w:rPr>
            </w:pPr>
            <w:r>
              <w:rPr>
                <w:rFonts w:hint="eastAsia" w:ascii="宋体" w:hAnsi="宋体"/>
                <w:color w:val="auto"/>
                <w:highlight w:val="none"/>
              </w:rPr>
              <w:t>担任职务</w:t>
            </w:r>
          </w:p>
        </w:tc>
        <w:tc>
          <w:tcPr>
            <w:tcW w:w="2378" w:type="dxa"/>
            <w:gridSpan w:val="2"/>
            <w:noWrap w:val="0"/>
            <w:vAlign w:val="center"/>
          </w:tcPr>
          <w:p w14:paraId="0E09902C">
            <w:pPr>
              <w:spacing w:line="360" w:lineRule="auto"/>
              <w:jc w:val="center"/>
              <w:rPr>
                <w:rFonts w:ascii="宋体" w:hAnsi="宋体"/>
                <w:color w:val="auto"/>
                <w:highlight w:val="none"/>
              </w:rPr>
            </w:pPr>
            <w:r>
              <w:rPr>
                <w:rFonts w:hint="eastAsia" w:ascii="宋体" w:hAnsi="宋体"/>
                <w:color w:val="auto"/>
                <w:highlight w:val="none"/>
              </w:rPr>
              <w:t>项目单位名称及电话</w:t>
            </w:r>
          </w:p>
        </w:tc>
      </w:tr>
      <w:tr w14:paraId="3635AB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3" w:hRule="exact"/>
        </w:trPr>
        <w:tc>
          <w:tcPr>
            <w:tcW w:w="1264" w:type="dxa"/>
            <w:noWrap w:val="0"/>
            <w:vAlign w:val="center"/>
          </w:tcPr>
          <w:p w14:paraId="19BF708B">
            <w:pPr>
              <w:spacing w:line="360" w:lineRule="auto"/>
              <w:jc w:val="center"/>
              <w:rPr>
                <w:rFonts w:ascii="宋体" w:hAnsi="宋体"/>
                <w:color w:val="auto"/>
                <w:highlight w:val="none"/>
              </w:rPr>
            </w:pPr>
          </w:p>
        </w:tc>
        <w:tc>
          <w:tcPr>
            <w:tcW w:w="3925" w:type="dxa"/>
            <w:gridSpan w:val="3"/>
            <w:noWrap w:val="0"/>
            <w:vAlign w:val="center"/>
          </w:tcPr>
          <w:p w14:paraId="1C748226">
            <w:pPr>
              <w:spacing w:line="360" w:lineRule="auto"/>
              <w:jc w:val="center"/>
              <w:rPr>
                <w:rFonts w:ascii="宋体" w:hAnsi="宋体"/>
                <w:color w:val="auto"/>
                <w:highlight w:val="none"/>
              </w:rPr>
            </w:pPr>
          </w:p>
        </w:tc>
        <w:tc>
          <w:tcPr>
            <w:tcW w:w="1515" w:type="dxa"/>
            <w:noWrap w:val="0"/>
            <w:vAlign w:val="center"/>
          </w:tcPr>
          <w:p w14:paraId="50E56836">
            <w:pPr>
              <w:spacing w:line="360" w:lineRule="auto"/>
              <w:jc w:val="center"/>
              <w:rPr>
                <w:rFonts w:ascii="宋体" w:hAnsi="宋体"/>
                <w:color w:val="auto"/>
                <w:highlight w:val="none"/>
              </w:rPr>
            </w:pPr>
          </w:p>
        </w:tc>
        <w:tc>
          <w:tcPr>
            <w:tcW w:w="2378" w:type="dxa"/>
            <w:gridSpan w:val="2"/>
            <w:noWrap w:val="0"/>
            <w:vAlign w:val="center"/>
          </w:tcPr>
          <w:p w14:paraId="30FD957A">
            <w:pPr>
              <w:spacing w:line="360" w:lineRule="auto"/>
              <w:jc w:val="center"/>
              <w:rPr>
                <w:rFonts w:ascii="宋体" w:hAnsi="宋体"/>
                <w:color w:val="auto"/>
                <w:highlight w:val="none"/>
              </w:rPr>
            </w:pPr>
          </w:p>
        </w:tc>
      </w:tr>
      <w:tr w14:paraId="4A2243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3" w:hRule="exact"/>
        </w:trPr>
        <w:tc>
          <w:tcPr>
            <w:tcW w:w="1264" w:type="dxa"/>
            <w:noWrap w:val="0"/>
            <w:vAlign w:val="center"/>
          </w:tcPr>
          <w:p w14:paraId="55C9E6B0">
            <w:pPr>
              <w:spacing w:line="360" w:lineRule="auto"/>
              <w:jc w:val="center"/>
              <w:rPr>
                <w:rFonts w:ascii="宋体" w:hAnsi="宋体"/>
                <w:color w:val="auto"/>
                <w:highlight w:val="none"/>
              </w:rPr>
            </w:pPr>
          </w:p>
        </w:tc>
        <w:tc>
          <w:tcPr>
            <w:tcW w:w="3925" w:type="dxa"/>
            <w:gridSpan w:val="3"/>
            <w:noWrap w:val="0"/>
            <w:vAlign w:val="center"/>
          </w:tcPr>
          <w:p w14:paraId="3C0DC63C">
            <w:pPr>
              <w:spacing w:line="360" w:lineRule="auto"/>
              <w:jc w:val="center"/>
              <w:rPr>
                <w:rFonts w:ascii="宋体" w:hAnsi="宋体"/>
                <w:color w:val="auto"/>
                <w:highlight w:val="none"/>
              </w:rPr>
            </w:pPr>
          </w:p>
        </w:tc>
        <w:tc>
          <w:tcPr>
            <w:tcW w:w="1515" w:type="dxa"/>
            <w:noWrap w:val="0"/>
            <w:vAlign w:val="center"/>
          </w:tcPr>
          <w:p w14:paraId="50287040">
            <w:pPr>
              <w:spacing w:line="360" w:lineRule="auto"/>
              <w:jc w:val="center"/>
              <w:rPr>
                <w:rFonts w:ascii="宋体" w:hAnsi="宋体"/>
                <w:color w:val="auto"/>
                <w:highlight w:val="none"/>
              </w:rPr>
            </w:pPr>
          </w:p>
        </w:tc>
        <w:tc>
          <w:tcPr>
            <w:tcW w:w="2378" w:type="dxa"/>
            <w:gridSpan w:val="2"/>
            <w:noWrap w:val="0"/>
            <w:vAlign w:val="center"/>
          </w:tcPr>
          <w:p w14:paraId="5FCD96F2">
            <w:pPr>
              <w:spacing w:line="360" w:lineRule="auto"/>
              <w:jc w:val="center"/>
              <w:rPr>
                <w:rFonts w:ascii="宋体" w:hAnsi="宋体"/>
                <w:color w:val="auto"/>
                <w:highlight w:val="none"/>
              </w:rPr>
            </w:pPr>
          </w:p>
        </w:tc>
      </w:tr>
      <w:tr w14:paraId="2CB3C4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3" w:hRule="exact"/>
        </w:trPr>
        <w:tc>
          <w:tcPr>
            <w:tcW w:w="1264" w:type="dxa"/>
            <w:noWrap w:val="0"/>
            <w:vAlign w:val="center"/>
          </w:tcPr>
          <w:p w14:paraId="60712F9D">
            <w:pPr>
              <w:spacing w:line="360" w:lineRule="auto"/>
              <w:jc w:val="center"/>
              <w:rPr>
                <w:rFonts w:ascii="宋体" w:hAnsi="宋体"/>
                <w:color w:val="auto"/>
                <w:highlight w:val="none"/>
              </w:rPr>
            </w:pPr>
          </w:p>
        </w:tc>
        <w:tc>
          <w:tcPr>
            <w:tcW w:w="3925" w:type="dxa"/>
            <w:gridSpan w:val="3"/>
            <w:noWrap w:val="0"/>
            <w:vAlign w:val="center"/>
          </w:tcPr>
          <w:p w14:paraId="77114821">
            <w:pPr>
              <w:spacing w:line="360" w:lineRule="auto"/>
              <w:jc w:val="center"/>
              <w:rPr>
                <w:rFonts w:ascii="宋体" w:hAnsi="宋体"/>
                <w:color w:val="auto"/>
                <w:highlight w:val="none"/>
              </w:rPr>
            </w:pPr>
          </w:p>
        </w:tc>
        <w:tc>
          <w:tcPr>
            <w:tcW w:w="1515" w:type="dxa"/>
            <w:noWrap w:val="0"/>
            <w:vAlign w:val="center"/>
          </w:tcPr>
          <w:p w14:paraId="54AAE93E">
            <w:pPr>
              <w:spacing w:line="360" w:lineRule="auto"/>
              <w:jc w:val="center"/>
              <w:rPr>
                <w:rFonts w:ascii="宋体" w:hAnsi="宋体"/>
                <w:color w:val="auto"/>
                <w:highlight w:val="none"/>
              </w:rPr>
            </w:pPr>
          </w:p>
        </w:tc>
        <w:tc>
          <w:tcPr>
            <w:tcW w:w="2378" w:type="dxa"/>
            <w:gridSpan w:val="2"/>
            <w:noWrap w:val="0"/>
            <w:vAlign w:val="center"/>
          </w:tcPr>
          <w:p w14:paraId="4D6B0885">
            <w:pPr>
              <w:spacing w:line="360" w:lineRule="auto"/>
              <w:jc w:val="center"/>
              <w:rPr>
                <w:rFonts w:ascii="宋体" w:hAnsi="宋体"/>
                <w:color w:val="auto"/>
                <w:highlight w:val="none"/>
              </w:rPr>
            </w:pPr>
          </w:p>
        </w:tc>
      </w:tr>
      <w:tr w14:paraId="731C33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3" w:hRule="exact"/>
        </w:trPr>
        <w:tc>
          <w:tcPr>
            <w:tcW w:w="1264" w:type="dxa"/>
            <w:noWrap w:val="0"/>
            <w:vAlign w:val="center"/>
          </w:tcPr>
          <w:p w14:paraId="3E046314">
            <w:pPr>
              <w:spacing w:line="360" w:lineRule="auto"/>
              <w:jc w:val="center"/>
              <w:rPr>
                <w:rFonts w:ascii="宋体" w:hAnsi="宋体"/>
                <w:color w:val="auto"/>
                <w:highlight w:val="none"/>
              </w:rPr>
            </w:pPr>
          </w:p>
        </w:tc>
        <w:tc>
          <w:tcPr>
            <w:tcW w:w="3925" w:type="dxa"/>
            <w:gridSpan w:val="3"/>
            <w:noWrap w:val="0"/>
            <w:vAlign w:val="center"/>
          </w:tcPr>
          <w:p w14:paraId="6F9B3653">
            <w:pPr>
              <w:spacing w:line="360" w:lineRule="auto"/>
              <w:jc w:val="center"/>
              <w:rPr>
                <w:rFonts w:ascii="宋体" w:hAnsi="宋体"/>
                <w:color w:val="auto"/>
                <w:highlight w:val="none"/>
              </w:rPr>
            </w:pPr>
          </w:p>
        </w:tc>
        <w:tc>
          <w:tcPr>
            <w:tcW w:w="1515" w:type="dxa"/>
            <w:noWrap w:val="0"/>
            <w:vAlign w:val="center"/>
          </w:tcPr>
          <w:p w14:paraId="3C064AD8">
            <w:pPr>
              <w:spacing w:line="360" w:lineRule="auto"/>
              <w:jc w:val="center"/>
              <w:rPr>
                <w:rFonts w:ascii="宋体" w:hAnsi="宋体"/>
                <w:color w:val="auto"/>
                <w:highlight w:val="none"/>
              </w:rPr>
            </w:pPr>
          </w:p>
        </w:tc>
        <w:tc>
          <w:tcPr>
            <w:tcW w:w="2378" w:type="dxa"/>
            <w:gridSpan w:val="2"/>
            <w:noWrap w:val="0"/>
            <w:vAlign w:val="center"/>
          </w:tcPr>
          <w:p w14:paraId="53D9A052">
            <w:pPr>
              <w:spacing w:line="360" w:lineRule="auto"/>
              <w:jc w:val="center"/>
              <w:rPr>
                <w:rFonts w:ascii="宋体" w:hAnsi="宋体"/>
                <w:color w:val="auto"/>
                <w:highlight w:val="none"/>
              </w:rPr>
            </w:pPr>
          </w:p>
        </w:tc>
      </w:tr>
    </w:tbl>
    <w:p w14:paraId="37F7B46A">
      <w:pPr>
        <w:adjustRightInd w:val="0"/>
        <w:snapToGrid w:val="0"/>
        <w:spacing w:line="360" w:lineRule="auto"/>
        <w:ind w:firstLine="420" w:firstLineChars="200"/>
        <w:rPr>
          <w:rFonts w:ascii="宋体" w:hAnsi="宋体"/>
          <w:color w:val="auto"/>
          <w:highlight w:val="none"/>
        </w:rPr>
      </w:pPr>
      <w:r>
        <w:rPr>
          <w:rFonts w:hint="eastAsia" w:ascii="宋体" w:hAnsi="宋体" w:eastAsia="宋体"/>
          <w:bCs/>
          <w:color w:val="auto"/>
          <w:sz w:val="21"/>
          <w:szCs w:val="21"/>
          <w:highlight w:val="none"/>
        </w:rPr>
        <w:t>说明</w:t>
      </w:r>
      <w:r>
        <w:rPr>
          <w:rFonts w:hint="eastAsia" w:ascii="宋体" w:hAnsi="宋体"/>
          <w:color w:val="auto"/>
          <w:highlight w:val="none"/>
        </w:rPr>
        <w:t>：</w:t>
      </w:r>
      <w:r>
        <w:rPr>
          <w:rFonts w:hint="eastAsia" w:ascii="宋体" w:hAnsi="宋体"/>
          <w:color w:val="auto"/>
          <w:szCs w:val="21"/>
          <w:highlight w:val="none"/>
        </w:rPr>
        <w:t>主要人员身份证、注册建造师证书、安全生产考核合格证</w:t>
      </w:r>
      <w:r>
        <w:rPr>
          <w:rFonts w:hint="eastAsia" w:ascii="宋体" w:hAnsi="宋体" w:cs="宋体"/>
          <w:color w:val="auto"/>
          <w:kern w:val="0"/>
          <w:szCs w:val="21"/>
          <w:highlight w:val="none"/>
        </w:rPr>
        <w:t>。</w:t>
      </w:r>
    </w:p>
    <w:p w14:paraId="2DF61D2B">
      <w:pPr>
        <w:adjustRightInd w:val="0"/>
        <w:snapToGrid w:val="0"/>
        <w:spacing w:line="360" w:lineRule="auto"/>
        <w:ind w:firstLine="420" w:firstLineChars="200"/>
        <w:rPr>
          <w:rFonts w:hint="eastAsia" w:ascii="宋体" w:hAnsi="宋体" w:eastAsia="宋体"/>
          <w:bCs/>
          <w:color w:val="auto"/>
          <w:sz w:val="21"/>
          <w:szCs w:val="21"/>
          <w:highlight w:val="none"/>
        </w:rPr>
      </w:pPr>
      <w:bookmarkStart w:id="250" w:name="_Toc4432"/>
    </w:p>
    <w:p w14:paraId="289B8232">
      <w:pPr>
        <w:adjustRightInd w:val="0"/>
        <w:snapToGrid w:val="0"/>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供应商名称：</w:t>
      </w:r>
      <w:bookmarkEnd w:id="250"/>
      <w:r>
        <w:rPr>
          <w:rFonts w:hint="eastAsia" w:ascii="宋体" w:hAnsi="宋体" w:eastAsia="宋体"/>
          <w:bCs/>
          <w:color w:val="auto"/>
          <w:sz w:val="21"/>
          <w:szCs w:val="21"/>
          <w:highlight w:val="none"/>
        </w:rPr>
        <w:t xml:space="preserve">        </w:t>
      </w:r>
    </w:p>
    <w:p w14:paraId="048E655F">
      <w:pPr>
        <w:adjustRightInd w:val="0"/>
        <w:snapToGrid w:val="0"/>
        <w:spacing w:line="360" w:lineRule="auto"/>
        <w:ind w:firstLine="420" w:firstLineChars="200"/>
        <w:rPr>
          <w:rFonts w:hint="eastAsia" w:ascii="宋体" w:hAnsi="宋体" w:eastAsia="宋体"/>
          <w:bCs/>
          <w:color w:val="auto"/>
          <w:sz w:val="21"/>
          <w:szCs w:val="21"/>
          <w:highlight w:val="none"/>
        </w:rPr>
      </w:pPr>
      <w:bookmarkStart w:id="251" w:name="_Toc21855"/>
      <w:r>
        <w:rPr>
          <w:rFonts w:hint="eastAsia" w:ascii="宋体" w:hAnsi="宋体" w:eastAsia="宋体"/>
          <w:bCs/>
          <w:color w:val="auto"/>
          <w:sz w:val="21"/>
          <w:szCs w:val="21"/>
          <w:highlight w:val="none"/>
        </w:rPr>
        <w:t>法定代表人或其委托代理人(签字或盖章)：</w:t>
      </w:r>
      <w:bookmarkEnd w:id="251"/>
      <w:r>
        <w:rPr>
          <w:rFonts w:hint="eastAsia" w:ascii="宋体" w:hAnsi="宋体" w:eastAsia="宋体"/>
          <w:bCs/>
          <w:color w:val="auto"/>
          <w:sz w:val="21"/>
          <w:szCs w:val="21"/>
          <w:highlight w:val="none"/>
        </w:rPr>
        <w:t xml:space="preserve">        </w:t>
      </w:r>
    </w:p>
    <w:p w14:paraId="401ABBDB">
      <w:pPr>
        <w:spacing w:line="360" w:lineRule="auto"/>
        <w:ind w:firstLine="420" w:firstLineChars="200"/>
        <w:rPr>
          <w:rFonts w:ascii="宋体" w:hAnsi="宋体"/>
          <w:color w:val="auto"/>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43F5DAFF">
      <w:pPr>
        <w:adjustRightInd w:val="0"/>
        <w:snapToGrid w:val="0"/>
        <w:spacing w:line="360" w:lineRule="auto"/>
        <w:jc w:val="center"/>
        <w:outlineLvl w:val="0"/>
        <w:rPr>
          <w:rFonts w:ascii="宋体" w:hAnsi="宋体"/>
          <w:b/>
          <w:color w:val="auto"/>
          <w:sz w:val="30"/>
          <w:szCs w:val="30"/>
          <w:highlight w:val="none"/>
        </w:rPr>
      </w:pPr>
      <w:r>
        <w:rPr>
          <w:rFonts w:ascii="宋体" w:hAnsi="宋体"/>
          <w:b/>
          <w:color w:val="auto"/>
          <w:sz w:val="30"/>
          <w:szCs w:val="30"/>
          <w:highlight w:val="none"/>
        </w:rPr>
        <w:br w:type="page"/>
      </w:r>
      <w:bookmarkStart w:id="252" w:name="_Toc10162"/>
      <w:bookmarkStart w:id="253" w:name="_Toc26411"/>
      <w:r>
        <w:rPr>
          <w:rFonts w:hint="eastAsia" w:ascii="宋体" w:hAnsi="宋体"/>
          <w:b/>
          <w:color w:val="auto"/>
          <w:sz w:val="30"/>
          <w:szCs w:val="30"/>
          <w:highlight w:val="none"/>
          <w:lang w:val="en-US" w:eastAsia="zh-CN"/>
        </w:rPr>
        <w:t>四</w:t>
      </w:r>
      <w:r>
        <w:rPr>
          <w:rFonts w:hint="eastAsia" w:ascii="宋体" w:hAnsi="宋体"/>
          <w:b/>
          <w:color w:val="auto"/>
          <w:sz w:val="30"/>
          <w:szCs w:val="30"/>
          <w:highlight w:val="none"/>
        </w:rPr>
        <w:t>、技术/商务响应与偏离表</w:t>
      </w:r>
      <w:bookmarkEnd w:id="252"/>
      <w:bookmarkEnd w:id="253"/>
    </w:p>
    <w:p w14:paraId="127A8BFC">
      <w:pPr>
        <w:adjustRightInd w:val="0"/>
        <w:snapToGrid w:val="0"/>
        <w:spacing w:line="360" w:lineRule="auto"/>
        <w:ind w:left="-88" w:leftChars="-42" w:firstLine="315" w:firstLineChars="150"/>
        <w:rPr>
          <w:rFonts w:ascii="宋体" w:hAnsi="宋体"/>
          <w:color w:val="auto"/>
          <w:szCs w:val="21"/>
          <w:highlight w:val="none"/>
          <w:u w:val="single"/>
        </w:rPr>
      </w:pPr>
    </w:p>
    <w:tbl>
      <w:tblPr>
        <w:tblStyle w:val="24"/>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679"/>
        <w:gridCol w:w="1803"/>
        <w:gridCol w:w="2085"/>
        <w:gridCol w:w="2783"/>
        <w:gridCol w:w="1299"/>
        <w:gridCol w:w="708"/>
      </w:tblGrid>
      <w:tr w14:paraId="6914C5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32" w:hRule="atLeast"/>
          <w:jc w:val="center"/>
        </w:trPr>
        <w:tc>
          <w:tcPr>
            <w:tcW w:w="679" w:type="dxa"/>
            <w:noWrap w:val="0"/>
            <w:vAlign w:val="center"/>
          </w:tcPr>
          <w:p w14:paraId="647BC65F">
            <w:pPr>
              <w:adjustRightInd w:val="0"/>
              <w:snapToGrid w:val="0"/>
              <w:spacing w:line="360" w:lineRule="auto"/>
              <w:ind w:left="-88" w:leftChars="-42"/>
              <w:jc w:val="center"/>
              <w:rPr>
                <w:rFonts w:ascii="宋体" w:hAnsi="宋体"/>
                <w:bCs/>
                <w:color w:val="auto"/>
                <w:szCs w:val="21"/>
                <w:highlight w:val="none"/>
              </w:rPr>
            </w:pPr>
            <w:r>
              <w:rPr>
                <w:rFonts w:hint="eastAsia" w:ascii="宋体" w:hAnsi="宋体"/>
                <w:bCs/>
                <w:color w:val="auto"/>
                <w:szCs w:val="21"/>
                <w:highlight w:val="none"/>
              </w:rPr>
              <w:t>序号</w:t>
            </w:r>
          </w:p>
        </w:tc>
        <w:tc>
          <w:tcPr>
            <w:tcW w:w="1803" w:type="dxa"/>
            <w:noWrap w:val="0"/>
            <w:vAlign w:val="center"/>
          </w:tcPr>
          <w:p w14:paraId="14F55612">
            <w:pPr>
              <w:adjustRightInd w:val="0"/>
              <w:snapToGrid w:val="0"/>
              <w:spacing w:line="360" w:lineRule="auto"/>
              <w:ind w:left="-88" w:leftChars="-42"/>
              <w:jc w:val="center"/>
              <w:rPr>
                <w:rFonts w:ascii="宋体" w:hAnsi="宋体"/>
                <w:color w:val="auto"/>
                <w:szCs w:val="21"/>
                <w:highlight w:val="none"/>
              </w:rPr>
            </w:pPr>
            <w:r>
              <w:rPr>
                <w:rFonts w:hint="eastAsia" w:ascii="宋体" w:hAnsi="宋体"/>
                <w:color w:val="auto"/>
                <w:szCs w:val="21"/>
                <w:highlight w:val="none"/>
              </w:rPr>
              <w:t>磋商文件条目号</w:t>
            </w:r>
          </w:p>
        </w:tc>
        <w:tc>
          <w:tcPr>
            <w:tcW w:w="2085" w:type="dxa"/>
            <w:noWrap w:val="0"/>
            <w:vAlign w:val="center"/>
          </w:tcPr>
          <w:p w14:paraId="6A534ECF">
            <w:pPr>
              <w:adjustRightInd w:val="0"/>
              <w:snapToGrid w:val="0"/>
              <w:spacing w:line="360" w:lineRule="auto"/>
              <w:ind w:left="-88" w:leftChars="-42"/>
              <w:jc w:val="center"/>
              <w:rPr>
                <w:rFonts w:ascii="宋体" w:hAnsi="宋体"/>
                <w:color w:val="auto"/>
                <w:szCs w:val="21"/>
                <w:highlight w:val="none"/>
              </w:rPr>
            </w:pPr>
            <w:r>
              <w:rPr>
                <w:rFonts w:hint="eastAsia" w:ascii="宋体" w:hAnsi="宋体"/>
                <w:color w:val="auto"/>
                <w:szCs w:val="21"/>
                <w:highlight w:val="none"/>
              </w:rPr>
              <w:t>采购规格/商务条款</w:t>
            </w:r>
          </w:p>
        </w:tc>
        <w:tc>
          <w:tcPr>
            <w:tcW w:w="2783" w:type="dxa"/>
            <w:noWrap w:val="0"/>
            <w:vAlign w:val="center"/>
          </w:tcPr>
          <w:p w14:paraId="59ED64A6">
            <w:pPr>
              <w:adjustRightInd w:val="0"/>
              <w:snapToGrid w:val="0"/>
              <w:spacing w:line="360" w:lineRule="auto"/>
              <w:ind w:left="-88" w:leftChars="-42"/>
              <w:jc w:val="center"/>
              <w:rPr>
                <w:rFonts w:ascii="宋体" w:hAnsi="宋体"/>
                <w:color w:val="auto"/>
                <w:szCs w:val="21"/>
                <w:highlight w:val="none"/>
              </w:rPr>
            </w:pPr>
            <w:r>
              <w:rPr>
                <w:rFonts w:hint="eastAsia" w:ascii="宋体" w:hAnsi="宋体"/>
                <w:color w:val="auto"/>
                <w:szCs w:val="21"/>
                <w:highlight w:val="none"/>
              </w:rPr>
              <w:t>响应文件的规格/商务条款</w:t>
            </w:r>
          </w:p>
        </w:tc>
        <w:tc>
          <w:tcPr>
            <w:tcW w:w="1299" w:type="dxa"/>
            <w:noWrap w:val="0"/>
            <w:vAlign w:val="center"/>
          </w:tcPr>
          <w:p w14:paraId="3D9AA65F">
            <w:pPr>
              <w:adjustRightInd w:val="0"/>
              <w:snapToGrid w:val="0"/>
              <w:spacing w:line="360" w:lineRule="auto"/>
              <w:ind w:left="-88" w:leftChars="-42"/>
              <w:jc w:val="center"/>
              <w:rPr>
                <w:rFonts w:ascii="宋体" w:hAnsi="宋体"/>
                <w:color w:val="auto"/>
                <w:szCs w:val="21"/>
                <w:highlight w:val="none"/>
              </w:rPr>
            </w:pPr>
            <w:r>
              <w:rPr>
                <w:rFonts w:hint="eastAsia" w:ascii="宋体" w:hAnsi="宋体"/>
                <w:color w:val="auto"/>
                <w:szCs w:val="21"/>
                <w:highlight w:val="none"/>
              </w:rPr>
              <w:t>响应与偏离</w:t>
            </w:r>
          </w:p>
        </w:tc>
        <w:tc>
          <w:tcPr>
            <w:tcW w:w="708" w:type="dxa"/>
            <w:noWrap w:val="0"/>
            <w:vAlign w:val="center"/>
          </w:tcPr>
          <w:p w14:paraId="5B9AE5EC">
            <w:pPr>
              <w:adjustRightInd w:val="0"/>
              <w:snapToGrid w:val="0"/>
              <w:spacing w:line="360" w:lineRule="auto"/>
              <w:ind w:left="-88" w:leftChars="-42"/>
              <w:jc w:val="center"/>
              <w:rPr>
                <w:rFonts w:ascii="宋体" w:hAnsi="宋体"/>
                <w:color w:val="auto"/>
                <w:szCs w:val="21"/>
                <w:highlight w:val="none"/>
              </w:rPr>
            </w:pPr>
            <w:r>
              <w:rPr>
                <w:rFonts w:hint="eastAsia" w:ascii="宋体" w:hAnsi="宋体"/>
                <w:color w:val="auto"/>
                <w:szCs w:val="21"/>
                <w:highlight w:val="none"/>
              </w:rPr>
              <w:t>说明</w:t>
            </w:r>
          </w:p>
        </w:tc>
      </w:tr>
      <w:tr w14:paraId="1A8F5C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679" w:type="dxa"/>
            <w:noWrap w:val="0"/>
            <w:vAlign w:val="top"/>
          </w:tcPr>
          <w:p w14:paraId="0ABD2E32">
            <w:pPr>
              <w:adjustRightInd w:val="0"/>
              <w:snapToGrid w:val="0"/>
              <w:spacing w:line="360" w:lineRule="auto"/>
              <w:ind w:left="-88" w:leftChars="-42"/>
              <w:jc w:val="center"/>
              <w:rPr>
                <w:rFonts w:ascii="宋体" w:hAnsi="宋体"/>
                <w:color w:val="auto"/>
                <w:szCs w:val="21"/>
                <w:highlight w:val="none"/>
              </w:rPr>
            </w:pPr>
          </w:p>
        </w:tc>
        <w:tc>
          <w:tcPr>
            <w:tcW w:w="1803" w:type="dxa"/>
            <w:noWrap w:val="0"/>
            <w:vAlign w:val="center"/>
          </w:tcPr>
          <w:p w14:paraId="599880A4">
            <w:pPr>
              <w:adjustRightInd w:val="0"/>
              <w:snapToGrid w:val="0"/>
              <w:spacing w:line="360" w:lineRule="auto"/>
              <w:ind w:left="-88" w:leftChars="-42"/>
              <w:jc w:val="center"/>
              <w:rPr>
                <w:rFonts w:ascii="宋体" w:hAnsi="宋体"/>
                <w:color w:val="auto"/>
                <w:szCs w:val="21"/>
                <w:highlight w:val="none"/>
              </w:rPr>
            </w:pPr>
          </w:p>
        </w:tc>
        <w:tc>
          <w:tcPr>
            <w:tcW w:w="2085" w:type="dxa"/>
            <w:noWrap w:val="0"/>
            <w:vAlign w:val="center"/>
          </w:tcPr>
          <w:p w14:paraId="03542CDD">
            <w:pPr>
              <w:adjustRightInd w:val="0"/>
              <w:snapToGrid w:val="0"/>
              <w:spacing w:line="360" w:lineRule="auto"/>
              <w:ind w:left="-88" w:leftChars="-42"/>
              <w:jc w:val="center"/>
              <w:rPr>
                <w:rFonts w:ascii="宋体" w:hAnsi="宋体"/>
                <w:color w:val="auto"/>
                <w:szCs w:val="21"/>
                <w:highlight w:val="none"/>
              </w:rPr>
            </w:pPr>
          </w:p>
        </w:tc>
        <w:tc>
          <w:tcPr>
            <w:tcW w:w="2783" w:type="dxa"/>
            <w:noWrap w:val="0"/>
            <w:vAlign w:val="center"/>
          </w:tcPr>
          <w:p w14:paraId="0FEE5DFC">
            <w:pPr>
              <w:adjustRightInd w:val="0"/>
              <w:snapToGrid w:val="0"/>
              <w:spacing w:line="360" w:lineRule="auto"/>
              <w:ind w:left="-88" w:leftChars="-42"/>
              <w:jc w:val="center"/>
              <w:rPr>
                <w:rFonts w:ascii="宋体" w:hAnsi="宋体"/>
                <w:color w:val="auto"/>
                <w:szCs w:val="21"/>
                <w:highlight w:val="none"/>
              </w:rPr>
            </w:pPr>
          </w:p>
        </w:tc>
        <w:tc>
          <w:tcPr>
            <w:tcW w:w="1299" w:type="dxa"/>
            <w:noWrap w:val="0"/>
            <w:vAlign w:val="center"/>
          </w:tcPr>
          <w:p w14:paraId="542BDE9B">
            <w:pPr>
              <w:adjustRightInd w:val="0"/>
              <w:snapToGrid w:val="0"/>
              <w:spacing w:line="360" w:lineRule="auto"/>
              <w:ind w:left="-88" w:leftChars="-42"/>
              <w:jc w:val="center"/>
              <w:rPr>
                <w:rFonts w:ascii="宋体" w:hAnsi="宋体"/>
                <w:color w:val="auto"/>
                <w:szCs w:val="21"/>
                <w:highlight w:val="none"/>
              </w:rPr>
            </w:pPr>
          </w:p>
        </w:tc>
        <w:tc>
          <w:tcPr>
            <w:tcW w:w="708" w:type="dxa"/>
            <w:noWrap w:val="0"/>
            <w:vAlign w:val="center"/>
          </w:tcPr>
          <w:p w14:paraId="055B1190">
            <w:pPr>
              <w:adjustRightInd w:val="0"/>
              <w:snapToGrid w:val="0"/>
              <w:spacing w:line="360" w:lineRule="auto"/>
              <w:ind w:left="-88" w:leftChars="-42"/>
              <w:jc w:val="center"/>
              <w:rPr>
                <w:rFonts w:ascii="宋体" w:hAnsi="宋体"/>
                <w:color w:val="auto"/>
                <w:szCs w:val="21"/>
                <w:highlight w:val="none"/>
              </w:rPr>
            </w:pPr>
          </w:p>
        </w:tc>
      </w:tr>
      <w:tr w14:paraId="79ECEA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679" w:type="dxa"/>
            <w:noWrap w:val="0"/>
            <w:vAlign w:val="top"/>
          </w:tcPr>
          <w:p w14:paraId="08DDA426">
            <w:pPr>
              <w:adjustRightInd w:val="0"/>
              <w:snapToGrid w:val="0"/>
              <w:spacing w:line="360" w:lineRule="auto"/>
              <w:ind w:left="-88" w:leftChars="-42"/>
              <w:jc w:val="center"/>
              <w:rPr>
                <w:rFonts w:ascii="宋体" w:hAnsi="宋体"/>
                <w:color w:val="auto"/>
                <w:szCs w:val="21"/>
                <w:highlight w:val="none"/>
              </w:rPr>
            </w:pPr>
          </w:p>
        </w:tc>
        <w:tc>
          <w:tcPr>
            <w:tcW w:w="1803" w:type="dxa"/>
            <w:noWrap w:val="0"/>
            <w:vAlign w:val="center"/>
          </w:tcPr>
          <w:p w14:paraId="703F4148">
            <w:pPr>
              <w:adjustRightInd w:val="0"/>
              <w:snapToGrid w:val="0"/>
              <w:spacing w:line="360" w:lineRule="auto"/>
              <w:ind w:left="-88" w:leftChars="-42"/>
              <w:jc w:val="center"/>
              <w:rPr>
                <w:rFonts w:ascii="宋体" w:hAnsi="宋体"/>
                <w:color w:val="auto"/>
                <w:szCs w:val="21"/>
                <w:highlight w:val="none"/>
              </w:rPr>
            </w:pPr>
          </w:p>
        </w:tc>
        <w:tc>
          <w:tcPr>
            <w:tcW w:w="2085" w:type="dxa"/>
            <w:noWrap w:val="0"/>
            <w:vAlign w:val="center"/>
          </w:tcPr>
          <w:p w14:paraId="3CB73271">
            <w:pPr>
              <w:adjustRightInd w:val="0"/>
              <w:snapToGrid w:val="0"/>
              <w:spacing w:line="360" w:lineRule="auto"/>
              <w:ind w:left="-88" w:leftChars="-42"/>
              <w:jc w:val="center"/>
              <w:rPr>
                <w:rFonts w:ascii="宋体" w:hAnsi="宋体"/>
                <w:color w:val="auto"/>
                <w:szCs w:val="21"/>
                <w:highlight w:val="none"/>
              </w:rPr>
            </w:pPr>
          </w:p>
        </w:tc>
        <w:tc>
          <w:tcPr>
            <w:tcW w:w="2783" w:type="dxa"/>
            <w:noWrap w:val="0"/>
            <w:vAlign w:val="center"/>
          </w:tcPr>
          <w:p w14:paraId="0185CBED">
            <w:pPr>
              <w:adjustRightInd w:val="0"/>
              <w:snapToGrid w:val="0"/>
              <w:spacing w:line="360" w:lineRule="auto"/>
              <w:ind w:left="-88" w:leftChars="-42"/>
              <w:jc w:val="center"/>
              <w:rPr>
                <w:rFonts w:ascii="宋体" w:hAnsi="宋体"/>
                <w:color w:val="auto"/>
                <w:szCs w:val="21"/>
                <w:highlight w:val="none"/>
              </w:rPr>
            </w:pPr>
          </w:p>
        </w:tc>
        <w:tc>
          <w:tcPr>
            <w:tcW w:w="1299" w:type="dxa"/>
            <w:noWrap w:val="0"/>
            <w:vAlign w:val="center"/>
          </w:tcPr>
          <w:p w14:paraId="6AB5CA45">
            <w:pPr>
              <w:adjustRightInd w:val="0"/>
              <w:snapToGrid w:val="0"/>
              <w:spacing w:line="360" w:lineRule="auto"/>
              <w:ind w:left="-88" w:leftChars="-42"/>
              <w:jc w:val="center"/>
              <w:rPr>
                <w:rFonts w:ascii="宋体" w:hAnsi="宋体"/>
                <w:color w:val="auto"/>
                <w:szCs w:val="21"/>
                <w:highlight w:val="none"/>
              </w:rPr>
            </w:pPr>
          </w:p>
        </w:tc>
        <w:tc>
          <w:tcPr>
            <w:tcW w:w="708" w:type="dxa"/>
            <w:noWrap w:val="0"/>
            <w:vAlign w:val="center"/>
          </w:tcPr>
          <w:p w14:paraId="568BC50E">
            <w:pPr>
              <w:adjustRightInd w:val="0"/>
              <w:snapToGrid w:val="0"/>
              <w:spacing w:line="360" w:lineRule="auto"/>
              <w:ind w:left="-88" w:leftChars="-42"/>
              <w:jc w:val="center"/>
              <w:rPr>
                <w:rFonts w:ascii="宋体" w:hAnsi="宋体"/>
                <w:color w:val="auto"/>
                <w:szCs w:val="21"/>
                <w:highlight w:val="none"/>
              </w:rPr>
            </w:pPr>
          </w:p>
        </w:tc>
      </w:tr>
      <w:tr w14:paraId="5F89F3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679" w:type="dxa"/>
            <w:noWrap w:val="0"/>
            <w:vAlign w:val="top"/>
          </w:tcPr>
          <w:p w14:paraId="6B4100B1">
            <w:pPr>
              <w:adjustRightInd w:val="0"/>
              <w:snapToGrid w:val="0"/>
              <w:spacing w:line="360" w:lineRule="auto"/>
              <w:ind w:left="-88" w:leftChars="-42"/>
              <w:jc w:val="center"/>
              <w:rPr>
                <w:rFonts w:ascii="宋体" w:hAnsi="宋体"/>
                <w:color w:val="auto"/>
                <w:szCs w:val="21"/>
                <w:highlight w:val="none"/>
              </w:rPr>
            </w:pPr>
          </w:p>
        </w:tc>
        <w:tc>
          <w:tcPr>
            <w:tcW w:w="1803" w:type="dxa"/>
            <w:noWrap w:val="0"/>
            <w:vAlign w:val="center"/>
          </w:tcPr>
          <w:p w14:paraId="7CB3F8A6">
            <w:pPr>
              <w:adjustRightInd w:val="0"/>
              <w:snapToGrid w:val="0"/>
              <w:spacing w:line="360" w:lineRule="auto"/>
              <w:ind w:left="-88" w:leftChars="-42"/>
              <w:jc w:val="center"/>
              <w:rPr>
                <w:rFonts w:ascii="宋体" w:hAnsi="宋体"/>
                <w:color w:val="auto"/>
                <w:szCs w:val="21"/>
                <w:highlight w:val="none"/>
              </w:rPr>
            </w:pPr>
          </w:p>
        </w:tc>
        <w:tc>
          <w:tcPr>
            <w:tcW w:w="2085" w:type="dxa"/>
            <w:noWrap w:val="0"/>
            <w:vAlign w:val="center"/>
          </w:tcPr>
          <w:p w14:paraId="0498FE29">
            <w:pPr>
              <w:adjustRightInd w:val="0"/>
              <w:snapToGrid w:val="0"/>
              <w:spacing w:line="360" w:lineRule="auto"/>
              <w:ind w:left="-88" w:leftChars="-42"/>
              <w:jc w:val="center"/>
              <w:rPr>
                <w:rFonts w:ascii="宋体" w:hAnsi="宋体"/>
                <w:color w:val="auto"/>
                <w:szCs w:val="21"/>
                <w:highlight w:val="none"/>
              </w:rPr>
            </w:pPr>
          </w:p>
        </w:tc>
        <w:tc>
          <w:tcPr>
            <w:tcW w:w="2783" w:type="dxa"/>
            <w:noWrap w:val="0"/>
            <w:vAlign w:val="center"/>
          </w:tcPr>
          <w:p w14:paraId="5C5F437C">
            <w:pPr>
              <w:adjustRightInd w:val="0"/>
              <w:snapToGrid w:val="0"/>
              <w:spacing w:line="360" w:lineRule="auto"/>
              <w:ind w:left="-88" w:leftChars="-42"/>
              <w:jc w:val="center"/>
              <w:rPr>
                <w:rFonts w:ascii="宋体" w:hAnsi="宋体"/>
                <w:color w:val="auto"/>
                <w:szCs w:val="21"/>
                <w:highlight w:val="none"/>
              </w:rPr>
            </w:pPr>
          </w:p>
        </w:tc>
        <w:tc>
          <w:tcPr>
            <w:tcW w:w="1299" w:type="dxa"/>
            <w:noWrap w:val="0"/>
            <w:vAlign w:val="center"/>
          </w:tcPr>
          <w:p w14:paraId="779655FD">
            <w:pPr>
              <w:adjustRightInd w:val="0"/>
              <w:snapToGrid w:val="0"/>
              <w:spacing w:line="360" w:lineRule="auto"/>
              <w:ind w:left="-88" w:leftChars="-42"/>
              <w:jc w:val="center"/>
              <w:rPr>
                <w:rFonts w:ascii="宋体" w:hAnsi="宋体"/>
                <w:color w:val="auto"/>
                <w:szCs w:val="21"/>
                <w:highlight w:val="none"/>
              </w:rPr>
            </w:pPr>
          </w:p>
        </w:tc>
        <w:tc>
          <w:tcPr>
            <w:tcW w:w="708" w:type="dxa"/>
            <w:noWrap w:val="0"/>
            <w:vAlign w:val="center"/>
          </w:tcPr>
          <w:p w14:paraId="431C05EF">
            <w:pPr>
              <w:adjustRightInd w:val="0"/>
              <w:snapToGrid w:val="0"/>
              <w:spacing w:line="360" w:lineRule="auto"/>
              <w:ind w:left="-88" w:leftChars="-42"/>
              <w:jc w:val="center"/>
              <w:rPr>
                <w:rFonts w:ascii="宋体" w:hAnsi="宋体"/>
                <w:color w:val="auto"/>
                <w:szCs w:val="21"/>
                <w:highlight w:val="none"/>
              </w:rPr>
            </w:pPr>
          </w:p>
        </w:tc>
      </w:tr>
      <w:tr w14:paraId="214B6C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679" w:type="dxa"/>
            <w:noWrap w:val="0"/>
            <w:vAlign w:val="top"/>
          </w:tcPr>
          <w:p w14:paraId="0E5225AB">
            <w:pPr>
              <w:adjustRightInd w:val="0"/>
              <w:snapToGrid w:val="0"/>
              <w:spacing w:line="360" w:lineRule="auto"/>
              <w:ind w:left="-88" w:leftChars="-42"/>
              <w:jc w:val="center"/>
              <w:rPr>
                <w:rFonts w:ascii="宋体" w:hAnsi="宋体"/>
                <w:color w:val="auto"/>
                <w:szCs w:val="21"/>
                <w:highlight w:val="none"/>
              </w:rPr>
            </w:pPr>
          </w:p>
        </w:tc>
        <w:tc>
          <w:tcPr>
            <w:tcW w:w="1803" w:type="dxa"/>
            <w:noWrap w:val="0"/>
            <w:vAlign w:val="center"/>
          </w:tcPr>
          <w:p w14:paraId="22289C67">
            <w:pPr>
              <w:adjustRightInd w:val="0"/>
              <w:snapToGrid w:val="0"/>
              <w:spacing w:line="360" w:lineRule="auto"/>
              <w:ind w:left="-88" w:leftChars="-42"/>
              <w:jc w:val="center"/>
              <w:rPr>
                <w:rFonts w:ascii="宋体" w:hAnsi="宋体"/>
                <w:color w:val="auto"/>
                <w:szCs w:val="21"/>
                <w:highlight w:val="none"/>
              </w:rPr>
            </w:pPr>
          </w:p>
        </w:tc>
        <w:tc>
          <w:tcPr>
            <w:tcW w:w="2085" w:type="dxa"/>
            <w:noWrap w:val="0"/>
            <w:vAlign w:val="center"/>
          </w:tcPr>
          <w:p w14:paraId="05F26A59">
            <w:pPr>
              <w:adjustRightInd w:val="0"/>
              <w:snapToGrid w:val="0"/>
              <w:spacing w:line="360" w:lineRule="auto"/>
              <w:ind w:left="-88" w:leftChars="-42"/>
              <w:jc w:val="center"/>
              <w:rPr>
                <w:rFonts w:ascii="宋体" w:hAnsi="宋体"/>
                <w:color w:val="auto"/>
                <w:szCs w:val="21"/>
                <w:highlight w:val="none"/>
              </w:rPr>
            </w:pPr>
          </w:p>
        </w:tc>
        <w:tc>
          <w:tcPr>
            <w:tcW w:w="2783" w:type="dxa"/>
            <w:noWrap w:val="0"/>
            <w:vAlign w:val="center"/>
          </w:tcPr>
          <w:p w14:paraId="12AFA35F">
            <w:pPr>
              <w:adjustRightInd w:val="0"/>
              <w:snapToGrid w:val="0"/>
              <w:spacing w:line="360" w:lineRule="auto"/>
              <w:ind w:left="-88" w:leftChars="-42"/>
              <w:jc w:val="center"/>
              <w:rPr>
                <w:rFonts w:ascii="宋体" w:hAnsi="宋体"/>
                <w:color w:val="auto"/>
                <w:szCs w:val="21"/>
                <w:highlight w:val="none"/>
              </w:rPr>
            </w:pPr>
          </w:p>
        </w:tc>
        <w:tc>
          <w:tcPr>
            <w:tcW w:w="1299" w:type="dxa"/>
            <w:noWrap w:val="0"/>
            <w:vAlign w:val="center"/>
          </w:tcPr>
          <w:p w14:paraId="5CC8350D">
            <w:pPr>
              <w:adjustRightInd w:val="0"/>
              <w:snapToGrid w:val="0"/>
              <w:spacing w:line="360" w:lineRule="auto"/>
              <w:ind w:left="-88" w:leftChars="-42"/>
              <w:jc w:val="center"/>
              <w:rPr>
                <w:rFonts w:ascii="宋体" w:hAnsi="宋体"/>
                <w:color w:val="auto"/>
                <w:szCs w:val="21"/>
                <w:highlight w:val="none"/>
              </w:rPr>
            </w:pPr>
          </w:p>
        </w:tc>
        <w:tc>
          <w:tcPr>
            <w:tcW w:w="708" w:type="dxa"/>
            <w:noWrap w:val="0"/>
            <w:vAlign w:val="center"/>
          </w:tcPr>
          <w:p w14:paraId="47164CE4">
            <w:pPr>
              <w:adjustRightInd w:val="0"/>
              <w:snapToGrid w:val="0"/>
              <w:spacing w:line="360" w:lineRule="auto"/>
              <w:ind w:left="-88" w:leftChars="-42"/>
              <w:jc w:val="center"/>
              <w:rPr>
                <w:rFonts w:ascii="宋体" w:hAnsi="宋体"/>
                <w:color w:val="auto"/>
                <w:szCs w:val="21"/>
                <w:highlight w:val="none"/>
              </w:rPr>
            </w:pPr>
          </w:p>
        </w:tc>
      </w:tr>
      <w:tr w14:paraId="6F0778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679" w:type="dxa"/>
            <w:noWrap w:val="0"/>
            <w:vAlign w:val="top"/>
          </w:tcPr>
          <w:p w14:paraId="6FE0E5A5">
            <w:pPr>
              <w:adjustRightInd w:val="0"/>
              <w:snapToGrid w:val="0"/>
              <w:spacing w:line="360" w:lineRule="auto"/>
              <w:ind w:left="-88" w:leftChars="-42"/>
              <w:jc w:val="center"/>
              <w:rPr>
                <w:rFonts w:ascii="宋体" w:hAnsi="宋体"/>
                <w:color w:val="auto"/>
                <w:szCs w:val="21"/>
                <w:highlight w:val="none"/>
              </w:rPr>
            </w:pPr>
          </w:p>
        </w:tc>
        <w:tc>
          <w:tcPr>
            <w:tcW w:w="1803" w:type="dxa"/>
            <w:noWrap w:val="0"/>
            <w:vAlign w:val="center"/>
          </w:tcPr>
          <w:p w14:paraId="56F3825F">
            <w:pPr>
              <w:adjustRightInd w:val="0"/>
              <w:snapToGrid w:val="0"/>
              <w:spacing w:line="360" w:lineRule="auto"/>
              <w:ind w:left="-88" w:leftChars="-42"/>
              <w:jc w:val="center"/>
              <w:rPr>
                <w:rFonts w:ascii="宋体" w:hAnsi="宋体"/>
                <w:color w:val="auto"/>
                <w:szCs w:val="21"/>
                <w:highlight w:val="none"/>
              </w:rPr>
            </w:pPr>
          </w:p>
        </w:tc>
        <w:tc>
          <w:tcPr>
            <w:tcW w:w="2085" w:type="dxa"/>
            <w:noWrap w:val="0"/>
            <w:vAlign w:val="center"/>
          </w:tcPr>
          <w:p w14:paraId="50598983">
            <w:pPr>
              <w:adjustRightInd w:val="0"/>
              <w:snapToGrid w:val="0"/>
              <w:spacing w:line="360" w:lineRule="auto"/>
              <w:ind w:left="-88" w:leftChars="-42"/>
              <w:jc w:val="center"/>
              <w:rPr>
                <w:rFonts w:ascii="宋体" w:hAnsi="宋体"/>
                <w:color w:val="auto"/>
                <w:szCs w:val="21"/>
                <w:highlight w:val="none"/>
              </w:rPr>
            </w:pPr>
          </w:p>
        </w:tc>
        <w:tc>
          <w:tcPr>
            <w:tcW w:w="2783" w:type="dxa"/>
            <w:noWrap w:val="0"/>
            <w:vAlign w:val="center"/>
          </w:tcPr>
          <w:p w14:paraId="4969F554">
            <w:pPr>
              <w:adjustRightInd w:val="0"/>
              <w:snapToGrid w:val="0"/>
              <w:spacing w:line="360" w:lineRule="auto"/>
              <w:ind w:left="-88" w:leftChars="-42"/>
              <w:jc w:val="center"/>
              <w:rPr>
                <w:rFonts w:ascii="宋体" w:hAnsi="宋体"/>
                <w:color w:val="auto"/>
                <w:szCs w:val="21"/>
                <w:highlight w:val="none"/>
              </w:rPr>
            </w:pPr>
          </w:p>
        </w:tc>
        <w:tc>
          <w:tcPr>
            <w:tcW w:w="1299" w:type="dxa"/>
            <w:noWrap w:val="0"/>
            <w:vAlign w:val="center"/>
          </w:tcPr>
          <w:p w14:paraId="1415E7AF">
            <w:pPr>
              <w:adjustRightInd w:val="0"/>
              <w:snapToGrid w:val="0"/>
              <w:spacing w:line="360" w:lineRule="auto"/>
              <w:ind w:left="-88" w:leftChars="-42"/>
              <w:jc w:val="center"/>
              <w:rPr>
                <w:rFonts w:ascii="宋体" w:hAnsi="宋体"/>
                <w:color w:val="auto"/>
                <w:szCs w:val="21"/>
                <w:highlight w:val="none"/>
              </w:rPr>
            </w:pPr>
          </w:p>
        </w:tc>
        <w:tc>
          <w:tcPr>
            <w:tcW w:w="708" w:type="dxa"/>
            <w:noWrap w:val="0"/>
            <w:vAlign w:val="center"/>
          </w:tcPr>
          <w:p w14:paraId="639D30F4">
            <w:pPr>
              <w:adjustRightInd w:val="0"/>
              <w:snapToGrid w:val="0"/>
              <w:spacing w:line="360" w:lineRule="auto"/>
              <w:ind w:left="-88" w:leftChars="-42"/>
              <w:jc w:val="center"/>
              <w:rPr>
                <w:rFonts w:ascii="宋体" w:hAnsi="宋体"/>
                <w:color w:val="auto"/>
                <w:szCs w:val="21"/>
                <w:highlight w:val="none"/>
              </w:rPr>
            </w:pPr>
          </w:p>
        </w:tc>
      </w:tr>
    </w:tbl>
    <w:p w14:paraId="3B9F986E">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说明：</w:t>
      </w:r>
    </w:p>
    <w:p w14:paraId="5A8E1E1D">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1、“响应与偏离”应注明“响应”或“偏离”。</w:t>
      </w:r>
    </w:p>
    <w:p w14:paraId="6EAD93B0">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2、属磋商文件规定可能变动的内容在“说明”栏中注明。</w:t>
      </w:r>
    </w:p>
    <w:p w14:paraId="292358F4">
      <w:pPr>
        <w:adjustRightInd w:val="0"/>
        <w:snapToGrid w:val="0"/>
        <w:spacing w:line="360" w:lineRule="auto"/>
        <w:rPr>
          <w:rFonts w:ascii="宋体" w:hAnsi="宋体"/>
          <w:color w:val="auto"/>
          <w:szCs w:val="21"/>
          <w:highlight w:val="none"/>
        </w:rPr>
      </w:pPr>
    </w:p>
    <w:p w14:paraId="70071B97">
      <w:pPr>
        <w:pStyle w:val="14"/>
        <w:adjustRightInd w:val="0"/>
        <w:snapToGrid w:val="0"/>
        <w:spacing w:line="360" w:lineRule="auto"/>
        <w:outlineLvl w:val="0"/>
        <w:rPr>
          <w:rFonts w:ascii="宋体" w:hAnsi="宋体"/>
          <w:bCs/>
          <w:color w:val="auto"/>
          <w:sz w:val="21"/>
          <w:szCs w:val="21"/>
          <w:highlight w:val="none"/>
        </w:rPr>
      </w:pPr>
      <w:bookmarkStart w:id="254" w:name="_Toc15035"/>
      <w:bookmarkStart w:id="255" w:name="_Toc12624"/>
      <w:r>
        <w:rPr>
          <w:rFonts w:hint="eastAsia" w:ascii="宋体" w:hAnsi="宋体"/>
          <w:color w:val="auto"/>
          <w:sz w:val="21"/>
          <w:szCs w:val="21"/>
          <w:highlight w:val="none"/>
        </w:rPr>
        <w:t>供应商名称（盖单位章）：</w:t>
      </w:r>
      <w:bookmarkEnd w:id="254"/>
      <w:bookmarkEnd w:id="255"/>
      <w:r>
        <w:rPr>
          <w:rFonts w:hint="eastAsia" w:ascii="宋体" w:hAnsi="宋体"/>
          <w:color w:val="auto"/>
          <w:szCs w:val="21"/>
          <w:highlight w:val="none"/>
          <w:u w:val="single"/>
        </w:rPr>
        <w:t xml:space="preserve">        </w:t>
      </w:r>
    </w:p>
    <w:p w14:paraId="42FB5FCB">
      <w:pPr>
        <w:adjustRightInd w:val="0"/>
        <w:snapToGrid w:val="0"/>
        <w:spacing w:line="360" w:lineRule="auto"/>
        <w:outlineLvl w:val="0"/>
        <w:rPr>
          <w:rFonts w:ascii="宋体" w:hAnsi="宋体"/>
          <w:color w:val="auto"/>
          <w:szCs w:val="21"/>
          <w:highlight w:val="none"/>
        </w:rPr>
      </w:pPr>
      <w:bookmarkStart w:id="256" w:name="_Toc18422"/>
      <w:bookmarkStart w:id="257" w:name="_Toc7749"/>
      <w:r>
        <w:rPr>
          <w:rFonts w:hint="eastAsia" w:ascii="宋体" w:hAnsi="宋体"/>
          <w:color w:val="auto"/>
          <w:szCs w:val="21"/>
          <w:highlight w:val="none"/>
        </w:rPr>
        <w:t>法定代表人或其委托代理人(签字或盖章)：</w:t>
      </w:r>
      <w:bookmarkEnd w:id="256"/>
      <w:bookmarkEnd w:id="257"/>
      <w:r>
        <w:rPr>
          <w:rFonts w:hint="eastAsia" w:ascii="宋体" w:hAnsi="宋体"/>
          <w:color w:val="auto"/>
          <w:szCs w:val="21"/>
          <w:highlight w:val="none"/>
          <w:u w:val="single"/>
        </w:rPr>
        <w:t xml:space="preserve">        </w:t>
      </w:r>
    </w:p>
    <w:p w14:paraId="5F83BD3C">
      <w:pPr>
        <w:adjustRightInd w:val="0"/>
        <w:snapToGrid w:val="0"/>
        <w:spacing w:line="360" w:lineRule="auto"/>
        <w:outlineLvl w:val="0"/>
        <w:rPr>
          <w:rFonts w:ascii="宋体" w:hAnsi="宋体"/>
          <w:color w:val="auto"/>
          <w:szCs w:val="21"/>
          <w:highlight w:val="none"/>
        </w:rPr>
      </w:pPr>
      <w:bookmarkStart w:id="258" w:name="_Toc29797"/>
      <w:bookmarkStart w:id="259" w:name="_Toc2487"/>
      <w:r>
        <w:rPr>
          <w:rFonts w:hint="eastAsia" w:ascii="宋体" w:hAnsi="宋体"/>
          <w:color w:val="auto"/>
          <w:szCs w:val="21"/>
          <w:highlight w:val="none"/>
        </w:rPr>
        <w:t>日 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bookmarkEnd w:id="258"/>
      <w:bookmarkEnd w:id="259"/>
    </w:p>
    <w:p w14:paraId="2A03B82C">
      <w:pPr>
        <w:adjustRightInd w:val="0"/>
        <w:snapToGrid w:val="0"/>
        <w:spacing w:line="360" w:lineRule="auto"/>
        <w:rPr>
          <w:rFonts w:ascii="宋体" w:hAnsi="宋体"/>
          <w:color w:val="auto"/>
          <w:szCs w:val="21"/>
          <w:highlight w:val="none"/>
        </w:rPr>
      </w:pPr>
    </w:p>
    <w:p w14:paraId="73F210C4">
      <w:pPr>
        <w:pStyle w:val="6"/>
        <w:spacing w:line="360" w:lineRule="exact"/>
        <w:jc w:val="center"/>
        <w:rPr>
          <w:rFonts w:ascii="宋体"/>
          <w:color w:val="auto"/>
          <w:kern w:val="32"/>
          <w:szCs w:val="24"/>
          <w:highlight w:val="none"/>
        </w:rPr>
      </w:pPr>
      <w:r>
        <w:rPr>
          <w:rFonts w:ascii="宋体" w:hAnsi="宋体"/>
          <w:color w:val="auto"/>
          <w:sz w:val="32"/>
          <w:highlight w:val="none"/>
        </w:rPr>
        <w:br w:type="page"/>
      </w:r>
      <w:bookmarkStart w:id="260" w:name="_Toc17548"/>
      <w:bookmarkStart w:id="261" w:name="_Toc11196"/>
      <w:r>
        <w:rPr>
          <w:rFonts w:hint="eastAsia" w:ascii="宋体" w:hAnsi="宋体"/>
          <w:color w:val="auto"/>
          <w:sz w:val="32"/>
          <w:highlight w:val="none"/>
          <w:lang w:val="en-US" w:eastAsia="zh-CN"/>
        </w:rPr>
        <w:t>五</w:t>
      </w:r>
      <w:r>
        <w:rPr>
          <w:rFonts w:hint="eastAsia" w:ascii="宋体" w:hAnsi="宋体"/>
          <w:color w:val="auto"/>
          <w:sz w:val="32"/>
          <w:highlight w:val="none"/>
        </w:rPr>
        <w:t>、 报价一览表及报价文件</w:t>
      </w:r>
      <w:bookmarkEnd w:id="260"/>
      <w:bookmarkEnd w:id="261"/>
    </w:p>
    <w:p w14:paraId="28F29097">
      <w:pPr>
        <w:tabs>
          <w:tab w:val="left" w:pos="3600"/>
        </w:tabs>
        <w:adjustRightInd w:val="0"/>
        <w:snapToGrid w:val="0"/>
        <w:spacing w:line="360" w:lineRule="auto"/>
        <w:jc w:val="center"/>
        <w:rPr>
          <w:rFonts w:ascii="宋体" w:hAnsi="宋体"/>
          <w:b/>
          <w:color w:val="auto"/>
          <w:sz w:val="32"/>
          <w:szCs w:val="32"/>
          <w:highlight w:val="none"/>
        </w:rPr>
      </w:pPr>
    </w:p>
    <w:p w14:paraId="7392C037">
      <w:pPr>
        <w:adjustRightInd w:val="0"/>
        <w:snapToGrid w:val="0"/>
        <w:spacing w:line="360" w:lineRule="auto"/>
        <w:rPr>
          <w:rFonts w:ascii="宋体" w:hAnsi="宋体"/>
          <w:b/>
          <w:color w:val="auto"/>
          <w:sz w:val="28"/>
          <w:szCs w:val="28"/>
          <w:highlight w:val="none"/>
        </w:rPr>
      </w:pPr>
      <w:r>
        <w:rPr>
          <w:rFonts w:hint="eastAsia" w:ascii="宋体" w:hAnsi="宋体"/>
          <w:b/>
          <w:color w:val="auto"/>
          <w:sz w:val="28"/>
          <w:szCs w:val="28"/>
          <w:highlight w:val="none"/>
        </w:rPr>
        <w:t>附件</w:t>
      </w:r>
      <w:r>
        <w:rPr>
          <w:rFonts w:hint="eastAsia" w:ascii="宋体" w:hAnsi="宋体"/>
          <w:b/>
          <w:color w:val="auto"/>
          <w:sz w:val="28"/>
          <w:szCs w:val="28"/>
          <w:highlight w:val="none"/>
          <w:lang w:val="en-US" w:eastAsia="zh-CN"/>
        </w:rPr>
        <w:t>5</w:t>
      </w:r>
      <w:r>
        <w:rPr>
          <w:rFonts w:hint="eastAsia" w:ascii="宋体" w:hAnsi="宋体"/>
          <w:b/>
          <w:color w:val="auto"/>
          <w:sz w:val="28"/>
          <w:szCs w:val="28"/>
          <w:highlight w:val="none"/>
        </w:rPr>
        <w:t>-1</w:t>
      </w:r>
    </w:p>
    <w:p w14:paraId="4F33578E">
      <w:pPr>
        <w:pStyle w:val="35"/>
        <w:ind w:firstLine="0" w:firstLineChars="0"/>
        <w:jc w:val="center"/>
        <w:rPr>
          <w:color w:val="auto"/>
          <w:highlight w:val="none"/>
        </w:rPr>
      </w:pPr>
      <w:r>
        <w:rPr>
          <w:rFonts w:hint="eastAsia" w:ascii="宋体" w:hAnsi="宋体"/>
          <w:b/>
          <w:color w:val="auto"/>
          <w:sz w:val="28"/>
          <w:szCs w:val="28"/>
          <w:highlight w:val="none"/>
        </w:rPr>
        <w:t>报价一览表</w:t>
      </w:r>
    </w:p>
    <w:tbl>
      <w:tblPr>
        <w:tblStyle w:val="24"/>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3060"/>
        <w:gridCol w:w="1845"/>
        <w:gridCol w:w="2938"/>
      </w:tblGrid>
      <w:tr w14:paraId="2EFE7C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620" w:type="dxa"/>
            <w:vMerge w:val="restart"/>
            <w:tcBorders>
              <w:top w:val="double" w:color="auto" w:sz="4" w:space="0"/>
              <w:left w:val="double" w:color="auto" w:sz="4" w:space="0"/>
              <w:right w:val="single" w:color="auto" w:sz="6" w:space="0"/>
            </w:tcBorders>
            <w:noWrap w:val="0"/>
            <w:vAlign w:val="center"/>
          </w:tcPr>
          <w:p w14:paraId="11E08733">
            <w:pPr>
              <w:tabs>
                <w:tab w:val="left" w:pos="403"/>
                <w:tab w:val="center" w:pos="3781"/>
              </w:tabs>
              <w:spacing w:line="360" w:lineRule="auto"/>
              <w:ind w:right="-5206" w:rightChars="-2479" w:firstLine="210" w:firstLineChars="100"/>
              <w:rPr>
                <w:rFonts w:ascii="宋体" w:hAnsi="宋体"/>
                <w:color w:val="auto"/>
                <w:szCs w:val="21"/>
                <w:highlight w:val="none"/>
              </w:rPr>
            </w:pPr>
            <w:r>
              <w:rPr>
                <w:rFonts w:ascii="宋体" w:hAnsi="宋体"/>
                <w:color w:val="auto"/>
                <w:szCs w:val="21"/>
                <w:highlight w:val="none"/>
              </w:rPr>
              <w:t>项目名称</w:t>
            </w:r>
            <w:r>
              <w:rPr>
                <w:rFonts w:ascii="宋体" w:hAnsi="宋体"/>
                <w:color w:val="auto"/>
                <w:szCs w:val="21"/>
                <w:highlight w:val="none"/>
              </w:rPr>
              <w:tab/>
            </w:r>
            <w:r>
              <w:rPr>
                <w:rFonts w:ascii="宋体" w:hAnsi="宋体"/>
                <w:color w:val="auto"/>
                <w:szCs w:val="21"/>
                <w:highlight w:val="none"/>
              </w:rPr>
              <w:t>项目名称</w:t>
            </w:r>
          </w:p>
        </w:tc>
        <w:tc>
          <w:tcPr>
            <w:tcW w:w="3060" w:type="dxa"/>
            <w:vMerge w:val="restart"/>
            <w:tcBorders>
              <w:top w:val="double" w:color="auto" w:sz="4" w:space="0"/>
              <w:left w:val="single" w:color="auto" w:sz="6" w:space="0"/>
              <w:right w:val="single" w:color="auto" w:sz="6" w:space="0"/>
            </w:tcBorders>
            <w:noWrap w:val="0"/>
            <w:vAlign w:val="center"/>
          </w:tcPr>
          <w:p w14:paraId="0ACBC982">
            <w:pPr>
              <w:spacing w:line="360" w:lineRule="auto"/>
              <w:jc w:val="center"/>
              <w:rPr>
                <w:rFonts w:ascii="宋体" w:hAnsi="宋体"/>
                <w:color w:val="auto"/>
                <w:szCs w:val="21"/>
                <w:highlight w:val="none"/>
              </w:rPr>
            </w:pPr>
          </w:p>
        </w:tc>
        <w:tc>
          <w:tcPr>
            <w:tcW w:w="1845" w:type="dxa"/>
            <w:tcBorders>
              <w:top w:val="double" w:color="auto" w:sz="4" w:space="0"/>
              <w:left w:val="single" w:color="auto" w:sz="6" w:space="0"/>
              <w:bottom w:val="single" w:color="auto" w:sz="4" w:space="0"/>
              <w:right w:val="single" w:color="auto" w:sz="6" w:space="0"/>
            </w:tcBorders>
            <w:noWrap w:val="0"/>
            <w:vAlign w:val="center"/>
          </w:tcPr>
          <w:p w14:paraId="73467EB9">
            <w:pPr>
              <w:spacing w:line="360" w:lineRule="auto"/>
              <w:jc w:val="center"/>
              <w:rPr>
                <w:rFonts w:ascii="宋体" w:hAnsi="宋体"/>
                <w:color w:val="auto"/>
                <w:szCs w:val="21"/>
                <w:highlight w:val="none"/>
              </w:rPr>
            </w:pPr>
            <w:r>
              <w:rPr>
                <w:rFonts w:hint="eastAsia" w:ascii="宋体" w:hAnsi="宋体"/>
                <w:color w:val="auto"/>
                <w:szCs w:val="21"/>
                <w:highlight w:val="none"/>
              </w:rPr>
              <w:t>政府采购</w:t>
            </w:r>
            <w:r>
              <w:rPr>
                <w:rFonts w:ascii="宋体" w:hAnsi="宋体"/>
                <w:color w:val="auto"/>
                <w:szCs w:val="21"/>
                <w:highlight w:val="none"/>
              </w:rPr>
              <w:t>编号</w:t>
            </w:r>
          </w:p>
        </w:tc>
        <w:tc>
          <w:tcPr>
            <w:tcW w:w="2938" w:type="dxa"/>
            <w:tcBorders>
              <w:top w:val="double" w:color="auto" w:sz="4" w:space="0"/>
              <w:left w:val="single" w:color="auto" w:sz="6" w:space="0"/>
              <w:bottom w:val="single" w:color="auto" w:sz="4" w:space="0"/>
              <w:right w:val="double" w:color="auto" w:sz="4" w:space="0"/>
            </w:tcBorders>
            <w:noWrap w:val="0"/>
            <w:vAlign w:val="center"/>
          </w:tcPr>
          <w:p w14:paraId="43FB3841">
            <w:pPr>
              <w:spacing w:line="360" w:lineRule="auto"/>
              <w:jc w:val="center"/>
              <w:rPr>
                <w:rFonts w:ascii="宋体" w:hAnsi="宋体"/>
                <w:color w:val="auto"/>
                <w:szCs w:val="21"/>
                <w:highlight w:val="none"/>
              </w:rPr>
            </w:pPr>
          </w:p>
        </w:tc>
      </w:tr>
      <w:tr w14:paraId="2B8BA4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1620" w:type="dxa"/>
            <w:vMerge w:val="continue"/>
            <w:tcBorders>
              <w:left w:val="double" w:color="auto" w:sz="4" w:space="0"/>
              <w:bottom w:val="single" w:color="auto" w:sz="6" w:space="0"/>
              <w:right w:val="single" w:color="auto" w:sz="6" w:space="0"/>
            </w:tcBorders>
            <w:noWrap w:val="0"/>
            <w:vAlign w:val="center"/>
          </w:tcPr>
          <w:p w14:paraId="4F88B70F">
            <w:pPr>
              <w:tabs>
                <w:tab w:val="left" w:pos="403"/>
                <w:tab w:val="center" w:pos="3781"/>
              </w:tabs>
              <w:spacing w:line="360" w:lineRule="auto"/>
              <w:ind w:right="-5206" w:rightChars="-2479" w:firstLine="210" w:firstLineChars="100"/>
              <w:rPr>
                <w:rFonts w:ascii="宋体" w:hAnsi="宋体"/>
                <w:color w:val="auto"/>
                <w:szCs w:val="21"/>
                <w:highlight w:val="none"/>
              </w:rPr>
            </w:pPr>
          </w:p>
        </w:tc>
        <w:tc>
          <w:tcPr>
            <w:tcW w:w="3060" w:type="dxa"/>
            <w:vMerge w:val="continue"/>
            <w:tcBorders>
              <w:left w:val="single" w:color="auto" w:sz="6" w:space="0"/>
              <w:bottom w:val="single" w:color="auto" w:sz="6" w:space="0"/>
              <w:right w:val="single" w:color="auto" w:sz="6" w:space="0"/>
            </w:tcBorders>
            <w:noWrap w:val="0"/>
            <w:vAlign w:val="center"/>
          </w:tcPr>
          <w:p w14:paraId="59992CE4">
            <w:pPr>
              <w:spacing w:line="360" w:lineRule="auto"/>
              <w:jc w:val="center"/>
              <w:rPr>
                <w:rFonts w:ascii="宋体" w:hAnsi="宋体"/>
                <w:color w:val="auto"/>
                <w:szCs w:val="21"/>
                <w:highlight w:val="none"/>
              </w:rPr>
            </w:pPr>
          </w:p>
        </w:tc>
        <w:tc>
          <w:tcPr>
            <w:tcW w:w="1845" w:type="dxa"/>
            <w:tcBorders>
              <w:top w:val="single" w:color="auto" w:sz="4" w:space="0"/>
              <w:left w:val="single" w:color="auto" w:sz="6" w:space="0"/>
              <w:right w:val="single" w:color="auto" w:sz="6" w:space="0"/>
            </w:tcBorders>
            <w:noWrap w:val="0"/>
            <w:vAlign w:val="center"/>
          </w:tcPr>
          <w:p w14:paraId="5BC0DBE7">
            <w:pPr>
              <w:spacing w:line="360" w:lineRule="auto"/>
              <w:jc w:val="center"/>
              <w:rPr>
                <w:rFonts w:hint="eastAsia" w:ascii="宋体" w:hAnsi="宋体"/>
                <w:color w:val="auto"/>
                <w:szCs w:val="21"/>
                <w:highlight w:val="none"/>
              </w:rPr>
            </w:pPr>
            <w:r>
              <w:rPr>
                <w:rFonts w:hint="eastAsia" w:ascii="宋体" w:hAnsi="宋体"/>
                <w:color w:val="auto"/>
                <w:szCs w:val="21"/>
                <w:highlight w:val="none"/>
              </w:rPr>
              <w:t>招标代理</w:t>
            </w:r>
            <w:r>
              <w:rPr>
                <w:rFonts w:ascii="宋体" w:hAnsi="宋体"/>
                <w:color w:val="auto"/>
                <w:szCs w:val="21"/>
                <w:highlight w:val="none"/>
              </w:rPr>
              <w:t>编号</w:t>
            </w:r>
          </w:p>
        </w:tc>
        <w:tc>
          <w:tcPr>
            <w:tcW w:w="2938" w:type="dxa"/>
            <w:tcBorders>
              <w:top w:val="single" w:color="auto" w:sz="4" w:space="0"/>
              <w:left w:val="single" w:color="auto" w:sz="6" w:space="0"/>
              <w:right w:val="double" w:color="auto" w:sz="4" w:space="0"/>
            </w:tcBorders>
            <w:noWrap w:val="0"/>
            <w:vAlign w:val="center"/>
          </w:tcPr>
          <w:p w14:paraId="1E3C3EBB">
            <w:pPr>
              <w:spacing w:line="360" w:lineRule="auto"/>
              <w:jc w:val="center"/>
              <w:rPr>
                <w:rFonts w:hint="eastAsia" w:ascii="宋体" w:hAnsi="宋体"/>
                <w:color w:val="auto"/>
                <w:szCs w:val="21"/>
                <w:highlight w:val="none"/>
              </w:rPr>
            </w:pPr>
          </w:p>
        </w:tc>
      </w:tr>
      <w:tr w14:paraId="4CE48B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620" w:type="dxa"/>
            <w:tcBorders>
              <w:top w:val="single" w:color="auto" w:sz="6" w:space="0"/>
              <w:left w:val="double" w:color="auto" w:sz="4" w:space="0"/>
              <w:right w:val="single" w:color="auto" w:sz="6" w:space="0"/>
            </w:tcBorders>
            <w:noWrap w:val="0"/>
            <w:vAlign w:val="center"/>
          </w:tcPr>
          <w:p w14:paraId="70B6435A">
            <w:pPr>
              <w:spacing w:line="360" w:lineRule="auto"/>
              <w:jc w:val="center"/>
              <w:rPr>
                <w:rFonts w:ascii="宋体" w:hAnsi="宋体"/>
                <w:color w:val="auto"/>
                <w:szCs w:val="21"/>
                <w:highlight w:val="none"/>
              </w:rPr>
            </w:pPr>
            <w:r>
              <w:rPr>
                <w:rFonts w:hint="eastAsia" w:ascii="宋体" w:hAnsi="宋体"/>
                <w:color w:val="auto"/>
                <w:szCs w:val="21"/>
                <w:highlight w:val="none"/>
              </w:rPr>
              <w:t>品目分类编码</w:t>
            </w:r>
          </w:p>
        </w:tc>
        <w:tc>
          <w:tcPr>
            <w:tcW w:w="7843" w:type="dxa"/>
            <w:gridSpan w:val="3"/>
            <w:tcBorders>
              <w:top w:val="single" w:color="auto" w:sz="6" w:space="0"/>
              <w:left w:val="single" w:color="auto" w:sz="6" w:space="0"/>
              <w:bottom w:val="single" w:color="auto" w:sz="6" w:space="0"/>
              <w:right w:val="double" w:color="auto" w:sz="4" w:space="0"/>
            </w:tcBorders>
            <w:noWrap w:val="0"/>
            <w:vAlign w:val="center"/>
          </w:tcPr>
          <w:p w14:paraId="597D4144">
            <w:pPr>
              <w:spacing w:line="360" w:lineRule="auto"/>
              <w:rPr>
                <w:rFonts w:ascii="宋体" w:hAnsi="宋体"/>
                <w:color w:val="auto"/>
                <w:szCs w:val="21"/>
                <w:highlight w:val="none"/>
              </w:rPr>
            </w:pPr>
          </w:p>
        </w:tc>
      </w:tr>
      <w:tr w14:paraId="72D83B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90" w:hRule="atLeast"/>
        </w:trPr>
        <w:tc>
          <w:tcPr>
            <w:tcW w:w="1620" w:type="dxa"/>
            <w:tcBorders>
              <w:top w:val="single" w:color="auto" w:sz="6" w:space="0"/>
              <w:left w:val="double" w:color="auto" w:sz="4" w:space="0"/>
              <w:right w:val="single" w:color="auto" w:sz="6" w:space="0"/>
            </w:tcBorders>
            <w:noWrap w:val="0"/>
            <w:vAlign w:val="center"/>
          </w:tcPr>
          <w:p w14:paraId="07BBCAE7">
            <w:pPr>
              <w:spacing w:line="360" w:lineRule="auto"/>
              <w:jc w:val="center"/>
              <w:rPr>
                <w:rFonts w:ascii="宋体" w:hAnsi="宋体"/>
                <w:color w:val="auto"/>
                <w:szCs w:val="21"/>
                <w:highlight w:val="none"/>
              </w:rPr>
            </w:pPr>
            <w:r>
              <w:rPr>
                <w:rFonts w:ascii="宋体" w:hAnsi="宋体"/>
                <w:color w:val="auto"/>
                <w:szCs w:val="21"/>
                <w:highlight w:val="none"/>
              </w:rPr>
              <w:t>报价</w:t>
            </w:r>
          </w:p>
        </w:tc>
        <w:tc>
          <w:tcPr>
            <w:tcW w:w="7843" w:type="dxa"/>
            <w:gridSpan w:val="3"/>
            <w:tcBorders>
              <w:top w:val="single" w:color="auto" w:sz="6" w:space="0"/>
              <w:left w:val="single" w:color="auto" w:sz="6" w:space="0"/>
              <w:bottom w:val="single" w:color="auto" w:sz="6" w:space="0"/>
              <w:right w:val="double" w:color="auto" w:sz="4" w:space="0"/>
            </w:tcBorders>
            <w:noWrap w:val="0"/>
            <w:vAlign w:val="center"/>
          </w:tcPr>
          <w:p w14:paraId="45F894B1">
            <w:pPr>
              <w:spacing w:line="360" w:lineRule="auto"/>
              <w:rPr>
                <w:rFonts w:ascii="宋体" w:hAnsi="宋体"/>
                <w:color w:val="auto"/>
                <w:szCs w:val="21"/>
                <w:highlight w:val="none"/>
              </w:rPr>
            </w:pPr>
            <w:r>
              <w:rPr>
                <w:rFonts w:hint="eastAsia" w:ascii="宋体" w:hAnsi="宋体"/>
                <w:color w:val="auto"/>
                <w:szCs w:val="21"/>
                <w:highlight w:val="none"/>
              </w:rPr>
              <w:t>大写：</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元人民币整</w:t>
            </w:r>
          </w:p>
          <w:p w14:paraId="50718A66">
            <w:pPr>
              <w:spacing w:line="360" w:lineRule="auto"/>
              <w:rPr>
                <w:rFonts w:ascii="宋体" w:hAnsi="宋体"/>
                <w:color w:val="auto"/>
                <w:szCs w:val="21"/>
                <w:highlight w:val="none"/>
              </w:rPr>
            </w:pPr>
            <w:r>
              <w:rPr>
                <w:rFonts w:hint="eastAsia" w:ascii="宋体" w:hAnsi="宋体"/>
                <w:color w:val="auto"/>
                <w:szCs w:val="21"/>
                <w:highlight w:val="none"/>
              </w:rPr>
              <w:t>小写：</w:t>
            </w:r>
            <w:r>
              <w:rPr>
                <w:rFonts w:hint="default" w:ascii="Arial" w:hAnsi="Arial" w:cs="Arial"/>
                <w:color w:val="auto"/>
                <w:szCs w:val="21"/>
                <w:highlight w:val="none"/>
              </w:rPr>
              <w:t>¥</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元</w:t>
            </w:r>
          </w:p>
        </w:tc>
      </w:tr>
      <w:tr w14:paraId="571965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20" w:type="dxa"/>
            <w:tcBorders>
              <w:top w:val="single" w:color="auto" w:sz="6" w:space="0"/>
              <w:left w:val="double" w:color="auto" w:sz="4" w:space="0"/>
              <w:bottom w:val="single" w:color="auto" w:sz="4" w:space="0"/>
              <w:right w:val="single" w:color="auto" w:sz="6" w:space="0"/>
            </w:tcBorders>
            <w:noWrap w:val="0"/>
            <w:vAlign w:val="center"/>
          </w:tcPr>
          <w:p w14:paraId="41222E54">
            <w:pPr>
              <w:spacing w:line="360" w:lineRule="auto"/>
              <w:jc w:val="center"/>
              <w:rPr>
                <w:rFonts w:ascii="宋体" w:hAnsi="宋体"/>
                <w:color w:val="auto"/>
                <w:szCs w:val="21"/>
                <w:highlight w:val="none"/>
              </w:rPr>
            </w:pPr>
            <w:r>
              <w:rPr>
                <w:rFonts w:hint="eastAsia" w:ascii="宋体" w:hAnsi="宋体"/>
                <w:color w:val="auto"/>
                <w:szCs w:val="21"/>
                <w:highlight w:val="none"/>
              </w:rPr>
              <w:t>合同工期</w:t>
            </w:r>
          </w:p>
        </w:tc>
        <w:tc>
          <w:tcPr>
            <w:tcW w:w="7843" w:type="dxa"/>
            <w:gridSpan w:val="3"/>
            <w:tcBorders>
              <w:top w:val="single" w:color="auto" w:sz="6" w:space="0"/>
              <w:left w:val="single" w:color="auto" w:sz="6" w:space="0"/>
              <w:bottom w:val="single" w:color="auto" w:sz="4" w:space="0"/>
              <w:right w:val="double" w:color="auto" w:sz="4" w:space="0"/>
            </w:tcBorders>
            <w:noWrap w:val="0"/>
            <w:vAlign w:val="center"/>
          </w:tcPr>
          <w:p w14:paraId="0065E602">
            <w:pPr>
              <w:spacing w:line="360" w:lineRule="auto"/>
              <w:rPr>
                <w:rFonts w:ascii="宋体" w:hAnsi="宋体"/>
                <w:color w:val="auto"/>
                <w:szCs w:val="21"/>
                <w:highlight w:val="none"/>
              </w:rPr>
            </w:pPr>
          </w:p>
        </w:tc>
      </w:tr>
      <w:tr w14:paraId="4B7130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20" w:type="dxa"/>
            <w:tcBorders>
              <w:top w:val="single" w:color="auto" w:sz="4" w:space="0"/>
              <w:left w:val="double" w:color="auto" w:sz="4" w:space="0"/>
              <w:right w:val="single" w:color="auto" w:sz="6" w:space="0"/>
            </w:tcBorders>
            <w:noWrap w:val="0"/>
            <w:vAlign w:val="center"/>
          </w:tcPr>
          <w:p w14:paraId="673D241E">
            <w:pPr>
              <w:spacing w:line="360" w:lineRule="auto"/>
              <w:jc w:val="center"/>
              <w:rPr>
                <w:rFonts w:ascii="宋体" w:hAnsi="宋体"/>
                <w:color w:val="auto"/>
                <w:szCs w:val="21"/>
                <w:highlight w:val="none"/>
              </w:rPr>
            </w:pPr>
            <w:r>
              <w:rPr>
                <w:rFonts w:hint="eastAsia" w:ascii="宋体" w:hAnsi="宋体"/>
                <w:color w:val="auto"/>
                <w:szCs w:val="21"/>
                <w:highlight w:val="none"/>
              </w:rPr>
              <w:t>质量标准</w:t>
            </w:r>
          </w:p>
        </w:tc>
        <w:tc>
          <w:tcPr>
            <w:tcW w:w="7843" w:type="dxa"/>
            <w:gridSpan w:val="3"/>
            <w:tcBorders>
              <w:top w:val="single" w:color="auto" w:sz="4" w:space="0"/>
              <w:left w:val="single" w:color="auto" w:sz="6" w:space="0"/>
              <w:bottom w:val="single" w:color="auto" w:sz="6" w:space="0"/>
              <w:right w:val="double" w:color="auto" w:sz="4" w:space="0"/>
            </w:tcBorders>
            <w:noWrap w:val="0"/>
            <w:vAlign w:val="center"/>
          </w:tcPr>
          <w:p w14:paraId="2012A0CF">
            <w:pPr>
              <w:spacing w:line="360" w:lineRule="auto"/>
              <w:rPr>
                <w:rFonts w:ascii="宋体" w:hAnsi="宋体"/>
                <w:color w:val="auto"/>
                <w:szCs w:val="21"/>
                <w:highlight w:val="none"/>
              </w:rPr>
            </w:pPr>
          </w:p>
        </w:tc>
      </w:tr>
      <w:tr w14:paraId="2DA953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20" w:type="dxa"/>
            <w:tcBorders>
              <w:top w:val="single" w:color="auto" w:sz="6" w:space="0"/>
              <w:left w:val="double" w:color="auto" w:sz="4" w:space="0"/>
              <w:bottom w:val="single" w:color="auto" w:sz="6" w:space="0"/>
              <w:right w:val="single" w:color="auto" w:sz="6" w:space="0"/>
            </w:tcBorders>
            <w:noWrap w:val="0"/>
            <w:vAlign w:val="center"/>
          </w:tcPr>
          <w:p w14:paraId="64A40E32">
            <w:pPr>
              <w:spacing w:line="360" w:lineRule="auto"/>
              <w:jc w:val="center"/>
              <w:rPr>
                <w:rFonts w:ascii="宋体" w:hAnsi="宋体"/>
                <w:color w:val="auto"/>
                <w:szCs w:val="21"/>
                <w:highlight w:val="none"/>
              </w:rPr>
            </w:pPr>
            <w:r>
              <w:rPr>
                <w:rFonts w:hint="eastAsia" w:ascii="宋体" w:hAnsi="宋体"/>
                <w:color w:val="auto"/>
                <w:szCs w:val="21"/>
                <w:highlight w:val="none"/>
              </w:rPr>
              <w:t>保修承诺</w:t>
            </w:r>
          </w:p>
        </w:tc>
        <w:tc>
          <w:tcPr>
            <w:tcW w:w="7843" w:type="dxa"/>
            <w:gridSpan w:val="3"/>
            <w:tcBorders>
              <w:top w:val="single" w:color="auto" w:sz="6" w:space="0"/>
              <w:left w:val="single" w:color="auto" w:sz="6" w:space="0"/>
              <w:bottom w:val="single" w:color="auto" w:sz="6" w:space="0"/>
              <w:right w:val="double" w:color="auto" w:sz="4" w:space="0"/>
            </w:tcBorders>
            <w:noWrap w:val="0"/>
            <w:vAlign w:val="center"/>
          </w:tcPr>
          <w:p w14:paraId="070D3644">
            <w:pPr>
              <w:spacing w:line="360" w:lineRule="auto"/>
              <w:rPr>
                <w:rFonts w:ascii="宋体" w:hAnsi="宋体"/>
                <w:iCs/>
                <w:color w:val="auto"/>
                <w:szCs w:val="21"/>
                <w:highlight w:val="none"/>
              </w:rPr>
            </w:pPr>
          </w:p>
        </w:tc>
      </w:tr>
      <w:tr w14:paraId="00CEAE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20" w:type="dxa"/>
            <w:tcBorders>
              <w:top w:val="single" w:color="auto" w:sz="6" w:space="0"/>
              <w:left w:val="double" w:color="auto" w:sz="4" w:space="0"/>
              <w:bottom w:val="single" w:color="auto" w:sz="6" w:space="0"/>
              <w:right w:val="single" w:color="auto" w:sz="6" w:space="0"/>
            </w:tcBorders>
            <w:noWrap w:val="0"/>
            <w:vAlign w:val="center"/>
          </w:tcPr>
          <w:p w14:paraId="0988D4D9">
            <w:pPr>
              <w:spacing w:line="360" w:lineRule="auto"/>
              <w:jc w:val="center"/>
              <w:rPr>
                <w:rFonts w:ascii="宋体" w:hAnsi="宋体"/>
                <w:color w:val="auto"/>
                <w:szCs w:val="21"/>
                <w:highlight w:val="none"/>
              </w:rPr>
            </w:pPr>
            <w:r>
              <w:rPr>
                <w:rFonts w:hint="eastAsia" w:ascii="宋体" w:hAnsi="宋体"/>
                <w:color w:val="auto"/>
                <w:szCs w:val="21"/>
                <w:highlight w:val="none"/>
              </w:rPr>
              <w:t>项目负责人</w:t>
            </w:r>
          </w:p>
        </w:tc>
        <w:tc>
          <w:tcPr>
            <w:tcW w:w="7843" w:type="dxa"/>
            <w:gridSpan w:val="3"/>
            <w:tcBorders>
              <w:top w:val="single" w:color="auto" w:sz="6" w:space="0"/>
              <w:left w:val="single" w:color="auto" w:sz="6" w:space="0"/>
              <w:bottom w:val="single" w:color="auto" w:sz="6" w:space="0"/>
              <w:right w:val="double" w:color="auto" w:sz="4" w:space="0"/>
            </w:tcBorders>
            <w:noWrap w:val="0"/>
            <w:vAlign w:val="center"/>
          </w:tcPr>
          <w:p w14:paraId="62AF9633">
            <w:pPr>
              <w:spacing w:line="360" w:lineRule="auto"/>
              <w:rPr>
                <w:rFonts w:ascii="宋体" w:hAnsi="宋体"/>
                <w:color w:val="auto"/>
                <w:szCs w:val="21"/>
                <w:highlight w:val="none"/>
              </w:rPr>
            </w:pPr>
            <w:r>
              <w:rPr>
                <w:rFonts w:hint="eastAsia" w:ascii="宋体" w:hAnsi="宋体"/>
                <w:color w:val="auto"/>
                <w:szCs w:val="21"/>
                <w:highlight w:val="none"/>
              </w:rPr>
              <w:t>姓名：</w:t>
            </w:r>
          </w:p>
          <w:p w14:paraId="7F8DC184">
            <w:pPr>
              <w:spacing w:line="360" w:lineRule="auto"/>
              <w:rPr>
                <w:rFonts w:ascii="宋体" w:hAnsi="宋体"/>
                <w:color w:val="auto"/>
                <w:szCs w:val="21"/>
                <w:highlight w:val="none"/>
              </w:rPr>
            </w:pPr>
            <w:r>
              <w:rPr>
                <w:rFonts w:hint="eastAsia" w:ascii="宋体" w:hAnsi="宋体"/>
                <w:color w:val="auto"/>
                <w:szCs w:val="21"/>
                <w:highlight w:val="none"/>
              </w:rPr>
              <w:t>级别：</w:t>
            </w:r>
          </w:p>
          <w:p w14:paraId="66F02DDC">
            <w:pPr>
              <w:spacing w:line="360" w:lineRule="auto"/>
              <w:rPr>
                <w:rFonts w:ascii="宋体" w:hAnsi="宋体"/>
                <w:color w:val="auto"/>
                <w:szCs w:val="21"/>
                <w:highlight w:val="none"/>
              </w:rPr>
            </w:pPr>
            <w:r>
              <w:rPr>
                <w:rFonts w:hint="eastAsia" w:ascii="宋体" w:hAnsi="宋体"/>
                <w:color w:val="auto"/>
                <w:szCs w:val="21"/>
                <w:highlight w:val="none"/>
              </w:rPr>
              <w:t>注册证号：</w:t>
            </w:r>
          </w:p>
          <w:p w14:paraId="6C883C85">
            <w:pPr>
              <w:spacing w:line="360" w:lineRule="auto"/>
              <w:rPr>
                <w:rFonts w:ascii="宋体" w:hAnsi="宋体"/>
                <w:color w:val="auto"/>
                <w:szCs w:val="21"/>
                <w:highlight w:val="none"/>
              </w:rPr>
            </w:pPr>
            <w:r>
              <w:rPr>
                <w:rFonts w:hint="eastAsia" w:ascii="宋体" w:hAnsi="宋体"/>
                <w:color w:val="auto"/>
                <w:szCs w:val="21"/>
                <w:highlight w:val="none"/>
              </w:rPr>
              <w:t>B类安全生产考核合格证号：</w:t>
            </w:r>
          </w:p>
          <w:p w14:paraId="6FEAE9D0">
            <w:pPr>
              <w:spacing w:line="360" w:lineRule="auto"/>
              <w:rPr>
                <w:rFonts w:ascii="宋体" w:hAnsi="宋体"/>
                <w:color w:val="auto"/>
                <w:szCs w:val="21"/>
                <w:highlight w:val="none"/>
              </w:rPr>
            </w:pPr>
            <w:r>
              <w:rPr>
                <w:rFonts w:hint="eastAsia" w:ascii="宋体" w:hAnsi="宋体"/>
                <w:color w:val="auto"/>
                <w:szCs w:val="21"/>
                <w:highlight w:val="none"/>
              </w:rPr>
              <w:t>身份证号：</w:t>
            </w:r>
          </w:p>
        </w:tc>
      </w:tr>
      <w:tr w14:paraId="7A2B6C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20" w:type="dxa"/>
            <w:tcBorders>
              <w:top w:val="single" w:color="auto" w:sz="6" w:space="0"/>
              <w:left w:val="double" w:color="auto" w:sz="4" w:space="0"/>
              <w:bottom w:val="double" w:color="auto" w:sz="4" w:space="0"/>
              <w:right w:val="single" w:color="auto" w:sz="6" w:space="0"/>
            </w:tcBorders>
            <w:noWrap w:val="0"/>
            <w:vAlign w:val="center"/>
          </w:tcPr>
          <w:p w14:paraId="5019BFDC">
            <w:pPr>
              <w:spacing w:line="360" w:lineRule="auto"/>
              <w:jc w:val="center"/>
              <w:rPr>
                <w:rFonts w:ascii="宋体" w:hAnsi="宋体"/>
                <w:color w:val="auto"/>
                <w:szCs w:val="21"/>
                <w:highlight w:val="none"/>
              </w:rPr>
            </w:pPr>
            <w:r>
              <w:rPr>
                <w:rFonts w:ascii="宋体" w:hAnsi="宋体"/>
                <w:color w:val="auto"/>
                <w:szCs w:val="21"/>
                <w:highlight w:val="none"/>
              </w:rPr>
              <w:t>备  注</w:t>
            </w:r>
          </w:p>
        </w:tc>
        <w:tc>
          <w:tcPr>
            <w:tcW w:w="7843" w:type="dxa"/>
            <w:gridSpan w:val="3"/>
            <w:tcBorders>
              <w:top w:val="single" w:color="auto" w:sz="6" w:space="0"/>
              <w:left w:val="single" w:color="auto" w:sz="6" w:space="0"/>
              <w:bottom w:val="double" w:color="auto" w:sz="4" w:space="0"/>
              <w:right w:val="double" w:color="auto" w:sz="4" w:space="0"/>
            </w:tcBorders>
            <w:noWrap w:val="0"/>
            <w:vAlign w:val="center"/>
          </w:tcPr>
          <w:p w14:paraId="2FA8F603">
            <w:pPr>
              <w:spacing w:line="360" w:lineRule="auto"/>
              <w:rPr>
                <w:rFonts w:ascii="宋体" w:hAnsi="宋体"/>
                <w:color w:val="auto"/>
                <w:szCs w:val="21"/>
                <w:highlight w:val="none"/>
              </w:rPr>
            </w:pPr>
          </w:p>
        </w:tc>
      </w:tr>
    </w:tbl>
    <w:p w14:paraId="1F13CB25">
      <w:pPr>
        <w:adjustRightInd w:val="0"/>
        <w:snapToGrid w:val="0"/>
        <w:spacing w:line="360" w:lineRule="auto"/>
        <w:ind w:left="-88" w:leftChars="-42"/>
        <w:rPr>
          <w:rFonts w:ascii="宋体" w:hAnsi="宋体"/>
          <w:color w:val="auto"/>
          <w:szCs w:val="21"/>
          <w:highlight w:val="none"/>
        </w:rPr>
      </w:pPr>
    </w:p>
    <w:p w14:paraId="2356E5BD">
      <w:pPr>
        <w:pStyle w:val="14"/>
        <w:adjustRightInd w:val="0"/>
        <w:snapToGrid w:val="0"/>
        <w:spacing w:line="360" w:lineRule="auto"/>
        <w:outlineLvl w:val="0"/>
        <w:rPr>
          <w:rFonts w:ascii="宋体" w:hAnsi="宋体"/>
          <w:bCs/>
          <w:color w:val="auto"/>
          <w:sz w:val="21"/>
          <w:szCs w:val="21"/>
          <w:highlight w:val="none"/>
        </w:rPr>
      </w:pPr>
      <w:bookmarkStart w:id="262" w:name="_Toc8243"/>
      <w:bookmarkStart w:id="263" w:name="_Toc25799"/>
      <w:r>
        <w:rPr>
          <w:rFonts w:hint="eastAsia" w:ascii="宋体" w:hAnsi="宋体"/>
          <w:color w:val="auto"/>
          <w:sz w:val="21"/>
          <w:szCs w:val="21"/>
          <w:highlight w:val="none"/>
        </w:rPr>
        <w:t>供应商名称：</w:t>
      </w:r>
      <w:bookmarkEnd w:id="262"/>
      <w:bookmarkEnd w:id="263"/>
      <w:r>
        <w:rPr>
          <w:rFonts w:hint="eastAsia" w:ascii="宋体" w:hAnsi="宋体"/>
          <w:color w:val="auto"/>
          <w:szCs w:val="21"/>
          <w:highlight w:val="none"/>
          <w:u w:val="single"/>
        </w:rPr>
        <w:t xml:space="preserve">        </w:t>
      </w:r>
    </w:p>
    <w:p w14:paraId="056B548F">
      <w:pPr>
        <w:adjustRightInd w:val="0"/>
        <w:snapToGrid w:val="0"/>
        <w:spacing w:line="360" w:lineRule="auto"/>
        <w:outlineLvl w:val="0"/>
        <w:rPr>
          <w:rFonts w:ascii="宋体" w:hAnsi="宋体"/>
          <w:color w:val="auto"/>
          <w:szCs w:val="21"/>
          <w:highlight w:val="none"/>
          <w:u w:val="single"/>
        </w:rPr>
      </w:pPr>
      <w:bookmarkStart w:id="264" w:name="_Toc888"/>
      <w:bookmarkStart w:id="265" w:name="_Toc14309"/>
      <w:r>
        <w:rPr>
          <w:rFonts w:hint="eastAsia" w:ascii="宋体" w:hAnsi="宋体"/>
          <w:color w:val="auto"/>
          <w:szCs w:val="21"/>
          <w:highlight w:val="none"/>
        </w:rPr>
        <w:t>法定代表人或其委托代理人(签字或盖章)：</w:t>
      </w:r>
      <w:bookmarkEnd w:id="264"/>
      <w:bookmarkEnd w:id="265"/>
      <w:r>
        <w:rPr>
          <w:rFonts w:hint="eastAsia" w:ascii="宋体" w:hAnsi="宋体"/>
          <w:color w:val="auto"/>
          <w:szCs w:val="21"/>
          <w:highlight w:val="none"/>
          <w:u w:val="single"/>
        </w:rPr>
        <w:t xml:space="preserve">        </w:t>
      </w:r>
    </w:p>
    <w:p w14:paraId="2A89BDC6">
      <w:pPr>
        <w:spacing w:line="360" w:lineRule="auto"/>
        <w:rPr>
          <w:rFonts w:ascii="宋体" w:hAnsi="宋体"/>
          <w:color w:val="auto"/>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3DFCA6FE">
      <w:pPr>
        <w:adjustRightInd w:val="0"/>
        <w:snapToGrid w:val="0"/>
        <w:spacing w:line="360" w:lineRule="auto"/>
        <w:rPr>
          <w:rFonts w:ascii="宋体" w:hAnsi="宋体"/>
          <w:color w:val="auto"/>
          <w:szCs w:val="21"/>
          <w:highlight w:val="none"/>
        </w:rPr>
      </w:pPr>
    </w:p>
    <w:p w14:paraId="744DBF03">
      <w:pPr>
        <w:adjustRightInd w:val="0"/>
        <w:snapToGrid w:val="0"/>
        <w:spacing w:line="360" w:lineRule="auto"/>
        <w:rPr>
          <w:rFonts w:ascii="宋体" w:hAnsi="宋体"/>
          <w:b/>
          <w:color w:val="auto"/>
          <w:szCs w:val="21"/>
          <w:highlight w:val="none"/>
        </w:rPr>
        <w:sectPr>
          <w:pgSz w:w="11906" w:h="16838"/>
          <w:pgMar w:top="1418" w:right="1134" w:bottom="1134" w:left="1418" w:header="851" w:footer="850" w:gutter="0"/>
          <w:pgNumType w:fmt="decimal"/>
          <w:cols w:space="720" w:num="1"/>
          <w:docGrid w:type="lines" w:linePitch="312" w:charSpace="0"/>
        </w:sectPr>
      </w:pPr>
      <w:r>
        <w:rPr>
          <w:rFonts w:hint="eastAsia" w:ascii="宋体" w:hAnsi="宋体"/>
          <w:b/>
          <w:color w:val="auto"/>
          <w:szCs w:val="21"/>
          <w:highlight w:val="none"/>
        </w:rPr>
        <w:t>注：首次报价表须装订在响应文件中。</w:t>
      </w:r>
    </w:p>
    <w:p w14:paraId="0F634645">
      <w:pPr>
        <w:adjustRightInd w:val="0"/>
        <w:snapToGrid w:val="0"/>
        <w:spacing w:line="360" w:lineRule="auto"/>
        <w:rPr>
          <w:color w:val="auto"/>
          <w:highlight w:val="none"/>
        </w:rPr>
      </w:pPr>
      <w:bookmarkStart w:id="266" w:name="_Toc500271160"/>
      <w:bookmarkStart w:id="267" w:name="_Toc500269631"/>
      <w:bookmarkStart w:id="268" w:name="_Toc500271419"/>
      <w:bookmarkStart w:id="269" w:name="_Toc500271331"/>
      <w:r>
        <w:rPr>
          <w:rFonts w:hint="eastAsia" w:ascii="宋体" w:hAnsi="宋体"/>
          <w:b/>
          <w:color w:val="auto"/>
          <w:sz w:val="28"/>
          <w:szCs w:val="28"/>
          <w:highlight w:val="none"/>
        </w:rPr>
        <w:t>附件</w:t>
      </w:r>
      <w:r>
        <w:rPr>
          <w:rFonts w:hint="eastAsia" w:ascii="宋体" w:hAnsi="宋体"/>
          <w:b/>
          <w:color w:val="auto"/>
          <w:sz w:val="28"/>
          <w:szCs w:val="28"/>
          <w:highlight w:val="none"/>
          <w:lang w:val="en-US" w:eastAsia="zh-CN"/>
        </w:rPr>
        <w:t>5</w:t>
      </w:r>
      <w:r>
        <w:rPr>
          <w:rFonts w:hint="eastAsia" w:ascii="宋体" w:hAnsi="宋体"/>
          <w:b/>
          <w:color w:val="auto"/>
          <w:sz w:val="28"/>
          <w:szCs w:val="28"/>
          <w:highlight w:val="none"/>
        </w:rPr>
        <w:t>-2</w:t>
      </w:r>
    </w:p>
    <w:p w14:paraId="7A260A05">
      <w:pPr>
        <w:pStyle w:val="35"/>
        <w:ind w:firstLine="0" w:firstLineChars="0"/>
        <w:jc w:val="center"/>
        <w:rPr>
          <w:rFonts w:ascii="宋体" w:hAnsi="宋体"/>
          <w:b/>
          <w:color w:val="auto"/>
          <w:sz w:val="28"/>
          <w:szCs w:val="28"/>
          <w:highlight w:val="none"/>
        </w:rPr>
      </w:pPr>
      <w:r>
        <w:rPr>
          <w:rFonts w:hint="eastAsia" w:ascii="宋体" w:hAnsi="宋体"/>
          <w:b/>
          <w:color w:val="auto"/>
          <w:sz w:val="28"/>
          <w:szCs w:val="28"/>
          <w:highlight w:val="none"/>
        </w:rPr>
        <w:t>分项报价表</w:t>
      </w:r>
    </w:p>
    <w:p w14:paraId="2D86001C">
      <w:pPr>
        <w:pStyle w:val="7"/>
        <w:spacing w:before="0" w:after="0" w:line="360" w:lineRule="auto"/>
        <w:jc w:val="center"/>
        <w:rPr>
          <w:color w:val="auto"/>
          <w:highlight w:val="none"/>
        </w:rPr>
      </w:pPr>
      <w:bookmarkStart w:id="270" w:name="_Toc12669"/>
      <w:bookmarkStart w:id="271" w:name="_Toc26344"/>
      <w:r>
        <w:rPr>
          <w:rFonts w:hint="eastAsia"/>
          <w:color w:val="auto"/>
          <w:highlight w:val="none"/>
        </w:rPr>
        <w:t>工程量清单</w:t>
      </w:r>
      <w:bookmarkEnd w:id="266"/>
      <w:bookmarkEnd w:id="267"/>
      <w:bookmarkEnd w:id="268"/>
      <w:bookmarkEnd w:id="269"/>
      <w:bookmarkEnd w:id="270"/>
      <w:bookmarkEnd w:id="271"/>
    </w:p>
    <w:p w14:paraId="5C128ADD">
      <w:pPr>
        <w:keepNext w:val="0"/>
        <w:keepLines w:val="0"/>
        <w:pageBreakBefore w:val="0"/>
        <w:widowControl w:val="0"/>
        <w:kinsoku/>
        <w:wordWrap/>
        <w:overflowPunct/>
        <w:topLinePunct w:val="0"/>
        <w:autoSpaceDE w:val="0"/>
        <w:autoSpaceDN w:val="0"/>
        <w:bidi w:val="0"/>
        <w:adjustRightInd w:val="0"/>
        <w:spacing w:line="400" w:lineRule="exact"/>
        <w:ind w:right="-23" w:firstLine="420" w:firstLineChars="200"/>
        <w:jc w:val="left"/>
        <w:textAlignment w:val="auto"/>
        <w:rPr>
          <w:rFonts w:ascii="宋体" w:hAnsi="宋体" w:cs="宋体"/>
          <w:bCs/>
          <w:color w:val="auto"/>
          <w:kern w:val="0"/>
          <w:szCs w:val="21"/>
          <w:highlight w:val="none"/>
        </w:rPr>
      </w:pPr>
      <w:bookmarkStart w:id="272" w:name="_Toc40993568"/>
      <w:bookmarkStart w:id="273" w:name="_Toc300678595"/>
      <w:bookmarkStart w:id="274" w:name="_Toc9178592"/>
      <w:r>
        <w:rPr>
          <w:rFonts w:hint="eastAsia" w:ascii="宋体" w:hAnsi="宋体" w:cs="宋体"/>
          <w:bCs/>
          <w:color w:val="auto"/>
          <w:kern w:val="0"/>
          <w:szCs w:val="21"/>
          <w:highlight w:val="none"/>
        </w:rPr>
        <w:t>1.已标价工程量清单内容</w:t>
      </w:r>
      <w:bookmarkEnd w:id="272"/>
      <w:bookmarkEnd w:id="273"/>
      <w:bookmarkEnd w:id="274"/>
    </w:p>
    <w:p w14:paraId="3FA7713D">
      <w:pPr>
        <w:keepNext w:val="0"/>
        <w:keepLines w:val="0"/>
        <w:pageBreakBefore w:val="0"/>
        <w:widowControl w:val="0"/>
        <w:kinsoku/>
        <w:wordWrap/>
        <w:overflowPunct/>
        <w:topLinePunct w:val="0"/>
        <w:bidi w:val="0"/>
        <w:snapToGrid w:val="0"/>
        <w:spacing w:line="4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（1）投标总价封面；</w:t>
      </w:r>
    </w:p>
    <w:p w14:paraId="69E02E40">
      <w:pPr>
        <w:keepNext w:val="0"/>
        <w:keepLines w:val="0"/>
        <w:pageBreakBefore w:val="0"/>
        <w:widowControl w:val="0"/>
        <w:kinsoku/>
        <w:wordWrap/>
        <w:overflowPunct/>
        <w:topLinePunct w:val="0"/>
        <w:bidi w:val="0"/>
        <w:snapToGrid w:val="0"/>
        <w:spacing w:line="4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（2）投标总价扉页</w:t>
      </w:r>
    </w:p>
    <w:p w14:paraId="31593D7E">
      <w:pPr>
        <w:keepNext w:val="0"/>
        <w:keepLines w:val="0"/>
        <w:pageBreakBefore w:val="0"/>
        <w:widowControl w:val="0"/>
        <w:kinsoku/>
        <w:wordWrap/>
        <w:overflowPunct/>
        <w:topLinePunct w:val="0"/>
        <w:bidi w:val="0"/>
        <w:snapToGrid w:val="0"/>
        <w:spacing w:line="4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（3）工程计价总说明</w:t>
      </w:r>
    </w:p>
    <w:p w14:paraId="31FCB329">
      <w:pPr>
        <w:keepNext w:val="0"/>
        <w:keepLines w:val="0"/>
        <w:pageBreakBefore w:val="0"/>
        <w:widowControl w:val="0"/>
        <w:kinsoku/>
        <w:wordWrap/>
        <w:overflowPunct/>
        <w:topLinePunct w:val="0"/>
        <w:bidi w:val="0"/>
        <w:snapToGrid w:val="0"/>
        <w:spacing w:line="4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（4）建设项目投标报价汇总表</w:t>
      </w:r>
    </w:p>
    <w:p w14:paraId="484EEAE3">
      <w:pPr>
        <w:keepNext w:val="0"/>
        <w:keepLines w:val="0"/>
        <w:pageBreakBefore w:val="0"/>
        <w:widowControl w:val="0"/>
        <w:kinsoku/>
        <w:wordWrap/>
        <w:overflowPunct/>
        <w:topLinePunct w:val="0"/>
        <w:bidi w:val="0"/>
        <w:snapToGrid w:val="0"/>
        <w:spacing w:line="4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（5）单项工程投标报价汇总表</w:t>
      </w:r>
    </w:p>
    <w:p w14:paraId="5067B463">
      <w:pPr>
        <w:keepNext w:val="0"/>
        <w:keepLines w:val="0"/>
        <w:pageBreakBefore w:val="0"/>
        <w:widowControl w:val="0"/>
        <w:kinsoku/>
        <w:wordWrap/>
        <w:overflowPunct/>
        <w:topLinePunct w:val="0"/>
        <w:bidi w:val="0"/>
        <w:snapToGrid w:val="0"/>
        <w:spacing w:line="4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（6）单位工程投标报价汇总表</w:t>
      </w:r>
    </w:p>
    <w:p w14:paraId="5AE50AF2">
      <w:pPr>
        <w:keepNext w:val="0"/>
        <w:keepLines w:val="0"/>
        <w:pageBreakBefore w:val="0"/>
        <w:widowControl w:val="0"/>
        <w:kinsoku/>
        <w:wordWrap/>
        <w:overflowPunct/>
        <w:topLinePunct w:val="0"/>
        <w:bidi w:val="0"/>
        <w:snapToGrid w:val="0"/>
        <w:spacing w:line="4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（7）分部分项工程项目清单与措施项目清单计价表</w:t>
      </w:r>
    </w:p>
    <w:p w14:paraId="2B8F31AD">
      <w:pPr>
        <w:keepNext w:val="0"/>
        <w:keepLines w:val="0"/>
        <w:pageBreakBefore w:val="0"/>
        <w:widowControl w:val="0"/>
        <w:kinsoku/>
        <w:wordWrap/>
        <w:overflowPunct/>
        <w:topLinePunct w:val="0"/>
        <w:bidi w:val="0"/>
        <w:snapToGrid w:val="0"/>
        <w:spacing w:line="4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（8）综合单价分析表</w:t>
      </w:r>
    </w:p>
    <w:p w14:paraId="028DB9F3">
      <w:pPr>
        <w:keepNext w:val="0"/>
        <w:keepLines w:val="0"/>
        <w:pageBreakBefore w:val="0"/>
        <w:widowControl w:val="0"/>
        <w:kinsoku/>
        <w:wordWrap/>
        <w:overflowPunct/>
        <w:topLinePunct w:val="0"/>
        <w:bidi w:val="0"/>
        <w:snapToGrid w:val="0"/>
        <w:spacing w:line="4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（9）总价措施项目清单计费表</w:t>
      </w:r>
    </w:p>
    <w:p w14:paraId="4D71A08E">
      <w:pPr>
        <w:keepNext w:val="0"/>
        <w:keepLines w:val="0"/>
        <w:pageBreakBefore w:val="0"/>
        <w:widowControl w:val="0"/>
        <w:kinsoku/>
        <w:wordWrap/>
        <w:overflowPunct/>
        <w:topLinePunct w:val="0"/>
        <w:bidi w:val="0"/>
        <w:snapToGrid w:val="0"/>
        <w:spacing w:line="4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（10）绿色施工安全防护措施项目费计价表（招投标）</w:t>
      </w:r>
    </w:p>
    <w:p w14:paraId="64AACF5E">
      <w:pPr>
        <w:keepNext w:val="0"/>
        <w:keepLines w:val="0"/>
        <w:pageBreakBefore w:val="0"/>
        <w:widowControl w:val="0"/>
        <w:kinsoku/>
        <w:wordWrap/>
        <w:overflowPunct/>
        <w:topLinePunct w:val="0"/>
        <w:bidi w:val="0"/>
        <w:snapToGrid w:val="0"/>
        <w:spacing w:line="4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（11）其他项目清单与计价汇总表</w:t>
      </w:r>
    </w:p>
    <w:p w14:paraId="36FA1580">
      <w:pPr>
        <w:keepNext w:val="0"/>
        <w:keepLines w:val="0"/>
        <w:pageBreakBefore w:val="0"/>
        <w:widowControl w:val="0"/>
        <w:kinsoku/>
        <w:wordWrap/>
        <w:overflowPunct/>
        <w:topLinePunct w:val="0"/>
        <w:bidi w:val="0"/>
        <w:snapToGrid w:val="0"/>
        <w:spacing w:line="4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（12）暂列金额明细表</w:t>
      </w:r>
    </w:p>
    <w:p w14:paraId="792C81B7">
      <w:pPr>
        <w:keepNext w:val="0"/>
        <w:keepLines w:val="0"/>
        <w:pageBreakBefore w:val="0"/>
        <w:widowControl w:val="0"/>
        <w:kinsoku/>
        <w:wordWrap/>
        <w:overflowPunct/>
        <w:topLinePunct w:val="0"/>
        <w:bidi w:val="0"/>
        <w:snapToGrid w:val="0"/>
        <w:spacing w:line="4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（13）材料暂估单价及调整表</w:t>
      </w:r>
    </w:p>
    <w:p w14:paraId="037FC4C3">
      <w:pPr>
        <w:keepNext w:val="0"/>
        <w:keepLines w:val="0"/>
        <w:pageBreakBefore w:val="0"/>
        <w:widowControl w:val="0"/>
        <w:kinsoku/>
        <w:wordWrap/>
        <w:overflowPunct/>
        <w:topLinePunct w:val="0"/>
        <w:bidi w:val="0"/>
        <w:snapToGrid w:val="0"/>
        <w:spacing w:line="4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（14）专业工程/分部分项工程暂估价及结算价表</w:t>
      </w:r>
    </w:p>
    <w:p w14:paraId="6F011954">
      <w:pPr>
        <w:keepNext w:val="0"/>
        <w:keepLines w:val="0"/>
        <w:pageBreakBefore w:val="0"/>
        <w:widowControl w:val="0"/>
        <w:kinsoku/>
        <w:wordWrap/>
        <w:overflowPunct/>
        <w:topLinePunct w:val="0"/>
        <w:bidi w:val="0"/>
        <w:snapToGrid w:val="0"/>
        <w:spacing w:line="4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（15）计日工表</w:t>
      </w:r>
    </w:p>
    <w:p w14:paraId="182D97A2">
      <w:pPr>
        <w:keepNext w:val="0"/>
        <w:keepLines w:val="0"/>
        <w:pageBreakBefore w:val="0"/>
        <w:widowControl w:val="0"/>
        <w:kinsoku/>
        <w:wordWrap/>
        <w:overflowPunct/>
        <w:topLinePunct w:val="0"/>
        <w:bidi w:val="0"/>
        <w:snapToGrid w:val="0"/>
        <w:spacing w:line="4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（16）总承包服务费计价表</w:t>
      </w:r>
    </w:p>
    <w:p w14:paraId="6C959228">
      <w:pPr>
        <w:keepNext w:val="0"/>
        <w:keepLines w:val="0"/>
        <w:pageBreakBefore w:val="0"/>
        <w:widowControl w:val="0"/>
        <w:kinsoku/>
        <w:wordWrap/>
        <w:overflowPunct/>
        <w:topLinePunct w:val="0"/>
        <w:bidi w:val="0"/>
        <w:snapToGrid w:val="0"/>
        <w:spacing w:line="4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（17）部分其他项目费计价表</w:t>
      </w:r>
    </w:p>
    <w:p w14:paraId="54E86BF9">
      <w:pPr>
        <w:keepNext w:val="0"/>
        <w:keepLines w:val="0"/>
        <w:pageBreakBefore w:val="0"/>
        <w:widowControl w:val="0"/>
        <w:kinsoku/>
        <w:wordWrap/>
        <w:overflowPunct/>
        <w:topLinePunct w:val="0"/>
        <w:bidi w:val="0"/>
        <w:snapToGrid w:val="0"/>
        <w:spacing w:line="4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（18）发包人提供材料一览表</w:t>
      </w:r>
    </w:p>
    <w:p w14:paraId="75614223">
      <w:pPr>
        <w:keepNext w:val="0"/>
        <w:keepLines w:val="0"/>
        <w:pageBreakBefore w:val="0"/>
        <w:widowControl w:val="0"/>
        <w:kinsoku/>
        <w:wordWrap/>
        <w:overflowPunct/>
        <w:topLinePunct w:val="0"/>
        <w:bidi w:val="0"/>
        <w:snapToGrid w:val="0"/>
        <w:spacing w:line="4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（19）人工、材料、机械汇总表</w:t>
      </w:r>
    </w:p>
    <w:p w14:paraId="404EA229">
      <w:pPr>
        <w:keepNext w:val="0"/>
        <w:keepLines w:val="0"/>
        <w:pageBreakBefore w:val="0"/>
        <w:widowControl w:val="0"/>
        <w:kinsoku/>
        <w:wordWrap/>
        <w:overflowPunct/>
        <w:topLinePunct w:val="0"/>
        <w:bidi w:val="0"/>
        <w:snapToGrid w:val="0"/>
        <w:spacing w:line="4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（19）重点评审的工程量清单综合单价（含单价措施项目）表</w:t>
      </w:r>
    </w:p>
    <w:p w14:paraId="246EFF18">
      <w:pPr>
        <w:keepNext w:val="0"/>
        <w:keepLines w:val="0"/>
        <w:pageBreakBefore w:val="0"/>
        <w:widowControl w:val="0"/>
        <w:kinsoku/>
        <w:wordWrap/>
        <w:overflowPunct/>
        <w:topLinePunct w:val="0"/>
        <w:bidi w:val="0"/>
        <w:snapToGrid w:val="0"/>
        <w:spacing w:line="4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（20）重点评审的材料单价表</w:t>
      </w:r>
    </w:p>
    <w:p w14:paraId="45A3CF57">
      <w:pPr>
        <w:keepNext w:val="0"/>
        <w:keepLines w:val="0"/>
        <w:pageBreakBefore w:val="0"/>
        <w:widowControl w:val="0"/>
        <w:kinsoku/>
        <w:wordWrap/>
        <w:overflowPunct/>
        <w:topLinePunct w:val="0"/>
        <w:autoSpaceDE w:val="0"/>
        <w:autoSpaceDN w:val="0"/>
        <w:bidi w:val="0"/>
        <w:adjustRightInd w:val="0"/>
        <w:snapToGrid w:val="0"/>
        <w:spacing w:line="400" w:lineRule="exact"/>
        <w:ind w:right="-23"/>
        <w:jc w:val="left"/>
        <w:textAlignment w:val="auto"/>
        <w:rPr>
          <w:rFonts w:ascii="宋体" w:hAnsi="宋体" w:cs="宋体"/>
          <w:bCs/>
          <w:color w:val="auto"/>
          <w:kern w:val="0"/>
          <w:szCs w:val="21"/>
          <w:highlight w:val="none"/>
        </w:rPr>
      </w:pPr>
      <w:r>
        <w:rPr>
          <w:rFonts w:hint="eastAsia" w:ascii="宋体" w:hAnsi="宋体" w:cs="宋体"/>
          <w:color w:val="auto"/>
          <w:szCs w:val="21"/>
          <w:highlight w:val="none"/>
        </w:rPr>
        <w:t>说明：以上表格如为空白表格，可不提供。</w:t>
      </w:r>
      <w:bookmarkStart w:id="275" w:name="_Toc40993569"/>
    </w:p>
    <w:p w14:paraId="46885AE8">
      <w:pPr>
        <w:keepNext w:val="0"/>
        <w:keepLines w:val="0"/>
        <w:pageBreakBefore w:val="0"/>
        <w:widowControl w:val="0"/>
        <w:kinsoku/>
        <w:wordWrap/>
        <w:overflowPunct/>
        <w:topLinePunct w:val="0"/>
        <w:bidi w:val="0"/>
        <w:snapToGrid w:val="0"/>
        <w:spacing w:line="40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2.已标价工程量清单格式</w:t>
      </w:r>
      <w:bookmarkEnd w:id="275"/>
    </w:p>
    <w:p w14:paraId="75F1294E">
      <w:pPr>
        <w:keepNext w:val="0"/>
        <w:keepLines w:val="0"/>
        <w:pageBreakBefore w:val="0"/>
        <w:widowControl w:val="0"/>
        <w:kinsoku/>
        <w:wordWrap/>
        <w:overflowPunct/>
        <w:topLinePunct w:val="0"/>
        <w:bidi w:val="0"/>
        <w:snapToGrid w:val="0"/>
        <w:spacing w:line="40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已标价工程量清单按照《关于印发2020&lt;湖南省建设工程计价办法&gt;及&lt;湖南省建设工程消耗量标准&gt;的通知》（湘建价〔2020〕56号）等文件规定的格式填写。由计价软件打印的已标价工程量清单与上述文件格式不一致的，以计价软件打印的表格为准。</w:t>
      </w:r>
    </w:p>
    <w:p w14:paraId="09081A7C">
      <w:pPr>
        <w:keepNext w:val="0"/>
        <w:keepLines w:val="0"/>
        <w:pageBreakBefore w:val="0"/>
        <w:widowControl w:val="0"/>
        <w:kinsoku/>
        <w:wordWrap/>
        <w:overflowPunct/>
        <w:topLinePunct w:val="0"/>
        <w:bidi w:val="0"/>
        <w:snapToGrid w:val="0"/>
        <w:spacing w:line="400" w:lineRule="exact"/>
        <w:ind w:firstLine="420" w:firstLineChars="200"/>
        <w:textAlignment w:val="auto"/>
        <w:rPr>
          <w:rFonts w:hint="eastAsia" w:ascii="宋体" w:hAnsi="宋体"/>
          <w:b/>
          <w:color w:val="auto"/>
          <w:sz w:val="32"/>
          <w:szCs w:val="32"/>
          <w:highlight w:val="none"/>
        </w:rPr>
      </w:pPr>
      <w:r>
        <w:rPr>
          <w:rFonts w:hint="eastAsia" w:ascii="宋体" w:hAnsi="宋体" w:eastAsia="宋体" w:cs="宋体"/>
          <w:color w:val="auto"/>
          <w:szCs w:val="21"/>
          <w:highlight w:val="none"/>
          <w:lang w:val="en-US" w:eastAsia="zh-CN"/>
        </w:rPr>
        <w:t>注：</w:t>
      </w:r>
      <w:r>
        <w:rPr>
          <w:rFonts w:hint="eastAsia" w:ascii="宋体" w:hAnsi="宋体" w:eastAsia="宋体" w:cs="宋体"/>
          <w:color w:val="auto"/>
          <w:szCs w:val="21"/>
          <w:highlight w:val="none"/>
        </w:rPr>
        <w:t>投标报价的绿色施工安全措施费费率、暂列金额（不可预见费）和暂估价、清单编码、数量、名称、单位必须与公布的招标工程量清单一致，否则按废标处理</w:t>
      </w:r>
      <w:r>
        <w:rPr>
          <w:rFonts w:hint="eastAsia" w:ascii="宋体" w:hAnsi="宋体" w:eastAsia="宋体" w:cs="宋体"/>
          <w:color w:val="auto"/>
          <w:szCs w:val="21"/>
          <w:highlight w:val="none"/>
          <w:lang w:eastAsia="zh-CN"/>
        </w:rPr>
        <w:t>。</w:t>
      </w:r>
    </w:p>
    <w:p w14:paraId="3609F625">
      <w:pPr>
        <w:adjustRightInd w:val="0"/>
        <w:snapToGrid w:val="0"/>
        <w:spacing w:line="360" w:lineRule="auto"/>
        <w:ind w:left="-88" w:leftChars="-42"/>
        <w:jc w:val="center"/>
        <w:rPr>
          <w:rFonts w:ascii="宋体" w:hAnsi="宋体"/>
          <w:b/>
          <w:bCs/>
          <w:color w:val="auto"/>
          <w:sz w:val="32"/>
          <w:szCs w:val="32"/>
          <w:highlight w:val="none"/>
        </w:rPr>
      </w:pPr>
      <w:r>
        <w:rPr>
          <w:rFonts w:hint="eastAsia" w:ascii="宋体" w:hAnsi="宋体"/>
          <w:b/>
          <w:color w:val="auto"/>
          <w:sz w:val="32"/>
          <w:szCs w:val="32"/>
          <w:highlight w:val="none"/>
          <w:lang w:val="en-US" w:eastAsia="zh-CN"/>
        </w:rPr>
        <w:t>六</w:t>
      </w:r>
      <w:r>
        <w:rPr>
          <w:rFonts w:hint="eastAsia" w:ascii="宋体" w:hAnsi="宋体"/>
          <w:b/>
          <w:color w:val="auto"/>
          <w:sz w:val="32"/>
          <w:szCs w:val="32"/>
          <w:highlight w:val="none"/>
        </w:rPr>
        <w:t>、提供享受政府采购政策优惠的证明资料和清单表</w:t>
      </w:r>
    </w:p>
    <w:p w14:paraId="34564156">
      <w:pPr>
        <w:widowControl/>
        <w:snapToGrid w:val="0"/>
        <w:spacing w:line="360" w:lineRule="auto"/>
        <w:jc w:val="center"/>
        <w:rPr>
          <w:rFonts w:hint="eastAsia" w:ascii="宋体"/>
          <w:b/>
          <w:color w:val="auto"/>
          <w:spacing w:val="6"/>
          <w:sz w:val="28"/>
          <w:highlight w:val="none"/>
        </w:rPr>
      </w:pPr>
    </w:p>
    <w:p w14:paraId="3833CAAE">
      <w:pPr>
        <w:widowControl/>
        <w:snapToGrid w:val="0"/>
        <w:spacing w:line="360" w:lineRule="auto"/>
        <w:jc w:val="left"/>
        <w:rPr>
          <w:rFonts w:ascii="宋体"/>
          <w:b/>
          <w:color w:val="auto"/>
          <w:spacing w:val="6"/>
          <w:sz w:val="28"/>
          <w:highlight w:val="none"/>
        </w:rPr>
      </w:pPr>
      <w:r>
        <w:rPr>
          <w:rFonts w:hint="eastAsia" w:ascii="宋体"/>
          <w:b/>
          <w:color w:val="auto"/>
          <w:spacing w:val="6"/>
          <w:sz w:val="28"/>
          <w:highlight w:val="none"/>
          <w:lang w:val="en-US" w:eastAsia="zh-CN"/>
        </w:rPr>
        <w:t>附件6.1</w:t>
      </w:r>
      <w:r>
        <w:rPr>
          <w:rFonts w:hint="eastAsia" w:ascii="宋体"/>
          <w:b/>
          <w:color w:val="auto"/>
          <w:spacing w:val="6"/>
          <w:sz w:val="28"/>
          <w:highlight w:val="none"/>
        </w:rPr>
        <w:t>中小企业声明函</w:t>
      </w:r>
    </w:p>
    <w:p w14:paraId="4714CD66">
      <w:pPr>
        <w:pStyle w:val="42"/>
        <w:rPr>
          <w:color w:val="auto"/>
          <w:highlight w:val="none"/>
        </w:rPr>
      </w:pPr>
      <w:r>
        <w:rPr>
          <w:rFonts w:hint="eastAsia" w:ascii="宋体"/>
          <w:b/>
          <w:color w:val="auto"/>
          <w:spacing w:val="6"/>
          <w:sz w:val="28"/>
          <w:highlight w:val="none"/>
        </w:rPr>
        <w:t>中小企业声明函</w:t>
      </w:r>
    </w:p>
    <w:p w14:paraId="2935E173">
      <w:pPr>
        <w:widowControl/>
        <w:snapToGrid w:val="0"/>
        <w:spacing w:line="420" w:lineRule="exact"/>
        <w:ind w:firstLine="442"/>
        <w:jc w:val="left"/>
        <w:rPr>
          <w:rFonts w:ascii="宋体"/>
          <w:color w:val="auto"/>
          <w:spacing w:val="6"/>
          <w:szCs w:val="22"/>
          <w:highlight w:val="none"/>
        </w:rPr>
      </w:pPr>
      <w:r>
        <w:rPr>
          <w:rFonts w:hint="eastAsia" w:ascii="宋体"/>
          <w:color w:val="auto"/>
          <w:spacing w:val="6"/>
          <w:szCs w:val="22"/>
          <w:highlight w:val="none"/>
        </w:rPr>
        <w:t>本公司（联合体）郑重声明，根据《政府采购促进中小企业发展管理办法》（财库﹝2020﹞46号）的规定，本公司（联合体）参加</w:t>
      </w:r>
      <w:r>
        <w:rPr>
          <w:rFonts w:hint="eastAsia" w:ascii="宋体"/>
          <w:color w:val="auto"/>
          <w:spacing w:val="6"/>
          <w:szCs w:val="22"/>
          <w:highlight w:val="none"/>
          <w:u w:val="single"/>
        </w:rPr>
        <w:t xml:space="preserve">                </w:t>
      </w:r>
      <w:r>
        <w:rPr>
          <w:rFonts w:hint="eastAsia" w:ascii="宋体"/>
          <w:color w:val="auto"/>
          <w:spacing w:val="6"/>
          <w:szCs w:val="22"/>
          <w:highlight w:val="none"/>
        </w:rPr>
        <w:t>（单位名称）的</w:t>
      </w:r>
      <w:r>
        <w:rPr>
          <w:rFonts w:hint="eastAsia" w:ascii="宋体"/>
          <w:color w:val="auto"/>
          <w:spacing w:val="6"/>
          <w:szCs w:val="22"/>
          <w:highlight w:val="none"/>
          <w:u w:val="single"/>
        </w:rPr>
        <w:t xml:space="preserve">              </w:t>
      </w:r>
      <w:r>
        <w:rPr>
          <w:rFonts w:hint="eastAsia" w:ascii="宋体"/>
          <w:color w:val="auto"/>
          <w:spacing w:val="6"/>
          <w:szCs w:val="22"/>
          <w:highlight w:val="none"/>
        </w:rPr>
        <w:t>（项目名称）采购活动，工程的施工单位全部为符合政策要求的小微企业（或者：服务全部由符合政策要求的小微企业承接）。相关企业（含联合体中的小微企业、签订分包意向协议的小微企业）的具体情况如下：</w:t>
      </w:r>
    </w:p>
    <w:p w14:paraId="56FD7D81">
      <w:pPr>
        <w:widowControl/>
        <w:numPr>
          <w:ilvl w:val="0"/>
          <w:numId w:val="3"/>
        </w:numPr>
        <w:snapToGrid w:val="0"/>
        <w:spacing w:line="420" w:lineRule="exact"/>
        <w:ind w:firstLine="442"/>
        <w:jc w:val="left"/>
        <w:rPr>
          <w:rFonts w:ascii="宋体"/>
          <w:color w:val="auto"/>
          <w:spacing w:val="6"/>
          <w:szCs w:val="22"/>
          <w:highlight w:val="none"/>
        </w:rPr>
      </w:pPr>
      <w:r>
        <w:rPr>
          <w:rFonts w:hint="eastAsia" w:ascii="宋体"/>
          <w:color w:val="auto"/>
          <w:spacing w:val="6"/>
          <w:szCs w:val="22"/>
          <w:highlight w:val="none"/>
          <w:u w:val="single"/>
        </w:rPr>
        <w:t xml:space="preserve">            </w:t>
      </w:r>
      <w:r>
        <w:rPr>
          <w:rFonts w:hint="eastAsia" w:ascii="宋体"/>
          <w:color w:val="auto"/>
          <w:spacing w:val="6"/>
          <w:szCs w:val="22"/>
          <w:highlight w:val="none"/>
        </w:rPr>
        <w:t>（标的名称），属于</w:t>
      </w:r>
      <w:r>
        <w:rPr>
          <w:rFonts w:hint="eastAsia" w:ascii="宋体"/>
          <w:color w:val="auto"/>
          <w:spacing w:val="6"/>
          <w:szCs w:val="22"/>
          <w:highlight w:val="none"/>
          <w:u w:val="single"/>
        </w:rPr>
        <w:t xml:space="preserve"> 建筑业  </w:t>
      </w:r>
      <w:r>
        <w:rPr>
          <w:rFonts w:hint="eastAsia" w:ascii="宋体"/>
          <w:color w:val="auto"/>
          <w:spacing w:val="6"/>
          <w:szCs w:val="22"/>
          <w:highlight w:val="none"/>
        </w:rPr>
        <w:t>（采购文件中明确的所属行业）；承建（承接）企业为</w:t>
      </w:r>
      <w:r>
        <w:rPr>
          <w:rFonts w:hint="eastAsia" w:ascii="宋体"/>
          <w:color w:val="auto"/>
          <w:spacing w:val="6"/>
          <w:szCs w:val="22"/>
          <w:highlight w:val="none"/>
          <w:u w:val="single"/>
        </w:rPr>
        <w:t xml:space="preserve">                </w:t>
      </w:r>
      <w:r>
        <w:rPr>
          <w:rFonts w:hint="eastAsia" w:ascii="宋体"/>
          <w:color w:val="auto"/>
          <w:spacing w:val="6"/>
          <w:szCs w:val="22"/>
          <w:highlight w:val="none"/>
        </w:rPr>
        <w:t>（企业名称），从业人员    人，营业收入为     万元，资产总额为</w:t>
      </w:r>
      <w:r>
        <w:rPr>
          <w:rFonts w:hint="eastAsia" w:ascii="宋体"/>
          <w:color w:val="auto"/>
          <w:spacing w:val="6"/>
          <w:szCs w:val="22"/>
          <w:highlight w:val="none"/>
          <w:u w:val="single"/>
        </w:rPr>
        <w:t xml:space="preserve">        </w:t>
      </w:r>
      <w:r>
        <w:rPr>
          <w:rFonts w:hint="eastAsia" w:ascii="宋体"/>
          <w:color w:val="auto"/>
          <w:spacing w:val="6"/>
          <w:szCs w:val="22"/>
          <w:highlight w:val="none"/>
        </w:rPr>
        <w:t>万元，属于</w:t>
      </w:r>
      <w:r>
        <w:rPr>
          <w:rFonts w:hint="eastAsia" w:ascii="宋体"/>
          <w:color w:val="auto"/>
          <w:spacing w:val="6"/>
          <w:szCs w:val="22"/>
          <w:highlight w:val="none"/>
          <w:u w:val="single"/>
        </w:rPr>
        <w:t xml:space="preserve">       </w:t>
      </w:r>
      <w:r>
        <w:rPr>
          <w:rFonts w:hint="eastAsia" w:ascii="宋体"/>
          <w:color w:val="auto"/>
          <w:spacing w:val="6"/>
          <w:szCs w:val="22"/>
          <w:highlight w:val="none"/>
        </w:rPr>
        <w:t>（小型企业、微型企业）；</w:t>
      </w:r>
    </w:p>
    <w:p w14:paraId="05610B52">
      <w:pPr>
        <w:widowControl/>
        <w:numPr>
          <w:ilvl w:val="0"/>
          <w:numId w:val="3"/>
        </w:numPr>
        <w:snapToGrid w:val="0"/>
        <w:spacing w:line="420" w:lineRule="exact"/>
        <w:ind w:firstLine="442"/>
        <w:jc w:val="left"/>
        <w:rPr>
          <w:rFonts w:ascii="宋体"/>
          <w:color w:val="auto"/>
          <w:spacing w:val="6"/>
          <w:szCs w:val="22"/>
          <w:highlight w:val="none"/>
        </w:rPr>
      </w:pPr>
      <w:r>
        <w:rPr>
          <w:rFonts w:hint="eastAsia" w:ascii="宋体"/>
          <w:color w:val="auto"/>
          <w:spacing w:val="6"/>
          <w:szCs w:val="22"/>
          <w:highlight w:val="none"/>
          <w:u w:val="single"/>
        </w:rPr>
        <w:t xml:space="preserve">            </w:t>
      </w:r>
      <w:r>
        <w:rPr>
          <w:rFonts w:hint="eastAsia" w:ascii="宋体"/>
          <w:color w:val="auto"/>
          <w:spacing w:val="6"/>
          <w:szCs w:val="22"/>
          <w:highlight w:val="none"/>
        </w:rPr>
        <w:t>（标的名称），属于</w:t>
      </w:r>
      <w:r>
        <w:rPr>
          <w:rFonts w:hint="eastAsia" w:ascii="宋体"/>
          <w:color w:val="auto"/>
          <w:spacing w:val="6"/>
          <w:szCs w:val="22"/>
          <w:highlight w:val="none"/>
          <w:u w:val="single"/>
        </w:rPr>
        <w:t xml:space="preserve">  建筑业  </w:t>
      </w:r>
      <w:r>
        <w:rPr>
          <w:rFonts w:hint="eastAsia" w:ascii="宋体"/>
          <w:color w:val="auto"/>
          <w:spacing w:val="6"/>
          <w:szCs w:val="22"/>
          <w:highlight w:val="none"/>
        </w:rPr>
        <w:t>（采购文件中明确的所属行业）；承建（承接）企业为</w:t>
      </w:r>
      <w:r>
        <w:rPr>
          <w:rFonts w:hint="eastAsia" w:ascii="宋体"/>
          <w:color w:val="auto"/>
          <w:spacing w:val="6"/>
          <w:szCs w:val="22"/>
          <w:highlight w:val="none"/>
          <w:u w:val="single"/>
        </w:rPr>
        <w:t xml:space="preserve">                </w:t>
      </w:r>
      <w:r>
        <w:rPr>
          <w:rFonts w:hint="eastAsia" w:ascii="宋体"/>
          <w:color w:val="auto"/>
          <w:spacing w:val="6"/>
          <w:szCs w:val="22"/>
          <w:highlight w:val="none"/>
        </w:rPr>
        <w:t>（企业名称），从业人员    人，营业收入为     万元，资产总额为</w:t>
      </w:r>
      <w:r>
        <w:rPr>
          <w:rFonts w:hint="eastAsia" w:ascii="宋体"/>
          <w:color w:val="auto"/>
          <w:spacing w:val="6"/>
          <w:szCs w:val="22"/>
          <w:highlight w:val="none"/>
          <w:u w:val="single"/>
        </w:rPr>
        <w:t xml:space="preserve">        </w:t>
      </w:r>
      <w:r>
        <w:rPr>
          <w:rFonts w:hint="eastAsia" w:ascii="宋体"/>
          <w:color w:val="auto"/>
          <w:spacing w:val="6"/>
          <w:szCs w:val="22"/>
          <w:highlight w:val="none"/>
        </w:rPr>
        <w:t>万元，属于</w:t>
      </w:r>
      <w:r>
        <w:rPr>
          <w:rFonts w:hint="eastAsia" w:ascii="宋体"/>
          <w:color w:val="auto"/>
          <w:spacing w:val="6"/>
          <w:szCs w:val="22"/>
          <w:highlight w:val="none"/>
          <w:u w:val="single"/>
        </w:rPr>
        <w:t xml:space="preserve">       </w:t>
      </w:r>
      <w:r>
        <w:rPr>
          <w:rFonts w:hint="eastAsia" w:ascii="宋体"/>
          <w:color w:val="auto"/>
          <w:spacing w:val="6"/>
          <w:szCs w:val="22"/>
          <w:highlight w:val="none"/>
        </w:rPr>
        <w:t>（小型企业、微型企业）；</w:t>
      </w:r>
    </w:p>
    <w:p w14:paraId="1F7D38C0">
      <w:pPr>
        <w:widowControl/>
        <w:snapToGrid w:val="0"/>
        <w:spacing w:line="420" w:lineRule="exact"/>
        <w:ind w:left="442"/>
        <w:jc w:val="left"/>
        <w:rPr>
          <w:rFonts w:ascii="宋体"/>
          <w:color w:val="auto"/>
          <w:spacing w:val="6"/>
          <w:szCs w:val="22"/>
          <w:highlight w:val="none"/>
        </w:rPr>
      </w:pPr>
      <w:r>
        <w:rPr>
          <w:rFonts w:hint="eastAsia" w:ascii="宋体"/>
          <w:color w:val="auto"/>
          <w:spacing w:val="6"/>
          <w:szCs w:val="22"/>
          <w:highlight w:val="none"/>
        </w:rPr>
        <w:t>……</w:t>
      </w:r>
    </w:p>
    <w:p w14:paraId="1617548E">
      <w:pPr>
        <w:widowControl/>
        <w:snapToGrid w:val="0"/>
        <w:spacing w:line="420" w:lineRule="exact"/>
        <w:ind w:firstLine="444" w:firstLineChars="200"/>
        <w:jc w:val="left"/>
        <w:rPr>
          <w:rFonts w:ascii="宋体"/>
          <w:color w:val="auto"/>
          <w:spacing w:val="6"/>
          <w:szCs w:val="22"/>
          <w:highlight w:val="none"/>
        </w:rPr>
      </w:pPr>
      <w:r>
        <w:rPr>
          <w:rFonts w:hint="eastAsia" w:ascii="宋体"/>
          <w:color w:val="auto"/>
          <w:spacing w:val="6"/>
          <w:szCs w:val="22"/>
          <w:highlight w:val="none"/>
        </w:rPr>
        <w:t>以上企业，不属于大、中企业的分支机构，不存在控股股东为大、中企业的情形，也不存在与大、中企业的负责人为同一人的情形。</w:t>
      </w:r>
    </w:p>
    <w:p w14:paraId="54DC8D6C">
      <w:pPr>
        <w:widowControl/>
        <w:snapToGrid w:val="0"/>
        <w:spacing w:line="420" w:lineRule="exact"/>
        <w:ind w:firstLine="444" w:firstLineChars="200"/>
        <w:jc w:val="left"/>
        <w:rPr>
          <w:rFonts w:ascii="宋体"/>
          <w:color w:val="auto"/>
          <w:spacing w:val="6"/>
          <w:szCs w:val="22"/>
          <w:highlight w:val="none"/>
        </w:rPr>
      </w:pPr>
      <w:r>
        <w:rPr>
          <w:rFonts w:hint="eastAsia" w:ascii="宋体"/>
          <w:color w:val="auto"/>
          <w:spacing w:val="6"/>
          <w:szCs w:val="22"/>
          <w:highlight w:val="none"/>
        </w:rPr>
        <w:t>本企业对上述声明内容的真实性负责。如有虚假，将依法承担相应责任。</w:t>
      </w:r>
    </w:p>
    <w:p w14:paraId="310AA517">
      <w:pPr>
        <w:pStyle w:val="42"/>
        <w:rPr>
          <w:rFonts w:ascii="宋体"/>
          <w:color w:val="auto"/>
          <w:spacing w:val="6"/>
          <w:szCs w:val="22"/>
          <w:highlight w:val="none"/>
        </w:rPr>
      </w:pPr>
    </w:p>
    <w:p w14:paraId="75996601">
      <w:pPr>
        <w:rPr>
          <w:color w:val="auto"/>
          <w:highlight w:val="none"/>
        </w:rPr>
      </w:pPr>
    </w:p>
    <w:p w14:paraId="24F6F551">
      <w:pPr>
        <w:widowControl/>
        <w:snapToGrid w:val="0"/>
        <w:spacing w:line="500" w:lineRule="exact"/>
        <w:ind w:left="5678" w:leftChars="2704"/>
        <w:jc w:val="left"/>
        <w:rPr>
          <w:rFonts w:ascii="宋体"/>
          <w:color w:val="auto"/>
          <w:spacing w:val="6"/>
          <w:szCs w:val="22"/>
          <w:highlight w:val="none"/>
        </w:rPr>
      </w:pPr>
      <w:r>
        <w:rPr>
          <w:rFonts w:hint="eastAsia" w:ascii="宋体"/>
          <w:color w:val="auto"/>
          <w:spacing w:val="6"/>
          <w:szCs w:val="22"/>
          <w:highlight w:val="none"/>
        </w:rPr>
        <w:t>企业名称（盖章）：</w:t>
      </w:r>
    </w:p>
    <w:p w14:paraId="4073AA7C">
      <w:pPr>
        <w:widowControl/>
        <w:snapToGrid w:val="0"/>
        <w:spacing w:line="500" w:lineRule="exact"/>
        <w:ind w:left="5678" w:leftChars="2704"/>
        <w:jc w:val="left"/>
        <w:rPr>
          <w:rFonts w:ascii="宋体"/>
          <w:color w:val="auto"/>
          <w:spacing w:val="6"/>
          <w:szCs w:val="22"/>
          <w:highlight w:val="none"/>
        </w:rPr>
      </w:pPr>
      <w:r>
        <w:rPr>
          <w:rFonts w:hint="eastAsia" w:ascii="宋体"/>
          <w:color w:val="auto"/>
          <w:spacing w:val="6"/>
          <w:szCs w:val="22"/>
          <w:highlight w:val="none"/>
        </w:rPr>
        <w:t>日期：</w:t>
      </w:r>
    </w:p>
    <w:p w14:paraId="1389FA9F">
      <w:pPr>
        <w:widowControl/>
        <w:snapToGrid w:val="0"/>
        <w:spacing w:line="360" w:lineRule="auto"/>
        <w:jc w:val="center"/>
        <w:rPr>
          <w:rFonts w:ascii="宋体"/>
          <w:b/>
          <w:color w:val="auto"/>
          <w:spacing w:val="6"/>
          <w:sz w:val="28"/>
          <w:highlight w:val="none"/>
        </w:rPr>
      </w:pPr>
    </w:p>
    <w:p w14:paraId="77D3A95F">
      <w:pPr>
        <w:pStyle w:val="42"/>
        <w:spacing w:line="320" w:lineRule="exact"/>
        <w:ind w:left="0"/>
        <w:rPr>
          <w:color w:val="auto"/>
          <w:sz w:val="18"/>
          <w:szCs w:val="18"/>
          <w:highlight w:val="none"/>
        </w:rPr>
      </w:pPr>
      <w:r>
        <w:rPr>
          <w:rFonts w:hint="eastAsia"/>
          <w:color w:val="auto"/>
          <w:sz w:val="18"/>
          <w:szCs w:val="18"/>
          <w:highlight w:val="none"/>
        </w:rPr>
        <w:t>说明：1、填写前请认真阅读《工业和信息化部、国家统计局、国家发展和改革委员会、财政部关于印发中小企业划型标准规定的通知》（工信部联企业【2011】300号）和《财政部 工业和信息化部关于印发＜政府采购促进中小企业发展暂行办法＞的通知》(财库【2020】46号)相关规定。</w:t>
      </w:r>
    </w:p>
    <w:p w14:paraId="7DB2BEF5">
      <w:pPr>
        <w:widowControl/>
        <w:snapToGrid w:val="0"/>
        <w:spacing w:line="320" w:lineRule="exact"/>
        <w:jc w:val="left"/>
        <w:rPr>
          <w:rFonts w:ascii="宋体"/>
          <w:b/>
          <w:color w:val="auto"/>
          <w:spacing w:val="6"/>
          <w:sz w:val="18"/>
          <w:szCs w:val="18"/>
          <w:highlight w:val="none"/>
        </w:rPr>
      </w:pPr>
      <w:r>
        <w:rPr>
          <w:rFonts w:hint="eastAsia" w:ascii="宋体"/>
          <w:color w:val="auto"/>
          <w:spacing w:val="6"/>
          <w:sz w:val="18"/>
          <w:szCs w:val="18"/>
          <w:highlight w:val="none"/>
        </w:rPr>
        <w:t>2、从业人员、营业收入、资产总额填报上一年度数据，无上一年度数据的新成立企业可不填报</w:t>
      </w:r>
      <w:r>
        <w:rPr>
          <w:rFonts w:hint="eastAsia" w:ascii="宋体"/>
          <w:b/>
          <w:color w:val="auto"/>
          <w:spacing w:val="6"/>
          <w:sz w:val="18"/>
          <w:szCs w:val="18"/>
          <w:highlight w:val="none"/>
        </w:rPr>
        <w:t>。</w:t>
      </w:r>
    </w:p>
    <w:p w14:paraId="43199CC1">
      <w:pPr>
        <w:pStyle w:val="36"/>
        <w:rPr>
          <w:color w:val="auto"/>
          <w:highlight w:val="none"/>
        </w:rPr>
        <w:sectPr>
          <w:pgSz w:w="11906" w:h="16838"/>
          <w:pgMar w:top="1418" w:right="1134" w:bottom="1134" w:left="1418" w:header="851" w:footer="850" w:gutter="0"/>
          <w:pgNumType w:fmt="decimal"/>
          <w:cols w:space="720" w:num="1"/>
          <w:docGrid w:type="lines" w:linePitch="312" w:charSpace="0"/>
        </w:sectPr>
      </w:pPr>
      <w:r>
        <w:rPr>
          <w:rFonts w:hint="eastAsia"/>
          <w:color w:val="auto"/>
          <w:sz w:val="18"/>
          <w:szCs w:val="18"/>
          <w:highlight w:val="none"/>
        </w:rPr>
        <w:t>3、未按上述要求提供、填写的，视为无效投标。</w:t>
      </w:r>
    </w:p>
    <w:p w14:paraId="7583B886">
      <w:pPr>
        <w:widowControl/>
        <w:adjustRightInd w:val="0"/>
        <w:snapToGrid w:val="0"/>
        <w:spacing w:line="360" w:lineRule="auto"/>
        <w:rPr>
          <w:rFonts w:ascii="宋体" w:hAnsi="宋体" w:cs="宋体"/>
          <w:b/>
          <w:color w:val="auto"/>
          <w:kern w:val="0"/>
          <w:sz w:val="28"/>
          <w:szCs w:val="28"/>
          <w:highlight w:val="none"/>
        </w:rPr>
      </w:pPr>
    </w:p>
    <w:p w14:paraId="216D3F33">
      <w:pPr>
        <w:adjustRightInd w:val="0"/>
        <w:snapToGrid w:val="0"/>
        <w:spacing w:line="360" w:lineRule="auto"/>
        <w:ind w:left="-88" w:leftChars="-42"/>
        <w:jc w:val="left"/>
        <w:rPr>
          <w:rFonts w:ascii="宋体" w:hAnsi="宋体"/>
          <w:b/>
          <w:color w:val="auto"/>
          <w:sz w:val="28"/>
          <w:szCs w:val="28"/>
          <w:highlight w:val="none"/>
        </w:rPr>
      </w:pPr>
      <w:bookmarkStart w:id="276" w:name="_Toc12644_WPSOffice_Level1"/>
      <w:bookmarkStart w:id="277" w:name="_Toc12706_WPSOffice_Level1"/>
      <w:bookmarkStart w:id="278" w:name="_Toc24992_WPSOffice_Level1"/>
      <w:bookmarkStart w:id="279" w:name="_Toc3712_WPSOffice_Level1"/>
      <w:r>
        <w:rPr>
          <w:rFonts w:hint="eastAsia" w:ascii="宋体" w:hAnsi="宋体"/>
          <w:b/>
          <w:color w:val="auto"/>
          <w:sz w:val="28"/>
          <w:szCs w:val="28"/>
          <w:highlight w:val="none"/>
        </w:rPr>
        <w:t>附</w:t>
      </w:r>
      <w:r>
        <w:rPr>
          <w:rFonts w:hint="eastAsia" w:ascii="宋体" w:hAnsi="宋体"/>
          <w:b/>
          <w:color w:val="auto"/>
          <w:sz w:val="28"/>
          <w:szCs w:val="28"/>
          <w:highlight w:val="none"/>
          <w:lang w:val="en-US" w:eastAsia="zh-CN"/>
        </w:rPr>
        <w:t>6</w:t>
      </w:r>
      <w:r>
        <w:rPr>
          <w:rFonts w:hint="eastAsia" w:ascii="宋体" w:hAnsi="宋体"/>
          <w:b/>
          <w:color w:val="auto"/>
          <w:sz w:val="28"/>
          <w:szCs w:val="28"/>
          <w:highlight w:val="none"/>
        </w:rPr>
        <w:t>-</w:t>
      </w:r>
      <w:r>
        <w:rPr>
          <w:rFonts w:hint="eastAsia" w:ascii="宋体" w:hAnsi="宋体"/>
          <w:b/>
          <w:color w:val="auto"/>
          <w:sz w:val="28"/>
          <w:szCs w:val="28"/>
          <w:highlight w:val="none"/>
          <w:lang w:val="en-US" w:eastAsia="zh-CN"/>
        </w:rPr>
        <w:t>2</w:t>
      </w:r>
      <w:r>
        <w:rPr>
          <w:rFonts w:ascii="宋体" w:hAnsi="宋体"/>
          <w:b/>
          <w:color w:val="auto"/>
          <w:sz w:val="28"/>
          <w:szCs w:val="28"/>
          <w:highlight w:val="none"/>
        </w:rPr>
        <w:t xml:space="preserve"> </w:t>
      </w:r>
      <w:r>
        <w:rPr>
          <w:rFonts w:hint="eastAsia" w:ascii="宋体" w:hAnsi="宋体"/>
          <w:b/>
          <w:color w:val="auto"/>
          <w:sz w:val="28"/>
          <w:szCs w:val="28"/>
          <w:highlight w:val="none"/>
        </w:rPr>
        <w:t>疾人福利性单位声明函</w:t>
      </w:r>
      <w:bookmarkEnd w:id="276"/>
      <w:bookmarkEnd w:id="277"/>
      <w:bookmarkEnd w:id="278"/>
      <w:bookmarkEnd w:id="279"/>
    </w:p>
    <w:p w14:paraId="4C8BA3E0">
      <w:pPr>
        <w:adjustRightInd w:val="0"/>
        <w:snapToGrid w:val="0"/>
        <w:spacing w:line="360" w:lineRule="auto"/>
        <w:ind w:left="-88" w:leftChars="-42"/>
        <w:jc w:val="center"/>
        <w:rPr>
          <w:rFonts w:ascii="宋体" w:hAnsi="宋体"/>
          <w:b/>
          <w:color w:val="auto"/>
          <w:szCs w:val="21"/>
          <w:highlight w:val="none"/>
        </w:rPr>
      </w:pPr>
      <w:bookmarkStart w:id="280" w:name="_Toc2706_WPSOffice_Level1"/>
      <w:bookmarkStart w:id="281" w:name="_Toc9384_WPSOffice_Level1"/>
      <w:bookmarkStart w:id="282" w:name="_Toc412_WPSOffice_Level1"/>
      <w:bookmarkStart w:id="283" w:name="_Toc30285_WPSOffice_Level1"/>
      <w:r>
        <w:rPr>
          <w:rFonts w:hint="eastAsia" w:ascii="宋体" w:hAnsi="宋体"/>
          <w:b/>
          <w:color w:val="auto"/>
          <w:szCs w:val="21"/>
          <w:highlight w:val="none"/>
        </w:rPr>
        <w:t>(不属于残疾人福利性单位的无需填写)</w:t>
      </w:r>
      <w:bookmarkEnd w:id="280"/>
      <w:bookmarkEnd w:id="281"/>
      <w:bookmarkEnd w:id="282"/>
      <w:bookmarkEnd w:id="283"/>
    </w:p>
    <w:p w14:paraId="7B14F119">
      <w:pPr>
        <w:adjustRightInd w:val="0"/>
        <w:snapToGrid w:val="0"/>
        <w:spacing w:line="360" w:lineRule="auto"/>
        <w:ind w:firstLine="444" w:firstLineChars="200"/>
        <w:rPr>
          <w:rFonts w:ascii="宋体" w:hAnsi="宋体"/>
          <w:color w:val="auto"/>
          <w:spacing w:val="6"/>
          <w:szCs w:val="21"/>
          <w:highlight w:val="none"/>
        </w:rPr>
      </w:pPr>
    </w:p>
    <w:p w14:paraId="1A30BECC">
      <w:pPr>
        <w:adjustRightInd w:val="0"/>
        <w:snapToGrid w:val="0"/>
        <w:spacing w:line="360" w:lineRule="auto"/>
        <w:ind w:firstLine="444" w:firstLineChars="200"/>
        <w:rPr>
          <w:rFonts w:ascii="宋体" w:hAnsi="宋体"/>
          <w:color w:val="auto"/>
          <w:spacing w:val="6"/>
          <w:szCs w:val="21"/>
          <w:highlight w:val="none"/>
        </w:rPr>
      </w:pPr>
      <w:r>
        <w:rPr>
          <w:rFonts w:hint="eastAsia" w:ascii="宋体" w:hAnsi="宋体"/>
          <w:color w:val="auto"/>
          <w:spacing w:val="6"/>
          <w:szCs w:val="21"/>
          <w:highlight w:val="none"/>
        </w:rPr>
        <w:t>本单位郑重声明，根据《财政部 民政部 中国残疾人联合会关于促进残疾人就业政府采购政策的通知》（财库</w:t>
      </w:r>
      <w:r>
        <w:rPr>
          <w:rFonts w:hint="eastAsia" w:ascii="宋体" w:hAnsi="宋体"/>
          <w:color w:val="auto"/>
          <w:szCs w:val="21"/>
          <w:highlight w:val="none"/>
        </w:rPr>
        <w:t>〔2017〕141</w:t>
      </w:r>
      <w:r>
        <w:rPr>
          <w:rFonts w:hint="eastAsia" w:ascii="宋体" w:hAnsi="宋体"/>
          <w:color w:val="auto"/>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0EC2EFB">
      <w:pPr>
        <w:adjustRightInd w:val="0"/>
        <w:snapToGrid w:val="0"/>
        <w:spacing w:line="360" w:lineRule="auto"/>
        <w:ind w:firstLine="444" w:firstLineChars="200"/>
        <w:rPr>
          <w:rFonts w:ascii="宋体" w:hAnsi="宋体"/>
          <w:color w:val="auto"/>
          <w:spacing w:val="6"/>
          <w:szCs w:val="21"/>
          <w:highlight w:val="none"/>
        </w:rPr>
      </w:pPr>
      <w:r>
        <w:rPr>
          <w:rFonts w:hint="eastAsia" w:ascii="宋体" w:hAnsi="宋体"/>
          <w:color w:val="auto"/>
          <w:spacing w:val="6"/>
          <w:szCs w:val="21"/>
          <w:highlight w:val="none"/>
        </w:rPr>
        <w:t>本单位对上述声明的真实性负责。如有虚假，将依法承担相应责任。</w:t>
      </w:r>
    </w:p>
    <w:p w14:paraId="20591001">
      <w:pPr>
        <w:adjustRightInd w:val="0"/>
        <w:snapToGrid w:val="0"/>
        <w:spacing w:line="360" w:lineRule="auto"/>
        <w:ind w:firstLine="444" w:firstLineChars="200"/>
        <w:rPr>
          <w:rFonts w:ascii="宋体" w:hAnsi="宋体"/>
          <w:color w:val="auto"/>
          <w:spacing w:val="6"/>
          <w:szCs w:val="21"/>
          <w:highlight w:val="none"/>
        </w:rPr>
      </w:pPr>
    </w:p>
    <w:p w14:paraId="668DBC92">
      <w:pPr>
        <w:adjustRightInd w:val="0"/>
        <w:snapToGrid w:val="0"/>
        <w:spacing w:line="360" w:lineRule="auto"/>
        <w:ind w:firstLine="444" w:firstLineChars="200"/>
        <w:rPr>
          <w:rFonts w:ascii="宋体" w:hAnsi="宋体"/>
          <w:color w:val="auto"/>
          <w:spacing w:val="6"/>
          <w:szCs w:val="21"/>
          <w:highlight w:val="none"/>
        </w:rPr>
      </w:pPr>
    </w:p>
    <w:p w14:paraId="24590A1C">
      <w:pPr>
        <w:tabs>
          <w:tab w:val="left" w:pos="4860"/>
        </w:tabs>
        <w:adjustRightInd w:val="0"/>
        <w:snapToGrid w:val="0"/>
        <w:spacing w:line="360" w:lineRule="auto"/>
        <w:ind w:right="1560" w:firstLine="444" w:firstLineChars="200"/>
        <w:jc w:val="center"/>
        <w:rPr>
          <w:rFonts w:ascii="宋体" w:hAnsi="宋体"/>
          <w:color w:val="auto"/>
          <w:spacing w:val="6"/>
          <w:szCs w:val="21"/>
          <w:highlight w:val="none"/>
        </w:rPr>
      </w:pPr>
      <w:bookmarkStart w:id="284" w:name="_Toc8092_WPSOffice_Level1"/>
      <w:bookmarkStart w:id="285" w:name="_Toc31494_WPSOffice_Level1"/>
      <w:bookmarkStart w:id="286" w:name="_Toc30515_WPSOffice_Level1"/>
      <w:bookmarkStart w:id="287" w:name="_Toc15659_WPSOffice_Level1"/>
      <w:r>
        <w:rPr>
          <w:rFonts w:hint="eastAsia" w:ascii="宋体" w:hAnsi="宋体"/>
          <w:color w:val="auto"/>
          <w:spacing w:val="6"/>
          <w:szCs w:val="21"/>
          <w:highlight w:val="none"/>
        </w:rPr>
        <w:t>单位名称（盖章）：</w:t>
      </w:r>
      <w:bookmarkEnd w:id="284"/>
      <w:bookmarkEnd w:id="285"/>
      <w:bookmarkEnd w:id="286"/>
      <w:bookmarkEnd w:id="287"/>
    </w:p>
    <w:p w14:paraId="1DD469AD">
      <w:pPr>
        <w:tabs>
          <w:tab w:val="left" w:pos="4860"/>
        </w:tabs>
        <w:adjustRightInd w:val="0"/>
        <w:snapToGrid w:val="0"/>
        <w:spacing w:line="360" w:lineRule="auto"/>
        <w:ind w:right="1560" w:firstLine="444" w:firstLineChars="200"/>
        <w:jc w:val="center"/>
        <w:rPr>
          <w:rFonts w:ascii="宋体" w:hAnsi="宋体"/>
          <w:color w:val="auto"/>
          <w:spacing w:val="6"/>
          <w:szCs w:val="21"/>
          <w:highlight w:val="none"/>
        </w:rPr>
      </w:pPr>
      <w:bookmarkStart w:id="288" w:name="_Toc11805_WPSOffice_Level1"/>
      <w:bookmarkStart w:id="289" w:name="_Toc16187_WPSOffice_Level1"/>
      <w:bookmarkStart w:id="290" w:name="_Toc26830_WPSOffice_Level1"/>
      <w:bookmarkStart w:id="291" w:name="_Toc22081_WPSOffice_Level1"/>
      <w:r>
        <w:rPr>
          <w:rFonts w:hint="eastAsia" w:ascii="宋体" w:hAnsi="宋体"/>
          <w:color w:val="auto"/>
          <w:spacing w:val="6"/>
          <w:szCs w:val="21"/>
          <w:highlight w:val="none"/>
        </w:rPr>
        <w:t>日  期：</w:t>
      </w:r>
      <w:bookmarkEnd w:id="288"/>
      <w:bookmarkEnd w:id="289"/>
      <w:bookmarkEnd w:id="290"/>
      <w:bookmarkEnd w:id="291"/>
    </w:p>
    <w:p w14:paraId="60600CB0">
      <w:pPr>
        <w:widowControl/>
        <w:adjustRightInd w:val="0"/>
        <w:snapToGrid w:val="0"/>
        <w:spacing w:line="360" w:lineRule="auto"/>
        <w:jc w:val="left"/>
        <w:rPr>
          <w:rFonts w:ascii="宋体" w:hAnsi="宋体" w:cs="宋体"/>
          <w:color w:val="auto"/>
          <w:kern w:val="0"/>
          <w:szCs w:val="21"/>
          <w:highlight w:val="none"/>
        </w:rPr>
      </w:pPr>
    </w:p>
    <w:p w14:paraId="05A53C03">
      <w:pPr>
        <w:widowControl/>
        <w:adjustRightInd w:val="0"/>
        <w:snapToGrid w:val="0"/>
        <w:spacing w:line="360" w:lineRule="auto"/>
        <w:jc w:val="left"/>
        <w:rPr>
          <w:rFonts w:ascii="宋体" w:hAnsi="宋体" w:cs="宋体"/>
          <w:color w:val="auto"/>
          <w:kern w:val="0"/>
          <w:szCs w:val="21"/>
          <w:highlight w:val="none"/>
        </w:rPr>
      </w:pPr>
    </w:p>
    <w:p w14:paraId="6D74DBB3">
      <w:pPr>
        <w:widowControl/>
        <w:adjustRightInd w:val="0"/>
        <w:snapToGrid w:val="0"/>
        <w:spacing w:line="360" w:lineRule="auto"/>
        <w:rPr>
          <w:rFonts w:ascii="宋体" w:hAnsi="宋体" w:cs="宋体"/>
          <w:color w:val="auto"/>
          <w:kern w:val="0"/>
          <w:szCs w:val="21"/>
          <w:highlight w:val="none"/>
        </w:rPr>
      </w:pPr>
    </w:p>
    <w:p w14:paraId="78113929">
      <w:pPr>
        <w:widowControl/>
        <w:adjustRightInd w:val="0"/>
        <w:snapToGrid w:val="0"/>
        <w:spacing w:line="360" w:lineRule="auto"/>
        <w:rPr>
          <w:rFonts w:ascii="宋体" w:hAnsi="宋体" w:cs="宋体"/>
          <w:color w:val="auto"/>
          <w:kern w:val="0"/>
          <w:szCs w:val="21"/>
          <w:highlight w:val="none"/>
        </w:rPr>
      </w:pPr>
    </w:p>
    <w:p w14:paraId="0D9DB7B4">
      <w:pPr>
        <w:adjustRightInd w:val="0"/>
        <w:snapToGrid w:val="0"/>
        <w:spacing w:line="360" w:lineRule="auto"/>
        <w:ind w:left="-88" w:leftChars="-42"/>
        <w:jc w:val="left"/>
        <w:rPr>
          <w:rFonts w:ascii="宋体" w:hAnsi="宋体"/>
          <w:b/>
          <w:color w:val="auto"/>
          <w:sz w:val="28"/>
          <w:szCs w:val="28"/>
          <w:highlight w:val="none"/>
        </w:rPr>
      </w:pPr>
      <w:bookmarkStart w:id="292" w:name="_Toc8355_WPSOffice_Level1"/>
      <w:bookmarkStart w:id="293" w:name="_Toc30227_WPSOffice_Level1"/>
      <w:bookmarkStart w:id="294" w:name="_Toc12337_WPSOffice_Level1"/>
      <w:bookmarkStart w:id="295" w:name="_Toc3283_WPSOffice_Level1"/>
      <w:r>
        <w:rPr>
          <w:rFonts w:hint="eastAsia" w:ascii="宋体" w:hAnsi="宋体"/>
          <w:b/>
          <w:color w:val="auto"/>
          <w:sz w:val="28"/>
          <w:szCs w:val="28"/>
          <w:highlight w:val="none"/>
        </w:rPr>
        <w:t>附</w:t>
      </w:r>
      <w:r>
        <w:rPr>
          <w:rFonts w:hint="eastAsia" w:ascii="宋体" w:hAnsi="宋体"/>
          <w:b/>
          <w:color w:val="auto"/>
          <w:sz w:val="28"/>
          <w:szCs w:val="28"/>
          <w:highlight w:val="none"/>
          <w:lang w:val="en-US" w:eastAsia="zh-CN"/>
        </w:rPr>
        <w:t>6</w:t>
      </w:r>
      <w:r>
        <w:rPr>
          <w:rFonts w:hint="eastAsia" w:ascii="宋体" w:hAnsi="宋体"/>
          <w:b/>
          <w:color w:val="auto"/>
          <w:sz w:val="28"/>
          <w:szCs w:val="28"/>
          <w:highlight w:val="none"/>
        </w:rPr>
        <w:t>-</w:t>
      </w:r>
      <w:r>
        <w:rPr>
          <w:rFonts w:hint="eastAsia" w:ascii="宋体" w:hAnsi="宋体"/>
          <w:b/>
          <w:color w:val="auto"/>
          <w:sz w:val="28"/>
          <w:szCs w:val="28"/>
          <w:highlight w:val="none"/>
          <w:lang w:val="en-US" w:eastAsia="zh-CN"/>
        </w:rPr>
        <w:t>3</w:t>
      </w:r>
      <w:r>
        <w:rPr>
          <w:rFonts w:hint="eastAsia" w:ascii="宋体" w:hAnsi="宋体"/>
          <w:b/>
          <w:color w:val="auto"/>
          <w:sz w:val="28"/>
          <w:szCs w:val="28"/>
          <w:highlight w:val="none"/>
        </w:rPr>
        <w:t xml:space="preserve">  监狱企业证明资料</w:t>
      </w:r>
      <w:bookmarkEnd w:id="292"/>
      <w:bookmarkEnd w:id="293"/>
      <w:bookmarkEnd w:id="294"/>
      <w:bookmarkEnd w:id="295"/>
    </w:p>
    <w:p w14:paraId="42439002">
      <w:pPr>
        <w:adjustRightInd w:val="0"/>
        <w:snapToGrid w:val="0"/>
        <w:spacing w:line="360" w:lineRule="auto"/>
        <w:jc w:val="center"/>
        <w:rPr>
          <w:rFonts w:ascii="宋体" w:hAnsi="宋体"/>
          <w:b/>
          <w:color w:val="auto"/>
          <w:spacing w:val="6"/>
          <w:szCs w:val="21"/>
          <w:highlight w:val="none"/>
        </w:rPr>
      </w:pPr>
      <w:bookmarkStart w:id="296" w:name="_Toc9873_WPSOffice_Level1"/>
      <w:bookmarkStart w:id="297" w:name="_Toc7645_WPSOffice_Level1"/>
      <w:bookmarkStart w:id="298" w:name="_Toc17116_WPSOffice_Level1"/>
      <w:bookmarkStart w:id="299" w:name="_Toc23652_WPSOffice_Level1"/>
      <w:r>
        <w:rPr>
          <w:rFonts w:hint="eastAsia" w:ascii="宋体" w:hAnsi="宋体"/>
          <w:b/>
          <w:color w:val="auto"/>
          <w:spacing w:val="6"/>
          <w:szCs w:val="21"/>
          <w:highlight w:val="none"/>
        </w:rPr>
        <w:t>(不属于监狱企业的无需提供)</w:t>
      </w:r>
      <w:bookmarkEnd w:id="296"/>
      <w:bookmarkEnd w:id="297"/>
      <w:bookmarkEnd w:id="298"/>
      <w:bookmarkEnd w:id="299"/>
    </w:p>
    <w:p w14:paraId="092A2E75">
      <w:pPr>
        <w:adjustRightInd w:val="0"/>
        <w:snapToGrid w:val="0"/>
        <w:spacing w:line="360" w:lineRule="auto"/>
        <w:rPr>
          <w:rFonts w:ascii="宋体" w:hAnsi="宋体"/>
          <w:color w:val="auto"/>
          <w:szCs w:val="21"/>
          <w:highlight w:val="none"/>
        </w:rPr>
      </w:pPr>
    </w:p>
    <w:p w14:paraId="54750BB6">
      <w:pPr>
        <w:adjustRightInd w:val="0"/>
        <w:snapToGrid w:val="0"/>
        <w:spacing w:line="360" w:lineRule="auto"/>
        <w:ind w:firstLine="444" w:firstLineChars="200"/>
        <w:rPr>
          <w:rFonts w:ascii="宋体" w:hAnsi="宋体"/>
          <w:color w:val="auto"/>
          <w:szCs w:val="21"/>
          <w:highlight w:val="none"/>
        </w:rPr>
      </w:pPr>
      <w:r>
        <w:rPr>
          <w:rFonts w:hint="eastAsia" w:ascii="宋体" w:hAnsi="宋体" w:cs="宋体"/>
          <w:bCs/>
          <w:color w:val="auto"/>
          <w:spacing w:val="6"/>
          <w:kern w:val="0"/>
          <w:szCs w:val="21"/>
          <w:highlight w:val="none"/>
        </w:rPr>
        <w:t>备注：</w:t>
      </w:r>
      <w:r>
        <w:rPr>
          <w:rFonts w:hint="eastAsia" w:ascii="宋体" w:hAnsi="宋体"/>
          <w:color w:val="auto"/>
          <w:szCs w:val="21"/>
          <w:highlight w:val="none"/>
        </w:rPr>
        <w:t>按</w:t>
      </w:r>
      <w:r>
        <w:rPr>
          <w:rFonts w:hint="eastAsia" w:ascii="宋体" w:hAnsi="宋体"/>
          <w:color w:val="auto"/>
          <w:spacing w:val="6"/>
          <w:szCs w:val="21"/>
          <w:highlight w:val="none"/>
        </w:rPr>
        <w:t>《</w:t>
      </w:r>
      <w:r>
        <w:rPr>
          <w:rFonts w:hint="eastAsia" w:ascii="宋体" w:hAnsi="宋体"/>
          <w:color w:val="auto"/>
          <w:szCs w:val="21"/>
          <w:highlight w:val="none"/>
        </w:rPr>
        <w:t>财政部 司法部关于政府采购支持监狱企业发展有关问题的通知</w:t>
      </w:r>
      <w:r>
        <w:rPr>
          <w:rFonts w:hint="eastAsia" w:ascii="宋体" w:hAnsi="宋体"/>
          <w:color w:val="auto"/>
          <w:spacing w:val="6"/>
          <w:szCs w:val="21"/>
          <w:highlight w:val="none"/>
        </w:rPr>
        <w:t>》</w:t>
      </w:r>
      <w:r>
        <w:rPr>
          <w:rFonts w:hint="eastAsia" w:ascii="宋体" w:hAnsi="宋体"/>
          <w:color w:val="auto"/>
          <w:szCs w:val="21"/>
          <w:highlight w:val="none"/>
        </w:rPr>
        <w:t>(财库〔2014〕68号)文件规定提供证明文件（复印件）。</w:t>
      </w:r>
    </w:p>
    <w:p w14:paraId="3B29B5A6">
      <w:pPr>
        <w:widowControl/>
        <w:adjustRightInd w:val="0"/>
        <w:snapToGrid w:val="0"/>
        <w:spacing w:line="360" w:lineRule="auto"/>
        <w:rPr>
          <w:rFonts w:ascii="宋体" w:hAnsi="宋体" w:cs="宋体"/>
          <w:b/>
          <w:color w:val="auto"/>
          <w:kern w:val="0"/>
          <w:sz w:val="28"/>
          <w:szCs w:val="28"/>
          <w:highlight w:val="none"/>
        </w:rPr>
      </w:pPr>
    </w:p>
    <w:p w14:paraId="57193892">
      <w:pPr>
        <w:widowControl/>
        <w:adjustRightInd w:val="0"/>
        <w:snapToGrid w:val="0"/>
        <w:spacing w:line="360" w:lineRule="auto"/>
        <w:rPr>
          <w:rFonts w:ascii="宋体" w:hAnsi="宋体" w:cs="宋体"/>
          <w:b/>
          <w:color w:val="auto"/>
          <w:kern w:val="0"/>
          <w:sz w:val="28"/>
          <w:szCs w:val="28"/>
          <w:highlight w:val="none"/>
        </w:rPr>
      </w:pPr>
    </w:p>
    <w:p w14:paraId="0E5DDCDB">
      <w:pPr>
        <w:widowControl/>
        <w:adjustRightInd w:val="0"/>
        <w:snapToGrid w:val="0"/>
        <w:spacing w:line="360" w:lineRule="auto"/>
        <w:rPr>
          <w:rFonts w:ascii="宋体" w:hAnsi="宋体" w:cs="宋体"/>
          <w:b/>
          <w:color w:val="auto"/>
          <w:kern w:val="0"/>
          <w:sz w:val="28"/>
          <w:szCs w:val="28"/>
          <w:highlight w:val="none"/>
        </w:rPr>
      </w:pPr>
    </w:p>
    <w:p w14:paraId="7391EA1D">
      <w:pPr>
        <w:widowControl/>
        <w:adjustRightInd w:val="0"/>
        <w:snapToGrid w:val="0"/>
        <w:spacing w:line="360" w:lineRule="auto"/>
        <w:rPr>
          <w:rFonts w:ascii="宋体" w:hAnsi="宋体" w:cs="宋体"/>
          <w:color w:val="auto"/>
          <w:kern w:val="0"/>
          <w:sz w:val="24"/>
          <w:highlight w:val="none"/>
        </w:rPr>
      </w:pPr>
    </w:p>
    <w:p w14:paraId="11E3A18B">
      <w:pPr>
        <w:widowControl/>
        <w:adjustRightInd w:val="0"/>
        <w:snapToGrid w:val="0"/>
        <w:spacing w:line="360" w:lineRule="auto"/>
        <w:rPr>
          <w:rFonts w:ascii="宋体" w:hAnsi="宋体" w:cs="宋体"/>
          <w:color w:val="auto"/>
          <w:kern w:val="0"/>
          <w:sz w:val="24"/>
          <w:highlight w:val="none"/>
        </w:rPr>
      </w:pPr>
    </w:p>
    <w:p w14:paraId="3B8BA42E">
      <w:pPr>
        <w:widowControl/>
        <w:adjustRightInd w:val="0"/>
        <w:snapToGrid w:val="0"/>
        <w:spacing w:line="360" w:lineRule="auto"/>
        <w:rPr>
          <w:rFonts w:ascii="宋体" w:hAnsi="宋体" w:cs="宋体"/>
          <w:color w:val="auto"/>
          <w:kern w:val="0"/>
          <w:sz w:val="24"/>
          <w:highlight w:val="none"/>
        </w:rPr>
      </w:pPr>
    </w:p>
    <w:p w14:paraId="6E415520">
      <w:pPr>
        <w:widowControl/>
        <w:adjustRightInd w:val="0"/>
        <w:snapToGrid w:val="0"/>
        <w:spacing w:line="360" w:lineRule="auto"/>
        <w:rPr>
          <w:rFonts w:ascii="宋体" w:hAnsi="宋体" w:cs="宋体"/>
          <w:color w:val="auto"/>
          <w:kern w:val="0"/>
          <w:sz w:val="24"/>
          <w:highlight w:val="none"/>
        </w:rPr>
      </w:pPr>
    </w:p>
    <w:p w14:paraId="5A6DA0CB">
      <w:pPr>
        <w:adjustRightInd w:val="0"/>
        <w:snapToGrid w:val="0"/>
        <w:spacing w:line="360" w:lineRule="auto"/>
        <w:ind w:left="-88" w:leftChars="-42"/>
        <w:jc w:val="left"/>
        <w:rPr>
          <w:rFonts w:hint="eastAsia" w:ascii="宋体" w:hAnsi="宋体"/>
          <w:b/>
          <w:color w:val="auto"/>
          <w:sz w:val="28"/>
          <w:szCs w:val="28"/>
          <w:highlight w:val="none"/>
        </w:rPr>
      </w:pPr>
      <w:bookmarkStart w:id="300" w:name="_Toc25710_WPSOffice_Level1"/>
      <w:bookmarkStart w:id="301" w:name="_Toc23717_WPSOffice_Level1"/>
    </w:p>
    <w:p w14:paraId="55AD80C4">
      <w:pPr>
        <w:adjustRightInd w:val="0"/>
        <w:snapToGrid w:val="0"/>
        <w:spacing w:line="360" w:lineRule="auto"/>
        <w:ind w:left="-88" w:leftChars="-42"/>
        <w:jc w:val="left"/>
        <w:rPr>
          <w:rFonts w:hint="eastAsia" w:ascii="宋体" w:hAnsi="宋体" w:eastAsia="宋体"/>
          <w:b/>
          <w:color w:val="auto"/>
          <w:sz w:val="28"/>
          <w:szCs w:val="28"/>
          <w:highlight w:val="none"/>
          <w:lang w:val="en-US" w:eastAsia="zh-CN"/>
        </w:rPr>
      </w:pPr>
      <w:r>
        <w:rPr>
          <w:rFonts w:hint="eastAsia" w:ascii="宋体" w:hAnsi="宋体"/>
          <w:b/>
          <w:color w:val="auto"/>
          <w:sz w:val="28"/>
          <w:szCs w:val="28"/>
          <w:highlight w:val="none"/>
        </w:rPr>
        <w:t>附件</w:t>
      </w:r>
      <w:r>
        <w:rPr>
          <w:rFonts w:hint="eastAsia" w:ascii="宋体" w:hAnsi="宋体"/>
          <w:b/>
          <w:color w:val="auto"/>
          <w:sz w:val="28"/>
          <w:szCs w:val="28"/>
          <w:highlight w:val="none"/>
          <w:lang w:val="en-US" w:eastAsia="zh-CN"/>
        </w:rPr>
        <w:t>6</w:t>
      </w:r>
      <w:r>
        <w:rPr>
          <w:rFonts w:hint="eastAsia" w:ascii="宋体" w:hAnsi="宋体"/>
          <w:b/>
          <w:color w:val="auto"/>
          <w:sz w:val="28"/>
          <w:szCs w:val="28"/>
          <w:highlight w:val="none"/>
        </w:rPr>
        <w:t>-</w:t>
      </w:r>
      <w:bookmarkEnd w:id="300"/>
      <w:bookmarkEnd w:id="301"/>
      <w:r>
        <w:rPr>
          <w:rFonts w:hint="eastAsia" w:ascii="宋体" w:hAnsi="宋体"/>
          <w:b/>
          <w:color w:val="auto"/>
          <w:sz w:val="28"/>
          <w:szCs w:val="28"/>
          <w:highlight w:val="none"/>
          <w:lang w:val="en-US" w:eastAsia="zh-CN"/>
        </w:rPr>
        <w:t>4</w:t>
      </w:r>
    </w:p>
    <w:p w14:paraId="056E2920">
      <w:pPr>
        <w:adjustRightInd w:val="0"/>
        <w:snapToGrid w:val="0"/>
        <w:spacing w:line="360" w:lineRule="auto"/>
        <w:ind w:left="-88" w:leftChars="-42"/>
        <w:jc w:val="center"/>
        <w:rPr>
          <w:rFonts w:ascii="宋体" w:hAnsi="宋体"/>
          <w:b/>
          <w:color w:val="auto"/>
          <w:sz w:val="28"/>
          <w:szCs w:val="28"/>
          <w:highlight w:val="none"/>
        </w:rPr>
      </w:pPr>
      <w:bookmarkStart w:id="302" w:name="_Toc5166_WPSOffice_Level1"/>
      <w:bookmarkStart w:id="303" w:name="_Toc8802_WPSOffice_Level1"/>
      <w:bookmarkStart w:id="304" w:name="_Toc5625_WPSOffice_Level1"/>
      <w:bookmarkStart w:id="305" w:name="_Toc18979_WPSOffice_Level1"/>
      <w:r>
        <w:rPr>
          <w:rFonts w:hint="eastAsia" w:ascii="宋体" w:hAnsi="宋体"/>
          <w:b/>
          <w:color w:val="auto"/>
          <w:sz w:val="28"/>
          <w:szCs w:val="28"/>
          <w:highlight w:val="none"/>
        </w:rPr>
        <w:t>节能产品、环境标志产品的证明材料</w:t>
      </w:r>
      <w:bookmarkEnd w:id="302"/>
      <w:bookmarkEnd w:id="303"/>
      <w:bookmarkEnd w:id="304"/>
      <w:bookmarkEnd w:id="305"/>
    </w:p>
    <w:p w14:paraId="5B1740ED">
      <w:pPr>
        <w:spacing w:line="360" w:lineRule="auto"/>
        <w:rPr>
          <w:rFonts w:ascii="宋体" w:hAnsi="宋体"/>
          <w:color w:val="auto"/>
          <w:sz w:val="24"/>
          <w:highlight w:val="none"/>
        </w:rPr>
      </w:pPr>
    </w:p>
    <w:p w14:paraId="1C911F29">
      <w:pPr>
        <w:spacing w:line="360" w:lineRule="auto"/>
        <w:rPr>
          <w:rFonts w:ascii="宋体" w:hAnsi="宋体"/>
          <w:color w:val="auto"/>
          <w:szCs w:val="21"/>
          <w:highlight w:val="none"/>
        </w:rPr>
      </w:pPr>
      <w:r>
        <w:rPr>
          <w:rFonts w:hint="eastAsia" w:ascii="宋体" w:hAnsi="宋体"/>
          <w:color w:val="auto"/>
          <w:szCs w:val="21"/>
          <w:highlight w:val="none"/>
        </w:rPr>
        <w:t>说明：</w:t>
      </w:r>
    </w:p>
    <w:p w14:paraId="2921D4BB">
      <w:pPr>
        <w:spacing w:line="360" w:lineRule="auto"/>
        <w:rPr>
          <w:rFonts w:ascii="宋体" w:hAnsi="宋体"/>
          <w:color w:val="auto"/>
          <w:szCs w:val="21"/>
          <w:highlight w:val="none"/>
        </w:rPr>
      </w:pPr>
      <w:r>
        <w:rPr>
          <w:rFonts w:hint="eastAsia" w:ascii="宋体" w:hAnsi="宋体"/>
          <w:color w:val="auto"/>
          <w:szCs w:val="21"/>
          <w:highlight w:val="none"/>
        </w:rPr>
        <w:t>1、供应商提供的产品属于强制采购或者优先采购的，应按第二章第9.1款或者第9.2款规定提供产品列入《节能产品政府采购品目清单》、《环境标志产品政府采购品目清单》产品所在页截图及由</w:t>
      </w:r>
      <w:r>
        <w:rPr>
          <w:rFonts w:ascii="宋体" w:hAnsi="宋体"/>
          <w:color w:val="auto"/>
          <w:szCs w:val="21"/>
          <w:highlight w:val="none"/>
        </w:rPr>
        <w:t>国家确定的认证机构出具的、处于有效期之内的产品认证证书</w:t>
      </w:r>
      <w:r>
        <w:rPr>
          <w:rFonts w:hint="eastAsia" w:ascii="宋体" w:hAnsi="宋体"/>
          <w:color w:val="auto"/>
          <w:szCs w:val="21"/>
          <w:highlight w:val="none"/>
        </w:rPr>
        <w:t>（复印件），并加盖供应商单位章。在本章附7-6《提供节能产品、环境标志产品》中提供相应数据。</w:t>
      </w:r>
    </w:p>
    <w:p w14:paraId="28DC063E">
      <w:pPr>
        <w:spacing w:line="360" w:lineRule="auto"/>
        <w:rPr>
          <w:rFonts w:ascii="宋体" w:hAnsi="宋体"/>
          <w:color w:val="auto"/>
          <w:szCs w:val="21"/>
          <w:highlight w:val="none"/>
        </w:rPr>
      </w:pPr>
      <w:r>
        <w:rPr>
          <w:rFonts w:hint="eastAsia" w:ascii="宋体" w:hAnsi="宋体"/>
          <w:color w:val="auto"/>
          <w:szCs w:val="21"/>
          <w:highlight w:val="none"/>
        </w:rPr>
        <w:t>2、未按上述要求提供的，评审时不予以考虑。</w:t>
      </w:r>
    </w:p>
    <w:p w14:paraId="46F978FC">
      <w:pPr>
        <w:adjustRightInd w:val="0"/>
        <w:snapToGrid w:val="0"/>
        <w:spacing w:before="50" w:line="360" w:lineRule="auto"/>
        <w:rPr>
          <w:rFonts w:hint="eastAsia" w:ascii="宋体" w:hAnsi="宋体" w:eastAsia="宋体"/>
          <w:color w:val="auto"/>
          <w:sz w:val="30"/>
          <w:szCs w:val="30"/>
          <w:highlight w:val="none"/>
          <w:lang w:val="en-US" w:eastAsia="zh-CN"/>
        </w:rPr>
      </w:pPr>
      <w:r>
        <w:rPr>
          <w:rFonts w:ascii="宋体" w:hAnsi="宋体"/>
          <w:b/>
          <w:color w:val="auto"/>
          <w:sz w:val="28"/>
          <w:szCs w:val="28"/>
          <w:highlight w:val="none"/>
        </w:rPr>
        <w:br w:type="page"/>
      </w:r>
      <w:bookmarkStart w:id="306" w:name="_Toc10075_WPSOffice_Level1"/>
      <w:bookmarkStart w:id="307" w:name="_Toc17442_WPSOffice_Level1"/>
      <w:r>
        <w:rPr>
          <w:rFonts w:hint="eastAsia" w:ascii="宋体" w:hAnsi="宋体"/>
          <w:b/>
          <w:color w:val="auto"/>
          <w:sz w:val="28"/>
          <w:szCs w:val="28"/>
          <w:highlight w:val="none"/>
        </w:rPr>
        <w:t>附件</w:t>
      </w:r>
      <w:r>
        <w:rPr>
          <w:rFonts w:hint="eastAsia" w:ascii="宋体" w:hAnsi="宋体"/>
          <w:b/>
          <w:color w:val="auto"/>
          <w:sz w:val="28"/>
          <w:szCs w:val="28"/>
          <w:highlight w:val="none"/>
          <w:lang w:val="en-US" w:eastAsia="zh-CN"/>
        </w:rPr>
        <w:t>6</w:t>
      </w:r>
      <w:r>
        <w:rPr>
          <w:rFonts w:hint="eastAsia" w:ascii="宋体" w:hAnsi="宋体"/>
          <w:b/>
          <w:color w:val="auto"/>
          <w:sz w:val="28"/>
          <w:szCs w:val="28"/>
          <w:highlight w:val="none"/>
        </w:rPr>
        <w:t>-</w:t>
      </w:r>
      <w:bookmarkEnd w:id="306"/>
      <w:bookmarkEnd w:id="307"/>
      <w:r>
        <w:rPr>
          <w:rFonts w:hint="eastAsia" w:ascii="宋体" w:hAnsi="宋体"/>
          <w:b/>
          <w:color w:val="auto"/>
          <w:sz w:val="28"/>
          <w:szCs w:val="28"/>
          <w:highlight w:val="none"/>
          <w:lang w:val="en-US" w:eastAsia="zh-CN"/>
        </w:rPr>
        <w:t>5</w:t>
      </w:r>
    </w:p>
    <w:p w14:paraId="1F4074E8">
      <w:pPr>
        <w:adjustRightInd w:val="0"/>
        <w:snapToGrid w:val="0"/>
        <w:spacing w:before="50" w:line="360" w:lineRule="auto"/>
        <w:jc w:val="center"/>
        <w:rPr>
          <w:rFonts w:ascii="宋体" w:hAnsi="宋体"/>
          <w:b/>
          <w:color w:val="auto"/>
          <w:sz w:val="28"/>
          <w:szCs w:val="28"/>
          <w:highlight w:val="none"/>
        </w:rPr>
      </w:pPr>
      <w:bookmarkStart w:id="308" w:name="_Toc18744_WPSOffice_Level1"/>
      <w:bookmarkStart w:id="309" w:name="_Toc30146_WPSOffice_Level1"/>
      <w:bookmarkStart w:id="310" w:name="_Toc15102_WPSOffice_Level1"/>
      <w:bookmarkStart w:id="311" w:name="_Toc24042_WPSOffice_Level1"/>
      <w:r>
        <w:rPr>
          <w:rFonts w:hint="eastAsia" w:ascii="宋体" w:hAnsi="宋体"/>
          <w:b/>
          <w:color w:val="auto"/>
          <w:sz w:val="28"/>
          <w:szCs w:val="28"/>
          <w:highlight w:val="none"/>
        </w:rPr>
        <w:t>提供节能产品、环境标志产品清单</w:t>
      </w:r>
      <w:bookmarkEnd w:id="308"/>
      <w:bookmarkEnd w:id="309"/>
      <w:bookmarkEnd w:id="310"/>
      <w:bookmarkEnd w:id="311"/>
    </w:p>
    <w:p w14:paraId="0AD0EBE7">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项目名称：</w:t>
      </w:r>
    </w:p>
    <w:p w14:paraId="32E817A1">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 xml:space="preserve">代理编号： </w:t>
      </w:r>
    </w:p>
    <w:tbl>
      <w:tblPr>
        <w:tblStyle w:val="24"/>
        <w:tblW w:w="0" w:type="auto"/>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1"/>
        <w:gridCol w:w="1739"/>
        <w:gridCol w:w="709"/>
        <w:gridCol w:w="850"/>
        <w:gridCol w:w="993"/>
        <w:gridCol w:w="1984"/>
        <w:gridCol w:w="1843"/>
      </w:tblGrid>
      <w:tr w14:paraId="0D04E1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8789" w:type="dxa"/>
            <w:gridSpan w:val="7"/>
            <w:noWrap w:val="0"/>
            <w:vAlign w:val="center"/>
          </w:tcPr>
          <w:p w14:paraId="0F10F005">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本公司对本表的真实性负责。如有虚假，将依法承担相应责任。</w:t>
            </w:r>
          </w:p>
        </w:tc>
      </w:tr>
      <w:tr w14:paraId="331B5E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9" w:hRule="atLeast"/>
        </w:trPr>
        <w:tc>
          <w:tcPr>
            <w:tcW w:w="671" w:type="dxa"/>
            <w:noWrap w:val="0"/>
            <w:vAlign w:val="center"/>
          </w:tcPr>
          <w:p w14:paraId="6879E81D">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1</w:t>
            </w:r>
          </w:p>
        </w:tc>
        <w:tc>
          <w:tcPr>
            <w:tcW w:w="1739" w:type="dxa"/>
            <w:noWrap w:val="0"/>
            <w:vAlign w:val="center"/>
          </w:tcPr>
          <w:p w14:paraId="7BA6EA81">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2</w:t>
            </w:r>
          </w:p>
        </w:tc>
        <w:tc>
          <w:tcPr>
            <w:tcW w:w="709" w:type="dxa"/>
            <w:noWrap w:val="0"/>
            <w:vAlign w:val="center"/>
          </w:tcPr>
          <w:p w14:paraId="0428569E">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3</w:t>
            </w:r>
          </w:p>
        </w:tc>
        <w:tc>
          <w:tcPr>
            <w:tcW w:w="850" w:type="dxa"/>
            <w:noWrap w:val="0"/>
            <w:vAlign w:val="center"/>
          </w:tcPr>
          <w:p w14:paraId="611E13CC">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4</w:t>
            </w:r>
          </w:p>
        </w:tc>
        <w:tc>
          <w:tcPr>
            <w:tcW w:w="993" w:type="dxa"/>
            <w:noWrap w:val="0"/>
            <w:vAlign w:val="center"/>
          </w:tcPr>
          <w:p w14:paraId="7F9DF41F">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5</w:t>
            </w:r>
          </w:p>
        </w:tc>
        <w:tc>
          <w:tcPr>
            <w:tcW w:w="1984" w:type="dxa"/>
            <w:noWrap w:val="0"/>
            <w:vAlign w:val="center"/>
          </w:tcPr>
          <w:p w14:paraId="62D66E0E">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6</w:t>
            </w:r>
          </w:p>
        </w:tc>
        <w:tc>
          <w:tcPr>
            <w:tcW w:w="1843" w:type="dxa"/>
            <w:noWrap w:val="0"/>
            <w:vAlign w:val="center"/>
          </w:tcPr>
          <w:p w14:paraId="59FDE20B">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7</w:t>
            </w:r>
          </w:p>
        </w:tc>
      </w:tr>
      <w:tr w14:paraId="3C940B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671" w:type="dxa"/>
            <w:noWrap w:val="0"/>
            <w:vAlign w:val="center"/>
          </w:tcPr>
          <w:p w14:paraId="17190DA5">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序号</w:t>
            </w:r>
          </w:p>
        </w:tc>
        <w:tc>
          <w:tcPr>
            <w:tcW w:w="1739" w:type="dxa"/>
            <w:noWrap w:val="0"/>
            <w:vAlign w:val="center"/>
          </w:tcPr>
          <w:p w14:paraId="6AA38D3D">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货物名称</w:t>
            </w:r>
          </w:p>
        </w:tc>
        <w:tc>
          <w:tcPr>
            <w:tcW w:w="709" w:type="dxa"/>
            <w:noWrap w:val="0"/>
            <w:vAlign w:val="center"/>
          </w:tcPr>
          <w:p w14:paraId="18AAC561">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数量</w:t>
            </w:r>
          </w:p>
        </w:tc>
        <w:tc>
          <w:tcPr>
            <w:tcW w:w="850" w:type="dxa"/>
            <w:noWrap w:val="0"/>
            <w:vAlign w:val="center"/>
          </w:tcPr>
          <w:p w14:paraId="2B143181">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单价</w:t>
            </w:r>
          </w:p>
        </w:tc>
        <w:tc>
          <w:tcPr>
            <w:tcW w:w="993" w:type="dxa"/>
            <w:noWrap w:val="0"/>
            <w:vAlign w:val="center"/>
          </w:tcPr>
          <w:p w14:paraId="4B36925E">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总额</w:t>
            </w:r>
          </w:p>
        </w:tc>
        <w:tc>
          <w:tcPr>
            <w:tcW w:w="1984" w:type="dxa"/>
            <w:noWrap w:val="0"/>
            <w:vAlign w:val="center"/>
          </w:tcPr>
          <w:p w14:paraId="4733954F">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货物制造商名称</w:t>
            </w:r>
          </w:p>
        </w:tc>
        <w:tc>
          <w:tcPr>
            <w:tcW w:w="1843" w:type="dxa"/>
            <w:noWrap w:val="0"/>
            <w:vAlign w:val="center"/>
          </w:tcPr>
          <w:p w14:paraId="38054386">
            <w:pPr>
              <w:widowControl/>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政策功能编码</w:t>
            </w:r>
          </w:p>
        </w:tc>
      </w:tr>
      <w:tr w14:paraId="1E5E09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7"/>
            <w:noWrap w:val="0"/>
            <w:vAlign w:val="center"/>
          </w:tcPr>
          <w:p w14:paraId="63CC9C3F">
            <w:pPr>
              <w:spacing w:line="360" w:lineRule="auto"/>
              <w:jc w:val="left"/>
              <w:rPr>
                <w:rFonts w:ascii="宋体" w:hAnsi="宋体"/>
                <w:b/>
                <w:color w:val="auto"/>
                <w:szCs w:val="21"/>
                <w:highlight w:val="none"/>
              </w:rPr>
            </w:pPr>
            <w:r>
              <w:rPr>
                <w:rFonts w:hint="eastAsia" w:ascii="宋体" w:hAnsi="宋体"/>
                <w:b/>
                <w:color w:val="auto"/>
                <w:szCs w:val="21"/>
                <w:highlight w:val="none"/>
              </w:rPr>
              <w:t>节能产品</w:t>
            </w:r>
          </w:p>
        </w:tc>
      </w:tr>
      <w:tr w14:paraId="2F36F4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noWrap w:val="0"/>
            <w:vAlign w:val="center"/>
          </w:tcPr>
          <w:p w14:paraId="411745EE">
            <w:pPr>
              <w:spacing w:line="360" w:lineRule="auto"/>
              <w:jc w:val="center"/>
              <w:rPr>
                <w:rFonts w:ascii="宋体" w:hAnsi="宋体"/>
                <w:b/>
                <w:color w:val="auto"/>
                <w:szCs w:val="21"/>
                <w:highlight w:val="none"/>
              </w:rPr>
            </w:pPr>
          </w:p>
        </w:tc>
        <w:tc>
          <w:tcPr>
            <w:tcW w:w="1739" w:type="dxa"/>
            <w:noWrap w:val="0"/>
            <w:vAlign w:val="center"/>
          </w:tcPr>
          <w:p w14:paraId="042396EE">
            <w:pPr>
              <w:spacing w:line="360" w:lineRule="auto"/>
              <w:jc w:val="center"/>
              <w:rPr>
                <w:rFonts w:ascii="宋体" w:hAnsi="宋体"/>
                <w:b/>
                <w:color w:val="auto"/>
                <w:szCs w:val="21"/>
                <w:highlight w:val="none"/>
              </w:rPr>
            </w:pPr>
          </w:p>
        </w:tc>
        <w:tc>
          <w:tcPr>
            <w:tcW w:w="709" w:type="dxa"/>
            <w:noWrap w:val="0"/>
            <w:vAlign w:val="center"/>
          </w:tcPr>
          <w:p w14:paraId="6EA06222">
            <w:pPr>
              <w:spacing w:line="360" w:lineRule="auto"/>
              <w:jc w:val="center"/>
              <w:rPr>
                <w:rFonts w:ascii="宋体" w:hAnsi="宋体"/>
                <w:b/>
                <w:color w:val="auto"/>
                <w:szCs w:val="21"/>
                <w:highlight w:val="none"/>
              </w:rPr>
            </w:pPr>
          </w:p>
        </w:tc>
        <w:tc>
          <w:tcPr>
            <w:tcW w:w="850" w:type="dxa"/>
            <w:noWrap w:val="0"/>
            <w:vAlign w:val="center"/>
          </w:tcPr>
          <w:p w14:paraId="53B33CFB">
            <w:pPr>
              <w:spacing w:line="360" w:lineRule="auto"/>
              <w:jc w:val="center"/>
              <w:rPr>
                <w:rFonts w:ascii="宋体" w:hAnsi="宋体"/>
                <w:b/>
                <w:color w:val="auto"/>
                <w:szCs w:val="21"/>
                <w:highlight w:val="none"/>
              </w:rPr>
            </w:pPr>
          </w:p>
        </w:tc>
        <w:tc>
          <w:tcPr>
            <w:tcW w:w="993" w:type="dxa"/>
            <w:noWrap w:val="0"/>
            <w:vAlign w:val="center"/>
          </w:tcPr>
          <w:p w14:paraId="346400A6">
            <w:pPr>
              <w:spacing w:line="360" w:lineRule="auto"/>
              <w:jc w:val="left"/>
              <w:rPr>
                <w:rFonts w:ascii="宋体" w:hAnsi="宋体"/>
                <w:b/>
                <w:color w:val="auto"/>
                <w:szCs w:val="21"/>
                <w:highlight w:val="none"/>
              </w:rPr>
            </w:pPr>
          </w:p>
        </w:tc>
        <w:tc>
          <w:tcPr>
            <w:tcW w:w="1984" w:type="dxa"/>
            <w:noWrap w:val="0"/>
            <w:vAlign w:val="center"/>
          </w:tcPr>
          <w:p w14:paraId="547FF0A0">
            <w:pPr>
              <w:spacing w:line="360" w:lineRule="auto"/>
              <w:jc w:val="center"/>
              <w:rPr>
                <w:rFonts w:ascii="宋体" w:hAnsi="宋体"/>
                <w:b/>
                <w:color w:val="auto"/>
                <w:szCs w:val="21"/>
                <w:highlight w:val="none"/>
              </w:rPr>
            </w:pPr>
          </w:p>
        </w:tc>
        <w:tc>
          <w:tcPr>
            <w:tcW w:w="1843" w:type="dxa"/>
            <w:noWrap w:val="0"/>
            <w:vAlign w:val="top"/>
          </w:tcPr>
          <w:p w14:paraId="7CA9011D">
            <w:pPr>
              <w:spacing w:line="360" w:lineRule="auto"/>
              <w:jc w:val="center"/>
              <w:rPr>
                <w:rFonts w:ascii="宋体" w:hAnsi="宋体"/>
                <w:b/>
                <w:color w:val="auto"/>
                <w:szCs w:val="21"/>
                <w:highlight w:val="none"/>
              </w:rPr>
            </w:pPr>
          </w:p>
        </w:tc>
      </w:tr>
      <w:tr w14:paraId="048E2A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noWrap w:val="0"/>
            <w:vAlign w:val="center"/>
          </w:tcPr>
          <w:p w14:paraId="2ACBB642">
            <w:pPr>
              <w:spacing w:line="360" w:lineRule="auto"/>
              <w:jc w:val="center"/>
              <w:rPr>
                <w:rFonts w:ascii="宋体" w:hAnsi="宋体"/>
                <w:color w:val="auto"/>
                <w:szCs w:val="21"/>
                <w:highlight w:val="none"/>
              </w:rPr>
            </w:pPr>
            <w:r>
              <w:rPr>
                <w:rFonts w:hint="eastAsia" w:ascii="宋体" w:hAnsi="宋体"/>
                <w:color w:val="auto"/>
                <w:szCs w:val="21"/>
                <w:highlight w:val="none"/>
              </w:rPr>
              <w:t>小计</w:t>
            </w:r>
          </w:p>
        </w:tc>
        <w:tc>
          <w:tcPr>
            <w:tcW w:w="1739" w:type="dxa"/>
            <w:noWrap w:val="0"/>
            <w:vAlign w:val="center"/>
          </w:tcPr>
          <w:p w14:paraId="0ACD28F5">
            <w:pPr>
              <w:spacing w:line="360" w:lineRule="auto"/>
              <w:jc w:val="center"/>
              <w:rPr>
                <w:rFonts w:ascii="宋体" w:hAnsi="宋体"/>
                <w:b/>
                <w:color w:val="auto"/>
                <w:szCs w:val="21"/>
                <w:highlight w:val="none"/>
              </w:rPr>
            </w:pPr>
          </w:p>
        </w:tc>
        <w:tc>
          <w:tcPr>
            <w:tcW w:w="709" w:type="dxa"/>
            <w:noWrap w:val="0"/>
            <w:vAlign w:val="center"/>
          </w:tcPr>
          <w:p w14:paraId="62EBB1DA">
            <w:pPr>
              <w:spacing w:line="360" w:lineRule="auto"/>
              <w:jc w:val="center"/>
              <w:rPr>
                <w:rFonts w:ascii="宋体" w:hAnsi="宋体"/>
                <w:b/>
                <w:color w:val="auto"/>
                <w:szCs w:val="21"/>
                <w:highlight w:val="none"/>
              </w:rPr>
            </w:pPr>
          </w:p>
        </w:tc>
        <w:tc>
          <w:tcPr>
            <w:tcW w:w="850" w:type="dxa"/>
            <w:noWrap w:val="0"/>
            <w:vAlign w:val="center"/>
          </w:tcPr>
          <w:p w14:paraId="7016DFC6">
            <w:pPr>
              <w:spacing w:line="360" w:lineRule="auto"/>
              <w:jc w:val="center"/>
              <w:rPr>
                <w:rFonts w:ascii="宋体" w:hAnsi="宋体"/>
                <w:b/>
                <w:color w:val="auto"/>
                <w:szCs w:val="21"/>
                <w:highlight w:val="none"/>
              </w:rPr>
            </w:pPr>
          </w:p>
        </w:tc>
        <w:tc>
          <w:tcPr>
            <w:tcW w:w="993" w:type="dxa"/>
            <w:noWrap w:val="0"/>
            <w:vAlign w:val="center"/>
          </w:tcPr>
          <w:p w14:paraId="7F92771A">
            <w:pPr>
              <w:spacing w:line="360" w:lineRule="auto"/>
              <w:jc w:val="left"/>
              <w:rPr>
                <w:rFonts w:ascii="宋体" w:hAnsi="宋体"/>
                <w:b/>
                <w:color w:val="auto"/>
                <w:szCs w:val="21"/>
                <w:highlight w:val="none"/>
              </w:rPr>
            </w:pPr>
          </w:p>
        </w:tc>
        <w:tc>
          <w:tcPr>
            <w:tcW w:w="1984" w:type="dxa"/>
            <w:noWrap w:val="0"/>
            <w:vAlign w:val="center"/>
          </w:tcPr>
          <w:p w14:paraId="20018F5E">
            <w:pPr>
              <w:spacing w:line="360" w:lineRule="auto"/>
              <w:jc w:val="center"/>
              <w:rPr>
                <w:rFonts w:ascii="宋体" w:hAnsi="宋体"/>
                <w:b/>
                <w:color w:val="auto"/>
                <w:szCs w:val="21"/>
                <w:highlight w:val="none"/>
              </w:rPr>
            </w:pPr>
          </w:p>
        </w:tc>
        <w:tc>
          <w:tcPr>
            <w:tcW w:w="1843" w:type="dxa"/>
            <w:noWrap w:val="0"/>
            <w:vAlign w:val="top"/>
          </w:tcPr>
          <w:p w14:paraId="6C6C084C">
            <w:pPr>
              <w:spacing w:line="360" w:lineRule="auto"/>
              <w:jc w:val="center"/>
              <w:rPr>
                <w:rFonts w:ascii="宋体" w:hAnsi="宋体"/>
                <w:b/>
                <w:color w:val="auto"/>
                <w:szCs w:val="21"/>
                <w:highlight w:val="none"/>
              </w:rPr>
            </w:pPr>
          </w:p>
        </w:tc>
      </w:tr>
      <w:tr w14:paraId="3B2FE3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8789" w:type="dxa"/>
            <w:gridSpan w:val="7"/>
            <w:noWrap w:val="0"/>
            <w:vAlign w:val="center"/>
          </w:tcPr>
          <w:p w14:paraId="73BC33FF">
            <w:pPr>
              <w:spacing w:line="360" w:lineRule="auto"/>
              <w:jc w:val="left"/>
              <w:rPr>
                <w:rFonts w:ascii="宋体" w:hAnsi="宋体"/>
                <w:b/>
                <w:color w:val="auto"/>
                <w:szCs w:val="21"/>
                <w:highlight w:val="none"/>
              </w:rPr>
            </w:pPr>
            <w:r>
              <w:rPr>
                <w:rFonts w:hint="eastAsia" w:ascii="宋体" w:hAnsi="宋体"/>
                <w:b/>
                <w:color w:val="auto"/>
                <w:szCs w:val="21"/>
                <w:highlight w:val="none"/>
              </w:rPr>
              <w:t>环境标志产品</w:t>
            </w:r>
          </w:p>
        </w:tc>
      </w:tr>
      <w:tr w14:paraId="36D65A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noWrap w:val="0"/>
            <w:vAlign w:val="center"/>
          </w:tcPr>
          <w:p w14:paraId="14147EDF">
            <w:pPr>
              <w:spacing w:line="360" w:lineRule="auto"/>
              <w:jc w:val="center"/>
              <w:rPr>
                <w:rFonts w:ascii="宋体" w:hAnsi="宋体"/>
                <w:b/>
                <w:color w:val="auto"/>
                <w:szCs w:val="21"/>
                <w:highlight w:val="none"/>
              </w:rPr>
            </w:pPr>
          </w:p>
        </w:tc>
        <w:tc>
          <w:tcPr>
            <w:tcW w:w="1739" w:type="dxa"/>
            <w:noWrap w:val="0"/>
            <w:vAlign w:val="center"/>
          </w:tcPr>
          <w:p w14:paraId="12164C62">
            <w:pPr>
              <w:spacing w:line="360" w:lineRule="auto"/>
              <w:jc w:val="center"/>
              <w:rPr>
                <w:rFonts w:ascii="宋体" w:hAnsi="宋体"/>
                <w:b/>
                <w:color w:val="auto"/>
                <w:szCs w:val="21"/>
                <w:highlight w:val="none"/>
              </w:rPr>
            </w:pPr>
          </w:p>
        </w:tc>
        <w:tc>
          <w:tcPr>
            <w:tcW w:w="709" w:type="dxa"/>
            <w:noWrap w:val="0"/>
            <w:vAlign w:val="center"/>
          </w:tcPr>
          <w:p w14:paraId="6B3EA561">
            <w:pPr>
              <w:spacing w:line="360" w:lineRule="auto"/>
              <w:jc w:val="center"/>
              <w:rPr>
                <w:rFonts w:ascii="宋体" w:hAnsi="宋体"/>
                <w:b/>
                <w:color w:val="auto"/>
                <w:szCs w:val="21"/>
                <w:highlight w:val="none"/>
              </w:rPr>
            </w:pPr>
          </w:p>
        </w:tc>
        <w:tc>
          <w:tcPr>
            <w:tcW w:w="850" w:type="dxa"/>
            <w:noWrap w:val="0"/>
            <w:vAlign w:val="center"/>
          </w:tcPr>
          <w:p w14:paraId="2259BA46">
            <w:pPr>
              <w:spacing w:line="360" w:lineRule="auto"/>
              <w:jc w:val="center"/>
              <w:rPr>
                <w:rFonts w:ascii="宋体" w:hAnsi="宋体"/>
                <w:b/>
                <w:color w:val="auto"/>
                <w:szCs w:val="21"/>
                <w:highlight w:val="none"/>
              </w:rPr>
            </w:pPr>
          </w:p>
        </w:tc>
        <w:tc>
          <w:tcPr>
            <w:tcW w:w="993" w:type="dxa"/>
            <w:noWrap w:val="0"/>
            <w:vAlign w:val="center"/>
          </w:tcPr>
          <w:p w14:paraId="2FC53933">
            <w:pPr>
              <w:spacing w:line="360" w:lineRule="auto"/>
              <w:jc w:val="left"/>
              <w:rPr>
                <w:rFonts w:ascii="宋体" w:hAnsi="宋体"/>
                <w:b/>
                <w:color w:val="auto"/>
                <w:szCs w:val="21"/>
                <w:highlight w:val="none"/>
              </w:rPr>
            </w:pPr>
          </w:p>
        </w:tc>
        <w:tc>
          <w:tcPr>
            <w:tcW w:w="1984" w:type="dxa"/>
            <w:noWrap w:val="0"/>
            <w:vAlign w:val="center"/>
          </w:tcPr>
          <w:p w14:paraId="489C12C2">
            <w:pPr>
              <w:spacing w:line="360" w:lineRule="auto"/>
              <w:jc w:val="center"/>
              <w:rPr>
                <w:rFonts w:ascii="宋体" w:hAnsi="宋体"/>
                <w:b/>
                <w:color w:val="auto"/>
                <w:szCs w:val="21"/>
                <w:highlight w:val="none"/>
              </w:rPr>
            </w:pPr>
          </w:p>
        </w:tc>
        <w:tc>
          <w:tcPr>
            <w:tcW w:w="1843" w:type="dxa"/>
            <w:noWrap w:val="0"/>
            <w:vAlign w:val="top"/>
          </w:tcPr>
          <w:p w14:paraId="4C4AA7E9">
            <w:pPr>
              <w:spacing w:line="360" w:lineRule="auto"/>
              <w:jc w:val="center"/>
              <w:rPr>
                <w:rFonts w:ascii="宋体" w:hAnsi="宋体"/>
                <w:b/>
                <w:color w:val="auto"/>
                <w:szCs w:val="21"/>
                <w:highlight w:val="none"/>
              </w:rPr>
            </w:pPr>
          </w:p>
        </w:tc>
      </w:tr>
      <w:tr w14:paraId="022A24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671" w:type="dxa"/>
            <w:noWrap w:val="0"/>
            <w:vAlign w:val="center"/>
          </w:tcPr>
          <w:p w14:paraId="65031EEF">
            <w:pPr>
              <w:spacing w:line="360" w:lineRule="auto"/>
              <w:jc w:val="center"/>
              <w:rPr>
                <w:rFonts w:ascii="宋体" w:hAnsi="宋体"/>
                <w:color w:val="auto"/>
                <w:szCs w:val="21"/>
                <w:highlight w:val="none"/>
              </w:rPr>
            </w:pPr>
            <w:r>
              <w:rPr>
                <w:rFonts w:hint="eastAsia" w:ascii="宋体" w:hAnsi="宋体"/>
                <w:color w:val="auto"/>
                <w:szCs w:val="21"/>
                <w:highlight w:val="none"/>
              </w:rPr>
              <w:t>小计</w:t>
            </w:r>
          </w:p>
        </w:tc>
        <w:tc>
          <w:tcPr>
            <w:tcW w:w="1739" w:type="dxa"/>
            <w:noWrap w:val="0"/>
            <w:vAlign w:val="center"/>
          </w:tcPr>
          <w:p w14:paraId="26CFFE8C">
            <w:pPr>
              <w:spacing w:line="360" w:lineRule="auto"/>
              <w:jc w:val="center"/>
              <w:rPr>
                <w:rFonts w:ascii="宋体" w:hAnsi="宋体"/>
                <w:b/>
                <w:color w:val="auto"/>
                <w:szCs w:val="21"/>
                <w:highlight w:val="none"/>
              </w:rPr>
            </w:pPr>
          </w:p>
        </w:tc>
        <w:tc>
          <w:tcPr>
            <w:tcW w:w="709" w:type="dxa"/>
            <w:noWrap w:val="0"/>
            <w:vAlign w:val="center"/>
          </w:tcPr>
          <w:p w14:paraId="6533DC00">
            <w:pPr>
              <w:spacing w:line="360" w:lineRule="auto"/>
              <w:jc w:val="center"/>
              <w:rPr>
                <w:rFonts w:ascii="宋体" w:hAnsi="宋体"/>
                <w:b/>
                <w:color w:val="auto"/>
                <w:szCs w:val="21"/>
                <w:highlight w:val="none"/>
              </w:rPr>
            </w:pPr>
          </w:p>
        </w:tc>
        <w:tc>
          <w:tcPr>
            <w:tcW w:w="850" w:type="dxa"/>
            <w:noWrap w:val="0"/>
            <w:vAlign w:val="center"/>
          </w:tcPr>
          <w:p w14:paraId="72F4C88A">
            <w:pPr>
              <w:spacing w:line="360" w:lineRule="auto"/>
              <w:jc w:val="center"/>
              <w:rPr>
                <w:rFonts w:ascii="宋体" w:hAnsi="宋体"/>
                <w:b/>
                <w:color w:val="auto"/>
                <w:szCs w:val="21"/>
                <w:highlight w:val="none"/>
              </w:rPr>
            </w:pPr>
          </w:p>
        </w:tc>
        <w:tc>
          <w:tcPr>
            <w:tcW w:w="993" w:type="dxa"/>
            <w:noWrap w:val="0"/>
            <w:vAlign w:val="center"/>
          </w:tcPr>
          <w:p w14:paraId="07A875A1">
            <w:pPr>
              <w:spacing w:line="360" w:lineRule="auto"/>
              <w:jc w:val="left"/>
              <w:rPr>
                <w:rFonts w:ascii="宋体" w:hAnsi="宋体"/>
                <w:b/>
                <w:color w:val="auto"/>
                <w:szCs w:val="21"/>
                <w:highlight w:val="none"/>
              </w:rPr>
            </w:pPr>
          </w:p>
        </w:tc>
        <w:tc>
          <w:tcPr>
            <w:tcW w:w="1984" w:type="dxa"/>
            <w:noWrap w:val="0"/>
            <w:vAlign w:val="center"/>
          </w:tcPr>
          <w:p w14:paraId="2D8995EE">
            <w:pPr>
              <w:spacing w:line="360" w:lineRule="auto"/>
              <w:jc w:val="center"/>
              <w:rPr>
                <w:rFonts w:ascii="宋体" w:hAnsi="宋体"/>
                <w:b/>
                <w:color w:val="auto"/>
                <w:szCs w:val="21"/>
                <w:highlight w:val="none"/>
              </w:rPr>
            </w:pPr>
          </w:p>
        </w:tc>
        <w:tc>
          <w:tcPr>
            <w:tcW w:w="1843" w:type="dxa"/>
            <w:noWrap w:val="0"/>
            <w:vAlign w:val="top"/>
          </w:tcPr>
          <w:p w14:paraId="7052D56B">
            <w:pPr>
              <w:spacing w:line="360" w:lineRule="auto"/>
              <w:jc w:val="center"/>
              <w:rPr>
                <w:rFonts w:ascii="宋体" w:hAnsi="宋体"/>
                <w:b/>
                <w:color w:val="auto"/>
                <w:szCs w:val="21"/>
                <w:highlight w:val="none"/>
              </w:rPr>
            </w:pPr>
          </w:p>
        </w:tc>
      </w:tr>
    </w:tbl>
    <w:p w14:paraId="36D913D6">
      <w:pPr>
        <w:spacing w:line="360" w:lineRule="auto"/>
        <w:rPr>
          <w:rFonts w:ascii="宋体" w:hAnsi="宋体"/>
          <w:color w:val="auto"/>
          <w:szCs w:val="21"/>
          <w:highlight w:val="none"/>
        </w:rPr>
      </w:pPr>
      <w:r>
        <w:rPr>
          <w:rFonts w:hint="eastAsia" w:ascii="宋体" w:hAnsi="宋体"/>
          <w:color w:val="auto"/>
          <w:szCs w:val="21"/>
          <w:highlight w:val="none"/>
        </w:rPr>
        <w:t>说明：</w:t>
      </w:r>
    </w:p>
    <w:p w14:paraId="7318208F">
      <w:pPr>
        <w:spacing w:line="360" w:lineRule="auto"/>
        <w:rPr>
          <w:rFonts w:ascii="宋体" w:hAnsi="宋体"/>
          <w:color w:val="auto"/>
          <w:szCs w:val="21"/>
          <w:highlight w:val="none"/>
        </w:rPr>
      </w:pPr>
      <w:r>
        <w:rPr>
          <w:rFonts w:hint="eastAsia" w:ascii="宋体" w:hAnsi="宋体"/>
          <w:color w:val="auto"/>
          <w:szCs w:val="21"/>
          <w:highlight w:val="none"/>
        </w:rPr>
        <w:t>1、本表用于计算节能产品、环境标志产品的政策功能加分或价格扣除。</w:t>
      </w:r>
    </w:p>
    <w:p w14:paraId="66326D22">
      <w:pPr>
        <w:spacing w:line="360" w:lineRule="auto"/>
        <w:rPr>
          <w:rFonts w:ascii="宋体" w:hAnsi="宋体"/>
          <w:color w:val="auto"/>
          <w:szCs w:val="21"/>
          <w:highlight w:val="none"/>
        </w:rPr>
      </w:pPr>
      <w:r>
        <w:rPr>
          <w:rFonts w:hint="eastAsia" w:ascii="宋体" w:hAnsi="宋体"/>
          <w:color w:val="auto"/>
          <w:szCs w:val="21"/>
          <w:highlight w:val="none"/>
        </w:rPr>
        <w:t>2、栏目7“政策功能编码”是指货物的中国环境标志认证证书编号、节能标志认证证书号(货物同时属于节能产品、环境标志产品的，只填写一种)。</w:t>
      </w:r>
    </w:p>
    <w:p w14:paraId="2FFEE2F7">
      <w:pPr>
        <w:spacing w:line="360" w:lineRule="auto"/>
        <w:rPr>
          <w:rFonts w:ascii="宋体" w:hAnsi="宋体"/>
          <w:color w:val="auto"/>
          <w:szCs w:val="21"/>
          <w:highlight w:val="none"/>
        </w:rPr>
      </w:pPr>
      <w:r>
        <w:rPr>
          <w:rFonts w:hint="eastAsia" w:ascii="宋体" w:hAnsi="宋体"/>
          <w:color w:val="auto"/>
          <w:szCs w:val="21"/>
          <w:highlight w:val="none"/>
        </w:rPr>
        <w:t>3、栏目4“单价”为综合单价，包含货物所有隐含的内容，如运输费、保险费、管理费和利润等。</w:t>
      </w:r>
    </w:p>
    <w:p w14:paraId="4572649E">
      <w:pPr>
        <w:spacing w:line="360" w:lineRule="auto"/>
        <w:rPr>
          <w:rFonts w:ascii="宋体" w:hAnsi="宋体"/>
          <w:color w:val="auto"/>
          <w:szCs w:val="21"/>
          <w:highlight w:val="none"/>
        </w:rPr>
      </w:pPr>
      <w:r>
        <w:rPr>
          <w:rFonts w:hint="eastAsia" w:ascii="宋体" w:hAnsi="宋体"/>
          <w:color w:val="auto"/>
          <w:szCs w:val="21"/>
          <w:highlight w:val="none"/>
        </w:rPr>
        <w:t>4、未按上述要求提供、填写的，评审时本表所有优惠不予以考虑。</w:t>
      </w:r>
    </w:p>
    <w:p w14:paraId="6D9BFBD3">
      <w:pPr>
        <w:spacing w:line="360" w:lineRule="auto"/>
        <w:rPr>
          <w:rFonts w:ascii="宋体" w:hAnsi="宋体"/>
          <w:color w:val="auto"/>
          <w:szCs w:val="21"/>
          <w:highlight w:val="none"/>
        </w:rPr>
      </w:pPr>
    </w:p>
    <w:p w14:paraId="4230D11E">
      <w:pPr>
        <w:spacing w:line="360" w:lineRule="auto"/>
        <w:rPr>
          <w:rFonts w:ascii="宋体" w:hAnsi="宋体"/>
          <w:color w:val="auto"/>
          <w:szCs w:val="21"/>
          <w:highlight w:val="none"/>
        </w:rPr>
      </w:pPr>
    </w:p>
    <w:p w14:paraId="6C040ACD">
      <w:pPr>
        <w:spacing w:line="360" w:lineRule="auto"/>
        <w:rPr>
          <w:rFonts w:ascii="宋体" w:hAnsi="宋体"/>
          <w:color w:val="auto"/>
          <w:szCs w:val="21"/>
          <w:highlight w:val="none"/>
        </w:rPr>
      </w:pPr>
      <w:r>
        <w:rPr>
          <w:rFonts w:hint="eastAsia" w:ascii="宋体" w:hAnsi="宋体" w:cs="宋体"/>
          <w:color w:val="auto"/>
          <w:spacing w:val="6"/>
          <w:kern w:val="0"/>
          <w:szCs w:val="21"/>
          <w:highlight w:val="none"/>
        </w:rPr>
        <w:t>供应商</w:t>
      </w:r>
      <w:r>
        <w:rPr>
          <w:rFonts w:hint="eastAsia" w:ascii="宋体" w:hAnsi="宋体"/>
          <w:color w:val="auto"/>
          <w:szCs w:val="21"/>
          <w:highlight w:val="none"/>
        </w:rPr>
        <w:t>名称（盖单位章）：</w:t>
      </w:r>
    </w:p>
    <w:p w14:paraId="1E228843">
      <w:pPr>
        <w:spacing w:line="360" w:lineRule="auto"/>
        <w:rPr>
          <w:rFonts w:ascii="宋体" w:hAnsi="宋体"/>
          <w:color w:val="auto"/>
          <w:szCs w:val="21"/>
          <w:highlight w:val="none"/>
        </w:rPr>
      </w:pPr>
      <w:r>
        <w:rPr>
          <w:rFonts w:hint="eastAsia" w:ascii="宋体" w:hAnsi="宋体" w:cs="宋体"/>
          <w:color w:val="auto"/>
          <w:spacing w:val="6"/>
          <w:kern w:val="0"/>
          <w:szCs w:val="21"/>
          <w:highlight w:val="none"/>
        </w:rPr>
        <w:t>供应商</w:t>
      </w:r>
      <w:r>
        <w:rPr>
          <w:rFonts w:hint="eastAsia" w:ascii="宋体" w:hAnsi="宋体"/>
          <w:color w:val="auto"/>
          <w:szCs w:val="21"/>
          <w:highlight w:val="none"/>
        </w:rPr>
        <w:t>代表（签字或盖章）：</w:t>
      </w:r>
    </w:p>
    <w:p w14:paraId="2B17C766">
      <w:pPr>
        <w:spacing w:line="360" w:lineRule="auto"/>
        <w:rPr>
          <w:rFonts w:ascii="宋体" w:hAnsi="宋体"/>
          <w:color w:val="auto"/>
          <w:szCs w:val="21"/>
          <w:highlight w:val="none"/>
        </w:rPr>
      </w:pPr>
      <w:r>
        <w:rPr>
          <w:rFonts w:hint="eastAsia" w:ascii="宋体" w:hAnsi="宋体"/>
          <w:color w:val="auto"/>
          <w:szCs w:val="21"/>
          <w:highlight w:val="none"/>
        </w:rPr>
        <w:t>日期：年月日</w:t>
      </w:r>
    </w:p>
    <w:p w14:paraId="6481CCFC">
      <w:pPr>
        <w:widowControl/>
        <w:spacing w:line="360" w:lineRule="auto"/>
        <w:jc w:val="center"/>
        <w:rPr>
          <w:rFonts w:hAnsi="宋体"/>
          <w:b/>
          <w:bCs/>
          <w:color w:val="auto"/>
          <w:sz w:val="32"/>
          <w:szCs w:val="32"/>
          <w:highlight w:val="none"/>
        </w:rPr>
      </w:pPr>
      <w:r>
        <w:rPr>
          <w:rFonts w:ascii="宋体" w:hAnsi="宋体"/>
          <w:color w:val="auto"/>
          <w:sz w:val="28"/>
          <w:szCs w:val="28"/>
          <w:highlight w:val="none"/>
        </w:rPr>
        <w:br w:type="page"/>
      </w:r>
      <w:r>
        <w:rPr>
          <w:rFonts w:hint="eastAsia" w:ascii="宋体" w:hAnsi="宋体"/>
          <w:b/>
          <w:bCs/>
          <w:color w:val="auto"/>
          <w:sz w:val="32"/>
          <w:szCs w:val="32"/>
          <w:highlight w:val="none"/>
          <w:lang w:val="en-US" w:eastAsia="zh-CN"/>
        </w:rPr>
        <w:t>七</w:t>
      </w:r>
      <w:r>
        <w:rPr>
          <w:rFonts w:hint="eastAsia" w:ascii="宋体" w:hAnsi="宋体"/>
          <w:b/>
          <w:bCs/>
          <w:color w:val="auto"/>
          <w:sz w:val="32"/>
          <w:szCs w:val="32"/>
          <w:highlight w:val="none"/>
        </w:rPr>
        <w:t>、供应商认为需提供的其它资料及说明</w:t>
      </w:r>
    </w:p>
    <w:p w14:paraId="211038A0">
      <w:pPr>
        <w:adjustRightInd w:val="0"/>
        <w:snapToGrid w:val="0"/>
        <w:spacing w:line="360" w:lineRule="auto"/>
        <w:ind w:firstLine="420" w:firstLineChars="200"/>
        <w:rPr>
          <w:rFonts w:ascii="宋体" w:hAnsi="宋体"/>
          <w:color w:val="auto"/>
          <w:szCs w:val="21"/>
          <w:highlight w:val="none"/>
        </w:rPr>
      </w:pPr>
    </w:p>
    <w:p w14:paraId="3AC82DDD">
      <w:pPr>
        <w:adjustRightInd w:val="0"/>
        <w:snapToGrid w:val="0"/>
        <w:spacing w:line="360" w:lineRule="auto"/>
        <w:ind w:firstLine="420" w:firstLineChars="200"/>
        <w:rPr>
          <w:rFonts w:ascii="宋体" w:hAnsi="宋体"/>
          <w:b/>
          <w:color w:val="auto"/>
          <w:szCs w:val="21"/>
          <w:highlight w:val="none"/>
        </w:rPr>
      </w:pPr>
      <w:r>
        <w:rPr>
          <w:rFonts w:hint="eastAsia" w:ascii="宋体" w:hAnsi="宋体"/>
          <w:color w:val="auto"/>
          <w:szCs w:val="21"/>
          <w:highlight w:val="none"/>
        </w:rPr>
        <w:t>提供磋商文件或评分标准需要提供的相关证明文件复印件，</w:t>
      </w:r>
      <w:r>
        <w:rPr>
          <w:rFonts w:hint="eastAsia" w:ascii="宋体" w:hAnsi="宋体"/>
          <w:b/>
          <w:color w:val="auto"/>
          <w:szCs w:val="21"/>
          <w:highlight w:val="none"/>
        </w:rPr>
        <w:t>包括但不限于：</w:t>
      </w:r>
      <w:r>
        <w:rPr>
          <w:rFonts w:hint="eastAsia" w:ascii="宋体" w:hAnsi="宋体"/>
          <w:color w:val="auto"/>
          <w:szCs w:val="21"/>
          <w:highlight w:val="none"/>
        </w:rPr>
        <w:t>类似</w:t>
      </w:r>
      <w:r>
        <w:rPr>
          <w:rFonts w:hint="eastAsia" w:ascii="宋体" w:hAnsi="宋体" w:cs="宋体"/>
          <w:color w:val="auto"/>
          <w:kern w:val="0"/>
          <w:szCs w:val="21"/>
          <w:highlight w:val="none"/>
        </w:rPr>
        <w:t>项目证明资料</w:t>
      </w:r>
      <w:r>
        <w:rPr>
          <w:rFonts w:hint="eastAsia" w:ascii="宋体" w:hAnsi="宋体" w:cs="宋体"/>
          <w:color w:val="auto"/>
          <w:kern w:val="0"/>
          <w:szCs w:val="21"/>
          <w:highlight w:val="none"/>
          <w:lang w:val="en-US" w:eastAsia="zh-CN"/>
        </w:rPr>
        <w:t>等</w:t>
      </w:r>
      <w:r>
        <w:rPr>
          <w:rFonts w:hint="eastAsia" w:ascii="宋体" w:hAnsi="宋体" w:cs="宋体"/>
          <w:color w:val="auto"/>
          <w:kern w:val="0"/>
          <w:szCs w:val="21"/>
          <w:highlight w:val="none"/>
        </w:rPr>
        <w:t>；</w:t>
      </w:r>
    </w:p>
    <w:p w14:paraId="32CFEF7C">
      <w:pPr>
        <w:adjustRightInd w:val="0"/>
        <w:snapToGrid w:val="0"/>
        <w:spacing w:line="360" w:lineRule="auto"/>
        <w:ind w:left="-88" w:leftChars="-42"/>
        <w:jc w:val="center"/>
        <w:rPr>
          <w:rFonts w:ascii="宋体" w:hAnsi="宋体"/>
          <w:b/>
          <w:bCs/>
          <w:color w:val="auto"/>
          <w:sz w:val="32"/>
          <w:szCs w:val="32"/>
          <w:highlight w:val="none"/>
        </w:rPr>
        <w:sectPr>
          <w:pgSz w:w="11906" w:h="16838"/>
          <w:pgMar w:top="1440" w:right="1531" w:bottom="1440" w:left="1531" w:header="851" w:footer="992" w:gutter="0"/>
          <w:pgNumType w:fmt="decimal"/>
          <w:cols w:space="720" w:num="1"/>
          <w:docGrid w:type="lines" w:linePitch="312" w:charSpace="0"/>
        </w:sectPr>
      </w:pPr>
    </w:p>
    <w:p w14:paraId="5155D8AB">
      <w:pPr>
        <w:adjustRightInd w:val="0"/>
        <w:snapToGrid w:val="0"/>
        <w:spacing w:line="360" w:lineRule="auto"/>
        <w:ind w:left="-88" w:leftChars="-42"/>
        <w:rPr>
          <w:rFonts w:ascii="宋体" w:hAnsi="宋体"/>
          <w:color w:val="auto"/>
          <w:sz w:val="32"/>
          <w:szCs w:val="32"/>
          <w:highlight w:val="none"/>
        </w:rPr>
      </w:pPr>
    </w:p>
    <w:p w14:paraId="59E673FD">
      <w:pPr>
        <w:widowControl/>
        <w:spacing w:line="360" w:lineRule="auto"/>
        <w:jc w:val="center"/>
        <w:rPr>
          <w:rFonts w:ascii="宋体" w:hAnsi="宋体"/>
          <w:b/>
          <w:bCs/>
          <w:color w:val="auto"/>
          <w:sz w:val="32"/>
          <w:szCs w:val="32"/>
          <w:highlight w:val="none"/>
        </w:rPr>
      </w:pPr>
      <w:r>
        <w:rPr>
          <w:rFonts w:ascii="宋体" w:hAnsi="宋体"/>
          <w:b/>
          <w:bCs/>
          <w:color w:val="auto"/>
          <w:sz w:val="32"/>
          <w:szCs w:val="32"/>
          <w:highlight w:val="none"/>
        </w:rPr>
        <w:br w:type="page"/>
      </w:r>
      <w:r>
        <w:rPr>
          <w:rFonts w:hint="eastAsia" w:ascii="宋体" w:hAnsi="宋体"/>
          <w:b/>
          <w:bCs/>
          <w:color w:val="auto"/>
          <w:sz w:val="32"/>
          <w:szCs w:val="32"/>
          <w:highlight w:val="none"/>
          <w:lang w:val="en-US" w:eastAsia="zh-CN"/>
        </w:rPr>
        <w:t>八</w:t>
      </w:r>
      <w:r>
        <w:rPr>
          <w:rFonts w:hint="eastAsia" w:ascii="宋体" w:hAnsi="宋体"/>
          <w:b/>
          <w:bCs/>
          <w:color w:val="auto"/>
          <w:sz w:val="32"/>
          <w:szCs w:val="32"/>
          <w:highlight w:val="none"/>
        </w:rPr>
        <w:t>、最后报价（现场提供）</w:t>
      </w:r>
    </w:p>
    <w:p w14:paraId="17C0921D">
      <w:pPr>
        <w:adjustRightInd w:val="0"/>
        <w:snapToGrid w:val="0"/>
        <w:spacing w:line="360" w:lineRule="auto"/>
        <w:rPr>
          <w:rFonts w:ascii="宋体" w:hAnsi="宋体"/>
          <w:b/>
          <w:color w:val="auto"/>
          <w:sz w:val="28"/>
          <w:szCs w:val="28"/>
          <w:highlight w:val="none"/>
        </w:rPr>
      </w:pPr>
      <w:r>
        <w:rPr>
          <w:rFonts w:hint="eastAsia" w:ascii="宋体" w:hAnsi="宋体"/>
          <w:b/>
          <w:color w:val="auto"/>
          <w:sz w:val="28"/>
          <w:szCs w:val="28"/>
          <w:highlight w:val="none"/>
        </w:rPr>
        <w:t>附件</w:t>
      </w:r>
      <w:r>
        <w:rPr>
          <w:rFonts w:hint="eastAsia" w:ascii="宋体" w:hAnsi="宋体"/>
          <w:b/>
          <w:color w:val="auto"/>
          <w:sz w:val="28"/>
          <w:szCs w:val="28"/>
          <w:highlight w:val="none"/>
          <w:lang w:val="en-US" w:eastAsia="zh-CN"/>
        </w:rPr>
        <w:t>8</w:t>
      </w:r>
      <w:r>
        <w:rPr>
          <w:rFonts w:hint="eastAsia" w:ascii="宋体" w:hAnsi="宋体"/>
          <w:b/>
          <w:color w:val="auto"/>
          <w:sz w:val="28"/>
          <w:szCs w:val="28"/>
          <w:highlight w:val="none"/>
        </w:rPr>
        <w:t>-1</w:t>
      </w:r>
    </w:p>
    <w:p w14:paraId="57C081E1">
      <w:pPr>
        <w:adjustRightInd w:val="0"/>
        <w:snapToGrid w:val="0"/>
        <w:spacing w:before="50" w:line="360" w:lineRule="auto"/>
        <w:jc w:val="center"/>
        <w:rPr>
          <w:rFonts w:ascii="宋体" w:hAnsi="宋体"/>
          <w:b/>
          <w:color w:val="auto"/>
          <w:sz w:val="28"/>
          <w:szCs w:val="28"/>
          <w:highlight w:val="none"/>
        </w:rPr>
      </w:pPr>
      <w:r>
        <w:rPr>
          <w:rFonts w:hint="eastAsia" w:ascii="宋体" w:hAnsi="宋体"/>
          <w:b/>
          <w:color w:val="auto"/>
          <w:sz w:val="28"/>
          <w:szCs w:val="28"/>
          <w:highlight w:val="none"/>
        </w:rPr>
        <w:t>最后报价一览表</w:t>
      </w:r>
    </w:p>
    <w:tbl>
      <w:tblPr>
        <w:tblStyle w:val="24"/>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3060"/>
        <w:gridCol w:w="1539"/>
        <w:gridCol w:w="2601"/>
      </w:tblGrid>
      <w:tr w14:paraId="3293F4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620" w:type="dxa"/>
            <w:vMerge w:val="restart"/>
            <w:tcBorders>
              <w:top w:val="double" w:color="auto" w:sz="4" w:space="0"/>
              <w:left w:val="double" w:color="auto" w:sz="4" w:space="0"/>
              <w:bottom w:val="single" w:color="auto" w:sz="6" w:space="0"/>
              <w:right w:val="single" w:color="auto" w:sz="6" w:space="0"/>
            </w:tcBorders>
            <w:noWrap w:val="0"/>
            <w:vAlign w:val="center"/>
          </w:tcPr>
          <w:p w14:paraId="0324CBBC">
            <w:pPr>
              <w:tabs>
                <w:tab w:val="left" w:pos="403"/>
                <w:tab w:val="center" w:pos="3781"/>
              </w:tabs>
              <w:spacing w:line="360" w:lineRule="auto"/>
              <w:ind w:right="-5206" w:rightChars="-2479" w:firstLine="210" w:firstLineChars="100"/>
              <w:rPr>
                <w:rFonts w:ascii="宋体" w:hAnsi="宋体"/>
                <w:color w:val="auto"/>
                <w:szCs w:val="21"/>
                <w:highlight w:val="none"/>
              </w:rPr>
            </w:pPr>
            <w:r>
              <w:rPr>
                <w:rFonts w:ascii="宋体" w:hAnsi="宋体"/>
                <w:color w:val="auto"/>
                <w:szCs w:val="21"/>
                <w:highlight w:val="none"/>
              </w:rPr>
              <w:t>项目名称</w:t>
            </w:r>
            <w:r>
              <w:rPr>
                <w:rFonts w:ascii="宋体" w:hAnsi="宋体"/>
                <w:color w:val="auto"/>
                <w:szCs w:val="21"/>
                <w:highlight w:val="none"/>
              </w:rPr>
              <w:tab/>
            </w:r>
            <w:r>
              <w:rPr>
                <w:rFonts w:ascii="宋体" w:hAnsi="宋体"/>
                <w:color w:val="auto"/>
                <w:szCs w:val="21"/>
                <w:highlight w:val="none"/>
              </w:rPr>
              <w:t>项目名称</w:t>
            </w:r>
          </w:p>
        </w:tc>
        <w:tc>
          <w:tcPr>
            <w:tcW w:w="3060" w:type="dxa"/>
            <w:vMerge w:val="restart"/>
            <w:tcBorders>
              <w:top w:val="double" w:color="auto" w:sz="4" w:space="0"/>
              <w:left w:val="single" w:color="auto" w:sz="6" w:space="0"/>
              <w:bottom w:val="single" w:color="auto" w:sz="6" w:space="0"/>
              <w:right w:val="single" w:color="auto" w:sz="6" w:space="0"/>
            </w:tcBorders>
            <w:noWrap w:val="0"/>
            <w:vAlign w:val="center"/>
          </w:tcPr>
          <w:p w14:paraId="5665262B">
            <w:pPr>
              <w:spacing w:line="360" w:lineRule="auto"/>
              <w:jc w:val="center"/>
              <w:rPr>
                <w:rFonts w:ascii="宋体" w:hAnsi="宋体"/>
                <w:color w:val="auto"/>
                <w:szCs w:val="21"/>
                <w:highlight w:val="none"/>
              </w:rPr>
            </w:pPr>
          </w:p>
        </w:tc>
        <w:tc>
          <w:tcPr>
            <w:tcW w:w="1539" w:type="dxa"/>
            <w:tcBorders>
              <w:top w:val="double" w:color="auto" w:sz="4" w:space="0"/>
              <w:left w:val="single" w:color="auto" w:sz="6" w:space="0"/>
              <w:bottom w:val="single" w:color="auto" w:sz="6" w:space="0"/>
              <w:right w:val="single" w:color="auto" w:sz="6" w:space="0"/>
            </w:tcBorders>
            <w:noWrap w:val="0"/>
            <w:vAlign w:val="center"/>
          </w:tcPr>
          <w:p w14:paraId="6A9246C1">
            <w:pPr>
              <w:spacing w:line="360" w:lineRule="auto"/>
              <w:jc w:val="center"/>
              <w:rPr>
                <w:rFonts w:ascii="宋体" w:hAnsi="宋体"/>
                <w:color w:val="auto"/>
                <w:szCs w:val="21"/>
                <w:highlight w:val="none"/>
              </w:rPr>
            </w:pPr>
            <w:r>
              <w:rPr>
                <w:rFonts w:hint="eastAsia" w:ascii="宋体" w:hAnsi="宋体"/>
                <w:color w:val="auto"/>
                <w:szCs w:val="21"/>
                <w:highlight w:val="none"/>
              </w:rPr>
              <w:t>政府采购</w:t>
            </w:r>
            <w:r>
              <w:rPr>
                <w:rFonts w:ascii="宋体" w:hAnsi="宋体"/>
                <w:color w:val="auto"/>
                <w:szCs w:val="21"/>
                <w:highlight w:val="none"/>
              </w:rPr>
              <w:t>编号</w:t>
            </w:r>
          </w:p>
        </w:tc>
        <w:tc>
          <w:tcPr>
            <w:tcW w:w="2601" w:type="dxa"/>
            <w:tcBorders>
              <w:top w:val="double" w:color="auto" w:sz="4" w:space="0"/>
              <w:left w:val="single" w:color="auto" w:sz="6" w:space="0"/>
              <w:bottom w:val="single" w:color="auto" w:sz="6" w:space="0"/>
              <w:right w:val="double" w:color="auto" w:sz="4" w:space="0"/>
            </w:tcBorders>
            <w:noWrap w:val="0"/>
            <w:vAlign w:val="center"/>
          </w:tcPr>
          <w:p w14:paraId="0306F660">
            <w:pPr>
              <w:spacing w:line="360" w:lineRule="auto"/>
              <w:jc w:val="center"/>
              <w:rPr>
                <w:rFonts w:ascii="宋体" w:hAnsi="宋体"/>
                <w:color w:val="auto"/>
                <w:szCs w:val="21"/>
                <w:highlight w:val="none"/>
              </w:rPr>
            </w:pPr>
          </w:p>
        </w:tc>
      </w:tr>
      <w:tr w14:paraId="16EF02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620" w:type="dxa"/>
            <w:vMerge w:val="continue"/>
            <w:tcBorders>
              <w:top w:val="single" w:color="auto" w:sz="6" w:space="0"/>
              <w:left w:val="double" w:color="auto" w:sz="4" w:space="0"/>
              <w:bottom w:val="single" w:color="auto" w:sz="6" w:space="0"/>
              <w:right w:val="single" w:color="auto" w:sz="6" w:space="0"/>
            </w:tcBorders>
            <w:noWrap w:val="0"/>
            <w:vAlign w:val="center"/>
          </w:tcPr>
          <w:p w14:paraId="3095F1F8">
            <w:pPr>
              <w:tabs>
                <w:tab w:val="left" w:pos="403"/>
                <w:tab w:val="center" w:pos="3781"/>
              </w:tabs>
              <w:spacing w:line="360" w:lineRule="auto"/>
              <w:ind w:right="-5206" w:rightChars="-2479"/>
              <w:rPr>
                <w:rFonts w:ascii="宋体" w:hAnsi="宋体"/>
                <w:color w:val="auto"/>
                <w:szCs w:val="21"/>
                <w:highlight w:val="none"/>
              </w:rPr>
            </w:pPr>
          </w:p>
        </w:tc>
        <w:tc>
          <w:tcPr>
            <w:tcW w:w="3060" w:type="dxa"/>
            <w:vMerge w:val="continue"/>
            <w:tcBorders>
              <w:top w:val="single" w:color="auto" w:sz="6" w:space="0"/>
              <w:left w:val="single" w:color="auto" w:sz="6" w:space="0"/>
              <w:bottom w:val="single" w:color="auto" w:sz="6" w:space="0"/>
              <w:right w:val="single" w:color="auto" w:sz="6" w:space="0"/>
            </w:tcBorders>
            <w:noWrap w:val="0"/>
            <w:vAlign w:val="center"/>
          </w:tcPr>
          <w:p w14:paraId="54EB66C3">
            <w:pPr>
              <w:spacing w:line="360" w:lineRule="auto"/>
              <w:jc w:val="center"/>
              <w:rPr>
                <w:rFonts w:ascii="宋体" w:hAnsi="宋体"/>
                <w:color w:val="auto"/>
                <w:szCs w:val="21"/>
                <w:highlight w:val="none"/>
              </w:rPr>
            </w:pPr>
          </w:p>
        </w:tc>
        <w:tc>
          <w:tcPr>
            <w:tcW w:w="1539" w:type="dxa"/>
            <w:tcBorders>
              <w:top w:val="single" w:color="auto" w:sz="6" w:space="0"/>
              <w:left w:val="single" w:color="auto" w:sz="6" w:space="0"/>
              <w:bottom w:val="single" w:color="auto" w:sz="6" w:space="0"/>
              <w:right w:val="single" w:color="auto" w:sz="6" w:space="0"/>
            </w:tcBorders>
            <w:noWrap w:val="0"/>
            <w:vAlign w:val="center"/>
          </w:tcPr>
          <w:p w14:paraId="5F221815">
            <w:pPr>
              <w:spacing w:line="360" w:lineRule="auto"/>
              <w:jc w:val="center"/>
              <w:rPr>
                <w:rFonts w:ascii="宋体" w:hAnsi="宋体"/>
                <w:color w:val="auto"/>
                <w:szCs w:val="21"/>
                <w:highlight w:val="none"/>
              </w:rPr>
            </w:pPr>
            <w:r>
              <w:rPr>
                <w:rFonts w:hint="eastAsia" w:ascii="宋体" w:hAnsi="宋体"/>
                <w:color w:val="auto"/>
                <w:szCs w:val="21"/>
                <w:highlight w:val="none"/>
              </w:rPr>
              <w:t>采购代理</w:t>
            </w:r>
            <w:r>
              <w:rPr>
                <w:rFonts w:ascii="宋体" w:hAnsi="宋体"/>
                <w:color w:val="auto"/>
                <w:szCs w:val="21"/>
                <w:highlight w:val="none"/>
              </w:rPr>
              <w:t>编号</w:t>
            </w:r>
          </w:p>
        </w:tc>
        <w:tc>
          <w:tcPr>
            <w:tcW w:w="2601" w:type="dxa"/>
            <w:tcBorders>
              <w:top w:val="single" w:color="auto" w:sz="6" w:space="0"/>
              <w:left w:val="single" w:color="auto" w:sz="6" w:space="0"/>
              <w:bottom w:val="single" w:color="auto" w:sz="6" w:space="0"/>
              <w:right w:val="double" w:color="auto" w:sz="4" w:space="0"/>
            </w:tcBorders>
            <w:noWrap w:val="0"/>
            <w:vAlign w:val="center"/>
          </w:tcPr>
          <w:p w14:paraId="47834885">
            <w:pPr>
              <w:spacing w:line="360" w:lineRule="auto"/>
              <w:jc w:val="center"/>
              <w:rPr>
                <w:rFonts w:ascii="宋体" w:hAnsi="宋体"/>
                <w:color w:val="auto"/>
                <w:szCs w:val="21"/>
                <w:highlight w:val="none"/>
              </w:rPr>
            </w:pPr>
          </w:p>
        </w:tc>
      </w:tr>
      <w:tr w14:paraId="0B3E62E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620" w:type="dxa"/>
            <w:tcBorders>
              <w:top w:val="single" w:color="auto" w:sz="6" w:space="0"/>
              <w:left w:val="double" w:color="auto" w:sz="4" w:space="0"/>
              <w:right w:val="single" w:color="auto" w:sz="6" w:space="0"/>
            </w:tcBorders>
            <w:noWrap w:val="0"/>
            <w:vAlign w:val="center"/>
          </w:tcPr>
          <w:p w14:paraId="14F1BBC2">
            <w:pPr>
              <w:spacing w:line="360" w:lineRule="auto"/>
              <w:jc w:val="center"/>
              <w:rPr>
                <w:rFonts w:ascii="宋体" w:hAnsi="宋体"/>
                <w:color w:val="auto"/>
                <w:szCs w:val="21"/>
                <w:highlight w:val="none"/>
              </w:rPr>
            </w:pPr>
            <w:r>
              <w:rPr>
                <w:rFonts w:hint="eastAsia" w:ascii="宋体" w:hAnsi="宋体"/>
                <w:color w:val="auto"/>
                <w:szCs w:val="21"/>
                <w:highlight w:val="none"/>
              </w:rPr>
              <w:t>品目分类编码</w:t>
            </w:r>
          </w:p>
        </w:tc>
        <w:tc>
          <w:tcPr>
            <w:tcW w:w="7200" w:type="dxa"/>
            <w:gridSpan w:val="3"/>
            <w:tcBorders>
              <w:top w:val="single" w:color="auto" w:sz="6" w:space="0"/>
              <w:left w:val="single" w:color="auto" w:sz="6" w:space="0"/>
              <w:bottom w:val="single" w:color="auto" w:sz="6" w:space="0"/>
              <w:right w:val="double" w:color="auto" w:sz="4" w:space="0"/>
            </w:tcBorders>
            <w:noWrap w:val="0"/>
            <w:vAlign w:val="center"/>
          </w:tcPr>
          <w:p w14:paraId="6BF08E00">
            <w:pPr>
              <w:spacing w:line="360" w:lineRule="auto"/>
              <w:rPr>
                <w:rFonts w:ascii="宋体" w:hAnsi="宋体"/>
                <w:color w:val="auto"/>
                <w:szCs w:val="21"/>
                <w:highlight w:val="none"/>
              </w:rPr>
            </w:pPr>
          </w:p>
        </w:tc>
      </w:tr>
      <w:tr w14:paraId="138810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1620" w:type="dxa"/>
            <w:tcBorders>
              <w:top w:val="single" w:color="auto" w:sz="6" w:space="0"/>
              <w:left w:val="double" w:color="auto" w:sz="4" w:space="0"/>
              <w:right w:val="single" w:color="auto" w:sz="6" w:space="0"/>
            </w:tcBorders>
            <w:noWrap w:val="0"/>
            <w:vAlign w:val="center"/>
          </w:tcPr>
          <w:p w14:paraId="7D75B0D2">
            <w:pPr>
              <w:spacing w:line="360" w:lineRule="auto"/>
              <w:jc w:val="center"/>
              <w:rPr>
                <w:rFonts w:ascii="宋体" w:hAnsi="宋体"/>
                <w:color w:val="auto"/>
                <w:szCs w:val="21"/>
                <w:highlight w:val="none"/>
              </w:rPr>
            </w:pPr>
            <w:r>
              <w:rPr>
                <w:rFonts w:ascii="宋体" w:hAnsi="宋体"/>
                <w:color w:val="auto"/>
                <w:szCs w:val="21"/>
                <w:highlight w:val="none"/>
              </w:rPr>
              <w:t>报价</w:t>
            </w:r>
          </w:p>
        </w:tc>
        <w:tc>
          <w:tcPr>
            <w:tcW w:w="7200" w:type="dxa"/>
            <w:gridSpan w:val="3"/>
            <w:tcBorders>
              <w:top w:val="single" w:color="auto" w:sz="6" w:space="0"/>
              <w:left w:val="single" w:color="auto" w:sz="6" w:space="0"/>
              <w:bottom w:val="single" w:color="auto" w:sz="6" w:space="0"/>
              <w:right w:val="double" w:color="auto" w:sz="4" w:space="0"/>
            </w:tcBorders>
            <w:noWrap w:val="0"/>
            <w:vAlign w:val="center"/>
          </w:tcPr>
          <w:p w14:paraId="708870C1">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大写：</w:t>
            </w:r>
            <w:r>
              <w:rPr>
                <w:rFonts w:hint="eastAsia" w:ascii="宋体" w:hAnsi="宋体" w:eastAsia="宋体"/>
                <w:color w:val="auto"/>
                <w:szCs w:val="21"/>
                <w:highlight w:val="none"/>
                <w:u w:val="single"/>
                <w:lang w:val="en-US" w:eastAsia="zh-CN"/>
              </w:rPr>
              <w:t xml:space="preserve">       </w:t>
            </w:r>
            <w:r>
              <w:rPr>
                <w:rFonts w:hint="eastAsia" w:ascii="宋体" w:hAnsi="宋体" w:eastAsia="宋体"/>
                <w:color w:val="auto"/>
                <w:szCs w:val="21"/>
                <w:highlight w:val="none"/>
              </w:rPr>
              <w:t>元人民币整</w:t>
            </w:r>
          </w:p>
          <w:p w14:paraId="41343AD1">
            <w:pPr>
              <w:spacing w:line="360" w:lineRule="auto"/>
              <w:rPr>
                <w:rFonts w:ascii="宋体" w:hAnsi="宋体"/>
                <w:color w:val="auto"/>
                <w:szCs w:val="21"/>
                <w:highlight w:val="none"/>
              </w:rPr>
            </w:pPr>
            <w:r>
              <w:rPr>
                <w:rFonts w:hint="eastAsia" w:ascii="宋体" w:hAnsi="宋体" w:eastAsia="宋体"/>
                <w:color w:val="auto"/>
                <w:szCs w:val="21"/>
                <w:highlight w:val="none"/>
              </w:rPr>
              <w:t>小写：</w:t>
            </w:r>
            <w:r>
              <w:rPr>
                <w:rFonts w:hint="default" w:ascii="Arial" w:hAnsi="Arial" w:eastAsia="宋体" w:cs="Arial"/>
                <w:color w:val="auto"/>
                <w:szCs w:val="21"/>
                <w:highlight w:val="none"/>
              </w:rPr>
              <w:t>¥</w:t>
            </w:r>
            <w:r>
              <w:rPr>
                <w:rFonts w:hint="eastAsia" w:ascii="宋体" w:hAnsi="宋体" w:eastAsia="宋体"/>
                <w:color w:val="auto"/>
                <w:szCs w:val="21"/>
                <w:highlight w:val="none"/>
                <w:u w:val="single"/>
                <w:lang w:val="en-US" w:eastAsia="zh-CN"/>
              </w:rPr>
              <w:t xml:space="preserve">       </w:t>
            </w:r>
            <w:r>
              <w:rPr>
                <w:rFonts w:hint="eastAsia" w:ascii="宋体" w:hAnsi="宋体" w:eastAsia="宋体"/>
                <w:color w:val="auto"/>
                <w:szCs w:val="21"/>
                <w:highlight w:val="none"/>
              </w:rPr>
              <w:t>元</w:t>
            </w:r>
          </w:p>
        </w:tc>
      </w:tr>
      <w:tr w14:paraId="360A00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20" w:type="dxa"/>
            <w:tcBorders>
              <w:top w:val="single" w:color="auto" w:sz="6" w:space="0"/>
              <w:left w:val="double" w:color="auto" w:sz="4" w:space="0"/>
              <w:bottom w:val="single" w:color="auto" w:sz="4" w:space="0"/>
              <w:right w:val="single" w:color="auto" w:sz="6" w:space="0"/>
            </w:tcBorders>
            <w:noWrap w:val="0"/>
            <w:vAlign w:val="center"/>
          </w:tcPr>
          <w:p w14:paraId="53D281C6">
            <w:pPr>
              <w:spacing w:line="360" w:lineRule="auto"/>
              <w:jc w:val="center"/>
              <w:rPr>
                <w:rFonts w:ascii="宋体" w:hAnsi="宋体"/>
                <w:color w:val="auto"/>
                <w:szCs w:val="21"/>
                <w:highlight w:val="none"/>
              </w:rPr>
            </w:pPr>
            <w:r>
              <w:rPr>
                <w:rFonts w:hint="eastAsia" w:ascii="宋体" w:hAnsi="宋体"/>
                <w:color w:val="auto"/>
                <w:szCs w:val="21"/>
                <w:highlight w:val="none"/>
              </w:rPr>
              <w:t>合同工期</w:t>
            </w:r>
          </w:p>
        </w:tc>
        <w:tc>
          <w:tcPr>
            <w:tcW w:w="7200" w:type="dxa"/>
            <w:gridSpan w:val="3"/>
            <w:tcBorders>
              <w:top w:val="single" w:color="auto" w:sz="6" w:space="0"/>
              <w:left w:val="single" w:color="auto" w:sz="6" w:space="0"/>
              <w:bottom w:val="single" w:color="auto" w:sz="4" w:space="0"/>
              <w:right w:val="double" w:color="auto" w:sz="4" w:space="0"/>
            </w:tcBorders>
            <w:noWrap w:val="0"/>
            <w:vAlign w:val="center"/>
          </w:tcPr>
          <w:p w14:paraId="5D227019">
            <w:pPr>
              <w:spacing w:line="360" w:lineRule="auto"/>
              <w:rPr>
                <w:rFonts w:ascii="宋体" w:hAnsi="宋体"/>
                <w:color w:val="auto"/>
                <w:szCs w:val="21"/>
                <w:highlight w:val="none"/>
              </w:rPr>
            </w:pPr>
          </w:p>
        </w:tc>
      </w:tr>
      <w:tr w14:paraId="212FAD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20" w:type="dxa"/>
            <w:tcBorders>
              <w:top w:val="single" w:color="auto" w:sz="4" w:space="0"/>
              <w:left w:val="double" w:color="auto" w:sz="4" w:space="0"/>
              <w:right w:val="single" w:color="auto" w:sz="6" w:space="0"/>
            </w:tcBorders>
            <w:noWrap w:val="0"/>
            <w:vAlign w:val="center"/>
          </w:tcPr>
          <w:p w14:paraId="097335A3">
            <w:pPr>
              <w:spacing w:line="360" w:lineRule="auto"/>
              <w:jc w:val="center"/>
              <w:rPr>
                <w:rFonts w:ascii="宋体" w:hAnsi="宋体"/>
                <w:color w:val="auto"/>
                <w:szCs w:val="21"/>
                <w:highlight w:val="none"/>
              </w:rPr>
            </w:pPr>
            <w:r>
              <w:rPr>
                <w:rFonts w:hint="eastAsia" w:ascii="宋体" w:hAnsi="宋体"/>
                <w:color w:val="auto"/>
                <w:szCs w:val="21"/>
                <w:highlight w:val="none"/>
              </w:rPr>
              <w:t>质量标准</w:t>
            </w:r>
          </w:p>
        </w:tc>
        <w:tc>
          <w:tcPr>
            <w:tcW w:w="7200" w:type="dxa"/>
            <w:gridSpan w:val="3"/>
            <w:tcBorders>
              <w:top w:val="single" w:color="auto" w:sz="4" w:space="0"/>
              <w:left w:val="single" w:color="auto" w:sz="6" w:space="0"/>
              <w:bottom w:val="single" w:color="auto" w:sz="6" w:space="0"/>
              <w:right w:val="double" w:color="auto" w:sz="4" w:space="0"/>
            </w:tcBorders>
            <w:noWrap w:val="0"/>
            <w:vAlign w:val="center"/>
          </w:tcPr>
          <w:p w14:paraId="2166B1A9">
            <w:pPr>
              <w:spacing w:line="360" w:lineRule="auto"/>
              <w:rPr>
                <w:rFonts w:ascii="宋体" w:hAnsi="宋体"/>
                <w:color w:val="auto"/>
                <w:szCs w:val="21"/>
                <w:highlight w:val="none"/>
              </w:rPr>
            </w:pPr>
          </w:p>
        </w:tc>
      </w:tr>
      <w:tr w14:paraId="1E2679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20" w:type="dxa"/>
            <w:tcBorders>
              <w:top w:val="single" w:color="auto" w:sz="6" w:space="0"/>
              <w:left w:val="double" w:color="auto" w:sz="4" w:space="0"/>
              <w:bottom w:val="single" w:color="auto" w:sz="6" w:space="0"/>
              <w:right w:val="single" w:color="auto" w:sz="6" w:space="0"/>
            </w:tcBorders>
            <w:noWrap w:val="0"/>
            <w:vAlign w:val="center"/>
          </w:tcPr>
          <w:p w14:paraId="7EBAA8FD">
            <w:pPr>
              <w:spacing w:line="360" w:lineRule="auto"/>
              <w:jc w:val="center"/>
              <w:rPr>
                <w:rFonts w:ascii="宋体" w:hAnsi="宋体"/>
                <w:color w:val="auto"/>
                <w:szCs w:val="21"/>
                <w:highlight w:val="none"/>
              </w:rPr>
            </w:pPr>
            <w:r>
              <w:rPr>
                <w:rFonts w:hint="eastAsia" w:ascii="宋体" w:hAnsi="宋体"/>
                <w:color w:val="auto"/>
                <w:szCs w:val="21"/>
                <w:highlight w:val="none"/>
              </w:rPr>
              <w:t>保修承诺</w:t>
            </w:r>
          </w:p>
        </w:tc>
        <w:tc>
          <w:tcPr>
            <w:tcW w:w="7200" w:type="dxa"/>
            <w:gridSpan w:val="3"/>
            <w:tcBorders>
              <w:top w:val="single" w:color="auto" w:sz="6" w:space="0"/>
              <w:left w:val="single" w:color="auto" w:sz="6" w:space="0"/>
              <w:bottom w:val="single" w:color="auto" w:sz="6" w:space="0"/>
              <w:right w:val="double" w:color="auto" w:sz="4" w:space="0"/>
            </w:tcBorders>
            <w:noWrap w:val="0"/>
            <w:vAlign w:val="center"/>
          </w:tcPr>
          <w:p w14:paraId="73847ADB">
            <w:pPr>
              <w:spacing w:line="360" w:lineRule="auto"/>
              <w:rPr>
                <w:rFonts w:ascii="宋体" w:hAnsi="宋体"/>
                <w:iCs/>
                <w:color w:val="auto"/>
                <w:szCs w:val="21"/>
                <w:highlight w:val="none"/>
              </w:rPr>
            </w:pPr>
          </w:p>
        </w:tc>
      </w:tr>
      <w:tr w14:paraId="33DEF3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20" w:type="dxa"/>
            <w:tcBorders>
              <w:top w:val="single" w:color="auto" w:sz="6" w:space="0"/>
              <w:left w:val="double" w:color="auto" w:sz="4" w:space="0"/>
              <w:bottom w:val="single" w:color="auto" w:sz="6" w:space="0"/>
              <w:right w:val="single" w:color="auto" w:sz="6" w:space="0"/>
            </w:tcBorders>
            <w:noWrap w:val="0"/>
            <w:vAlign w:val="center"/>
          </w:tcPr>
          <w:p w14:paraId="5BED81AC">
            <w:pPr>
              <w:spacing w:line="360" w:lineRule="auto"/>
              <w:jc w:val="center"/>
              <w:rPr>
                <w:rFonts w:ascii="宋体" w:hAnsi="宋体"/>
                <w:color w:val="auto"/>
                <w:szCs w:val="21"/>
                <w:highlight w:val="none"/>
              </w:rPr>
            </w:pPr>
            <w:r>
              <w:rPr>
                <w:rFonts w:hint="eastAsia" w:ascii="宋体" w:hAnsi="宋体"/>
                <w:color w:val="auto"/>
                <w:szCs w:val="21"/>
                <w:highlight w:val="none"/>
              </w:rPr>
              <w:t>项目负责人</w:t>
            </w:r>
          </w:p>
        </w:tc>
        <w:tc>
          <w:tcPr>
            <w:tcW w:w="7200" w:type="dxa"/>
            <w:gridSpan w:val="3"/>
            <w:tcBorders>
              <w:top w:val="single" w:color="auto" w:sz="6" w:space="0"/>
              <w:left w:val="single" w:color="auto" w:sz="6" w:space="0"/>
              <w:bottom w:val="single" w:color="auto" w:sz="6" w:space="0"/>
              <w:right w:val="double" w:color="auto" w:sz="4" w:space="0"/>
            </w:tcBorders>
            <w:noWrap w:val="0"/>
            <w:vAlign w:val="center"/>
          </w:tcPr>
          <w:p w14:paraId="2F6651A2">
            <w:pPr>
              <w:spacing w:line="360" w:lineRule="auto"/>
              <w:rPr>
                <w:rFonts w:ascii="宋体" w:hAnsi="宋体"/>
                <w:color w:val="auto"/>
                <w:szCs w:val="21"/>
                <w:highlight w:val="none"/>
              </w:rPr>
            </w:pPr>
            <w:r>
              <w:rPr>
                <w:rFonts w:hint="eastAsia" w:ascii="宋体" w:hAnsi="宋体"/>
                <w:color w:val="auto"/>
                <w:szCs w:val="21"/>
                <w:highlight w:val="none"/>
              </w:rPr>
              <w:t>姓名：</w:t>
            </w:r>
          </w:p>
          <w:p w14:paraId="50C64592">
            <w:pPr>
              <w:spacing w:line="360" w:lineRule="auto"/>
              <w:rPr>
                <w:rFonts w:ascii="宋体" w:hAnsi="宋体"/>
                <w:color w:val="auto"/>
                <w:szCs w:val="21"/>
                <w:highlight w:val="none"/>
              </w:rPr>
            </w:pPr>
            <w:r>
              <w:rPr>
                <w:rFonts w:hint="eastAsia" w:ascii="宋体" w:hAnsi="宋体"/>
                <w:color w:val="auto"/>
                <w:szCs w:val="21"/>
                <w:highlight w:val="none"/>
              </w:rPr>
              <w:t>级别：</w:t>
            </w:r>
          </w:p>
          <w:p w14:paraId="7F4637BE">
            <w:pPr>
              <w:spacing w:line="360" w:lineRule="auto"/>
              <w:rPr>
                <w:rFonts w:ascii="宋体" w:hAnsi="宋体"/>
                <w:color w:val="auto"/>
                <w:szCs w:val="21"/>
                <w:highlight w:val="none"/>
              </w:rPr>
            </w:pPr>
            <w:r>
              <w:rPr>
                <w:rFonts w:hint="eastAsia" w:ascii="宋体" w:hAnsi="宋体"/>
                <w:color w:val="auto"/>
                <w:szCs w:val="21"/>
                <w:highlight w:val="none"/>
              </w:rPr>
              <w:t>注册证号：</w:t>
            </w:r>
          </w:p>
          <w:p w14:paraId="4EE82B60">
            <w:pPr>
              <w:spacing w:line="360" w:lineRule="auto"/>
              <w:rPr>
                <w:rFonts w:ascii="宋体" w:hAnsi="宋体"/>
                <w:color w:val="auto"/>
                <w:szCs w:val="21"/>
                <w:highlight w:val="none"/>
              </w:rPr>
            </w:pPr>
            <w:r>
              <w:rPr>
                <w:rFonts w:hint="eastAsia" w:ascii="宋体" w:hAnsi="宋体"/>
                <w:color w:val="auto"/>
                <w:szCs w:val="21"/>
                <w:highlight w:val="none"/>
              </w:rPr>
              <w:t>B类安全生产考核合格证号：</w:t>
            </w:r>
          </w:p>
          <w:p w14:paraId="47B2DC3E">
            <w:pPr>
              <w:spacing w:line="360" w:lineRule="auto"/>
              <w:rPr>
                <w:rFonts w:ascii="宋体" w:hAnsi="宋体"/>
                <w:color w:val="auto"/>
                <w:szCs w:val="21"/>
                <w:highlight w:val="none"/>
              </w:rPr>
            </w:pPr>
            <w:r>
              <w:rPr>
                <w:rFonts w:hint="eastAsia" w:ascii="宋体" w:hAnsi="宋体"/>
                <w:color w:val="auto"/>
                <w:szCs w:val="21"/>
                <w:highlight w:val="none"/>
              </w:rPr>
              <w:t>身份证号：</w:t>
            </w:r>
          </w:p>
        </w:tc>
      </w:tr>
      <w:tr w14:paraId="1B8224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20" w:type="dxa"/>
            <w:tcBorders>
              <w:top w:val="single" w:color="auto" w:sz="6" w:space="0"/>
              <w:left w:val="double" w:color="auto" w:sz="4" w:space="0"/>
              <w:bottom w:val="double" w:color="auto" w:sz="4" w:space="0"/>
              <w:right w:val="single" w:color="auto" w:sz="6" w:space="0"/>
            </w:tcBorders>
            <w:noWrap w:val="0"/>
            <w:vAlign w:val="center"/>
          </w:tcPr>
          <w:p w14:paraId="47E4E037">
            <w:pPr>
              <w:spacing w:line="360" w:lineRule="auto"/>
              <w:jc w:val="center"/>
              <w:rPr>
                <w:rFonts w:ascii="宋体" w:hAnsi="宋体"/>
                <w:color w:val="auto"/>
                <w:szCs w:val="21"/>
                <w:highlight w:val="none"/>
              </w:rPr>
            </w:pPr>
            <w:r>
              <w:rPr>
                <w:rFonts w:ascii="宋体" w:hAnsi="宋体"/>
                <w:color w:val="auto"/>
                <w:szCs w:val="21"/>
                <w:highlight w:val="none"/>
              </w:rPr>
              <w:t>备  注</w:t>
            </w:r>
          </w:p>
        </w:tc>
        <w:tc>
          <w:tcPr>
            <w:tcW w:w="7200" w:type="dxa"/>
            <w:gridSpan w:val="3"/>
            <w:tcBorders>
              <w:top w:val="single" w:color="auto" w:sz="6" w:space="0"/>
              <w:left w:val="single" w:color="auto" w:sz="6" w:space="0"/>
              <w:bottom w:val="double" w:color="auto" w:sz="4" w:space="0"/>
              <w:right w:val="double" w:color="auto" w:sz="4" w:space="0"/>
            </w:tcBorders>
            <w:noWrap w:val="0"/>
            <w:vAlign w:val="center"/>
          </w:tcPr>
          <w:p w14:paraId="1DB3E3E7">
            <w:pPr>
              <w:spacing w:line="360" w:lineRule="auto"/>
              <w:rPr>
                <w:rFonts w:ascii="宋体" w:hAnsi="宋体"/>
                <w:color w:val="auto"/>
                <w:szCs w:val="21"/>
                <w:highlight w:val="none"/>
              </w:rPr>
            </w:pPr>
          </w:p>
        </w:tc>
      </w:tr>
    </w:tbl>
    <w:p w14:paraId="384E8D4E">
      <w:pPr>
        <w:adjustRightInd w:val="0"/>
        <w:snapToGrid w:val="0"/>
        <w:spacing w:line="360" w:lineRule="auto"/>
        <w:ind w:left="-88" w:leftChars="-42"/>
        <w:rPr>
          <w:rFonts w:ascii="宋体" w:hAnsi="宋体"/>
          <w:color w:val="auto"/>
          <w:szCs w:val="21"/>
          <w:highlight w:val="none"/>
        </w:rPr>
      </w:pPr>
    </w:p>
    <w:p w14:paraId="321D3C43">
      <w:pPr>
        <w:pStyle w:val="14"/>
        <w:adjustRightInd w:val="0"/>
        <w:snapToGrid w:val="0"/>
        <w:spacing w:line="360" w:lineRule="auto"/>
        <w:outlineLvl w:val="0"/>
        <w:rPr>
          <w:rFonts w:ascii="宋体" w:hAnsi="宋体"/>
          <w:bCs/>
          <w:color w:val="auto"/>
          <w:sz w:val="21"/>
          <w:szCs w:val="21"/>
          <w:highlight w:val="none"/>
        </w:rPr>
      </w:pPr>
      <w:bookmarkStart w:id="312" w:name="_Toc25298"/>
      <w:bookmarkStart w:id="313" w:name="_Toc1293"/>
      <w:r>
        <w:rPr>
          <w:rFonts w:hint="eastAsia" w:ascii="宋体" w:hAnsi="宋体"/>
          <w:color w:val="auto"/>
          <w:sz w:val="21"/>
          <w:szCs w:val="21"/>
          <w:highlight w:val="none"/>
        </w:rPr>
        <w:t>供应商名称：</w:t>
      </w:r>
      <w:bookmarkEnd w:id="312"/>
      <w:bookmarkEnd w:id="313"/>
      <w:r>
        <w:rPr>
          <w:rFonts w:hint="eastAsia" w:ascii="宋体" w:hAnsi="宋体"/>
          <w:color w:val="auto"/>
          <w:szCs w:val="21"/>
          <w:highlight w:val="none"/>
          <w:u w:val="single"/>
        </w:rPr>
        <w:t xml:space="preserve">        </w:t>
      </w:r>
    </w:p>
    <w:p w14:paraId="39CCEAFB">
      <w:pPr>
        <w:adjustRightInd w:val="0"/>
        <w:snapToGrid w:val="0"/>
        <w:spacing w:line="360" w:lineRule="auto"/>
        <w:outlineLvl w:val="0"/>
        <w:rPr>
          <w:rFonts w:ascii="宋体" w:hAnsi="宋体"/>
          <w:color w:val="auto"/>
          <w:szCs w:val="21"/>
          <w:highlight w:val="none"/>
          <w:u w:val="single"/>
        </w:rPr>
      </w:pPr>
      <w:bookmarkStart w:id="314" w:name="_Toc16559"/>
      <w:bookmarkStart w:id="315" w:name="_Toc20395"/>
      <w:r>
        <w:rPr>
          <w:rFonts w:hint="eastAsia" w:ascii="宋体" w:hAnsi="宋体"/>
          <w:color w:val="auto"/>
          <w:szCs w:val="21"/>
          <w:highlight w:val="none"/>
        </w:rPr>
        <w:t>法定代表人或其委托代理人(签字或盖章)：</w:t>
      </w:r>
      <w:bookmarkEnd w:id="314"/>
      <w:bookmarkEnd w:id="315"/>
      <w:r>
        <w:rPr>
          <w:rFonts w:hint="eastAsia" w:ascii="宋体" w:hAnsi="宋体"/>
          <w:color w:val="auto"/>
          <w:szCs w:val="21"/>
          <w:highlight w:val="none"/>
          <w:u w:val="single"/>
        </w:rPr>
        <w:t xml:space="preserve">        </w:t>
      </w:r>
    </w:p>
    <w:p w14:paraId="6790A740">
      <w:pPr>
        <w:spacing w:line="360" w:lineRule="auto"/>
        <w:rPr>
          <w:rFonts w:ascii="宋体" w:hAnsi="宋体"/>
          <w:color w:val="auto"/>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53426833">
      <w:pPr>
        <w:adjustRightInd w:val="0"/>
        <w:snapToGrid w:val="0"/>
        <w:spacing w:line="360" w:lineRule="auto"/>
        <w:ind w:left="-88" w:leftChars="-42" w:firstLine="105" w:firstLineChars="50"/>
        <w:rPr>
          <w:rFonts w:ascii="宋体" w:hAnsi="宋体"/>
          <w:color w:val="auto"/>
          <w:szCs w:val="21"/>
          <w:highlight w:val="none"/>
        </w:rPr>
      </w:pPr>
    </w:p>
    <w:p w14:paraId="29CE3678">
      <w:pPr>
        <w:tabs>
          <w:tab w:val="left" w:pos="678"/>
        </w:tabs>
        <w:adjustRightInd w:val="0"/>
        <w:snapToGrid w:val="0"/>
        <w:spacing w:line="360" w:lineRule="auto"/>
        <w:ind w:left="-88" w:leftChars="-42" w:firstLine="105" w:firstLineChars="50"/>
        <w:rPr>
          <w:rFonts w:hint="eastAsia" w:ascii="宋体" w:hAnsi="宋体"/>
          <w:b/>
          <w:color w:val="auto"/>
          <w:szCs w:val="21"/>
          <w:highlight w:val="none"/>
          <w:lang w:val="en-US" w:eastAsia="zh-CN"/>
        </w:rPr>
      </w:pPr>
      <w:r>
        <w:rPr>
          <w:rFonts w:hint="eastAsia" w:ascii="宋体" w:hAnsi="宋体"/>
          <w:color w:val="auto"/>
          <w:szCs w:val="21"/>
          <w:highlight w:val="none"/>
          <w:lang w:eastAsia="zh-CN"/>
        </w:rPr>
        <w:tab/>
      </w:r>
      <w:r>
        <w:rPr>
          <w:rFonts w:hint="eastAsia" w:ascii="宋体" w:hAnsi="宋体"/>
          <w:b/>
          <w:color w:val="auto"/>
          <w:szCs w:val="21"/>
          <w:highlight w:val="none"/>
        </w:rPr>
        <w:t>注：</w:t>
      </w:r>
      <w:r>
        <w:rPr>
          <w:rFonts w:hint="eastAsia" w:ascii="宋体" w:hAnsi="宋体"/>
          <w:b/>
          <w:color w:val="auto"/>
          <w:szCs w:val="21"/>
          <w:highlight w:val="none"/>
          <w:lang w:val="en-US" w:eastAsia="zh-CN"/>
        </w:rPr>
        <w:t>1.最后报价由一式二份组成不分正副本；</w:t>
      </w:r>
    </w:p>
    <w:p w14:paraId="11780416">
      <w:pPr>
        <w:adjustRightInd w:val="0"/>
        <w:snapToGrid w:val="0"/>
        <w:spacing w:line="360" w:lineRule="auto"/>
        <w:ind w:firstLine="843" w:firstLineChars="400"/>
        <w:rPr>
          <w:rFonts w:hint="eastAsia" w:ascii="宋体" w:hAnsi="宋体"/>
          <w:b/>
          <w:color w:val="auto"/>
          <w:szCs w:val="21"/>
          <w:highlight w:val="none"/>
          <w:lang w:eastAsia="zh-CN"/>
        </w:rPr>
      </w:pPr>
      <w:r>
        <w:rPr>
          <w:rFonts w:hint="eastAsia" w:ascii="宋体" w:hAnsi="宋体"/>
          <w:b/>
          <w:color w:val="auto"/>
          <w:szCs w:val="21"/>
          <w:highlight w:val="none"/>
          <w:lang w:val="en-US" w:eastAsia="zh-CN"/>
        </w:rPr>
        <w:t>2.</w:t>
      </w:r>
      <w:r>
        <w:rPr>
          <w:rFonts w:hint="eastAsia" w:ascii="宋体" w:hAnsi="宋体"/>
          <w:b/>
          <w:color w:val="auto"/>
          <w:szCs w:val="21"/>
          <w:highlight w:val="none"/>
        </w:rPr>
        <w:t>最终报价一览表和分项报价表在最后报价环节时单独密封递交，不装订在响应文件中</w:t>
      </w:r>
      <w:r>
        <w:rPr>
          <w:rFonts w:hint="eastAsia" w:ascii="宋体" w:hAnsi="宋体"/>
          <w:b/>
          <w:color w:val="auto"/>
          <w:szCs w:val="21"/>
          <w:highlight w:val="none"/>
          <w:lang w:eastAsia="zh-CN"/>
        </w:rPr>
        <w:t>，</w:t>
      </w:r>
      <w:r>
        <w:rPr>
          <w:rFonts w:hint="eastAsia" w:ascii="宋体" w:hAnsi="宋体"/>
          <w:b/>
          <w:color w:val="auto"/>
          <w:szCs w:val="21"/>
          <w:highlight w:val="none"/>
        </w:rPr>
        <w:t>由各供应商现场提供</w:t>
      </w:r>
      <w:r>
        <w:rPr>
          <w:rFonts w:hint="eastAsia" w:ascii="宋体" w:hAnsi="宋体"/>
          <w:b/>
          <w:color w:val="auto"/>
          <w:szCs w:val="21"/>
          <w:highlight w:val="none"/>
          <w:lang w:eastAsia="zh-CN"/>
        </w:rPr>
        <w:t>；</w:t>
      </w:r>
    </w:p>
    <w:p w14:paraId="4F4601AA">
      <w:pPr>
        <w:adjustRightInd w:val="0"/>
        <w:snapToGrid w:val="0"/>
        <w:spacing w:line="360" w:lineRule="auto"/>
        <w:ind w:firstLine="843" w:firstLineChars="400"/>
        <w:rPr>
          <w:rFonts w:ascii="宋体" w:hAnsi="宋体"/>
          <w:b/>
          <w:color w:val="auto"/>
          <w:szCs w:val="21"/>
          <w:highlight w:val="none"/>
        </w:rPr>
      </w:pPr>
      <w:r>
        <w:rPr>
          <w:rFonts w:hint="eastAsia" w:ascii="宋体" w:hAnsi="宋体"/>
          <w:b/>
          <w:color w:val="auto"/>
          <w:szCs w:val="21"/>
          <w:highlight w:val="none"/>
          <w:lang w:val="en-US" w:eastAsia="zh-CN"/>
        </w:rPr>
        <w:t>3.</w:t>
      </w:r>
      <w:r>
        <w:rPr>
          <w:rFonts w:hint="eastAsia" w:ascii="宋体" w:hAnsi="宋体"/>
          <w:b/>
          <w:color w:val="auto"/>
          <w:szCs w:val="21"/>
          <w:highlight w:val="none"/>
        </w:rPr>
        <w:t>未按要求提供最后报价的视为无效投标。</w:t>
      </w:r>
    </w:p>
    <w:p w14:paraId="78CC7E21">
      <w:pPr>
        <w:pStyle w:val="35"/>
        <w:rPr>
          <w:rFonts w:ascii="宋体" w:hAnsi="宋体"/>
          <w:color w:val="auto"/>
          <w:szCs w:val="21"/>
          <w:highlight w:val="none"/>
        </w:rPr>
        <w:sectPr>
          <w:headerReference r:id="rId8" w:type="default"/>
          <w:footerReference r:id="rId9" w:type="even"/>
          <w:type w:val="continuous"/>
          <w:pgSz w:w="11906" w:h="16838"/>
          <w:pgMar w:top="1474" w:right="1474" w:bottom="1276" w:left="1588" w:header="851" w:footer="992" w:gutter="0"/>
          <w:pgNumType w:fmt="decimal"/>
          <w:cols w:space="720" w:num="1"/>
          <w:docGrid w:type="lines" w:linePitch="312" w:charSpace="0"/>
        </w:sectPr>
      </w:pPr>
    </w:p>
    <w:p w14:paraId="48111612">
      <w:pPr>
        <w:adjustRightInd w:val="0"/>
        <w:snapToGrid w:val="0"/>
        <w:spacing w:line="360" w:lineRule="auto"/>
        <w:rPr>
          <w:color w:val="auto"/>
          <w:highlight w:val="none"/>
        </w:rPr>
      </w:pPr>
      <w:r>
        <w:rPr>
          <w:rFonts w:hint="eastAsia" w:ascii="宋体" w:hAnsi="宋体"/>
          <w:b/>
          <w:color w:val="auto"/>
          <w:sz w:val="28"/>
          <w:szCs w:val="28"/>
          <w:highlight w:val="none"/>
        </w:rPr>
        <w:t>附件</w:t>
      </w:r>
      <w:r>
        <w:rPr>
          <w:rFonts w:hint="eastAsia" w:ascii="宋体" w:hAnsi="宋体"/>
          <w:b/>
          <w:color w:val="auto"/>
          <w:sz w:val="28"/>
          <w:szCs w:val="28"/>
          <w:highlight w:val="none"/>
          <w:lang w:val="en-US" w:eastAsia="zh-CN"/>
        </w:rPr>
        <w:t>8</w:t>
      </w:r>
      <w:r>
        <w:rPr>
          <w:rFonts w:hint="eastAsia" w:ascii="宋体" w:hAnsi="宋体"/>
          <w:b/>
          <w:color w:val="auto"/>
          <w:sz w:val="28"/>
          <w:szCs w:val="28"/>
          <w:highlight w:val="none"/>
        </w:rPr>
        <w:t>-2</w:t>
      </w:r>
    </w:p>
    <w:p w14:paraId="557A2778">
      <w:pPr>
        <w:pStyle w:val="35"/>
        <w:ind w:firstLine="0" w:firstLineChars="0"/>
        <w:jc w:val="center"/>
        <w:rPr>
          <w:rFonts w:ascii="宋体" w:hAnsi="宋体"/>
          <w:b/>
          <w:color w:val="auto"/>
          <w:sz w:val="28"/>
          <w:szCs w:val="28"/>
          <w:highlight w:val="none"/>
        </w:rPr>
      </w:pPr>
      <w:r>
        <w:rPr>
          <w:rFonts w:hint="eastAsia" w:ascii="宋体" w:hAnsi="宋体"/>
          <w:b/>
          <w:color w:val="auto"/>
          <w:sz w:val="28"/>
          <w:szCs w:val="28"/>
          <w:highlight w:val="none"/>
        </w:rPr>
        <w:t>分项报价表</w:t>
      </w:r>
    </w:p>
    <w:p w14:paraId="25880DD6">
      <w:pPr>
        <w:pStyle w:val="7"/>
        <w:spacing w:before="0" w:after="0" w:line="360" w:lineRule="auto"/>
        <w:jc w:val="center"/>
        <w:rPr>
          <w:color w:val="auto"/>
          <w:highlight w:val="none"/>
        </w:rPr>
      </w:pPr>
      <w:bookmarkStart w:id="316" w:name="_Toc13573"/>
      <w:bookmarkStart w:id="317" w:name="_Toc15688"/>
      <w:r>
        <w:rPr>
          <w:rFonts w:hint="eastAsia"/>
          <w:color w:val="auto"/>
          <w:highlight w:val="none"/>
        </w:rPr>
        <w:t>工程量清单</w:t>
      </w:r>
      <w:bookmarkEnd w:id="316"/>
      <w:bookmarkEnd w:id="317"/>
    </w:p>
    <w:p w14:paraId="471F0CC7">
      <w:pPr>
        <w:keepNext w:val="0"/>
        <w:keepLines w:val="0"/>
        <w:pageBreakBefore w:val="0"/>
        <w:widowControl w:val="0"/>
        <w:kinsoku/>
        <w:wordWrap/>
        <w:overflowPunct/>
        <w:topLinePunct w:val="0"/>
        <w:autoSpaceDE w:val="0"/>
        <w:autoSpaceDN w:val="0"/>
        <w:bidi w:val="0"/>
        <w:adjustRightInd w:val="0"/>
        <w:spacing w:before="64" w:line="312" w:lineRule="auto"/>
        <w:ind w:right="-23" w:firstLine="420" w:firstLineChars="200"/>
        <w:jc w:val="left"/>
        <w:textAlignment w:val="auto"/>
        <w:rPr>
          <w:rFonts w:ascii="宋体" w:hAnsi="宋体" w:cs="宋体"/>
          <w:bCs/>
          <w:color w:val="auto"/>
          <w:kern w:val="0"/>
          <w:szCs w:val="21"/>
          <w:highlight w:val="none"/>
        </w:rPr>
      </w:pPr>
      <w:r>
        <w:rPr>
          <w:rFonts w:hint="eastAsia" w:ascii="宋体" w:hAnsi="宋体" w:cs="宋体"/>
          <w:bCs/>
          <w:color w:val="auto"/>
          <w:kern w:val="0"/>
          <w:szCs w:val="21"/>
          <w:highlight w:val="none"/>
        </w:rPr>
        <w:t>1.已标价工程量清单内容</w:t>
      </w:r>
    </w:p>
    <w:p w14:paraId="37E9F74E">
      <w:pPr>
        <w:keepNext w:val="0"/>
        <w:keepLines w:val="0"/>
        <w:pageBreakBefore w:val="0"/>
        <w:widowControl w:val="0"/>
        <w:kinsoku/>
        <w:wordWrap/>
        <w:overflowPunct/>
        <w:topLinePunct w:val="0"/>
        <w:bidi w:val="0"/>
        <w:snapToGrid w:val="0"/>
        <w:spacing w:line="312"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（1）投标总价封面；</w:t>
      </w:r>
    </w:p>
    <w:p w14:paraId="66CD445F">
      <w:pPr>
        <w:keepNext w:val="0"/>
        <w:keepLines w:val="0"/>
        <w:pageBreakBefore w:val="0"/>
        <w:widowControl w:val="0"/>
        <w:kinsoku/>
        <w:wordWrap/>
        <w:overflowPunct/>
        <w:topLinePunct w:val="0"/>
        <w:bidi w:val="0"/>
        <w:snapToGrid w:val="0"/>
        <w:spacing w:line="312"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（2）投标总价扉页</w:t>
      </w:r>
    </w:p>
    <w:p w14:paraId="17F2C31D">
      <w:pPr>
        <w:keepNext w:val="0"/>
        <w:keepLines w:val="0"/>
        <w:pageBreakBefore w:val="0"/>
        <w:widowControl w:val="0"/>
        <w:kinsoku/>
        <w:wordWrap/>
        <w:overflowPunct/>
        <w:topLinePunct w:val="0"/>
        <w:bidi w:val="0"/>
        <w:snapToGrid w:val="0"/>
        <w:spacing w:line="312"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（3）工程计价总说明</w:t>
      </w:r>
    </w:p>
    <w:p w14:paraId="3769FFEB">
      <w:pPr>
        <w:keepNext w:val="0"/>
        <w:keepLines w:val="0"/>
        <w:pageBreakBefore w:val="0"/>
        <w:widowControl w:val="0"/>
        <w:kinsoku/>
        <w:wordWrap/>
        <w:overflowPunct/>
        <w:topLinePunct w:val="0"/>
        <w:bidi w:val="0"/>
        <w:snapToGrid w:val="0"/>
        <w:spacing w:line="312"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（4）建设项目投标报价汇总表</w:t>
      </w:r>
    </w:p>
    <w:p w14:paraId="3C8273ED">
      <w:pPr>
        <w:keepNext w:val="0"/>
        <w:keepLines w:val="0"/>
        <w:pageBreakBefore w:val="0"/>
        <w:widowControl w:val="0"/>
        <w:kinsoku/>
        <w:wordWrap/>
        <w:overflowPunct/>
        <w:topLinePunct w:val="0"/>
        <w:bidi w:val="0"/>
        <w:snapToGrid w:val="0"/>
        <w:spacing w:line="312"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（5）单项工程投标报价汇总表</w:t>
      </w:r>
    </w:p>
    <w:p w14:paraId="23AFCC96">
      <w:pPr>
        <w:keepNext w:val="0"/>
        <w:keepLines w:val="0"/>
        <w:pageBreakBefore w:val="0"/>
        <w:widowControl w:val="0"/>
        <w:kinsoku/>
        <w:wordWrap/>
        <w:overflowPunct/>
        <w:topLinePunct w:val="0"/>
        <w:bidi w:val="0"/>
        <w:snapToGrid w:val="0"/>
        <w:spacing w:line="312"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（6）单位工程投标报价汇总表</w:t>
      </w:r>
    </w:p>
    <w:p w14:paraId="2183FCC8">
      <w:pPr>
        <w:keepNext w:val="0"/>
        <w:keepLines w:val="0"/>
        <w:pageBreakBefore w:val="0"/>
        <w:widowControl w:val="0"/>
        <w:kinsoku/>
        <w:wordWrap/>
        <w:overflowPunct/>
        <w:topLinePunct w:val="0"/>
        <w:bidi w:val="0"/>
        <w:snapToGrid w:val="0"/>
        <w:spacing w:line="312"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（7）分部分项工程项目清单与措施项目清单计价表</w:t>
      </w:r>
    </w:p>
    <w:p w14:paraId="15C15F9A">
      <w:pPr>
        <w:keepNext w:val="0"/>
        <w:keepLines w:val="0"/>
        <w:pageBreakBefore w:val="0"/>
        <w:widowControl w:val="0"/>
        <w:kinsoku/>
        <w:wordWrap/>
        <w:overflowPunct/>
        <w:topLinePunct w:val="0"/>
        <w:bidi w:val="0"/>
        <w:snapToGrid w:val="0"/>
        <w:spacing w:line="312"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（8）综合单价分析表</w:t>
      </w:r>
    </w:p>
    <w:p w14:paraId="4CDCB288">
      <w:pPr>
        <w:keepNext w:val="0"/>
        <w:keepLines w:val="0"/>
        <w:pageBreakBefore w:val="0"/>
        <w:widowControl w:val="0"/>
        <w:kinsoku/>
        <w:wordWrap/>
        <w:overflowPunct/>
        <w:topLinePunct w:val="0"/>
        <w:bidi w:val="0"/>
        <w:snapToGrid w:val="0"/>
        <w:spacing w:line="312"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（9）总价措施项目清单计费表</w:t>
      </w:r>
    </w:p>
    <w:p w14:paraId="474016B5">
      <w:pPr>
        <w:keepNext w:val="0"/>
        <w:keepLines w:val="0"/>
        <w:pageBreakBefore w:val="0"/>
        <w:widowControl w:val="0"/>
        <w:kinsoku/>
        <w:wordWrap/>
        <w:overflowPunct/>
        <w:topLinePunct w:val="0"/>
        <w:bidi w:val="0"/>
        <w:snapToGrid w:val="0"/>
        <w:spacing w:line="312"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（10）绿色施工安全防护措施项目费计价表（招投标）</w:t>
      </w:r>
    </w:p>
    <w:p w14:paraId="49046543">
      <w:pPr>
        <w:keepNext w:val="0"/>
        <w:keepLines w:val="0"/>
        <w:pageBreakBefore w:val="0"/>
        <w:widowControl w:val="0"/>
        <w:kinsoku/>
        <w:wordWrap/>
        <w:overflowPunct/>
        <w:topLinePunct w:val="0"/>
        <w:bidi w:val="0"/>
        <w:snapToGrid w:val="0"/>
        <w:spacing w:line="312"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（11）其他项目清单与计价汇总表</w:t>
      </w:r>
    </w:p>
    <w:p w14:paraId="68EEBE3D">
      <w:pPr>
        <w:keepNext w:val="0"/>
        <w:keepLines w:val="0"/>
        <w:pageBreakBefore w:val="0"/>
        <w:widowControl w:val="0"/>
        <w:kinsoku/>
        <w:wordWrap/>
        <w:overflowPunct/>
        <w:topLinePunct w:val="0"/>
        <w:bidi w:val="0"/>
        <w:snapToGrid w:val="0"/>
        <w:spacing w:line="312"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（12）暂列金额明细表</w:t>
      </w:r>
    </w:p>
    <w:p w14:paraId="58BEB533">
      <w:pPr>
        <w:keepNext w:val="0"/>
        <w:keepLines w:val="0"/>
        <w:pageBreakBefore w:val="0"/>
        <w:widowControl w:val="0"/>
        <w:kinsoku/>
        <w:wordWrap/>
        <w:overflowPunct/>
        <w:topLinePunct w:val="0"/>
        <w:bidi w:val="0"/>
        <w:snapToGrid w:val="0"/>
        <w:spacing w:line="312"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（13）材料暂估单价及调整表</w:t>
      </w:r>
    </w:p>
    <w:p w14:paraId="045A9BCF">
      <w:pPr>
        <w:keepNext w:val="0"/>
        <w:keepLines w:val="0"/>
        <w:pageBreakBefore w:val="0"/>
        <w:widowControl w:val="0"/>
        <w:kinsoku/>
        <w:wordWrap/>
        <w:overflowPunct/>
        <w:topLinePunct w:val="0"/>
        <w:bidi w:val="0"/>
        <w:snapToGrid w:val="0"/>
        <w:spacing w:line="312"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（14）专业工程/分部分项工程暂估价及结算价表</w:t>
      </w:r>
    </w:p>
    <w:p w14:paraId="7253B19A">
      <w:pPr>
        <w:keepNext w:val="0"/>
        <w:keepLines w:val="0"/>
        <w:pageBreakBefore w:val="0"/>
        <w:widowControl w:val="0"/>
        <w:kinsoku/>
        <w:wordWrap/>
        <w:overflowPunct/>
        <w:topLinePunct w:val="0"/>
        <w:bidi w:val="0"/>
        <w:snapToGrid w:val="0"/>
        <w:spacing w:line="312"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（15）计日工表</w:t>
      </w:r>
    </w:p>
    <w:p w14:paraId="500E5FD9">
      <w:pPr>
        <w:keepNext w:val="0"/>
        <w:keepLines w:val="0"/>
        <w:pageBreakBefore w:val="0"/>
        <w:widowControl w:val="0"/>
        <w:kinsoku/>
        <w:wordWrap/>
        <w:overflowPunct/>
        <w:topLinePunct w:val="0"/>
        <w:bidi w:val="0"/>
        <w:snapToGrid w:val="0"/>
        <w:spacing w:line="312"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（16）总承包服务费计价表</w:t>
      </w:r>
    </w:p>
    <w:p w14:paraId="1CA8FFA6">
      <w:pPr>
        <w:keepNext w:val="0"/>
        <w:keepLines w:val="0"/>
        <w:pageBreakBefore w:val="0"/>
        <w:widowControl w:val="0"/>
        <w:kinsoku/>
        <w:wordWrap/>
        <w:overflowPunct/>
        <w:topLinePunct w:val="0"/>
        <w:bidi w:val="0"/>
        <w:snapToGrid w:val="0"/>
        <w:spacing w:line="312"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（17）部分其他项目费计价表</w:t>
      </w:r>
    </w:p>
    <w:p w14:paraId="4DEF33E1">
      <w:pPr>
        <w:keepNext w:val="0"/>
        <w:keepLines w:val="0"/>
        <w:pageBreakBefore w:val="0"/>
        <w:widowControl w:val="0"/>
        <w:kinsoku/>
        <w:wordWrap/>
        <w:overflowPunct/>
        <w:topLinePunct w:val="0"/>
        <w:bidi w:val="0"/>
        <w:snapToGrid w:val="0"/>
        <w:spacing w:line="312" w:lineRule="auto"/>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（18）发包人提供材料一览表</w:t>
      </w:r>
    </w:p>
    <w:p w14:paraId="3BDC6232">
      <w:pPr>
        <w:keepNext w:val="0"/>
        <w:keepLines w:val="0"/>
        <w:pageBreakBefore w:val="0"/>
        <w:widowControl w:val="0"/>
        <w:kinsoku/>
        <w:wordWrap/>
        <w:overflowPunct/>
        <w:topLinePunct w:val="0"/>
        <w:bidi w:val="0"/>
        <w:snapToGrid w:val="0"/>
        <w:spacing w:line="312"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（19）人工、材料、机械汇总表</w:t>
      </w:r>
    </w:p>
    <w:p w14:paraId="38923F15">
      <w:pPr>
        <w:keepNext w:val="0"/>
        <w:keepLines w:val="0"/>
        <w:pageBreakBefore w:val="0"/>
        <w:widowControl w:val="0"/>
        <w:kinsoku/>
        <w:wordWrap/>
        <w:overflowPunct/>
        <w:topLinePunct w:val="0"/>
        <w:bidi w:val="0"/>
        <w:snapToGrid w:val="0"/>
        <w:spacing w:line="312"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（19）重点评审的工程量清单综合单价（含单价措施项目）表</w:t>
      </w:r>
    </w:p>
    <w:p w14:paraId="6C42B86F">
      <w:pPr>
        <w:keepNext w:val="0"/>
        <w:keepLines w:val="0"/>
        <w:pageBreakBefore w:val="0"/>
        <w:widowControl w:val="0"/>
        <w:kinsoku/>
        <w:wordWrap/>
        <w:overflowPunct/>
        <w:topLinePunct w:val="0"/>
        <w:bidi w:val="0"/>
        <w:snapToGrid w:val="0"/>
        <w:spacing w:line="312"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（20）重点评审的材料单价表</w:t>
      </w:r>
    </w:p>
    <w:p w14:paraId="27288C43">
      <w:pPr>
        <w:keepNext w:val="0"/>
        <w:keepLines w:val="0"/>
        <w:pageBreakBefore w:val="0"/>
        <w:widowControl w:val="0"/>
        <w:kinsoku/>
        <w:wordWrap/>
        <w:overflowPunct/>
        <w:topLinePunct w:val="0"/>
        <w:bidi w:val="0"/>
        <w:snapToGrid w:val="0"/>
        <w:spacing w:line="312"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说明：以上表格如为空白表格，可不提供。</w:t>
      </w:r>
    </w:p>
    <w:p w14:paraId="2625758D">
      <w:pPr>
        <w:keepNext w:val="0"/>
        <w:keepLines w:val="0"/>
        <w:pageBreakBefore w:val="0"/>
        <w:widowControl w:val="0"/>
        <w:kinsoku/>
        <w:wordWrap/>
        <w:overflowPunct/>
        <w:topLinePunct w:val="0"/>
        <w:bidi w:val="0"/>
        <w:snapToGrid w:val="0"/>
        <w:spacing w:line="312"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2.已标价工程量清单格式</w:t>
      </w:r>
    </w:p>
    <w:p w14:paraId="1CC99D51">
      <w:pPr>
        <w:keepNext w:val="0"/>
        <w:keepLines w:val="0"/>
        <w:pageBreakBefore w:val="0"/>
        <w:widowControl w:val="0"/>
        <w:kinsoku/>
        <w:wordWrap/>
        <w:overflowPunct/>
        <w:topLinePunct w:val="0"/>
        <w:bidi w:val="0"/>
        <w:snapToGrid w:val="0"/>
        <w:spacing w:line="312"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已标价工程量清单按照《关于印发2020&lt;湖南省建设工程计价办法&gt;及&lt;湖南省建设工程消耗量标准&gt;的通知》（湘建价〔2020〕56号）等文件规定的格式填写。由计价软件打印的已标价工程量清单与上述文件格式不一致的，以计价软件打印的表格为准。</w:t>
      </w:r>
    </w:p>
    <w:p w14:paraId="6EA00E2B">
      <w:pPr>
        <w:adjustRightInd w:val="0"/>
        <w:snapToGrid w:val="0"/>
        <w:spacing w:line="360" w:lineRule="auto"/>
        <w:ind w:firstLine="402" w:firstLineChars="200"/>
        <w:rPr>
          <w:rFonts w:hint="eastAsia" w:ascii="宋体" w:hAnsi="宋体" w:eastAsia="宋体"/>
          <w:b/>
          <w:color w:val="auto"/>
          <w:sz w:val="20"/>
          <w:szCs w:val="20"/>
          <w:highlight w:val="none"/>
        </w:rPr>
      </w:pPr>
    </w:p>
    <w:p w14:paraId="11F6E363">
      <w:pPr>
        <w:adjustRightInd w:val="0"/>
        <w:snapToGrid w:val="0"/>
        <w:spacing w:line="360" w:lineRule="auto"/>
        <w:ind w:firstLine="422" w:firstLineChars="200"/>
        <w:rPr>
          <w:rFonts w:hint="eastAsia"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rPr>
        <w:t>注：</w:t>
      </w:r>
      <w:r>
        <w:rPr>
          <w:rFonts w:hint="eastAsia" w:ascii="宋体" w:hAnsi="宋体" w:eastAsia="宋体"/>
          <w:b/>
          <w:color w:val="auto"/>
          <w:sz w:val="21"/>
          <w:szCs w:val="21"/>
          <w:highlight w:val="none"/>
          <w:lang w:val="en-US" w:eastAsia="zh-CN"/>
        </w:rPr>
        <w:t>1.最后报价由一式二份组成不分正副本；</w:t>
      </w:r>
    </w:p>
    <w:p w14:paraId="270BFFE2">
      <w:pPr>
        <w:adjustRightInd w:val="0"/>
        <w:snapToGrid w:val="0"/>
        <w:spacing w:line="360" w:lineRule="auto"/>
        <w:ind w:firstLine="843" w:firstLineChars="400"/>
        <w:rPr>
          <w:rFonts w:hint="eastAsia" w:ascii="宋体" w:hAnsi="宋体" w:eastAsia="宋体"/>
          <w:b/>
          <w:color w:val="auto"/>
          <w:sz w:val="21"/>
          <w:szCs w:val="21"/>
          <w:highlight w:val="none"/>
          <w:lang w:eastAsia="zh-CN"/>
        </w:rPr>
      </w:pPr>
      <w:r>
        <w:rPr>
          <w:rFonts w:hint="eastAsia" w:ascii="宋体" w:hAnsi="宋体" w:eastAsia="宋体"/>
          <w:b/>
          <w:color w:val="auto"/>
          <w:sz w:val="21"/>
          <w:szCs w:val="21"/>
          <w:highlight w:val="none"/>
          <w:lang w:val="en-US" w:eastAsia="zh-CN"/>
        </w:rPr>
        <w:t>2.</w:t>
      </w:r>
      <w:r>
        <w:rPr>
          <w:rFonts w:hint="eastAsia" w:ascii="宋体" w:hAnsi="宋体" w:eastAsia="宋体"/>
          <w:b/>
          <w:color w:val="auto"/>
          <w:sz w:val="21"/>
          <w:szCs w:val="21"/>
          <w:highlight w:val="none"/>
        </w:rPr>
        <w:t>最终报价一览表和分项报价表在最后报价环节时单独密封递交，不装订在响应文件中</w:t>
      </w:r>
      <w:r>
        <w:rPr>
          <w:rFonts w:hint="eastAsia" w:ascii="宋体" w:hAnsi="宋体" w:eastAsia="宋体"/>
          <w:b/>
          <w:color w:val="auto"/>
          <w:sz w:val="21"/>
          <w:szCs w:val="21"/>
          <w:highlight w:val="none"/>
          <w:lang w:eastAsia="zh-CN"/>
        </w:rPr>
        <w:t>，</w:t>
      </w:r>
      <w:r>
        <w:rPr>
          <w:rFonts w:hint="eastAsia" w:ascii="宋体" w:hAnsi="宋体" w:eastAsia="宋体"/>
          <w:b/>
          <w:color w:val="auto"/>
          <w:sz w:val="21"/>
          <w:szCs w:val="21"/>
          <w:highlight w:val="none"/>
        </w:rPr>
        <w:t>由各供应商现场提供</w:t>
      </w:r>
      <w:r>
        <w:rPr>
          <w:rFonts w:hint="eastAsia" w:ascii="宋体" w:hAnsi="宋体" w:eastAsia="宋体"/>
          <w:b/>
          <w:color w:val="auto"/>
          <w:sz w:val="21"/>
          <w:szCs w:val="21"/>
          <w:highlight w:val="none"/>
          <w:lang w:eastAsia="zh-CN"/>
        </w:rPr>
        <w:t>；</w:t>
      </w:r>
    </w:p>
    <w:p w14:paraId="0324830F">
      <w:pPr>
        <w:adjustRightInd w:val="0"/>
        <w:snapToGrid w:val="0"/>
        <w:spacing w:line="360" w:lineRule="auto"/>
        <w:ind w:firstLine="843" w:firstLineChars="400"/>
        <w:rPr>
          <w:color w:val="auto"/>
          <w:sz w:val="22"/>
          <w:szCs w:val="28"/>
          <w:highlight w:val="none"/>
        </w:rPr>
      </w:pPr>
      <w:r>
        <w:rPr>
          <w:rFonts w:hint="eastAsia" w:ascii="宋体" w:hAnsi="宋体" w:eastAsia="宋体"/>
          <w:b/>
          <w:color w:val="auto"/>
          <w:sz w:val="21"/>
          <w:szCs w:val="21"/>
          <w:highlight w:val="none"/>
          <w:lang w:val="en-US" w:eastAsia="zh-CN"/>
        </w:rPr>
        <w:t>3.</w:t>
      </w:r>
      <w:r>
        <w:rPr>
          <w:rFonts w:hint="eastAsia" w:ascii="宋体" w:hAnsi="宋体" w:eastAsia="宋体"/>
          <w:b/>
          <w:color w:val="auto"/>
          <w:sz w:val="21"/>
          <w:szCs w:val="21"/>
          <w:highlight w:val="none"/>
        </w:rPr>
        <w:t>未按要求提供最后报价的视为无效投标。</w:t>
      </w:r>
    </w:p>
    <w:sectPr>
      <w:pgSz w:w="11906" w:h="16838"/>
      <w:pgMar w:top="1474" w:right="1474" w:bottom="1276" w:left="1588"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2D9B199-0BDA-4E82-9BE9-966CBB02EF38}"/>
  </w:font>
  <w:font w:name="Arial">
    <w:panose1 w:val="020B0604020202020204"/>
    <w:charset w:val="01"/>
    <w:family w:val="swiss"/>
    <w:pitch w:val="default"/>
    <w:sig w:usb0="E0002EFF" w:usb1="C000785B" w:usb2="00000009" w:usb3="00000000" w:csb0="400001FF" w:csb1="FFFF0000"/>
    <w:embedRegular r:id="rId2" w:fontKey="{04958285-644D-475C-A4DC-C5CC24F4BACB}"/>
  </w:font>
  <w:font w:name="黑体">
    <w:panose1 w:val="02010609060101010101"/>
    <w:charset w:val="86"/>
    <w:family w:val="auto"/>
    <w:pitch w:val="default"/>
    <w:sig w:usb0="800002BF" w:usb1="38CF7CFA" w:usb2="00000016" w:usb3="00000000" w:csb0="00040001" w:csb1="00000000"/>
    <w:embedRegular r:id="rId3" w:fontKey="{DB21E62D-820C-4CAD-9EFB-7DC155DCA61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embedRegular r:id="rId4" w:fontKey="{4ACF9BE9-045C-46EA-BA42-5AB11F79B5FE}"/>
  </w:font>
  <w:font w:name="仿宋_GB2312">
    <w:panose1 w:val="02010609030101010101"/>
    <w:charset w:val="86"/>
    <w:family w:val="auto"/>
    <w:pitch w:val="default"/>
    <w:sig w:usb0="00000001" w:usb1="080E0000" w:usb2="00000000" w:usb3="00000000" w:csb0="00040000" w:csb1="00000000"/>
    <w:embedRegular r:id="rId5" w:fontKey="{F478CFDF-B471-4E52-841A-9F9B9A798541}"/>
  </w:font>
  <w:font w:name="微软雅黑">
    <w:panose1 w:val="020B0503020204020204"/>
    <w:charset w:val="86"/>
    <w:family w:val="swiss"/>
    <w:pitch w:val="default"/>
    <w:sig w:usb0="80000287" w:usb1="2ACF3C50" w:usb2="00000016" w:usb3="00000000" w:csb0="0004001F" w:csb1="00000000"/>
    <w:embedRegular r:id="rId6" w:fontKey="{267F9D01-E396-438B-B67E-FCFEB7A43C12}"/>
  </w:font>
  <w:font w:name="方正书宋简体">
    <w:altName w:val="宋体"/>
    <w:panose1 w:val="03000509000000000000"/>
    <w:charset w:val="86"/>
    <w:family w:val="script"/>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embedRegular r:id="rId7" w:fontKey="{D2EA1D77-8DD7-409B-98F4-343B4CB6FE38}"/>
  </w:font>
  <w:font w:name="仿宋">
    <w:panose1 w:val="02010609060101010101"/>
    <w:charset w:val="86"/>
    <w:family w:val="auto"/>
    <w:pitch w:val="default"/>
    <w:sig w:usb0="800002BF" w:usb1="38CF7CFA" w:usb2="00000016" w:usb3="00000000" w:csb0="00040001" w:csb1="00000000"/>
    <w:embedRegular r:id="rId8" w:fontKey="{215F9354-2277-483D-8AA3-FB2155D5B908}"/>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63323">
    <w:pPr>
      <w:widowControl w:val="0"/>
      <w:snapToGrid w:val="0"/>
      <w:jc w:val="center"/>
      <w:rPr>
        <w:rFonts w:ascii="Times New Roman" w:hAnsi="Times New Roman" w:eastAsia="宋体" w:cs="Times New Roman"/>
        <w:kern w:val="2"/>
        <w:sz w:val="18"/>
        <w:szCs w:val="18"/>
        <w:lang w:val="en-US" w:eastAsia="zh-CN" w:bidi="ar-SA"/>
      </w:rPr>
    </w:pPr>
  </w:p>
  <w:p w14:paraId="29764A45">
    <w:pPr>
      <w:widowControl w:val="0"/>
      <w:pBdr>
        <w:top w:val="single" w:color="auto" w:sz="4" w:space="2"/>
      </w:pBdr>
      <w:snapToGrid w:val="0"/>
      <w:ind w:right="360" w:firstLine="1530" w:firstLineChars="850"/>
      <w:jc w:val="left"/>
      <w:rPr>
        <w:rFonts w:hint="eastAsia" w:ascii="宋体" w:hAnsi="宋体"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drawing>
        <wp:anchor distT="0" distB="0" distL="114300" distR="114300" simplePos="0" relativeHeight="251662336" behindDoc="1" locked="0" layoutInCell="1" allowOverlap="1">
          <wp:simplePos x="0" y="0"/>
          <wp:positionH relativeFrom="column">
            <wp:posOffset>-43815</wp:posOffset>
          </wp:positionH>
          <wp:positionV relativeFrom="paragraph">
            <wp:posOffset>34925</wp:posOffset>
          </wp:positionV>
          <wp:extent cx="1699260" cy="336550"/>
          <wp:effectExtent l="0" t="0" r="15240" b="6350"/>
          <wp:wrapTight wrapText="bothSides">
            <wp:wrapPolygon>
              <wp:start x="21592" y="-2"/>
              <wp:lineTo x="0" y="0"/>
              <wp:lineTo x="0" y="21600"/>
              <wp:lineTo x="21592" y="21602"/>
              <wp:lineTo x="8" y="21602"/>
              <wp:lineTo x="21600" y="21600"/>
              <wp:lineTo x="21600" y="0"/>
              <wp:lineTo x="8" y="-2"/>
              <wp:lineTo x="21592" y="-2"/>
            </wp:wrapPolygon>
          </wp:wrapTight>
          <wp:docPr id="2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
                  <pic:cNvPicPr>
                    <a:picLocks noChangeAspect="1"/>
                  </pic:cNvPicPr>
                </pic:nvPicPr>
                <pic:blipFill>
                  <a:blip r:embed="rId1"/>
                  <a:stretch>
                    <a:fillRect/>
                  </a:stretch>
                </pic:blipFill>
                <pic:spPr>
                  <a:xfrm>
                    <a:off x="0" y="0"/>
                    <a:ext cx="1699260" cy="336550"/>
                  </a:xfrm>
                  <a:prstGeom prst="rect">
                    <a:avLst/>
                  </a:prstGeom>
                  <a:noFill/>
                  <a:ln>
                    <a:noFill/>
                  </a:ln>
                </pic:spPr>
              </pic:pic>
            </a:graphicData>
          </a:graphic>
        </wp:anchor>
      </w:drawing>
    </w: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posOffset>5472430</wp:posOffset>
              </wp:positionH>
              <wp:positionV relativeFrom="paragraph">
                <wp:posOffset>78105</wp:posOffset>
              </wp:positionV>
              <wp:extent cx="114935" cy="153035"/>
              <wp:effectExtent l="0" t="0" r="0" b="0"/>
              <wp:wrapNone/>
              <wp:docPr id="20" name="文本框 4"/>
              <wp:cNvGraphicFramePr/>
              <a:graphic xmlns:a="http://schemas.openxmlformats.org/drawingml/2006/main">
                <a:graphicData uri="http://schemas.microsoft.com/office/word/2010/wordprocessingShape">
                  <wps:wsp>
                    <wps:cNvSpPr txBox="1"/>
                    <wps:spPr>
                      <a:xfrm>
                        <a:off x="0" y="0"/>
                        <a:ext cx="114935" cy="153035"/>
                      </a:xfrm>
                      <a:prstGeom prst="rect">
                        <a:avLst/>
                      </a:prstGeom>
                      <a:noFill/>
                      <a:ln>
                        <a:noFill/>
                      </a:ln>
                      <a:effectLst/>
                    </wps:spPr>
                    <wps:txbx>
                      <w:txbxContent>
                        <w:p w14:paraId="70E3EC56">
                          <w:pPr>
                            <w:rPr>
                              <w:rFonts w:ascii="Times New Roman" w:hAnsi="Times New Roman" w:eastAsia="宋体" w:cs="Times New Roman"/>
                            </w:rPr>
                          </w:pPr>
                        </w:p>
                      </w:txbxContent>
                    </wps:txbx>
                    <wps:bodyPr wrap="none" lIns="0" tIns="0" rIns="0" bIns="0" upright="1">
                      <a:spAutoFit/>
                    </wps:bodyPr>
                  </wps:wsp>
                </a:graphicData>
              </a:graphic>
            </wp:anchor>
          </w:drawing>
        </mc:Choice>
        <mc:Fallback>
          <w:pict>
            <v:shape id="文本框 4" o:spid="_x0000_s1026" o:spt="202" type="#_x0000_t202" style="position:absolute;left:0pt;margin-left:430.9pt;margin-top:6.15pt;height:12.05pt;width:9.05pt;mso-position-horizontal-relative:margin;mso-wrap-style:none;z-index:251661312;mso-width-relative:page;mso-height-relative:page;" filled="f" stroked="f" coordsize="21600,21600" o:gfxdata="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LqSiQNYAAAAJAQAADwAAAAAAAAABACAAAAAi&#10;AAAAZHJzL2Rvd25yZXYueG1sUEsBAhQAFAAAAAgAh07iQOkXbTLTAQAApgMAAA4AAAAAAAAAAQAg&#10;AAAAJQEAAGRycy9lMm9Eb2MueG1sUEsFBgAAAAAGAAYAWQEAAGoFAAAAAA==&#10;">
              <v:fill on="f" focussize="0,0"/>
              <v:stroke on="f"/>
              <v:imagedata o:title=""/>
              <o:lock v:ext="edit" aspectratio="f"/>
              <v:textbox inset="0mm,0mm,0mm,0mm" style="mso-fit-shape-to-text:t;">
                <w:txbxContent>
                  <w:p w14:paraId="70E3EC56">
                    <w:pPr>
                      <w:rPr>
                        <w:rFonts w:ascii="Times New Roman" w:hAnsi="Times New Roman" w:eastAsia="宋体" w:cs="Times New Roman"/>
                      </w:rPr>
                    </w:pPr>
                  </w:p>
                </w:txbxContent>
              </v:textbox>
            </v:shape>
          </w:pict>
        </mc:Fallback>
      </mc:AlternateContent>
    </w:r>
    <w:r>
      <w:rPr>
        <w:rFonts w:hint="eastAsia" w:ascii="宋体" w:hAnsi="宋体" w:eastAsia="宋体" w:cs="Times New Roman"/>
        <w:kern w:val="2"/>
        <w:sz w:val="18"/>
        <w:szCs w:val="18"/>
        <w:lang w:val="en-US" w:eastAsia="zh-CN" w:bidi="ar-SA"/>
      </w:rPr>
      <w:t xml:space="preserve">                           </w:t>
    </w:r>
  </w:p>
  <w:p w14:paraId="52442539">
    <w:pPr>
      <w:spacing w:line="240" w:lineRule="atLeast"/>
      <w:ind w:firstLine="2720" w:firstLineChars="1700"/>
      <w:rPr>
        <w:rFonts w:ascii="宋体" w:hAnsi="宋体" w:eastAsia="宋体" w:cs="Times New Roman"/>
        <w:sz w:val="16"/>
        <w:szCs w:val="18"/>
      </w:rPr>
    </w:pPr>
    <w:r>
      <w:rPr>
        <w:rFonts w:hint="eastAsia" w:ascii="宋体" w:hAnsi="宋体" w:eastAsia="宋体" w:cs="Times New Roman"/>
        <w:sz w:val="16"/>
        <w:szCs w:val="18"/>
      </w:rPr>
      <w:t>岳麓区岳麓街道中建智慧谷产业园二区11号栋        电话：</w:t>
    </w:r>
    <w:r>
      <w:rPr>
        <w:rFonts w:ascii="宋体" w:hAnsi="宋体" w:eastAsia="宋体" w:cs="Times New Roman"/>
        <w:sz w:val="16"/>
        <w:szCs w:val="18"/>
      </w:rPr>
      <w:t>0731</w:t>
    </w:r>
    <w:r>
      <w:rPr>
        <w:rFonts w:hint="eastAsia" w:ascii="宋体" w:hAnsi="宋体" w:eastAsia="宋体" w:cs="Times New Roman"/>
        <w:sz w:val="16"/>
        <w:szCs w:val="18"/>
      </w:rPr>
      <w:t>－</w:t>
    </w:r>
    <w:r>
      <w:rPr>
        <w:rFonts w:ascii="宋体" w:hAnsi="宋体" w:eastAsia="宋体" w:cs="Times New Roman"/>
        <w:sz w:val="16"/>
        <w:szCs w:val="18"/>
      </w:rPr>
      <w:t>89767891</w:t>
    </w:r>
  </w:p>
  <w:p w14:paraId="6C67659B">
    <w:pPr>
      <w:widowControl w:val="0"/>
      <w:snapToGrid w:val="0"/>
      <w:jc w:val="right"/>
      <w:rPr>
        <w:rFonts w:hint="eastAsia" w:ascii="Times New Roman" w:hAnsi="Times New Roman" w:eastAsia="宋体" w:cs="Times New Roman"/>
        <w:kern w:val="2"/>
        <w:sz w:val="21"/>
        <w:szCs w:val="18"/>
        <w:lang w:val="en-US" w:eastAsia="zh-CN" w:bidi="ar-SA"/>
      </w:rPr>
    </w:pPr>
  </w:p>
  <w:p w14:paraId="0E6A62FD">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447E3">
    <w:pPr>
      <w:widowControl w:val="0"/>
      <w:snapToGrid w:val="0"/>
      <w:jc w:val="center"/>
      <w:rPr>
        <w:rFonts w:ascii="Times New Roman" w:hAnsi="Times New Roman" w:eastAsia="宋体" w:cs="Times New Roman"/>
        <w:kern w:val="2"/>
        <w:sz w:val="18"/>
        <w:szCs w:val="18"/>
        <w:lang w:val="en-US" w:eastAsia="zh-CN" w:bidi="ar-SA"/>
      </w:rPr>
    </w:pPr>
  </w:p>
  <w:p w14:paraId="4AD56DFB">
    <w:pPr>
      <w:widowControl w:val="0"/>
      <w:pBdr>
        <w:top w:val="single" w:color="auto" w:sz="4" w:space="2"/>
      </w:pBdr>
      <w:snapToGrid w:val="0"/>
      <w:ind w:right="360" w:firstLine="1530" w:firstLineChars="850"/>
      <w:jc w:val="left"/>
      <w:rPr>
        <w:rFonts w:hint="eastAsia" w:ascii="宋体" w:hAnsi="宋体"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drawing>
        <wp:anchor distT="0" distB="0" distL="114300" distR="114300" simplePos="0" relativeHeight="251665408" behindDoc="1" locked="0" layoutInCell="1" allowOverlap="1">
          <wp:simplePos x="0" y="0"/>
          <wp:positionH relativeFrom="column">
            <wp:posOffset>-43815</wp:posOffset>
          </wp:positionH>
          <wp:positionV relativeFrom="paragraph">
            <wp:posOffset>34925</wp:posOffset>
          </wp:positionV>
          <wp:extent cx="1699260" cy="336550"/>
          <wp:effectExtent l="0" t="0" r="15240" b="6350"/>
          <wp:wrapTight wrapText="bothSides">
            <wp:wrapPolygon>
              <wp:start x="21592" y="-2"/>
              <wp:lineTo x="0" y="0"/>
              <wp:lineTo x="0" y="21600"/>
              <wp:lineTo x="21592" y="21602"/>
              <wp:lineTo x="8" y="21602"/>
              <wp:lineTo x="21600" y="21600"/>
              <wp:lineTo x="21600" y="0"/>
              <wp:lineTo x="8" y="-2"/>
              <wp:lineTo x="21592" y="-2"/>
            </wp:wrapPolygon>
          </wp:wrapTight>
          <wp:docPr id="2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8"/>
                  <pic:cNvPicPr>
                    <a:picLocks noChangeAspect="1"/>
                  </pic:cNvPicPr>
                </pic:nvPicPr>
                <pic:blipFill>
                  <a:blip r:embed="rId1"/>
                  <a:stretch>
                    <a:fillRect/>
                  </a:stretch>
                </pic:blipFill>
                <pic:spPr>
                  <a:xfrm>
                    <a:off x="0" y="0"/>
                    <a:ext cx="1699260" cy="336550"/>
                  </a:xfrm>
                  <a:prstGeom prst="rect">
                    <a:avLst/>
                  </a:prstGeom>
                  <a:noFill/>
                  <a:ln>
                    <a:noFill/>
                  </a:ln>
                </pic:spPr>
              </pic:pic>
            </a:graphicData>
          </a:graphic>
        </wp:anchor>
      </w:drawing>
    </w: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4384" behindDoc="0" locked="0" layoutInCell="1" allowOverlap="1">
              <wp:simplePos x="0" y="0"/>
              <wp:positionH relativeFrom="margin">
                <wp:posOffset>5472430</wp:posOffset>
              </wp:positionH>
              <wp:positionV relativeFrom="paragraph">
                <wp:posOffset>78105</wp:posOffset>
              </wp:positionV>
              <wp:extent cx="114935" cy="153035"/>
              <wp:effectExtent l="0" t="0" r="0" b="0"/>
              <wp:wrapNone/>
              <wp:docPr id="23" name="文本框 4"/>
              <wp:cNvGraphicFramePr/>
              <a:graphic xmlns:a="http://schemas.openxmlformats.org/drawingml/2006/main">
                <a:graphicData uri="http://schemas.microsoft.com/office/word/2010/wordprocessingShape">
                  <wps:wsp>
                    <wps:cNvSpPr txBox="1"/>
                    <wps:spPr>
                      <a:xfrm>
                        <a:off x="0" y="0"/>
                        <a:ext cx="114935" cy="153035"/>
                      </a:xfrm>
                      <a:prstGeom prst="rect">
                        <a:avLst/>
                      </a:prstGeom>
                      <a:noFill/>
                      <a:ln>
                        <a:noFill/>
                      </a:ln>
                      <a:effectLst/>
                    </wps:spPr>
                    <wps:txbx>
                      <w:txbxContent>
                        <w:p w14:paraId="2F939B8B">
                          <w:pPr>
                            <w:rPr>
                              <w:rFonts w:ascii="Times New Roman" w:hAnsi="Times New Roman" w:eastAsia="宋体" w:cs="Times New Roman"/>
                            </w:rPr>
                          </w:pPr>
                        </w:p>
                      </w:txbxContent>
                    </wps:txbx>
                    <wps:bodyPr wrap="none" lIns="0" tIns="0" rIns="0" bIns="0" upright="1">
                      <a:spAutoFit/>
                    </wps:bodyPr>
                  </wps:wsp>
                </a:graphicData>
              </a:graphic>
            </wp:anchor>
          </w:drawing>
        </mc:Choice>
        <mc:Fallback>
          <w:pict>
            <v:shape id="文本框 4" o:spid="_x0000_s1026" o:spt="202" type="#_x0000_t202" style="position:absolute;left:0pt;margin-left:430.9pt;margin-top:6.15pt;height:12.05pt;width:9.05pt;mso-position-horizontal-relative:margin;mso-wrap-style:none;z-index:251664384;mso-width-relative:page;mso-height-relative:page;" filled="f" stroked="f" coordsize="21600,21600" o:gfxdata="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LqSiQNYAAAAJAQAADwAAAAAAAAABACAAAAAi&#10;AAAAZHJzL2Rvd25yZXYueG1sUEsBAhQAFAAAAAgAh07iQJuos0bTAQAApgMAAA4AAAAAAAAAAQAg&#10;AAAAJQEAAGRycy9lMm9Eb2MueG1sUEsFBgAAAAAGAAYAWQEAAGoFAAAAAA==&#10;">
              <v:fill on="f" focussize="0,0"/>
              <v:stroke on="f"/>
              <v:imagedata o:title=""/>
              <o:lock v:ext="edit" aspectratio="f"/>
              <v:textbox inset="0mm,0mm,0mm,0mm" style="mso-fit-shape-to-text:t;">
                <w:txbxContent>
                  <w:p w14:paraId="2F939B8B">
                    <w:pPr>
                      <w:rPr>
                        <w:rFonts w:ascii="Times New Roman" w:hAnsi="Times New Roman" w:eastAsia="宋体" w:cs="Times New Roman"/>
                      </w:rPr>
                    </w:pPr>
                  </w:p>
                </w:txbxContent>
              </v:textbox>
            </v:shape>
          </w:pict>
        </mc:Fallback>
      </mc:AlternateContent>
    </w:r>
    <w:r>
      <w:rPr>
        <w:rFonts w:hint="eastAsia" w:ascii="宋体" w:hAnsi="宋体" w:eastAsia="宋体" w:cs="Times New Roman"/>
        <w:kern w:val="2"/>
        <w:sz w:val="18"/>
        <w:szCs w:val="18"/>
        <w:lang w:val="en-US" w:eastAsia="zh-CN" w:bidi="ar-SA"/>
      </w:rPr>
      <w:t xml:space="preserve">                           </w:t>
    </w:r>
  </w:p>
  <w:p w14:paraId="3F9F49D8">
    <w:pPr>
      <w:spacing w:line="240" w:lineRule="atLeast"/>
      <w:ind w:firstLine="2720" w:firstLineChars="1700"/>
      <w:rPr>
        <w:rFonts w:ascii="宋体" w:hAnsi="宋体" w:eastAsia="宋体" w:cs="Times New Roman"/>
        <w:sz w:val="16"/>
        <w:szCs w:val="18"/>
      </w:rPr>
    </w:pPr>
    <w:r>
      <w:rPr>
        <w:rFonts w:hint="eastAsia" w:ascii="宋体" w:hAnsi="宋体" w:eastAsia="宋体" w:cs="Times New Roman"/>
        <w:sz w:val="16"/>
        <w:szCs w:val="18"/>
      </w:rPr>
      <w:t>岳麓区岳麓街道中建智慧谷产业园二区11号栋        电话：</w:t>
    </w:r>
    <w:r>
      <w:rPr>
        <w:rFonts w:ascii="宋体" w:hAnsi="宋体" w:eastAsia="宋体" w:cs="Times New Roman"/>
        <w:sz w:val="16"/>
        <w:szCs w:val="18"/>
      </w:rPr>
      <w:t>0731</w:t>
    </w:r>
    <w:r>
      <w:rPr>
        <w:rFonts w:hint="eastAsia" w:ascii="宋体" w:hAnsi="宋体" w:eastAsia="宋体" w:cs="Times New Roman"/>
        <w:sz w:val="16"/>
        <w:szCs w:val="18"/>
      </w:rPr>
      <w:t>－</w:t>
    </w:r>
    <w:r>
      <w:rPr>
        <w:rFonts w:ascii="宋体" w:hAnsi="宋体" w:eastAsia="宋体" w:cs="Times New Roman"/>
        <w:sz w:val="16"/>
        <w:szCs w:val="18"/>
      </w:rPr>
      <w:t>89767891</w:t>
    </w:r>
  </w:p>
  <w:p w14:paraId="1F99B6AD">
    <w:pPr>
      <w:widowControl w:val="0"/>
      <w:snapToGrid w:val="0"/>
      <w:jc w:val="right"/>
      <w:rPr>
        <w:rFonts w:hint="eastAsia" w:ascii="Times New Roman" w:hAnsi="Times New Roman" w:eastAsia="宋体" w:cs="Times New Roman"/>
        <w:kern w:val="2"/>
        <w:sz w:val="21"/>
        <w:szCs w:val="18"/>
        <w:lang w:val="en-US" w:eastAsia="zh-CN" w:bidi="ar-SA"/>
      </w:rPr>
    </w:pPr>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E53B5F7">
                          <w:pPr>
                            <w:widowControl w:val="0"/>
                            <w:snapToGrid w:val="0"/>
                            <w:jc w:val="right"/>
                          </w:pPr>
                          <w:r>
                            <w:rPr>
                              <w:rFonts w:ascii="Times New Roman" w:hAnsi="Times New Roman" w:eastAsia="宋体" w:cs="Times New Roman"/>
                              <w:kern w:val="2"/>
                              <w:sz w:val="21"/>
                              <w:szCs w:val="18"/>
                              <w:lang w:val="en-US" w:eastAsia="zh-CN" w:bidi="ar-SA"/>
                            </w:rPr>
                            <w:fldChar w:fldCharType="begin"/>
                          </w:r>
                          <w:r>
                            <w:rPr>
                              <w:rFonts w:ascii="Times New Roman" w:hAnsi="Times New Roman" w:eastAsia="宋体" w:cs="Times New Roman"/>
                              <w:kern w:val="2"/>
                              <w:sz w:val="21"/>
                              <w:szCs w:val="18"/>
                              <w:lang w:val="en-US" w:eastAsia="zh-CN" w:bidi="ar-SA"/>
                            </w:rPr>
                            <w:instrText xml:space="preserve"> PAGE   \* MERGEFORMAT </w:instrText>
                          </w:r>
                          <w:r>
                            <w:rPr>
                              <w:rFonts w:ascii="Times New Roman" w:hAnsi="Times New Roman" w:eastAsia="宋体" w:cs="Times New Roman"/>
                              <w:kern w:val="2"/>
                              <w:sz w:val="21"/>
                              <w:szCs w:val="18"/>
                              <w:lang w:val="en-US" w:eastAsia="zh-CN" w:bidi="ar-SA"/>
                            </w:rPr>
                            <w:fldChar w:fldCharType="separate"/>
                          </w:r>
                          <w:r>
                            <w:rPr>
                              <w:rFonts w:ascii="Times New Roman" w:hAnsi="Times New Roman" w:eastAsia="宋体" w:cs="Times New Roman"/>
                              <w:kern w:val="2"/>
                              <w:sz w:val="21"/>
                              <w:szCs w:val="18"/>
                              <w:lang w:val="zh-CN" w:eastAsia="zh-CN" w:bidi="ar-SA"/>
                            </w:rPr>
                            <w:t>15</w:t>
                          </w:r>
                          <w:r>
                            <w:rPr>
                              <w:rFonts w:ascii="Times New Roman" w:hAnsi="Times New Roman" w:eastAsia="宋体" w:cs="Times New Roman"/>
                              <w:kern w:val="2"/>
                              <w:sz w:val="21"/>
                              <w:szCs w:val="18"/>
                              <w:lang w:val="en-US" w:eastAsia="zh-CN" w:bidi="ar-SA"/>
                            </w:rPr>
                            <w:fldChar w:fldCharType="end"/>
                          </w:r>
                        </w:p>
                      </w:txbxContent>
                    </wps:txbx>
                    <wps:bodyPr vert="horz" wrap="none" lIns="0" tIns="0" rIns="0" bIns="0" anchor="t" anchorCtr="0" upright="0">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tYEV03gEAAMADAAAOAAAAAAAA&#10;AAEAIAAAAB4BAABkcnMvZTJvRG9jLnhtbFBLBQYAAAAABgAGAFkBAABuBQAAAAA=&#10;">
              <v:fill on="f" focussize="0,0"/>
              <v:stroke on="f"/>
              <v:imagedata o:title=""/>
              <o:lock v:ext="edit" aspectratio="f"/>
              <v:textbox inset="0mm,0mm,0mm,0mm" style="mso-fit-shape-to-text:t;">
                <w:txbxContent>
                  <w:p w14:paraId="0E53B5F7">
                    <w:pPr>
                      <w:widowControl w:val="0"/>
                      <w:snapToGrid w:val="0"/>
                      <w:jc w:val="right"/>
                    </w:pPr>
                    <w:r>
                      <w:rPr>
                        <w:rFonts w:ascii="Times New Roman" w:hAnsi="Times New Roman" w:eastAsia="宋体" w:cs="Times New Roman"/>
                        <w:kern w:val="2"/>
                        <w:sz w:val="21"/>
                        <w:szCs w:val="18"/>
                        <w:lang w:val="en-US" w:eastAsia="zh-CN" w:bidi="ar-SA"/>
                      </w:rPr>
                      <w:fldChar w:fldCharType="begin"/>
                    </w:r>
                    <w:r>
                      <w:rPr>
                        <w:rFonts w:ascii="Times New Roman" w:hAnsi="Times New Roman" w:eastAsia="宋体" w:cs="Times New Roman"/>
                        <w:kern w:val="2"/>
                        <w:sz w:val="21"/>
                        <w:szCs w:val="18"/>
                        <w:lang w:val="en-US" w:eastAsia="zh-CN" w:bidi="ar-SA"/>
                      </w:rPr>
                      <w:instrText xml:space="preserve"> PAGE   \* MERGEFORMAT </w:instrText>
                    </w:r>
                    <w:r>
                      <w:rPr>
                        <w:rFonts w:ascii="Times New Roman" w:hAnsi="Times New Roman" w:eastAsia="宋体" w:cs="Times New Roman"/>
                        <w:kern w:val="2"/>
                        <w:sz w:val="21"/>
                        <w:szCs w:val="18"/>
                        <w:lang w:val="en-US" w:eastAsia="zh-CN" w:bidi="ar-SA"/>
                      </w:rPr>
                      <w:fldChar w:fldCharType="separate"/>
                    </w:r>
                    <w:r>
                      <w:rPr>
                        <w:rFonts w:ascii="Times New Roman" w:hAnsi="Times New Roman" w:eastAsia="宋体" w:cs="Times New Roman"/>
                        <w:kern w:val="2"/>
                        <w:sz w:val="21"/>
                        <w:szCs w:val="18"/>
                        <w:lang w:val="zh-CN" w:eastAsia="zh-CN" w:bidi="ar-SA"/>
                      </w:rPr>
                      <w:t>15</w:t>
                    </w:r>
                    <w:r>
                      <w:rPr>
                        <w:rFonts w:ascii="Times New Roman" w:hAnsi="Times New Roman" w:eastAsia="宋体" w:cs="Times New Roman"/>
                        <w:kern w:val="2"/>
                        <w:sz w:val="21"/>
                        <w:szCs w:val="18"/>
                        <w:lang w:val="en-US" w:eastAsia="zh-CN" w:bidi="ar-SA"/>
                      </w:rPr>
                      <w:fldChar w:fldCharType="end"/>
                    </w:r>
                  </w:p>
                </w:txbxContent>
              </v:textbox>
            </v:shape>
          </w:pict>
        </mc:Fallback>
      </mc:AlternateContent>
    </w:r>
  </w:p>
  <w:p w14:paraId="5A877F3A">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38888">
    <w:pPr>
      <w:pStyle w:val="17"/>
    </w:pPr>
    <w:r>
      <w:rPr>
        <w:sz w:val="18"/>
      </w:rPr>
      <mc:AlternateContent>
        <mc:Choice Requires="wps">
          <w:drawing>
            <wp:anchor distT="0" distB="0" distL="114300" distR="114300" simplePos="0" relativeHeight="251667456" behindDoc="0" locked="0" layoutInCell="1" allowOverlap="1">
              <wp:simplePos x="0" y="0"/>
              <wp:positionH relativeFrom="margin">
                <wp:align>right</wp:align>
              </wp:positionH>
              <wp:positionV relativeFrom="paragraph">
                <wp:posOffset>0</wp:posOffset>
              </wp:positionV>
              <wp:extent cx="1828800" cy="1828800"/>
              <wp:effectExtent l="0" t="0" r="0" b="0"/>
              <wp:wrapNone/>
              <wp:docPr id="26"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8121FF7">
                          <w:pPr>
                            <w:pStyle w:val="17"/>
                          </w:pPr>
                          <w:r>
                            <w:fldChar w:fldCharType="begin"/>
                          </w:r>
                          <w:r>
                            <w:instrText xml:space="preserve"> PAGE  \* MERGEFORMAT </w:instrText>
                          </w:r>
                          <w:r>
                            <w:fldChar w:fldCharType="separate"/>
                          </w:r>
                          <w:r>
                            <w:t>0</w:t>
                          </w:r>
                          <w:r>
                            <w:fldChar w:fldCharType="end"/>
                          </w:r>
                        </w:p>
                      </w:txbxContent>
                    </wps:txbx>
                    <wps:bodyPr wrap="none" lIns="0" tIns="0" rIns="0" bIns="0" upright="0">
                      <a:spAutoFit/>
                    </wps:bodyPr>
                  </wps:wsp>
                </a:graphicData>
              </a:graphic>
            </wp:anchor>
          </w:drawing>
        </mc:Choice>
        <mc:Fallback>
          <w:pict>
            <v:shape id="文本框 11" o:spid="_x0000_s1026" o:spt="202" type="#_x0000_t202" style="position:absolute;left:0pt;margin-top:0pt;height:144pt;width:144pt;mso-position-horizontal:right;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HKcocoBAACb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pt6OqGEsctTvzy/dvlx6/Lz69k&#10;ucwC9QFqzHsMmJmGez/g2sx+QGfmPaho8xcZEYyjvOervHJIRORH69V6XWFIYGy+ID57eh4ipLfS&#10;W5KNhkacX5GVn95DGlPnlFzN+QdtTJmhcX85EDN7WO597DFbadgPE6G9b8/Ip8fRN9ThplNi3jlU&#10;Nm/JbMTZ2M/GMUR96Moa5XoQ7o4Jmyi95Qoj7FQYZ1bYTfuVl+LPe8l6+qe2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dHKcocoBAACbAwAADgAAAAAAAAABACAAAAAeAQAAZHJzL2Uyb0Rv&#10;Yy54bWxQSwUGAAAAAAYABgBZAQAAWgUAAAAA&#10;">
              <v:fill on="f" focussize="0,0"/>
              <v:stroke on="f"/>
              <v:imagedata o:title=""/>
              <o:lock v:ext="edit" aspectratio="f"/>
              <v:textbox inset="0mm,0mm,0mm,0mm" style="mso-fit-shape-to-text:t;">
                <w:txbxContent>
                  <w:p w14:paraId="68121FF7">
                    <w:pPr>
                      <w:pStyle w:val="1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F92A82">
    <w:pPr>
      <w:pStyle w:val="17"/>
      <w:jc w:val="center"/>
    </w:pPr>
  </w:p>
  <w:p w14:paraId="365C7557">
    <w:pPr>
      <w:widowControl w:val="0"/>
      <w:pBdr>
        <w:top w:val="single" w:color="auto" w:sz="4" w:space="2"/>
      </w:pBdr>
      <w:snapToGrid w:val="0"/>
      <w:ind w:right="360" w:firstLine="1530" w:firstLineChars="850"/>
      <w:jc w:val="left"/>
      <w:rPr>
        <w:rFonts w:hint="eastAsia" w:ascii="宋体" w:hAnsi="宋体"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drawing>
        <wp:anchor distT="0" distB="0" distL="114300" distR="114300" simplePos="0" relativeHeight="251660288" behindDoc="1" locked="0" layoutInCell="1" allowOverlap="1">
          <wp:simplePos x="0" y="0"/>
          <wp:positionH relativeFrom="column">
            <wp:posOffset>-43815</wp:posOffset>
          </wp:positionH>
          <wp:positionV relativeFrom="paragraph">
            <wp:posOffset>34925</wp:posOffset>
          </wp:positionV>
          <wp:extent cx="1699260" cy="336550"/>
          <wp:effectExtent l="0" t="0" r="15240" b="6350"/>
          <wp:wrapTight wrapText="bothSides">
            <wp:wrapPolygon>
              <wp:start x="0" y="0"/>
              <wp:lineTo x="0" y="20092"/>
              <wp:lineTo x="21309" y="20092"/>
              <wp:lineTo x="21309" y="0"/>
              <wp:lineTo x="0" y="0"/>
            </wp:wrapPolygon>
          </wp:wrapTight>
          <wp:docPr id="1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
                  <pic:cNvPicPr>
                    <a:picLocks noChangeAspect="1"/>
                  </pic:cNvPicPr>
                </pic:nvPicPr>
                <pic:blipFill>
                  <a:blip r:embed="rId1"/>
                  <a:stretch>
                    <a:fillRect/>
                  </a:stretch>
                </pic:blipFill>
                <pic:spPr>
                  <a:xfrm>
                    <a:off x="0" y="0"/>
                    <a:ext cx="1699260" cy="336550"/>
                  </a:xfrm>
                  <a:prstGeom prst="rect">
                    <a:avLst/>
                  </a:prstGeom>
                  <a:noFill/>
                  <a:ln>
                    <a:noFill/>
                  </a:ln>
                </pic:spPr>
              </pic:pic>
            </a:graphicData>
          </a:graphic>
        </wp:anchor>
      </w:drawing>
    </w: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posOffset>5472430</wp:posOffset>
              </wp:positionH>
              <wp:positionV relativeFrom="paragraph">
                <wp:posOffset>78105</wp:posOffset>
              </wp:positionV>
              <wp:extent cx="114935" cy="153035"/>
              <wp:effectExtent l="0" t="0" r="0" b="0"/>
              <wp:wrapNone/>
              <wp:docPr id="18" name="文本框 4"/>
              <wp:cNvGraphicFramePr/>
              <a:graphic xmlns:a="http://schemas.openxmlformats.org/drawingml/2006/main">
                <a:graphicData uri="http://schemas.microsoft.com/office/word/2010/wordprocessingShape">
                  <wps:wsp>
                    <wps:cNvSpPr txBox="1"/>
                    <wps:spPr>
                      <a:xfrm>
                        <a:off x="0" y="0"/>
                        <a:ext cx="114935" cy="153035"/>
                      </a:xfrm>
                      <a:prstGeom prst="rect">
                        <a:avLst/>
                      </a:prstGeom>
                      <a:noFill/>
                      <a:ln>
                        <a:noFill/>
                      </a:ln>
                      <a:effectLst/>
                    </wps:spPr>
                    <wps:txbx>
                      <w:txbxContent>
                        <w:p w14:paraId="1144EF44">
                          <w:pPr>
                            <w:rPr>
                              <w:rFonts w:ascii="Times New Roman" w:hAnsi="Times New Roman" w:eastAsia="宋体" w:cs="Times New Roman"/>
                            </w:rPr>
                          </w:pPr>
                        </w:p>
                      </w:txbxContent>
                    </wps:txbx>
                    <wps:bodyPr vert="horz" wrap="none" lIns="0" tIns="0" rIns="0" bIns="0" anchor="t" anchorCtr="0" upright="1">
                      <a:spAutoFit/>
                    </wps:bodyPr>
                  </wps:wsp>
                </a:graphicData>
              </a:graphic>
            </wp:anchor>
          </w:drawing>
        </mc:Choice>
        <mc:Fallback>
          <w:pict>
            <v:shape id="文本框 4" o:spid="_x0000_s1026" o:spt="202" type="#_x0000_t202" style="position:absolute;left:0pt;margin-left:430.9pt;margin-top:6.15pt;height:12.05pt;width:9.05pt;mso-position-horizontal-relative:margin;mso-wrap-style:none;z-index:251659264;mso-width-relative:page;mso-height-relative:page;" filled="f" stroked="f" coordsize="21600,21600" o:gfxdata="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upKJA1gAA&#10;AAkBAAAPAAAAAAAAAAEAIAAAACIAAABkcnMvZG93bnJldi54bWxQSwECFAAUAAAACACHTuJArcHR&#10;4OcBAADLAwAADgAAAAAAAAABACAAAAAlAQAAZHJzL2Uyb0RvYy54bWxQSwUGAAAAAAYABgBZAQAA&#10;fgUAAAAA&#10;">
              <v:fill on="f" focussize="0,0"/>
              <v:stroke on="f"/>
              <v:imagedata o:title=""/>
              <o:lock v:ext="edit" aspectratio="f"/>
              <v:textbox inset="0mm,0mm,0mm,0mm" style="mso-fit-shape-to-text:t;">
                <w:txbxContent>
                  <w:p w14:paraId="1144EF44">
                    <w:pPr>
                      <w:rPr>
                        <w:rFonts w:ascii="Times New Roman" w:hAnsi="Times New Roman" w:eastAsia="宋体" w:cs="Times New Roman"/>
                      </w:rPr>
                    </w:pPr>
                  </w:p>
                </w:txbxContent>
              </v:textbox>
            </v:shape>
          </w:pict>
        </mc:Fallback>
      </mc:AlternateContent>
    </w:r>
    <w:r>
      <w:rPr>
        <w:rFonts w:hint="eastAsia" w:ascii="宋体" w:hAnsi="宋体" w:eastAsia="宋体" w:cs="Times New Roman"/>
        <w:kern w:val="2"/>
        <w:sz w:val="18"/>
        <w:szCs w:val="18"/>
        <w:lang w:val="en-US" w:eastAsia="zh-CN" w:bidi="ar-SA"/>
      </w:rPr>
      <w:t xml:space="preserve">                           </w:t>
    </w:r>
  </w:p>
  <w:p w14:paraId="0E78F248">
    <w:pPr>
      <w:spacing w:line="240" w:lineRule="atLeast"/>
      <w:ind w:firstLine="2720" w:firstLineChars="1700"/>
      <w:rPr>
        <w:rFonts w:ascii="宋体" w:hAnsi="宋体" w:eastAsia="宋体" w:cs="Times New Roman"/>
        <w:sz w:val="16"/>
        <w:szCs w:val="18"/>
      </w:rPr>
    </w:pPr>
    <w:r>
      <w:rPr>
        <w:rFonts w:hint="eastAsia" w:ascii="宋体" w:hAnsi="宋体" w:eastAsia="宋体" w:cs="Times New Roman"/>
        <w:sz w:val="16"/>
        <w:szCs w:val="18"/>
      </w:rPr>
      <w:t>岳麓区岳麓街道中建智慧谷产业园二区11号栋        电话：</w:t>
    </w:r>
    <w:r>
      <w:rPr>
        <w:rFonts w:ascii="宋体" w:hAnsi="宋体" w:eastAsia="宋体" w:cs="Times New Roman"/>
        <w:sz w:val="16"/>
        <w:szCs w:val="18"/>
      </w:rPr>
      <w:t>0731</w:t>
    </w:r>
    <w:r>
      <w:rPr>
        <w:rFonts w:hint="eastAsia" w:ascii="宋体" w:hAnsi="宋体" w:eastAsia="宋体" w:cs="Times New Roman"/>
        <w:sz w:val="16"/>
        <w:szCs w:val="18"/>
      </w:rPr>
      <w:t>－</w:t>
    </w:r>
    <w:r>
      <w:rPr>
        <w:rFonts w:ascii="宋体" w:hAnsi="宋体" w:eastAsia="宋体" w:cs="Times New Roman"/>
        <w:sz w:val="16"/>
        <w:szCs w:val="18"/>
      </w:rPr>
      <w:t>89767891</w:t>
    </w:r>
  </w:p>
  <w:p w14:paraId="082FDA7A">
    <w:pPr>
      <w:widowControl w:val="0"/>
      <w:snapToGrid w:val="0"/>
      <w:jc w:val="right"/>
      <w:rPr>
        <w:rFonts w:hint="eastAsia" w:ascii="Times New Roman" w:hAnsi="Times New Roman" w:eastAsia="宋体" w:cs="Times New Roman"/>
        <w:kern w:val="2"/>
        <w:sz w:val="21"/>
        <w:szCs w:val="18"/>
        <w:lang w:val="en-US" w:eastAsia="zh-CN" w:bidi="ar-SA"/>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AFC0F21">
                          <w:pPr>
                            <w:widowControl w:val="0"/>
                            <w:snapToGrid w:val="0"/>
                            <w:jc w:val="right"/>
                          </w:pPr>
                          <w:r>
                            <w:rPr>
                              <w:rFonts w:ascii="Times New Roman" w:hAnsi="Times New Roman" w:eastAsia="宋体" w:cs="Times New Roman"/>
                              <w:kern w:val="2"/>
                              <w:sz w:val="21"/>
                              <w:szCs w:val="18"/>
                              <w:lang w:val="en-US" w:eastAsia="zh-CN" w:bidi="ar-SA"/>
                            </w:rPr>
                            <w:fldChar w:fldCharType="begin"/>
                          </w:r>
                          <w:r>
                            <w:rPr>
                              <w:rFonts w:ascii="Times New Roman" w:hAnsi="Times New Roman" w:eastAsia="宋体" w:cs="Times New Roman"/>
                              <w:kern w:val="2"/>
                              <w:sz w:val="21"/>
                              <w:szCs w:val="18"/>
                              <w:lang w:val="en-US" w:eastAsia="zh-CN" w:bidi="ar-SA"/>
                            </w:rPr>
                            <w:instrText xml:space="preserve"> PAGE   \* MERGEFORMAT </w:instrText>
                          </w:r>
                          <w:r>
                            <w:rPr>
                              <w:rFonts w:ascii="Times New Roman" w:hAnsi="Times New Roman" w:eastAsia="宋体" w:cs="Times New Roman"/>
                              <w:kern w:val="2"/>
                              <w:sz w:val="21"/>
                              <w:szCs w:val="18"/>
                              <w:lang w:val="en-US" w:eastAsia="zh-CN" w:bidi="ar-SA"/>
                            </w:rPr>
                            <w:fldChar w:fldCharType="separate"/>
                          </w:r>
                          <w:r>
                            <w:rPr>
                              <w:rFonts w:ascii="Times New Roman" w:hAnsi="Times New Roman" w:eastAsia="宋体" w:cs="Times New Roman"/>
                              <w:kern w:val="2"/>
                              <w:sz w:val="21"/>
                              <w:szCs w:val="18"/>
                              <w:lang w:val="zh-CN" w:eastAsia="zh-CN" w:bidi="ar-SA"/>
                            </w:rPr>
                            <w:t>15</w:t>
                          </w:r>
                          <w:r>
                            <w:rPr>
                              <w:rFonts w:ascii="Times New Roman" w:hAnsi="Times New Roman" w:eastAsia="宋体" w:cs="Times New Roman"/>
                              <w:kern w:val="2"/>
                              <w:sz w:val="21"/>
                              <w:szCs w:val="18"/>
                              <w:lang w:val="en-US" w:eastAsia="zh-CN" w:bidi="ar-SA"/>
                            </w:rPr>
                            <w:fldChar w:fldCharType="end"/>
                          </w:r>
                        </w:p>
                      </w:txbxContent>
                    </wps:txbx>
                    <wps:bodyPr vert="horz" wrap="none" lIns="0" tIns="0" rIns="0" bIns="0" anchor="t" anchorCtr="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o1nYK3gEAAL8DAAAOAAAAAAAA&#10;AAEAIAAAAB4BAABkcnMvZTJvRG9jLnhtbFBLBQYAAAAABgAGAFkBAABuBQAAAAA=&#10;">
              <v:fill on="f" focussize="0,0"/>
              <v:stroke on="f"/>
              <v:imagedata o:title=""/>
              <o:lock v:ext="edit" aspectratio="f"/>
              <v:textbox inset="0mm,0mm,0mm,0mm" style="mso-fit-shape-to-text:t;">
                <w:txbxContent>
                  <w:p w14:paraId="2AFC0F21">
                    <w:pPr>
                      <w:widowControl w:val="0"/>
                      <w:snapToGrid w:val="0"/>
                      <w:jc w:val="right"/>
                    </w:pPr>
                    <w:r>
                      <w:rPr>
                        <w:rFonts w:ascii="Times New Roman" w:hAnsi="Times New Roman" w:eastAsia="宋体" w:cs="Times New Roman"/>
                        <w:kern w:val="2"/>
                        <w:sz w:val="21"/>
                        <w:szCs w:val="18"/>
                        <w:lang w:val="en-US" w:eastAsia="zh-CN" w:bidi="ar-SA"/>
                      </w:rPr>
                      <w:fldChar w:fldCharType="begin"/>
                    </w:r>
                    <w:r>
                      <w:rPr>
                        <w:rFonts w:ascii="Times New Roman" w:hAnsi="Times New Roman" w:eastAsia="宋体" w:cs="Times New Roman"/>
                        <w:kern w:val="2"/>
                        <w:sz w:val="21"/>
                        <w:szCs w:val="18"/>
                        <w:lang w:val="en-US" w:eastAsia="zh-CN" w:bidi="ar-SA"/>
                      </w:rPr>
                      <w:instrText xml:space="preserve"> PAGE   \* MERGEFORMAT </w:instrText>
                    </w:r>
                    <w:r>
                      <w:rPr>
                        <w:rFonts w:ascii="Times New Roman" w:hAnsi="Times New Roman" w:eastAsia="宋体" w:cs="Times New Roman"/>
                        <w:kern w:val="2"/>
                        <w:sz w:val="21"/>
                        <w:szCs w:val="18"/>
                        <w:lang w:val="en-US" w:eastAsia="zh-CN" w:bidi="ar-SA"/>
                      </w:rPr>
                      <w:fldChar w:fldCharType="separate"/>
                    </w:r>
                    <w:r>
                      <w:rPr>
                        <w:rFonts w:ascii="Times New Roman" w:hAnsi="Times New Roman" w:eastAsia="宋体" w:cs="Times New Roman"/>
                        <w:kern w:val="2"/>
                        <w:sz w:val="21"/>
                        <w:szCs w:val="18"/>
                        <w:lang w:val="zh-CN" w:eastAsia="zh-CN" w:bidi="ar-SA"/>
                      </w:rPr>
                      <w:t>15</w:t>
                    </w:r>
                    <w:r>
                      <w:rPr>
                        <w:rFonts w:ascii="Times New Roman" w:hAnsi="Times New Roman" w:eastAsia="宋体" w:cs="Times New Roman"/>
                        <w:kern w:val="2"/>
                        <w:sz w:val="21"/>
                        <w:szCs w:val="18"/>
                        <w:lang w:val="en-US" w:eastAsia="zh-CN" w:bidi="ar-S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D655A">
    <w:pPr>
      <w:pStyle w:val="17"/>
      <w:framePr w:wrap="around" w:vAnchor="text" w:hAnchor="margin" w:xAlign="right" w:y="1"/>
      <w:rPr>
        <w:rStyle w:val="28"/>
      </w:rPr>
    </w:pPr>
    <w:r>
      <w:fldChar w:fldCharType="begin"/>
    </w:r>
    <w:r>
      <w:rPr>
        <w:rStyle w:val="28"/>
      </w:rPr>
      <w:instrText xml:space="preserve">PAGE  </w:instrText>
    </w:r>
    <w:r>
      <w:fldChar w:fldCharType="end"/>
    </w:r>
  </w:p>
  <w:p w14:paraId="79BF4528">
    <w:pPr>
      <w:pStyle w:val="17"/>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C7533"/>
  <w:p w14:paraId="52F0861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ADED9">
    <w:pPr>
      <w:pStyle w:val="1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4CA5A5"/>
    <w:multiLevelType w:val="singleLevel"/>
    <w:tmpl w:val="A54CA5A5"/>
    <w:lvl w:ilvl="0" w:tentative="0">
      <w:start w:val="1"/>
      <w:numFmt w:val="decimal"/>
      <w:suff w:val="space"/>
      <w:lvlText w:val="%1."/>
      <w:lvlJc w:val="left"/>
    </w:lvl>
  </w:abstractNum>
  <w:abstractNum w:abstractNumId="1">
    <w:nsid w:val="C91ADE88"/>
    <w:multiLevelType w:val="singleLevel"/>
    <w:tmpl w:val="C91ADE88"/>
    <w:lvl w:ilvl="0" w:tentative="0">
      <w:start w:val="3"/>
      <w:numFmt w:val="chineseCounting"/>
      <w:suff w:val="space"/>
      <w:lvlText w:val="第%1章"/>
      <w:lvlJc w:val="left"/>
      <w:rPr>
        <w:rFonts w:hint="eastAsia"/>
      </w:rPr>
    </w:lvl>
  </w:abstractNum>
  <w:abstractNum w:abstractNumId="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39"/>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MyZjE0NTJmNzYzMTdmODBkZDJiYmNlM2NhYzFhZTkifQ=="/>
    <w:docVar w:name="KSO_WPS_MARK_KEY" w:val="c25a6930-a392-49c1-be2b-3cee8c89089f"/>
  </w:docVars>
  <w:rsids>
    <w:rsidRoot w:val="685A718E"/>
    <w:rsid w:val="000114FB"/>
    <w:rsid w:val="00013E31"/>
    <w:rsid w:val="00021ABA"/>
    <w:rsid w:val="0002214B"/>
    <w:rsid w:val="000326C3"/>
    <w:rsid w:val="00060998"/>
    <w:rsid w:val="00067586"/>
    <w:rsid w:val="00070109"/>
    <w:rsid w:val="00071B78"/>
    <w:rsid w:val="000801A7"/>
    <w:rsid w:val="000A54AB"/>
    <w:rsid w:val="000A7A0F"/>
    <w:rsid w:val="000B1083"/>
    <w:rsid w:val="000C5CBE"/>
    <w:rsid w:val="000D5D09"/>
    <w:rsid w:val="000D62DF"/>
    <w:rsid w:val="000F5454"/>
    <w:rsid w:val="001016BE"/>
    <w:rsid w:val="001226B5"/>
    <w:rsid w:val="001A3467"/>
    <w:rsid w:val="001A67AA"/>
    <w:rsid w:val="001B03CD"/>
    <w:rsid w:val="001D4C7B"/>
    <w:rsid w:val="001E64BC"/>
    <w:rsid w:val="001F0299"/>
    <w:rsid w:val="001F0937"/>
    <w:rsid w:val="001F1C2D"/>
    <w:rsid w:val="00200E47"/>
    <w:rsid w:val="00206FCA"/>
    <w:rsid w:val="0021461E"/>
    <w:rsid w:val="00241768"/>
    <w:rsid w:val="00243547"/>
    <w:rsid w:val="00244D40"/>
    <w:rsid w:val="0026447D"/>
    <w:rsid w:val="00284738"/>
    <w:rsid w:val="00285EF6"/>
    <w:rsid w:val="002D064E"/>
    <w:rsid w:val="002D1658"/>
    <w:rsid w:val="002E426E"/>
    <w:rsid w:val="002F4C53"/>
    <w:rsid w:val="002F795E"/>
    <w:rsid w:val="00322560"/>
    <w:rsid w:val="00342DB9"/>
    <w:rsid w:val="003445E7"/>
    <w:rsid w:val="00355912"/>
    <w:rsid w:val="00361B75"/>
    <w:rsid w:val="00374714"/>
    <w:rsid w:val="00375EF3"/>
    <w:rsid w:val="00377DF8"/>
    <w:rsid w:val="00383619"/>
    <w:rsid w:val="00387812"/>
    <w:rsid w:val="0039230D"/>
    <w:rsid w:val="00397E01"/>
    <w:rsid w:val="003A0CDF"/>
    <w:rsid w:val="003C5BAB"/>
    <w:rsid w:val="003D4F0A"/>
    <w:rsid w:val="004026DF"/>
    <w:rsid w:val="00402F2F"/>
    <w:rsid w:val="00407CB6"/>
    <w:rsid w:val="00413161"/>
    <w:rsid w:val="0042787D"/>
    <w:rsid w:val="0043327B"/>
    <w:rsid w:val="00453705"/>
    <w:rsid w:val="00473EE1"/>
    <w:rsid w:val="00486FE4"/>
    <w:rsid w:val="004D1BB7"/>
    <w:rsid w:val="00501792"/>
    <w:rsid w:val="00512AD7"/>
    <w:rsid w:val="0052251B"/>
    <w:rsid w:val="005339F2"/>
    <w:rsid w:val="00534120"/>
    <w:rsid w:val="00534997"/>
    <w:rsid w:val="00534A00"/>
    <w:rsid w:val="00546B8D"/>
    <w:rsid w:val="0057065C"/>
    <w:rsid w:val="0057641B"/>
    <w:rsid w:val="005934CC"/>
    <w:rsid w:val="005A7828"/>
    <w:rsid w:val="005B4FA6"/>
    <w:rsid w:val="005C0BC7"/>
    <w:rsid w:val="005D7DCF"/>
    <w:rsid w:val="005E395B"/>
    <w:rsid w:val="005E3E63"/>
    <w:rsid w:val="006100E1"/>
    <w:rsid w:val="00616F62"/>
    <w:rsid w:val="00617CAB"/>
    <w:rsid w:val="00620E52"/>
    <w:rsid w:val="00624362"/>
    <w:rsid w:val="00625818"/>
    <w:rsid w:val="00635845"/>
    <w:rsid w:val="00644B7F"/>
    <w:rsid w:val="00654C3C"/>
    <w:rsid w:val="006618DD"/>
    <w:rsid w:val="0066381E"/>
    <w:rsid w:val="006674FD"/>
    <w:rsid w:val="00670212"/>
    <w:rsid w:val="0067576F"/>
    <w:rsid w:val="00682AB0"/>
    <w:rsid w:val="0069264B"/>
    <w:rsid w:val="006A6677"/>
    <w:rsid w:val="006C08FB"/>
    <w:rsid w:val="006D063B"/>
    <w:rsid w:val="006F08F6"/>
    <w:rsid w:val="006F226C"/>
    <w:rsid w:val="00741278"/>
    <w:rsid w:val="00751072"/>
    <w:rsid w:val="00767714"/>
    <w:rsid w:val="007705A8"/>
    <w:rsid w:val="00790783"/>
    <w:rsid w:val="00795F18"/>
    <w:rsid w:val="007A3FE4"/>
    <w:rsid w:val="007B0D5C"/>
    <w:rsid w:val="007B21F7"/>
    <w:rsid w:val="007B3901"/>
    <w:rsid w:val="007B505E"/>
    <w:rsid w:val="007C1D56"/>
    <w:rsid w:val="007D42E5"/>
    <w:rsid w:val="007D529B"/>
    <w:rsid w:val="007E16DC"/>
    <w:rsid w:val="007F6B98"/>
    <w:rsid w:val="008042C1"/>
    <w:rsid w:val="00805226"/>
    <w:rsid w:val="008079DA"/>
    <w:rsid w:val="00827154"/>
    <w:rsid w:val="00840BF3"/>
    <w:rsid w:val="0085763D"/>
    <w:rsid w:val="00862234"/>
    <w:rsid w:val="00877E52"/>
    <w:rsid w:val="00892F23"/>
    <w:rsid w:val="008B0CAF"/>
    <w:rsid w:val="008B56CA"/>
    <w:rsid w:val="008B7A49"/>
    <w:rsid w:val="008C338A"/>
    <w:rsid w:val="008C532A"/>
    <w:rsid w:val="008D533D"/>
    <w:rsid w:val="008D6F4E"/>
    <w:rsid w:val="008E4718"/>
    <w:rsid w:val="008F5F01"/>
    <w:rsid w:val="0090114A"/>
    <w:rsid w:val="00903BB1"/>
    <w:rsid w:val="00914B90"/>
    <w:rsid w:val="00920B19"/>
    <w:rsid w:val="00922C2D"/>
    <w:rsid w:val="00927F46"/>
    <w:rsid w:val="009349A7"/>
    <w:rsid w:val="00956909"/>
    <w:rsid w:val="00957F19"/>
    <w:rsid w:val="00966895"/>
    <w:rsid w:val="0096771C"/>
    <w:rsid w:val="00972166"/>
    <w:rsid w:val="00985B7D"/>
    <w:rsid w:val="009A0626"/>
    <w:rsid w:val="009B0229"/>
    <w:rsid w:val="009B765F"/>
    <w:rsid w:val="009C79C0"/>
    <w:rsid w:val="009D1313"/>
    <w:rsid w:val="009D280C"/>
    <w:rsid w:val="009E2FBF"/>
    <w:rsid w:val="009F08D3"/>
    <w:rsid w:val="00A16FDE"/>
    <w:rsid w:val="00A235DB"/>
    <w:rsid w:val="00A264E3"/>
    <w:rsid w:val="00A3297B"/>
    <w:rsid w:val="00A32F6A"/>
    <w:rsid w:val="00A46D63"/>
    <w:rsid w:val="00A51DE6"/>
    <w:rsid w:val="00A5226B"/>
    <w:rsid w:val="00A54B7D"/>
    <w:rsid w:val="00A64D1F"/>
    <w:rsid w:val="00A8045E"/>
    <w:rsid w:val="00A80E2B"/>
    <w:rsid w:val="00A83D3E"/>
    <w:rsid w:val="00A96C0B"/>
    <w:rsid w:val="00AB1BBF"/>
    <w:rsid w:val="00AD092A"/>
    <w:rsid w:val="00AF386F"/>
    <w:rsid w:val="00B17880"/>
    <w:rsid w:val="00B23F8A"/>
    <w:rsid w:val="00B46E09"/>
    <w:rsid w:val="00B56EAC"/>
    <w:rsid w:val="00B809CA"/>
    <w:rsid w:val="00B92B77"/>
    <w:rsid w:val="00BB35ED"/>
    <w:rsid w:val="00BE14A7"/>
    <w:rsid w:val="00BE1D22"/>
    <w:rsid w:val="00BF2AD8"/>
    <w:rsid w:val="00C00645"/>
    <w:rsid w:val="00C13D38"/>
    <w:rsid w:val="00C1795B"/>
    <w:rsid w:val="00C2128C"/>
    <w:rsid w:val="00C26621"/>
    <w:rsid w:val="00C62D93"/>
    <w:rsid w:val="00C84FCC"/>
    <w:rsid w:val="00C873D0"/>
    <w:rsid w:val="00C8782E"/>
    <w:rsid w:val="00C91A88"/>
    <w:rsid w:val="00CA4177"/>
    <w:rsid w:val="00CE7FE9"/>
    <w:rsid w:val="00D46EF2"/>
    <w:rsid w:val="00D5418A"/>
    <w:rsid w:val="00D6616A"/>
    <w:rsid w:val="00D6782C"/>
    <w:rsid w:val="00D813DF"/>
    <w:rsid w:val="00D83D2E"/>
    <w:rsid w:val="00D93863"/>
    <w:rsid w:val="00D97BE4"/>
    <w:rsid w:val="00DD1E8F"/>
    <w:rsid w:val="00DD331A"/>
    <w:rsid w:val="00DE2EAD"/>
    <w:rsid w:val="00E10383"/>
    <w:rsid w:val="00E15833"/>
    <w:rsid w:val="00E2226B"/>
    <w:rsid w:val="00E2778E"/>
    <w:rsid w:val="00E31263"/>
    <w:rsid w:val="00E34D0E"/>
    <w:rsid w:val="00E36287"/>
    <w:rsid w:val="00E40809"/>
    <w:rsid w:val="00E40E7F"/>
    <w:rsid w:val="00E46483"/>
    <w:rsid w:val="00E4773A"/>
    <w:rsid w:val="00E47AAA"/>
    <w:rsid w:val="00E54463"/>
    <w:rsid w:val="00E71201"/>
    <w:rsid w:val="00E928E2"/>
    <w:rsid w:val="00EA7897"/>
    <w:rsid w:val="00EB1834"/>
    <w:rsid w:val="00EE3E3A"/>
    <w:rsid w:val="00EE7CD2"/>
    <w:rsid w:val="00EF3B82"/>
    <w:rsid w:val="00F0002F"/>
    <w:rsid w:val="00F0064C"/>
    <w:rsid w:val="00F37C51"/>
    <w:rsid w:val="00F50DE0"/>
    <w:rsid w:val="00F80DF9"/>
    <w:rsid w:val="00F83269"/>
    <w:rsid w:val="00F92F67"/>
    <w:rsid w:val="00FA6097"/>
    <w:rsid w:val="00FD5EAB"/>
    <w:rsid w:val="00FF12A5"/>
    <w:rsid w:val="00FF4D65"/>
    <w:rsid w:val="017727CF"/>
    <w:rsid w:val="026F1180"/>
    <w:rsid w:val="02A209F3"/>
    <w:rsid w:val="030955B5"/>
    <w:rsid w:val="031418F0"/>
    <w:rsid w:val="03522419"/>
    <w:rsid w:val="03960557"/>
    <w:rsid w:val="03EB70C9"/>
    <w:rsid w:val="03FE65B7"/>
    <w:rsid w:val="040C75CD"/>
    <w:rsid w:val="04A942BA"/>
    <w:rsid w:val="04F26581"/>
    <w:rsid w:val="057E3312"/>
    <w:rsid w:val="064B2885"/>
    <w:rsid w:val="06C13B3D"/>
    <w:rsid w:val="07553A6D"/>
    <w:rsid w:val="07EB44EF"/>
    <w:rsid w:val="07ED0962"/>
    <w:rsid w:val="08B03E69"/>
    <w:rsid w:val="0A232C00"/>
    <w:rsid w:val="0B1221F5"/>
    <w:rsid w:val="0C032891"/>
    <w:rsid w:val="0D9B7981"/>
    <w:rsid w:val="0E6661B5"/>
    <w:rsid w:val="0E6C0832"/>
    <w:rsid w:val="1065378B"/>
    <w:rsid w:val="11317258"/>
    <w:rsid w:val="120004D9"/>
    <w:rsid w:val="121A313E"/>
    <w:rsid w:val="129C545E"/>
    <w:rsid w:val="134B06DF"/>
    <w:rsid w:val="142E0853"/>
    <w:rsid w:val="14526094"/>
    <w:rsid w:val="14746A60"/>
    <w:rsid w:val="14F80863"/>
    <w:rsid w:val="167043DB"/>
    <w:rsid w:val="17C76AD9"/>
    <w:rsid w:val="17F031FE"/>
    <w:rsid w:val="17F370EE"/>
    <w:rsid w:val="182D6E2A"/>
    <w:rsid w:val="18957CD0"/>
    <w:rsid w:val="18D91CAB"/>
    <w:rsid w:val="18DA6D63"/>
    <w:rsid w:val="19013179"/>
    <w:rsid w:val="19EB4E65"/>
    <w:rsid w:val="1A8E3EAA"/>
    <w:rsid w:val="1B2E4A25"/>
    <w:rsid w:val="1B443DCE"/>
    <w:rsid w:val="1BBC26CD"/>
    <w:rsid w:val="1BFA295D"/>
    <w:rsid w:val="1C1E30DA"/>
    <w:rsid w:val="1C934B0A"/>
    <w:rsid w:val="1CDD1B18"/>
    <w:rsid w:val="1D8D60CF"/>
    <w:rsid w:val="1E0208EF"/>
    <w:rsid w:val="1E9A46E9"/>
    <w:rsid w:val="1EEC504F"/>
    <w:rsid w:val="1F941997"/>
    <w:rsid w:val="20215A16"/>
    <w:rsid w:val="203A1AF4"/>
    <w:rsid w:val="2080016D"/>
    <w:rsid w:val="20976E67"/>
    <w:rsid w:val="213E5867"/>
    <w:rsid w:val="244016C1"/>
    <w:rsid w:val="24584614"/>
    <w:rsid w:val="245E2A8E"/>
    <w:rsid w:val="2492221D"/>
    <w:rsid w:val="257F6C45"/>
    <w:rsid w:val="25DE361A"/>
    <w:rsid w:val="2613034D"/>
    <w:rsid w:val="26153106"/>
    <w:rsid w:val="284D4A89"/>
    <w:rsid w:val="28533D35"/>
    <w:rsid w:val="287B78E3"/>
    <w:rsid w:val="289351B4"/>
    <w:rsid w:val="28D472A8"/>
    <w:rsid w:val="28F21696"/>
    <w:rsid w:val="29D55086"/>
    <w:rsid w:val="2A8B6810"/>
    <w:rsid w:val="2AC57F99"/>
    <w:rsid w:val="2B216DCD"/>
    <w:rsid w:val="2B9B3F23"/>
    <w:rsid w:val="2C8E4DEE"/>
    <w:rsid w:val="2CE0346E"/>
    <w:rsid w:val="2D0F6B01"/>
    <w:rsid w:val="2DDE64D3"/>
    <w:rsid w:val="2EAE27F4"/>
    <w:rsid w:val="3010626B"/>
    <w:rsid w:val="30751901"/>
    <w:rsid w:val="3111334A"/>
    <w:rsid w:val="311C5A68"/>
    <w:rsid w:val="315224D1"/>
    <w:rsid w:val="315577A3"/>
    <w:rsid w:val="317457EC"/>
    <w:rsid w:val="31AB2B9E"/>
    <w:rsid w:val="31F14A27"/>
    <w:rsid w:val="3202541F"/>
    <w:rsid w:val="32C91500"/>
    <w:rsid w:val="32E40C96"/>
    <w:rsid w:val="34263FC8"/>
    <w:rsid w:val="347C3613"/>
    <w:rsid w:val="34D45154"/>
    <w:rsid w:val="34E23E1A"/>
    <w:rsid w:val="3521787E"/>
    <w:rsid w:val="36CA3A99"/>
    <w:rsid w:val="371E0917"/>
    <w:rsid w:val="379F3730"/>
    <w:rsid w:val="38D806EF"/>
    <w:rsid w:val="390534CD"/>
    <w:rsid w:val="39A75DCE"/>
    <w:rsid w:val="3B13316D"/>
    <w:rsid w:val="3C4903E1"/>
    <w:rsid w:val="3C89430A"/>
    <w:rsid w:val="3DE22FC3"/>
    <w:rsid w:val="3DE85102"/>
    <w:rsid w:val="3E326FCB"/>
    <w:rsid w:val="3EA71D5C"/>
    <w:rsid w:val="3EE45ADC"/>
    <w:rsid w:val="3F133C6D"/>
    <w:rsid w:val="3F42436A"/>
    <w:rsid w:val="3F964E60"/>
    <w:rsid w:val="405E4078"/>
    <w:rsid w:val="40911F88"/>
    <w:rsid w:val="40F164FD"/>
    <w:rsid w:val="41A53138"/>
    <w:rsid w:val="41B75401"/>
    <w:rsid w:val="42D430F1"/>
    <w:rsid w:val="43963680"/>
    <w:rsid w:val="44263186"/>
    <w:rsid w:val="454F7785"/>
    <w:rsid w:val="459F6F98"/>
    <w:rsid w:val="45B83FEA"/>
    <w:rsid w:val="468236C3"/>
    <w:rsid w:val="46B43698"/>
    <w:rsid w:val="46D509C3"/>
    <w:rsid w:val="46EB3CE3"/>
    <w:rsid w:val="474E2A4A"/>
    <w:rsid w:val="47724A1D"/>
    <w:rsid w:val="47E86474"/>
    <w:rsid w:val="48A21B5E"/>
    <w:rsid w:val="495E3099"/>
    <w:rsid w:val="49C5081B"/>
    <w:rsid w:val="4A151E78"/>
    <w:rsid w:val="4AB03279"/>
    <w:rsid w:val="4B3E144D"/>
    <w:rsid w:val="4B43578C"/>
    <w:rsid w:val="4BDB4D30"/>
    <w:rsid w:val="4BFE7B5F"/>
    <w:rsid w:val="4CC72CAB"/>
    <w:rsid w:val="4CE158D2"/>
    <w:rsid w:val="4D2830E0"/>
    <w:rsid w:val="4DCB2216"/>
    <w:rsid w:val="4DD00A22"/>
    <w:rsid w:val="4E846C56"/>
    <w:rsid w:val="4EBA4E41"/>
    <w:rsid w:val="4ED73AE2"/>
    <w:rsid w:val="4F655C1E"/>
    <w:rsid w:val="4FE67916"/>
    <w:rsid w:val="501B5D37"/>
    <w:rsid w:val="50272689"/>
    <w:rsid w:val="50C973FB"/>
    <w:rsid w:val="50D85C66"/>
    <w:rsid w:val="5181771E"/>
    <w:rsid w:val="51F169F8"/>
    <w:rsid w:val="52717B53"/>
    <w:rsid w:val="53312A7E"/>
    <w:rsid w:val="53366924"/>
    <w:rsid w:val="53D21C6B"/>
    <w:rsid w:val="5479658F"/>
    <w:rsid w:val="55546EF7"/>
    <w:rsid w:val="56862033"/>
    <w:rsid w:val="568C5C8E"/>
    <w:rsid w:val="569071B7"/>
    <w:rsid w:val="56BC7A14"/>
    <w:rsid w:val="57E55C1C"/>
    <w:rsid w:val="585A5481"/>
    <w:rsid w:val="588D4BFA"/>
    <w:rsid w:val="58ED6CAC"/>
    <w:rsid w:val="59A446A1"/>
    <w:rsid w:val="5BB16D8C"/>
    <w:rsid w:val="5BD14DFE"/>
    <w:rsid w:val="5BDF629C"/>
    <w:rsid w:val="5CC677A2"/>
    <w:rsid w:val="5CF50D2A"/>
    <w:rsid w:val="5D2D101B"/>
    <w:rsid w:val="5D667AEC"/>
    <w:rsid w:val="5E0B1537"/>
    <w:rsid w:val="5F3A715E"/>
    <w:rsid w:val="5F501C28"/>
    <w:rsid w:val="5F6C0451"/>
    <w:rsid w:val="607166B9"/>
    <w:rsid w:val="61840B64"/>
    <w:rsid w:val="618D4A17"/>
    <w:rsid w:val="618F32AC"/>
    <w:rsid w:val="619256B6"/>
    <w:rsid w:val="61EF3877"/>
    <w:rsid w:val="62B03953"/>
    <w:rsid w:val="62C93798"/>
    <w:rsid w:val="62ED4876"/>
    <w:rsid w:val="63937237"/>
    <w:rsid w:val="63A943AD"/>
    <w:rsid w:val="647B624F"/>
    <w:rsid w:val="64CD49AF"/>
    <w:rsid w:val="6545218B"/>
    <w:rsid w:val="664375E8"/>
    <w:rsid w:val="66541B69"/>
    <w:rsid w:val="66DE39BE"/>
    <w:rsid w:val="67B77B71"/>
    <w:rsid w:val="685A718E"/>
    <w:rsid w:val="6944024A"/>
    <w:rsid w:val="6A1C121F"/>
    <w:rsid w:val="6B1B242F"/>
    <w:rsid w:val="6B4A24D7"/>
    <w:rsid w:val="6BAD1940"/>
    <w:rsid w:val="6C314DB0"/>
    <w:rsid w:val="6C9E199D"/>
    <w:rsid w:val="6CAA6BF1"/>
    <w:rsid w:val="6D0A5DFB"/>
    <w:rsid w:val="6D65164A"/>
    <w:rsid w:val="6E4D0AE3"/>
    <w:rsid w:val="6EBF279E"/>
    <w:rsid w:val="6EDE2978"/>
    <w:rsid w:val="6EEC162A"/>
    <w:rsid w:val="6F0F7CF0"/>
    <w:rsid w:val="6FE335BD"/>
    <w:rsid w:val="70611DE4"/>
    <w:rsid w:val="706E15A4"/>
    <w:rsid w:val="707F16AF"/>
    <w:rsid w:val="70E87801"/>
    <w:rsid w:val="71010AD2"/>
    <w:rsid w:val="724514C8"/>
    <w:rsid w:val="7324356F"/>
    <w:rsid w:val="73322F86"/>
    <w:rsid w:val="74202436"/>
    <w:rsid w:val="744F0153"/>
    <w:rsid w:val="75A0564D"/>
    <w:rsid w:val="75EB4C99"/>
    <w:rsid w:val="767E1BCE"/>
    <w:rsid w:val="779E16ED"/>
    <w:rsid w:val="77BE2A57"/>
    <w:rsid w:val="785624C3"/>
    <w:rsid w:val="78856E5B"/>
    <w:rsid w:val="78A63E02"/>
    <w:rsid w:val="792079C7"/>
    <w:rsid w:val="79D704F2"/>
    <w:rsid w:val="7A21712C"/>
    <w:rsid w:val="7A747905"/>
    <w:rsid w:val="7B9949F9"/>
    <w:rsid w:val="7BAA4047"/>
    <w:rsid w:val="7C11784A"/>
    <w:rsid w:val="7CE90B9A"/>
    <w:rsid w:val="7D3D4162"/>
    <w:rsid w:val="7D743A49"/>
    <w:rsid w:val="7DFC1D56"/>
    <w:rsid w:val="7E4454AB"/>
    <w:rsid w:val="7EFE1824"/>
    <w:rsid w:val="7F2D74D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qFormat="1"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qFormat/>
    <w:uiPriority w:val="0"/>
    <w:pPr>
      <w:keepNext/>
      <w:spacing w:before="240" w:after="60"/>
      <w:outlineLvl w:val="0"/>
    </w:pPr>
    <w:rPr>
      <w:rFonts w:ascii="Cambria" w:hAnsi="Cambria"/>
      <w:b/>
      <w:bCs/>
      <w:kern w:val="32"/>
      <w:sz w:val="32"/>
      <w:szCs w:val="32"/>
    </w:rPr>
  </w:style>
  <w:style w:type="paragraph" w:styleId="6">
    <w:name w:val="heading 2"/>
    <w:basedOn w:val="1"/>
    <w:next w:val="1"/>
    <w:qFormat/>
    <w:uiPriority w:val="99"/>
    <w:pPr>
      <w:keepNext/>
      <w:keepLines/>
      <w:spacing w:line="360" w:lineRule="auto"/>
      <w:outlineLvl w:val="1"/>
    </w:pPr>
    <w:rPr>
      <w:rFonts w:ascii="Arial" w:hAnsi="Arial"/>
      <w:b/>
      <w:bCs/>
      <w:sz w:val="24"/>
      <w:szCs w:val="32"/>
    </w:rPr>
  </w:style>
  <w:style w:type="paragraph" w:styleId="7">
    <w:name w:val="heading 3"/>
    <w:basedOn w:val="1"/>
    <w:next w:val="1"/>
    <w:qFormat/>
    <w:uiPriority w:val="0"/>
    <w:pPr>
      <w:keepNext/>
      <w:keepLines/>
      <w:spacing w:before="260" w:after="260"/>
      <w:jc w:val="left"/>
      <w:outlineLvl w:val="2"/>
    </w:pPr>
    <w:rPr>
      <w:b/>
      <w:bCs/>
      <w:sz w:val="24"/>
      <w:szCs w:val="32"/>
    </w:rPr>
  </w:style>
  <w:style w:type="paragraph" w:styleId="8">
    <w:name w:val="heading 4"/>
    <w:next w:val="1"/>
    <w:qFormat/>
    <w:uiPriority w:val="0"/>
    <w:pPr>
      <w:keepNext/>
      <w:keepLines/>
      <w:widowControl w:val="0"/>
      <w:spacing w:before="280" w:after="290" w:line="376" w:lineRule="auto"/>
      <w:jc w:val="both"/>
      <w:outlineLvl w:val="3"/>
    </w:pPr>
    <w:rPr>
      <w:rFonts w:ascii="Arial" w:hAnsi="Arial" w:eastAsia="黑体" w:cs="Times New Roman"/>
      <w:b/>
      <w:bCs/>
      <w:kern w:val="2"/>
      <w:sz w:val="28"/>
      <w:szCs w:val="28"/>
      <w:lang w:val="en-US" w:eastAsia="zh-CN" w:bidi="ar-SA"/>
    </w:rPr>
  </w:style>
  <w:style w:type="paragraph" w:styleId="9">
    <w:name w:val="heading 5"/>
    <w:next w:val="1"/>
    <w:qFormat/>
    <w:uiPriority w:val="0"/>
    <w:pPr>
      <w:keepNext/>
      <w:keepLines/>
      <w:widowControl w:val="0"/>
      <w:adjustRightInd w:val="0"/>
      <w:spacing w:before="280" w:after="290" w:line="376" w:lineRule="atLeast"/>
      <w:jc w:val="left"/>
      <w:textAlignment w:val="baseline"/>
      <w:outlineLvl w:val="4"/>
    </w:pPr>
    <w:rPr>
      <w:rFonts w:ascii="Times New Roman" w:hAnsi="Times New Roman" w:eastAsia="宋体" w:cs="Times New Roman"/>
      <w:b/>
      <w:bCs/>
      <w:kern w:val="0"/>
      <w:sz w:val="28"/>
      <w:szCs w:val="28"/>
      <w:lang w:val="en-US" w:eastAsia="zh-CN" w:bidi="ar-SA"/>
    </w:rPr>
  </w:style>
  <w:style w:type="character" w:default="1" w:styleId="26">
    <w:name w:val="Default Paragraph Font"/>
    <w:unhideWhenUsed/>
    <w:qFormat/>
    <w:uiPriority w:val="1"/>
  </w:style>
  <w:style w:type="table" w:default="1" w:styleId="24">
    <w:name w:val="Normal Table"/>
    <w:unhideWhenUsed/>
    <w:qFormat/>
    <w:uiPriority w:val="99"/>
    <w:tblPr>
      <w:tblCellMar>
        <w:top w:w="0" w:type="dxa"/>
        <w:left w:w="108" w:type="dxa"/>
        <w:bottom w:w="0" w:type="dxa"/>
        <w:right w:w="108" w:type="dxa"/>
      </w:tblCellMar>
    </w:tblPr>
  </w:style>
  <w:style w:type="paragraph" w:styleId="2">
    <w:name w:val="Body Text First Indent 2"/>
    <w:basedOn w:val="3"/>
    <w:next w:val="4"/>
    <w:qFormat/>
    <w:uiPriority w:val="0"/>
    <w:pPr>
      <w:ind w:firstLine="420"/>
    </w:pPr>
  </w:style>
  <w:style w:type="paragraph" w:styleId="3">
    <w:name w:val="Body Text"/>
    <w:basedOn w:val="1"/>
    <w:qFormat/>
    <w:uiPriority w:val="1"/>
    <w:pPr>
      <w:spacing w:after="120"/>
    </w:pPr>
    <w:rPr>
      <w:sz w:val="20"/>
    </w:rPr>
  </w:style>
  <w:style w:type="paragraph" w:styleId="4">
    <w:name w:val="Normal Indent"/>
    <w:basedOn w:val="1"/>
    <w:qFormat/>
    <w:uiPriority w:val="0"/>
    <w:pPr>
      <w:adjustRightInd w:val="0"/>
      <w:spacing w:line="360" w:lineRule="atLeast"/>
      <w:ind w:firstLine="420"/>
      <w:textAlignment w:val="baseline"/>
    </w:pPr>
    <w:rPr>
      <w:szCs w:val="20"/>
    </w:rPr>
  </w:style>
  <w:style w:type="paragraph" w:styleId="10">
    <w:name w:val="annotation text"/>
    <w:basedOn w:val="1"/>
    <w:semiHidden/>
    <w:qFormat/>
    <w:uiPriority w:val="0"/>
    <w:pPr>
      <w:jc w:val="left"/>
    </w:pPr>
  </w:style>
  <w:style w:type="paragraph" w:styleId="11">
    <w:name w:val="Body Text Indent"/>
    <w:basedOn w:val="1"/>
    <w:next w:val="2"/>
    <w:link w:val="32"/>
    <w:qFormat/>
    <w:uiPriority w:val="99"/>
    <w:pPr>
      <w:spacing w:after="120"/>
      <w:ind w:left="420" w:leftChars="200"/>
    </w:pPr>
  </w:style>
  <w:style w:type="paragraph" w:styleId="12">
    <w:name w:val="toc 3"/>
    <w:basedOn w:val="1"/>
    <w:next w:val="1"/>
    <w:qFormat/>
    <w:uiPriority w:val="0"/>
    <w:pPr>
      <w:ind w:left="840" w:leftChars="400"/>
    </w:pPr>
  </w:style>
  <w:style w:type="paragraph" w:styleId="13">
    <w:name w:val="Plain Text"/>
    <w:basedOn w:val="1"/>
    <w:qFormat/>
    <w:uiPriority w:val="0"/>
    <w:rPr>
      <w:rFonts w:ascii="宋体" w:hAnsi="Courier New" w:cs="Courier New"/>
      <w:szCs w:val="21"/>
    </w:rPr>
  </w:style>
  <w:style w:type="paragraph" w:styleId="14">
    <w:name w:val="Date"/>
    <w:basedOn w:val="1"/>
    <w:next w:val="1"/>
    <w:qFormat/>
    <w:uiPriority w:val="0"/>
    <w:rPr>
      <w:sz w:val="24"/>
      <w:szCs w:val="20"/>
    </w:rPr>
  </w:style>
  <w:style w:type="paragraph" w:styleId="15">
    <w:name w:val="Body Text Indent 2"/>
    <w:next w:val="1"/>
    <w:qFormat/>
    <w:uiPriority w:val="0"/>
    <w:pPr>
      <w:widowControl w:val="0"/>
      <w:spacing w:after="120" w:line="480" w:lineRule="auto"/>
      <w:ind w:left="420" w:leftChars="200"/>
      <w:jc w:val="both"/>
    </w:pPr>
    <w:rPr>
      <w:rFonts w:ascii="Times New Roman" w:hAnsi="Times New Roman" w:eastAsia="宋体" w:cs="Times New Roman"/>
      <w:kern w:val="2"/>
      <w:sz w:val="21"/>
      <w:szCs w:val="24"/>
      <w:lang w:val="en-US" w:eastAsia="zh-CN" w:bidi="ar-SA"/>
    </w:rPr>
  </w:style>
  <w:style w:type="paragraph" w:styleId="16">
    <w:name w:val="Balloon Text"/>
    <w:basedOn w:val="1"/>
    <w:link w:val="33"/>
    <w:qFormat/>
    <w:uiPriority w:val="0"/>
    <w:rPr>
      <w:sz w:val="18"/>
      <w:szCs w:val="18"/>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0"/>
  </w:style>
  <w:style w:type="paragraph" w:styleId="20">
    <w:name w:val="index 7"/>
    <w:basedOn w:val="1"/>
    <w:next w:val="1"/>
    <w:qFormat/>
    <w:uiPriority w:val="0"/>
    <w:pPr>
      <w:ind w:left="2520"/>
    </w:pPr>
  </w:style>
  <w:style w:type="paragraph" w:styleId="21">
    <w:name w:val="toc 2"/>
    <w:basedOn w:val="1"/>
    <w:next w:val="1"/>
    <w:unhideWhenUsed/>
    <w:qFormat/>
    <w:uiPriority w:val="39"/>
    <w:pPr>
      <w:ind w:left="420" w:leftChars="200"/>
    </w:pPr>
  </w:style>
  <w:style w:type="paragraph" w:styleId="2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23">
    <w:name w:val="annotation subject"/>
    <w:basedOn w:val="10"/>
    <w:next w:val="10"/>
    <w:semiHidden/>
    <w:qFormat/>
    <w:uiPriority w:val="0"/>
    <w:rPr>
      <w:b/>
      <w:bCs/>
    </w:rPr>
  </w:style>
  <w:style w:type="table" w:styleId="25">
    <w:name w:val="Table Grid"/>
    <w:basedOn w:val="2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0"/>
    <w:rPr>
      <w:b/>
    </w:rPr>
  </w:style>
  <w:style w:type="character" w:styleId="28">
    <w:name w:val="page number"/>
    <w:qFormat/>
    <w:uiPriority w:val="0"/>
  </w:style>
  <w:style w:type="character" w:styleId="29">
    <w:name w:val="Emphasis"/>
    <w:basedOn w:val="26"/>
    <w:qFormat/>
    <w:uiPriority w:val="0"/>
    <w:rPr>
      <w:i/>
    </w:rPr>
  </w:style>
  <w:style w:type="character" w:styleId="30">
    <w:name w:val="Hyperlink"/>
    <w:basedOn w:val="26"/>
    <w:qFormat/>
    <w:uiPriority w:val="0"/>
    <w:rPr>
      <w:color w:val="0000FF"/>
      <w:u w:val="single"/>
    </w:rPr>
  </w:style>
  <w:style w:type="character" w:styleId="31">
    <w:name w:val="annotation reference"/>
    <w:basedOn w:val="26"/>
    <w:qFormat/>
    <w:uiPriority w:val="0"/>
    <w:rPr>
      <w:sz w:val="21"/>
      <w:szCs w:val="21"/>
    </w:rPr>
  </w:style>
  <w:style w:type="character" w:customStyle="1" w:styleId="32">
    <w:name w:val="正文文本缩进 Char"/>
    <w:basedOn w:val="26"/>
    <w:link w:val="11"/>
    <w:qFormat/>
    <w:uiPriority w:val="99"/>
    <w:rPr>
      <w:kern w:val="2"/>
      <w:sz w:val="21"/>
      <w:szCs w:val="24"/>
    </w:rPr>
  </w:style>
  <w:style w:type="character" w:customStyle="1" w:styleId="33">
    <w:name w:val="批注框文本 Char"/>
    <w:basedOn w:val="26"/>
    <w:link w:val="16"/>
    <w:qFormat/>
    <w:uiPriority w:val="0"/>
    <w:rPr>
      <w:kern w:val="2"/>
      <w:sz w:val="18"/>
      <w:szCs w:val="18"/>
    </w:rPr>
  </w:style>
  <w:style w:type="paragraph" w:customStyle="1" w:styleId="34">
    <w:name w:val="正文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5">
    <w:name w:val="列出段落1"/>
    <w:basedOn w:val="1"/>
    <w:qFormat/>
    <w:uiPriority w:val="99"/>
    <w:pPr>
      <w:ind w:firstLine="420" w:firstLineChars="200"/>
    </w:pPr>
    <w:rPr>
      <w:szCs w:val="22"/>
    </w:rPr>
  </w:style>
  <w:style w:type="paragraph" w:customStyle="1" w:styleId="36">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37">
    <w:name w:val="正  文"/>
    <w:basedOn w:val="1"/>
    <w:next w:val="1"/>
    <w:qFormat/>
    <w:uiPriority w:val="0"/>
    <w:pPr>
      <w:spacing w:line="360" w:lineRule="auto"/>
      <w:ind w:firstLine="560" w:firstLineChars="200"/>
    </w:pPr>
    <w:rPr>
      <w:rFonts w:ascii="仿宋_GB2312" w:hAnsi="仿宋_GB2312" w:cs="仿宋_GB2312"/>
      <w:sz w:val="28"/>
      <w:szCs w:val="28"/>
    </w:rPr>
  </w:style>
  <w:style w:type="paragraph" w:styleId="38">
    <w:name w:val="No Spacing"/>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39">
    <w:name w:val="标题 5（有编号）（绿盟科技）"/>
    <w:basedOn w:val="1"/>
    <w:next w:val="1"/>
    <w:qFormat/>
    <w:uiPriority w:val="0"/>
    <w:pPr>
      <w:keepNext/>
      <w:keepLines/>
      <w:numPr>
        <w:ilvl w:val="4"/>
        <w:numId w:val="1"/>
      </w:numPr>
      <w:spacing w:before="280" w:after="156" w:line="377" w:lineRule="auto"/>
      <w:outlineLvl w:val="4"/>
    </w:pPr>
    <w:rPr>
      <w:rFonts w:ascii="Arial" w:hAnsi="Arial" w:eastAsia="黑体"/>
      <w:b/>
      <w:szCs w:val="28"/>
    </w:rPr>
  </w:style>
  <w:style w:type="character" w:customStyle="1" w:styleId="40">
    <w:name w:val="NormalCharacter"/>
    <w:qFormat/>
    <w:uiPriority w:val="0"/>
  </w:style>
  <w:style w:type="paragraph" w:styleId="41">
    <w:name w:val="List Paragraph"/>
    <w:basedOn w:val="1"/>
    <w:qFormat/>
    <w:uiPriority w:val="99"/>
    <w:pPr>
      <w:ind w:firstLine="420" w:firstLineChars="200"/>
    </w:pPr>
    <w:rPr>
      <w:szCs w:val="22"/>
    </w:rPr>
  </w:style>
  <w:style w:type="paragraph" w:customStyle="1" w:styleId="42">
    <w:name w:val="目录 81"/>
    <w:basedOn w:val="1"/>
    <w:next w:val="1"/>
    <w:qFormat/>
    <w:uiPriority w:val="99"/>
    <w:pPr>
      <w:ind w:left="2940"/>
    </w:pPr>
    <w:rPr>
      <w:rFonts w:ascii="Calibri"/>
    </w:rPr>
  </w:style>
  <w:style w:type="paragraph" w:customStyle="1" w:styleId="43">
    <w:name w:val="列出段落2"/>
    <w:basedOn w:val="1"/>
    <w:qFormat/>
    <w:uiPriority w:val="0"/>
    <w:pPr>
      <w:ind w:firstLine="420" w:firstLineChars="200"/>
    </w:pPr>
    <w:rPr>
      <w:rFonts w:ascii="Calibri" w:hAnsi="Calibri" w:eastAsia="微软雅黑"/>
      <w:szCs w:val="22"/>
    </w:rPr>
  </w:style>
  <w:style w:type="paragraph" w:customStyle="1" w:styleId="44">
    <w:name w:val="CM99"/>
    <w:basedOn w:val="1"/>
    <w:next w:val="1"/>
    <w:qFormat/>
    <w:uiPriority w:val="0"/>
    <w:pPr>
      <w:autoSpaceDE w:val="0"/>
      <w:autoSpaceDN w:val="0"/>
      <w:adjustRightInd w:val="0"/>
      <w:spacing w:after="443"/>
      <w:jc w:val="left"/>
    </w:pPr>
    <w:rPr>
      <w:rFonts w:ascii="宋体"/>
      <w:kern w:val="0"/>
      <w:sz w:val="24"/>
      <w:szCs w:val="20"/>
    </w:rPr>
  </w:style>
  <w:style w:type="paragraph" w:customStyle="1" w:styleId="45">
    <w:name w:val="CM91"/>
    <w:basedOn w:val="1"/>
    <w:next w:val="1"/>
    <w:qFormat/>
    <w:uiPriority w:val="0"/>
    <w:pPr>
      <w:autoSpaceDE w:val="0"/>
      <w:autoSpaceDN w:val="0"/>
      <w:adjustRightInd w:val="0"/>
      <w:spacing w:after="160"/>
      <w:jc w:val="left"/>
    </w:pPr>
    <w:rPr>
      <w:rFonts w:ascii="宋体"/>
      <w:kern w:val="0"/>
      <w:sz w:val="24"/>
      <w:szCs w:val="20"/>
    </w:rPr>
  </w:style>
  <w:style w:type="paragraph" w:customStyle="1" w:styleId="46">
    <w:name w:val="正文缩进1"/>
    <w:basedOn w:val="1"/>
    <w:qFormat/>
    <w:uiPriority w:val="0"/>
    <w:pPr>
      <w:ind w:firstLine="200" w:firstLineChars="200"/>
    </w:pPr>
  </w:style>
  <w:style w:type="paragraph" w:customStyle="1" w:styleId="47">
    <w:name w:val="Normal_0_1"/>
    <w:qFormat/>
    <w:uiPriority w:val="0"/>
    <w:rPr>
      <w:rFonts w:ascii="Times New Roman" w:hAnsi="Times New Roman" w:eastAsia="Times New Roman" w:cs="Times New Roman"/>
      <w:sz w:val="24"/>
      <w:szCs w:val="24"/>
      <w:lang w:val="en-US" w:eastAsia="zh-CN" w:bidi="ar-SA"/>
    </w:rPr>
  </w:style>
  <w:style w:type="paragraph" w:customStyle="1" w:styleId="48">
    <w:name w:val="table"/>
    <w:qFormat/>
    <w:uiPriority w:val="0"/>
    <w:pPr>
      <w:widowControl/>
      <w:spacing w:before="100" w:beforeAutospacing="1" w:after="100" w:afterAutospacing="1"/>
      <w:jc w:val="left"/>
    </w:pPr>
    <w:rPr>
      <w:rFonts w:ascii="宋体" w:hAnsi="宋体" w:eastAsia="宋体" w:cs="宋体"/>
      <w:kern w:val="0"/>
      <w:sz w:val="24"/>
      <w:szCs w:val="24"/>
      <w:lang w:val="en-US" w:eastAsia="zh-CN" w:bidi="ar-SA"/>
    </w:rPr>
  </w:style>
  <w:style w:type="character" w:customStyle="1" w:styleId="49">
    <w:name w:val="10"/>
    <w:qFormat/>
    <w:uiPriority w:val="0"/>
    <w:rPr>
      <w:rFonts w:hint="default" w:ascii="Times New Roman" w:hAnsi="Times New Roman" w:cs="Times New Roman"/>
    </w:rPr>
  </w:style>
  <w:style w:type="paragraph" w:customStyle="1" w:styleId="50">
    <w:name w:val="正文_25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1">
    <w:name w:val="正文_26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2">
    <w:name w:val="正文_26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3">
    <w:name w:val="正文_26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4">
    <w:name w:val="正文_26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5">
    <w:name w:val="正文_26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6">
    <w:name w:val="正文_26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7">
    <w:name w:val="正文_26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8">
    <w:name w:val="正文_26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9">
    <w:name w:val="正文_26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0">
    <w:name w:val="正文_26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1">
    <w:name w:val="正文_25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2">
    <w:name w:val="首行缩进"/>
    <w:next w:val="1"/>
    <w:qFormat/>
    <w:uiPriority w:val="0"/>
    <w:pPr>
      <w:widowControl w:val="0"/>
      <w:spacing w:line="300" w:lineRule="auto"/>
      <w:ind w:firstLine="420" w:firstLineChars="200"/>
      <w:jc w:val="both"/>
    </w:pPr>
    <w:rPr>
      <w:rFonts w:ascii="Times New Roman" w:hAnsi="Times New Roman" w:eastAsia="方正书宋简体" w:cs="Times New Roman"/>
      <w:kern w:val="2"/>
      <w:sz w:val="20"/>
      <w:szCs w:val="20"/>
      <w:lang w:val="en-US" w:eastAsia="zh-CN" w:bidi="ar-SA"/>
    </w:rPr>
  </w:style>
  <w:style w:type="paragraph" w:customStyle="1" w:styleId="63">
    <w:name w:val="正文_376"/>
    <w:qFormat/>
    <w:uiPriority w:val="0"/>
    <w:pPr>
      <w:widowControl w:val="0"/>
      <w:jc w:val="both"/>
    </w:pPr>
    <w:rPr>
      <w:rFonts w:ascii="Calibri" w:hAnsi="Calibri" w:eastAsia="宋体" w:cs="Times New Roman"/>
      <w:kern w:val="2"/>
      <w:sz w:val="21"/>
      <w:szCs w:val="22"/>
      <w:lang w:val="en-US" w:eastAsia="zh-CN" w:bidi="ar-SA"/>
    </w:rPr>
  </w:style>
  <w:style w:type="paragraph" w:customStyle="1" w:styleId="64">
    <w:name w:val="正文_377"/>
    <w:qFormat/>
    <w:uiPriority w:val="0"/>
    <w:pPr>
      <w:widowControl w:val="0"/>
      <w:jc w:val="both"/>
    </w:pPr>
    <w:rPr>
      <w:rFonts w:ascii="Calibri" w:hAnsi="Calibri" w:eastAsia="宋体" w:cs="Times New Roman"/>
      <w:kern w:val="2"/>
      <w:sz w:val="21"/>
      <w:szCs w:val="22"/>
      <w:lang w:val="en-US" w:eastAsia="zh-CN" w:bidi="ar-SA"/>
    </w:rPr>
  </w:style>
  <w:style w:type="paragraph" w:customStyle="1" w:styleId="65">
    <w:name w:val="正文_378"/>
    <w:qFormat/>
    <w:uiPriority w:val="0"/>
    <w:pPr>
      <w:widowControl w:val="0"/>
      <w:jc w:val="both"/>
    </w:pPr>
    <w:rPr>
      <w:rFonts w:ascii="Calibri" w:hAnsi="Calibri" w:eastAsia="宋体" w:cs="Times New Roman"/>
      <w:kern w:val="2"/>
      <w:sz w:val="21"/>
      <w:szCs w:val="22"/>
      <w:lang w:val="en-US" w:eastAsia="zh-CN" w:bidi="ar-SA"/>
    </w:rPr>
  </w:style>
  <w:style w:type="paragraph" w:customStyle="1" w:styleId="66">
    <w:name w:val="正文_379"/>
    <w:qFormat/>
    <w:uiPriority w:val="0"/>
    <w:pPr>
      <w:widowControl w:val="0"/>
      <w:jc w:val="both"/>
    </w:pPr>
    <w:rPr>
      <w:rFonts w:ascii="Calibri" w:hAnsi="Calibri" w:eastAsia="宋体" w:cs="Times New Roman"/>
      <w:kern w:val="2"/>
      <w:sz w:val="21"/>
      <w:szCs w:val="22"/>
      <w:lang w:val="en-US" w:eastAsia="zh-CN" w:bidi="ar-SA"/>
    </w:rPr>
  </w:style>
  <w:style w:type="paragraph" w:customStyle="1" w:styleId="67">
    <w:name w:val="正文_38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8">
    <w:name w:val="正文_381"/>
    <w:qFormat/>
    <w:uiPriority w:val="0"/>
    <w:pPr>
      <w:widowControl w:val="0"/>
      <w:jc w:val="both"/>
    </w:pPr>
    <w:rPr>
      <w:rFonts w:ascii="Calibri" w:hAnsi="Calibri" w:eastAsia="宋体" w:cs="Times New Roman"/>
      <w:kern w:val="2"/>
      <w:sz w:val="21"/>
      <w:szCs w:val="22"/>
      <w:lang w:val="en-US" w:eastAsia="zh-CN" w:bidi="ar-SA"/>
    </w:rPr>
  </w:style>
  <w:style w:type="paragraph" w:customStyle="1" w:styleId="69">
    <w:name w:val="正文_382"/>
    <w:qFormat/>
    <w:uiPriority w:val="0"/>
    <w:pPr>
      <w:widowControl w:val="0"/>
      <w:jc w:val="both"/>
    </w:pPr>
    <w:rPr>
      <w:rFonts w:ascii="Calibri" w:hAnsi="Calibri" w:eastAsia="宋体" w:cs="Times New Roman"/>
      <w:kern w:val="2"/>
      <w:sz w:val="21"/>
      <w:szCs w:val="22"/>
      <w:lang w:val="en-US" w:eastAsia="zh-CN" w:bidi="ar-SA"/>
    </w:rPr>
  </w:style>
  <w:style w:type="paragraph" w:customStyle="1" w:styleId="70">
    <w:name w:val="正文_577"/>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wmf"/><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65</Pages>
  <Words>17908</Words>
  <Characters>18984</Characters>
  <Lines>364</Lines>
  <Paragraphs>102</Paragraphs>
  <TotalTime>5</TotalTime>
  <ScaleCrop>false</ScaleCrop>
  <LinksUpToDate>false</LinksUpToDate>
  <CharactersWithSpaces>19842</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2023-04-24T07:23:00Z</dcterms:created>
  <dc:creator>第二陌</dc:creator>
  <cp:lastModifiedBy>Administrator</cp:lastModifiedBy>
  <cp:lastPrinted>2025-05-15T03:17:00Z</cp:lastPrinted>
  <dcterms:modified xsi:type="dcterms:W3CDTF">2025-05-28T02:37:48Z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62B3A9123AC54E11A87F47B0A99AE439_13</vt:lpwstr>
  </property>
  <property fmtid="{D5CDD505-2E9C-101B-9397-08002B2CF9AE}" pid="4" name="KSOTemplateDocerSaveRecord">
    <vt:lpwstr>eyJoZGlkIjoiZjRlNWExOTY5Njc5YzhhNWQ1ZGFkZDkzMDUxNWM2ZjYiLCJ1c2VySWQiOiIzMjAzMTk3NzgifQ==</vt:lpwstr>
  </property>
</Properties>
</file>