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center"/>
        <w:outlineLvl w:val="1"/>
      </w:pPr>
      <w:r>
        <w:rPr>
          <w:b/>
          <w:sz w:val="36"/>
        </w:rPr>
        <w:t>第三章 技术、服务及其他要求</w:t>
      </w:r>
    </w:p>
    <w:p>
      <w:pPr>
        <w:pStyle w:val="6"/>
        <w:ind w:firstLine="480"/>
        <w:jc w:val="left"/>
      </w:pPr>
      <w:r>
        <w:t>（注：本章的技术、服务及其他要求中，带“★”的要求为实质性要求。采购人、代理机构应当根据项目实际要求合理设定，并在第五章符合性审查中明确响应要求。）</w:t>
      </w:r>
    </w:p>
    <w:p>
      <w:pPr>
        <w:pStyle w:val="6"/>
        <w:jc w:val="left"/>
        <w:outlineLvl w:val="2"/>
      </w:pPr>
      <w:r>
        <w:rPr>
          <w:b/>
          <w:sz w:val="28"/>
        </w:rPr>
        <w:t>3.1.采购内容</w:t>
      </w:r>
    </w:p>
    <w:p>
      <w:pPr>
        <w:pStyle w:val="6"/>
        <w:jc w:val="left"/>
      </w:pPr>
      <w:r>
        <w:t>采购包1：</w:t>
      </w:r>
    </w:p>
    <w:p>
      <w:pPr>
        <w:pStyle w:val="6"/>
        <w:jc w:val="left"/>
      </w:pPr>
      <w:r>
        <w:t>采购包预算金额（元）: 383,000.00</w:t>
      </w:r>
    </w:p>
    <w:p>
      <w:pPr>
        <w:pStyle w:val="6"/>
        <w:jc w:val="left"/>
      </w:pPr>
      <w:r>
        <w:t>采购包最高限价（元）: 383,000.00</w:t>
      </w:r>
    </w:p>
    <w:tbl>
      <w:tblPr>
        <w:tblStyle w:val="4"/>
        <w:tblW w:w="5000"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54"/>
        <w:gridCol w:w="809"/>
        <w:gridCol w:w="809"/>
        <w:gridCol w:w="821"/>
        <w:gridCol w:w="1128"/>
        <w:gridCol w:w="809"/>
        <w:gridCol w:w="809"/>
        <w:gridCol w:w="809"/>
        <w:gridCol w:w="809"/>
        <w:gridCol w:w="632"/>
        <w:gridCol w:w="633"/>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66" w:type="pct"/>
          </w:tcPr>
          <w:p>
            <w:pPr>
              <w:pStyle w:val="6"/>
              <w:jc w:val="center"/>
            </w:pPr>
            <w:r>
              <w:t>序号</w:t>
            </w:r>
          </w:p>
        </w:tc>
        <w:tc>
          <w:tcPr>
            <w:tcW w:w="474" w:type="pct"/>
          </w:tcPr>
          <w:p>
            <w:pPr>
              <w:pStyle w:val="6"/>
              <w:jc w:val="center"/>
            </w:pPr>
            <w:r>
              <w:t>采购品目名称</w:t>
            </w:r>
          </w:p>
        </w:tc>
        <w:tc>
          <w:tcPr>
            <w:tcW w:w="474" w:type="pct"/>
          </w:tcPr>
          <w:p>
            <w:pPr>
              <w:pStyle w:val="6"/>
              <w:jc w:val="center"/>
            </w:pPr>
            <w:r>
              <w:t>标的名称</w:t>
            </w:r>
          </w:p>
        </w:tc>
        <w:tc>
          <w:tcPr>
            <w:tcW w:w="481" w:type="pct"/>
          </w:tcPr>
          <w:p>
            <w:pPr>
              <w:pStyle w:val="6"/>
              <w:jc w:val="center"/>
            </w:pPr>
            <w:r>
              <w:t>数量</w:t>
            </w:r>
            <w:r>
              <w:br w:type="textWrapping"/>
            </w:r>
            <w:r>
              <w:t>(计量单位)</w:t>
            </w:r>
          </w:p>
        </w:tc>
        <w:tc>
          <w:tcPr>
            <w:tcW w:w="661" w:type="pct"/>
          </w:tcPr>
          <w:p>
            <w:pPr>
              <w:pStyle w:val="6"/>
              <w:jc w:val="center"/>
            </w:pPr>
            <w:r>
              <w:t>标的金额 （元）</w:t>
            </w:r>
          </w:p>
        </w:tc>
        <w:tc>
          <w:tcPr>
            <w:tcW w:w="474" w:type="pct"/>
          </w:tcPr>
          <w:p>
            <w:pPr>
              <w:pStyle w:val="6"/>
              <w:jc w:val="center"/>
            </w:pPr>
            <w:r>
              <w:t>所属行业</w:t>
            </w:r>
          </w:p>
        </w:tc>
        <w:tc>
          <w:tcPr>
            <w:tcW w:w="474" w:type="pct"/>
          </w:tcPr>
          <w:p>
            <w:pPr>
              <w:pStyle w:val="6"/>
              <w:jc w:val="center"/>
            </w:pPr>
            <w:r>
              <w:t>是否涉及核心产品</w:t>
            </w:r>
          </w:p>
        </w:tc>
        <w:tc>
          <w:tcPr>
            <w:tcW w:w="474" w:type="pct"/>
          </w:tcPr>
          <w:p>
            <w:pPr>
              <w:pStyle w:val="6"/>
              <w:jc w:val="center"/>
            </w:pPr>
            <w:r>
              <w:t>是否涉及采购进口产品</w:t>
            </w:r>
          </w:p>
        </w:tc>
        <w:tc>
          <w:tcPr>
            <w:tcW w:w="474" w:type="pct"/>
          </w:tcPr>
          <w:p>
            <w:pPr>
              <w:pStyle w:val="6"/>
              <w:jc w:val="center"/>
            </w:pPr>
            <w:r>
              <w:t>是否涉及强制采购节能产品</w:t>
            </w:r>
          </w:p>
        </w:tc>
        <w:tc>
          <w:tcPr>
            <w:tcW w:w="370" w:type="pct"/>
          </w:tcPr>
          <w:p>
            <w:pPr>
              <w:pStyle w:val="6"/>
              <w:jc w:val="center"/>
            </w:pPr>
            <w:r>
              <w:t>是否涉及优先采购节能产品</w:t>
            </w:r>
          </w:p>
        </w:tc>
        <w:tc>
          <w:tcPr>
            <w:tcW w:w="370" w:type="pct"/>
          </w:tcPr>
          <w:p>
            <w:pPr>
              <w:pStyle w:val="6"/>
              <w:jc w:val="center"/>
            </w:pPr>
            <w:r>
              <w:t>是否涉及优先采购环境标志产品</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66" w:type="pct"/>
          </w:tcPr>
          <w:p>
            <w:pPr>
              <w:pStyle w:val="6"/>
              <w:jc w:val="left"/>
            </w:pPr>
            <w:r>
              <w:t>1</w:t>
            </w:r>
          </w:p>
        </w:tc>
        <w:tc>
          <w:tcPr>
            <w:tcW w:w="474" w:type="pct"/>
          </w:tcPr>
          <w:p>
            <w:pPr>
              <w:pStyle w:val="6"/>
              <w:jc w:val="left"/>
            </w:pPr>
            <w:r>
              <w:t>其他电信和信息传输服务</w:t>
            </w:r>
          </w:p>
        </w:tc>
        <w:tc>
          <w:tcPr>
            <w:tcW w:w="474" w:type="pct"/>
          </w:tcPr>
          <w:p>
            <w:pPr>
              <w:pStyle w:val="6"/>
              <w:jc w:val="left"/>
            </w:pPr>
            <w:r>
              <w:t>宽带</w:t>
            </w:r>
          </w:p>
        </w:tc>
        <w:tc>
          <w:tcPr>
            <w:tcW w:w="481" w:type="pct"/>
          </w:tcPr>
          <w:p>
            <w:pPr>
              <w:pStyle w:val="6"/>
              <w:jc w:val="right"/>
            </w:pPr>
            <w:r>
              <w:t>1.00（项）</w:t>
            </w:r>
          </w:p>
        </w:tc>
        <w:tc>
          <w:tcPr>
            <w:tcW w:w="661" w:type="pct"/>
          </w:tcPr>
          <w:p>
            <w:pPr>
              <w:pStyle w:val="6"/>
              <w:jc w:val="right"/>
            </w:pPr>
            <w:r>
              <w:t>383,000.00</w:t>
            </w:r>
          </w:p>
        </w:tc>
        <w:tc>
          <w:tcPr>
            <w:tcW w:w="474" w:type="pct"/>
          </w:tcPr>
          <w:p>
            <w:pPr>
              <w:pStyle w:val="6"/>
              <w:jc w:val="left"/>
            </w:pPr>
            <w:r>
              <w:t>信息传输业</w:t>
            </w:r>
          </w:p>
        </w:tc>
        <w:tc>
          <w:tcPr>
            <w:tcW w:w="474" w:type="pct"/>
          </w:tcPr>
          <w:p>
            <w:pPr>
              <w:pStyle w:val="6"/>
              <w:jc w:val="left"/>
            </w:pPr>
            <w:r>
              <w:t>否</w:t>
            </w:r>
          </w:p>
        </w:tc>
        <w:tc>
          <w:tcPr>
            <w:tcW w:w="474" w:type="pct"/>
          </w:tcPr>
          <w:p>
            <w:pPr>
              <w:pStyle w:val="6"/>
              <w:jc w:val="left"/>
            </w:pPr>
            <w:r>
              <w:t>否</w:t>
            </w:r>
          </w:p>
        </w:tc>
        <w:tc>
          <w:tcPr>
            <w:tcW w:w="474" w:type="pct"/>
          </w:tcPr>
          <w:p>
            <w:pPr>
              <w:pStyle w:val="6"/>
              <w:jc w:val="left"/>
            </w:pPr>
            <w:r>
              <w:t>否</w:t>
            </w:r>
          </w:p>
        </w:tc>
        <w:tc>
          <w:tcPr>
            <w:tcW w:w="370" w:type="pct"/>
          </w:tcPr>
          <w:p>
            <w:pPr>
              <w:pStyle w:val="6"/>
              <w:jc w:val="left"/>
            </w:pPr>
            <w:r>
              <w:t>否</w:t>
            </w:r>
          </w:p>
        </w:tc>
        <w:tc>
          <w:tcPr>
            <w:tcW w:w="370" w:type="pct"/>
          </w:tcPr>
          <w:p>
            <w:pPr>
              <w:pStyle w:val="6"/>
              <w:jc w:val="left"/>
            </w:pPr>
            <w:r>
              <w:t>否</w:t>
            </w:r>
          </w:p>
        </w:tc>
      </w:tr>
    </w:tbl>
    <w:p>
      <w:pPr>
        <w:pStyle w:val="6"/>
        <w:jc w:val="left"/>
        <w:outlineLvl w:val="3"/>
      </w:pPr>
      <w:r>
        <w:rPr>
          <w:b/>
          <w:sz w:val="24"/>
        </w:rPr>
        <w:t>报价要求</w:t>
      </w:r>
    </w:p>
    <w:p>
      <w:pPr>
        <w:pStyle w:val="6"/>
        <w:jc w:val="left"/>
      </w:pPr>
      <w:r>
        <w:t>采购包1：</w:t>
      </w:r>
    </w:p>
    <w:tbl>
      <w:tblPr>
        <w:tblStyle w:val="4"/>
        <w:tblW w:w="4998"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00"/>
        <w:gridCol w:w="1503"/>
        <w:gridCol w:w="1002"/>
        <w:gridCol w:w="1203"/>
        <w:gridCol w:w="1203"/>
        <w:gridCol w:w="1003"/>
        <w:gridCol w:w="1705"/>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28" w:type="pct"/>
          </w:tcPr>
          <w:p>
            <w:pPr>
              <w:pStyle w:val="6"/>
              <w:jc w:val="center"/>
            </w:pPr>
            <w:r>
              <w:t>序号</w:t>
            </w:r>
          </w:p>
        </w:tc>
        <w:tc>
          <w:tcPr>
            <w:tcW w:w="882" w:type="pct"/>
          </w:tcPr>
          <w:p>
            <w:pPr>
              <w:pStyle w:val="6"/>
              <w:jc w:val="center"/>
            </w:pPr>
            <w:r>
              <w:t>报价内容</w:t>
            </w:r>
          </w:p>
        </w:tc>
        <w:tc>
          <w:tcPr>
            <w:tcW w:w="588" w:type="pct"/>
          </w:tcPr>
          <w:p>
            <w:pPr>
              <w:pStyle w:val="6"/>
              <w:jc w:val="center"/>
            </w:pPr>
            <w:r>
              <w:t>数量</w:t>
            </w:r>
          </w:p>
        </w:tc>
        <w:tc>
          <w:tcPr>
            <w:tcW w:w="706" w:type="pct"/>
          </w:tcPr>
          <w:p>
            <w:pPr>
              <w:pStyle w:val="6"/>
              <w:jc w:val="center"/>
            </w:pPr>
            <w:r>
              <w:t>单价</w:t>
            </w:r>
          </w:p>
        </w:tc>
        <w:tc>
          <w:tcPr>
            <w:tcW w:w="706" w:type="pct"/>
          </w:tcPr>
          <w:p>
            <w:pPr>
              <w:pStyle w:val="6"/>
              <w:jc w:val="center"/>
            </w:pPr>
            <w:r>
              <w:t>最高限价</w:t>
            </w:r>
          </w:p>
        </w:tc>
        <w:tc>
          <w:tcPr>
            <w:tcW w:w="588" w:type="pct"/>
          </w:tcPr>
          <w:p>
            <w:pPr>
              <w:pStyle w:val="6"/>
              <w:jc w:val="center"/>
            </w:pPr>
            <w:r>
              <w:t>价款形式</w:t>
            </w:r>
          </w:p>
        </w:tc>
        <w:tc>
          <w:tcPr>
            <w:tcW w:w="1000" w:type="pct"/>
          </w:tcPr>
          <w:p>
            <w:pPr>
              <w:pStyle w:val="6"/>
              <w:jc w:val="center"/>
            </w:pPr>
            <w:r>
              <w:t>报价说明</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28" w:type="pct"/>
          </w:tcPr>
          <w:p>
            <w:pPr>
              <w:pStyle w:val="6"/>
              <w:jc w:val="left"/>
            </w:pPr>
            <w:r>
              <w:t>1</w:t>
            </w:r>
          </w:p>
        </w:tc>
        <w:tc>
          <w:tcPr>
            <w:tcW w:w="882" w:type="pct"/>
          </w:tcPr>
          <w:p>
            <w:pPr>
              <w:pStyle w:val="6"/>
              <w:jc w:val="left"/>
            </w:pPr>
            <w:r>
              <w:t>四级网专线网络服务</w:t>
            </w:r>
          </w:p>
        </w:tc>
        <w:tc>
          <w:tcPr>
            <w:tcW w:w="588" w:type="pct"/>
          </w:tcPr>
          <w:p>
            <w:pPr>
              <w:pStyle w:val="6"/>
              <w:jc w:val="right"/>
            </w:pPr>
            <w:r>
              <w:t>1.00（项）</w:t>
            </w:r>
          </w:p>
        </w:tc>
        <w:tc>
          <w:tcPr>
            <w:tcW w:w="706" w:type="pct"/>
          </w:tcPr>
          <w:p>
            <w:pPr>
              <w:pStyle w:val="6"/>
              <w:jc w:val="right"/>
            </w:pPr>
            <w:r>
              <w:t>383,000（元）</w:t>
            </w:r>
          </w:p>
        </w:tc>
        <w:tc>
          <w:tcPr>
            <w:tcW w:w="706" w:type="pct"/>
          </w:tcPr>
          <w:p>
            <w:pPr>
              <w:pStyle w:val="6"/>
              <w:jc w:val="right"/>
            </w:pPr>
            <w:r>
              <w:t>383,000.00</w:t>
            </w:r>
          </w:p>
        </w:tc>
        <w:tc>
          <w:tcPr>
            <w:tcW w:w="588" w:type="pct"/>
          </w:tcPr>
          <w:p>
            <w:pPr>
              <w:pStyle w:val="6"/>
              <w:jc w:val="left"/>
            </w:pPr>
            <w:r>
              <w:t>总价</w:t>
            </w:r>
          </w:p>
        </w:tc>
        <w:tc>
          <w:tcPr>
            <w:tcW w:w="1000" w:type="pct"/>
          </w:tcPr>
          <w:p>
            <w:pPr>
              <w:pStyle w:val="6"/>
              <w:jc w:val="left"/>
            </w:pPr>
            <w:r>
              <w:t>无</w:t>
            </w:r>
          </w:p>
        </w:tc>
      </w:tr>
    </w:tbl>
    <w:p>
      <w:pPr>
        <w:pStyle w:val="6"/>
        <w:ind w:firstLine="480"/>
        <w:jc w:val="left"/>
      </w:pPr>
      <w:r>
        <w:t>★注：本采购包涉及采购货物的，供应商响应产品应当明确品牌和规格型号并指向唯一产品，不能指向唯一产品的，应通过报价表唯一产品说明栏补充说明。</w:t>
      </w:r>
    </w:p>
    <w:p>
      <w:pPr>
        <w:pStyle w:val="6"/>
        <w:jc w:val="left"/>
        <w:outlineLvl w:val="3"/>
      </w:pPr>
      <w:r>
        <w:rPr>
          <w:b/>
          <w:sz w:val="24"/>
        </w:rPr>
        <w:t>本项目涉及核心产品：</w:t>
      </w:r>
    </w:p>
    <w:p>
      <w:pPr>
        <w:pStyle w:val="6"/>
        <w:jc w:val="left"/>
      </w:pPr>
      <w:r>
        <w:t>采购包1：</w:t>
      </w:r>
    </w:p>
    <w:tbl>
      <w:tblPr>
        <w:tblStyle w:val="4"/>
        <w:tblW w:w="4998"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51"/>
        <w:gridCol w:w="2556"/>
        <w:gridCol w:w="2556"/>
        <w:gridCol w:w="255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0" w:type="pct"/>
          </w:tcPr>
          <w:p>
            <w:pPr>
              <w:pStyle w:val="6"/>
              <w:jc w:val="center"/>
            </w:pPr>
            <w:r>
              <w:t>序号</w:t>
            </w:r>
          </w:p>
        </w:tc>
        <w:tc>
          <w:tcPr>
            <w:tcW w:w="1500" w:type="pct"/>
          </w:tcPr>
          <w:p>
            <w:pPr>
              <w:pStyle w:val="6"/>
              <w:jc w:val="center"/>
            </w:pPr>
            <w:r>
              <w:t>采购品目名称</w:t>
            </w:r>
          </w:p>
        </w:tc>
        <w:tc>
          <w:tcPr>
            <w:tcW w:w="1500" w:type="pct"/>
          </w:tcPr>
          <w:p>
            <w:pPr>
              <w:pStyle w:val="6"/>
              <w:jc w:val="center"/>
            </w:pPr>
            <w:r>
              <w:t>标的名称</w:t>
            </w:r>
          </w:p>
        </w:tc>
        <w:tc>
          <w:tcPr>
            <w:tcW w:w="1500" w:type="pct"/>
          </w:tcPr>
          <w:p>
            <w:pPr>
              <w:pStyle w:val="6"/>
              <w:jc w:val="center"/>
            </w:pPr>
            <w: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00" w:type="pct"/>
            <w:gridSpan w:val="4"/>
          </w:tcPr>
          <w:p>
            <w:pPr>
              <w:pStyle w:val="6"/>
              <w:jc w:val="center"/>
            </w:pPr>
            <w:r>
              <w:t>不涉及</w:t>
            </w:r>
          </w:p>
        </w:tc>
      </w:tr>
    </w:tbl>
    <w:p>
      <w:pPr>
        <w:pStyle w:val="6"/>
        <w:ind w:firstLine="480"/>
        <w:jc w:val="left"/>
      </w:pPr>
      <w:r>
        <w:t>注：涉及核心产品的，具体评审规定见第五章。</w:t>
      </w:r>
    </w:p>
    <w:p>
      <w:pPr>
        <w:pStyle w:val="6"/>
        <w:jc w:val="left"/>
        <w:outlineLvl w:val="3"/>
      </w:pPr>
      <w:r>
        <w:rPr>
          <w:b/>
          <w:sz w:val="24"/>
        </w:rPr>
        <w:t>本项目涉及采购进口产品：</w:t>
      </w:r>
    </w:p>
    <w:p>
      <w:pPr>
        <w:pStyle w:val="6"/>
        <w:jc w:val="left"/>
      </w:pPr>
      <w:r>
        <w:t>采购包1：</w:t>
      </w:r>
    </w:p>
    <w:tbl>
      <w:tblPr>
        <w:tblStyle w:val="4"/>
        <w:tblW w:w="4998"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51"/>
        <w:gridCol w:w="2556"/>
        <w:gridCol w:w="2556"/>
        <w:gridCol w:w="255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0" w:type="pct"/>
          </w:tcPr>
          <w:p>
            <w:pPr>
              <w:pStyle w:val="6"/>
              <w:jc w:val="center"/>
            </w:pPr>
            <w:r>
              <w:t>序号</w:t>
            </w:r>
          </w:p>
        </w:tc>
        <w:tc>
          <w:tcPr>
            <w:tcW w:w="1500" w:type="pct"/>
          </w:tcPr>
          <w:p>
            <w:pPr>
              <w:pStyle w:val="6"/>
              <w:jc w:val="center"/>
            </w:pPr>
            <w:r>
              <w:t>采购品目名称</w:t>
            </w:r>
          </w:p>
        </w:tc>
        <w:tc>
          <w:tcPr>
            <w:tcW w:w="1500" w:type="pct"/>
          </w:tcPr>
          <w:p>
            <w:pPr>
              <w:pStyle w:val="6"/>
              <w:jc w:val="center"/>
            </w:pPr>
            <w:r>
              <w:t>标的名称</w:t>
            </w:r>
          </w:p>
        </w:tc>
        <w:tc>
          <w:tcPr>
            <w:tcW w:w="1500" w:type="pct"/>
          </w:tcPr>
          <w:p>
            <w:pPr>
              <w:pStyle w:val="6"/>
              <w:jc w:val="center"/>
            </w:pPr>
            <w: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00" w:type="pct"/>
            <w:gridSpan w:val="4"/>
          </w:tcPr>
          <w:p>
            <w:pPr>
              <w:pStyle w:val="6"/>
              <w:jc w:val="center"/>
            </w:pPr>
            <w:r>
              <w:t>不涉及</w:t>
            </w:r>
          </w:p>
        </w:tc>
      </w:tr>
    </w:tbl>
    <w:p>
      <w:pPr>
        <w:pStyle w:val="6"/>
        <w:ind w:firstLine="480"/>
        <w:jc w:val="left"/>
      </w:pPr>
      <w:r>
        <w:t>★注：不涉及采购进口产品时，供应商不得提供进口产品进行响应；涉及采购进口产品时，如国产产品满足采购需求，也可提供国产产品进行响应。</w:t>
      </w:r>
    </w:p>
    <w:p>
      <w:pPr>
        <w:pStyle w:val="6"/>
        <w:jc w:val="left"/>
        <w:outlineLvl w:val="3"/>
      </w:pPr>
      <w:r>
        <w:rPr>
          <w:b/>
          <w:sz w:val="24"/>
        </w:rPr>
        <w:t>本项目涉及强制采购节能产品：</w:t>
      </w:r>
    </w:p>
    <w:p>
      <w:pPr>
        <w:pStyle w:val="6"/>
        <w:jc w:val="left"/>
      </w:pPr>
      <w:r>
        <w:t>采购包1：</w:t>
      </w:r>
    </w:p>
    <w:tbl>
      <w:tblPr>
        <w:tblStyle w:val="4"/>
        <w:tblW w:w="4998"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51"/>
        <w:gridCol w:w="2556"/>
        <w:gridCol w:w="2556"/>
        <w:gridCol w:w="255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0" w:type="pct"/>
          </w:tcPr>
          <w:p>
            <w:pPr>
              <w:pStyle w:val="6"/>
              <w:jc w:val="center"/>
            </w:pPr>
            <w:r>
              <w:t>序号</w:t>
            </w:r>
          </w:p>
        </w:tc>
        <w:tc>
          <w:tcPr>
            <w:tcW w:w="1500" w:type="pct"/>
          </w:tcPr>
          <w:p>
            <w:pPr>
              <w:pStyle w:val="6"/>
              <w:jc w:val="center"/>
            </w:pPr>
            <w:r>
              <w:t>采购品目名称</w:t>
            </w:r>
          </w:p>
        </w:tc>
        <w:tc>
          <w:tcPr>
            <w:tcW w:w="1500" w:type="pct"/>
          </w:tcPr>
          <w:p>
            <w:pPr>
              <w:pStyle w:val="6"/>
              <w:jc w:val="center"/>
            </w:pPr>
            <w:r>
              <w:t>标的名称</w:t>
            </w:r>
          </w:p>
        </w:tc>
        <w:tc>
          <w:tcPr>
            <w:tcW w:w="1500" w:type="pct"/>
          </w:tcPr>
          <w:p>
            <w:pPr>
              <w:pStyle w:val="6"/>
              <w:jc w:val="center"/>
            </w:pPr>
            <w: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00" w:type="pct"/>
            <w:gridSpan w:val="4"/>
          </w:tcPr>
          <w:p>
            <w:pPr>
              <w:pStyle w:val="6"/>
              <w:jc w:val="center"/>
            </w:pPr>
            <w:r>
              <w:t>不涉及</w:t>
            </w:r>
          </w:p>
        </w:tc>
      </w:tr>
    </w:tbl>
    <w:p>
      <w:pPr>
        <w:pStyle w:val="6"/>
        <w:ind w:firstLine="480"/>
        <w:jc w:val="left"/>
      </w:pPr>
      <w: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pPr>
        <w:pStyle w:val="6"/>
        <w:jc w:val="left"/>
      </w:pPr>
      <w:r>
        <w:rPr>
          <w:b/>
        </w:rPr>
        <w:t>本项目涉及优先采购节能产品：</w:t>
      </w:r>
    </w:p>
    <w:p>
      <w:pPr>
        <w:pStyle w:val="6"/>
        <w:jc w:val="left"/>
      </w:pPr>
      <w: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6"/>
              <w:jc w:val="center"/>
            </w:pPr>
            <w:r>
              <w:t>序号</w:t>
            </w:r>
          </w:p>
        </w:tc>
        <w:tc>
          <w:tcPr>
            <w:tcW w:w="2492" w:type="dxa"/>
          </w:tcPr>
          <w:p>
            <w:pPr>
              <w:pStyle w:val="6"/>
              <w:jc w:val="center"/>
            </w:pPr>
            <w:r>
              <w:t>采购品目名称</w:t>
            </w:r>
          </w:p>
        </w:tc>
        <w:tc>
          <w:tcPr>
            <w:tcW w:w="2492" w:type="dxa"/>
          </w:tcPr>
          <w:p>
            <w:pPr>
              <w:pStyle w:val="6"/>
              <w:jc w:val="center"/>
            </w:pPr>
            <w:r>
              <w:t>标的名称</w:t>
            </w:r>
          </w:p>
        </w:tc>
        <w:tc>
          <w:tcPr>
            <w:tcW w:w="2492" w:type="dxa"/>
          </w:tcPr>
          <w:p>
            <w:pPr>
              <w:pStyle w:val="6"/>
              <w:jc w:val="center"/>
            </w:pPr>
            <w: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pPr>
              <w:pStyle w:val="6"/>
              <w:jc w:val="center"/>
            </w:pPr>
            <w:r>
              <w:t>不涉及</w:t>
            </w:r>
          </w:p>
        </w:tc>
      </w:tr>
    </w:tbl>
    <w:p>
      <w:pPr>
        <w:pStyle w:val="6"/>
        <w:ind w:firstLine="480"/>
        <w:jc w:val="left"/>
      </w:pPr>
      <w: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pPr>
        <w:pStyle w:val="6"/>
        <w:jc w:val="left"/>
        <w:outlineLvl w:val="3"/>
      </w:pPr>
      <w:r>
        <w:rPr>
          <w:b/>
          <w:sz w:val="24"/>
        </w:rPr>
        <w:t>本项目涉及优先采购环境标志产品：</w:t>
      </w:r>
    </w:p>
    <w:p>
      <w:pPr>
        <w:pStyle w:val="6"/>
        <w:jc w:val="left"/>
      </w:pPr>
      <w: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6"/>
              <w:jc w:val="center"/>
            </w:pPr>
            <w:r>
              <w:t>序号</w:t>
            </w:r>
          </w:p>
        </w:tc>
        <w:tc>
          <w:tcPr>
            <w:tcW w:w="2492" w:type="dxa"/>
          </w:tcPr>
          <w:p>
            <w:pPr>
              <w:pStyle w:val="6"/>
              <w:jc w:val="center"/>
            </w:pPr>
            <w:r>
              <w:t>采购品目名称</w:t>
            </w:r>
          </w:p>
        </w:tc>
        <w:tc>
          <w:tcPr>
            <w:tcW w:w="2492" w:type="dxa"/>
          </w:tcPr>
          <w:p>
            <w:pPr>
              <w:pStyle w:val="6"/>
              <w:jc w:val="center"/>
            </w:pPr>
            <w:r>
              <w:t>标的名称</w:t>
            </w:r>
          </w:p>
        </w:tc>
        <w:tc>
          <w:tcPr>
            <w:tcW w:w="2492" w:type="dxa"/>
          </w:tcPr>
          <w:p>
            <w:pPr>
              <w:pStyle w:val="6"/>
              <w:jc w:val="center"/>
            </w:pPr>
            <w: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pPr>
              <w:pStyle w:val="6"/>
              <w:jc w:val="center"/>
            </w:pPr>
            <w:r>
              <w:t>不涉及</w:t>
            </w:r>
          </w:p>
        </w:tc>
      </w:tr>
    </w:tbl>
    <w:p>
      <w:pPr>
        <w:pStyle w:val="6"/>
        <w:ind w:firstLine="480"/>
        <w:jc w:val="left"/>
      </w:pPr>
      <w: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pPr>
        <w:pStyle w:val="6"/>
        <w:jc w:val="left"/>
        <w:outlineLvl w:val="2"/>
      </w:pPr>
      <w:r>
        <w:rPr>
          <w:b/>
          <w:sz w:val="28"/>
        </w:rPr>
        <w:t>3.2.技术要求</w:t>
      </w:r>
    </w:p>
    <w:p>
      <w:pPr>
        <w:pStyle w:val="6"/>
        <w:jc w:val="left"/>
      </w:pPr>
      <w:r>
        <w:t>采购包1：</w:t>
      </w:r>
    </w:p>
    <w:p>
      <w:pPr>
        <w:pStyle w:val="6"/>
        <w:jc w:val="left"/>
      </w:pPr>
      <w:r>
        <w:t>标的名称：宽带</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74"/>
        <w:gridCol w:w="591"/>
        <w:gridCol w:w="7457"/>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0" w:type="auto"/>
          </w:tcPr>
          <w:p>
            <w:pPr>
              <w:pStyle w:val="6"/>
              <w:jc w:val="left"/>
            </w:pPr>
            <w:r>
              <w:t>序号</w:t>
            </w:r>
          </w:p>
        </w:tc>
        <w:tc>
          <w:tcPr>
            <w:tcW w:w="0" w:type="auto"/>
          </w:tcPr>
          <w:p>
            <w:pPr>
              <w:pStyle w:val="6"/>
              <w:jc w:val="left"/>
            </w:pPr>
            <w:r>
              <w:t>符号标识</w:t>
            </w:r>
          </w:p>
        </w:tc>
        <w:tc>
          <w:tcPr>
            <w:tcW w:w="0" w:type="auto"/>
          </w:tcPr>
          <w:p>
            <w:pPr>
              <w:pStyle w:val="6"/>
              <w:jc w:val="left"/>
            </w:pPr>
            <w: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0" w:type="auto"/>
          </w:tcPr>
          <w:p>
            <w:pPr>
              <w:pStyle w:val="6"/>
              <w:jc w:val="left"/>
            </w:pPr>
            <w:r>
              <w:t>1</w:t>
            </w:r>
          </w:p>
        </w:tc>
        <w:tc>
          <w:tcPr>
            <w:tcW w:w="0" w:type="auto"/>
          </w:tcPr>
          <w:p>
            <w:pPr>
              <w:pStyle w:val="6"/>
              <w:jc w:val="left"/>
            </w:pPr>
            <w:r>
              <w:t>★</w:t>
            </w:r>
          </w:p>
        </w:tc>
        <w:tc>
          <w:tcPr>
            <w:tcW w:w="0" w:type="auto"/>
          </w:tcPr>
          <w:p>
            <w:pPr>
              <w:pStyle w:val="6"/>
              <w:jc w:val="both"/>
            </w:pPr>
            <w:r>
              <w:rPr>
                <w:rFonts w:ascii="宋体" w:hAnsi="宋体" w:eastAsia="宋体" w:cs="宋体"/>
                <w:b/>
                <w:sz w:val="24"/>
              </w:rPr>
              <w:t>（一）链路数量清单</w:t>
            </w:r>
          </w:p>
          <w:tbl>
            <w:tblPr>
              <w:tblStyle w:val="4"/>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50"/>
              <w:gridCol w:w="1810"/>
              <w:gridCol w:w="2465"/>
              <w:gridCol w:w="1310"/>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序号</w:t>
                  </w:r>
                </w:p>
              </w:tc>
              <w:tc>
                <w:tcPr>
                  <w:tcW w:w="0" w:type="auto"/>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0"/>
                    </w:rPr>
                    <w:t>点位</w:t>
                  </w:r>
                </w:p>
              </w:tc>
              <w:tc>
                <w:tcPr>
                  <w:tcW w:w="0" w:type="auto"/>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带宽要求(M)</w:t>
                  </w:r>
                </w:p>
              </w:tc>
              <w:tc>
                <w:tcPr>
                  <w:tcW w:w="0" w:type="auto"/>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数量（条）</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0"/>
                    </w:rPr>
                    <w:t>北川县公安局</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提供上下行≥1000带宽</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2</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0"/>
                    </w:rPr>
                    <w:t>交警大队</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提供上下行≥1000带宽</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3</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0"/>
                    </w:rPr>
                    <w:t>出入境大队</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提供上下行≥500带宽</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4</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0"/>
                    </w:rPr>
                    <w:t>看守所</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提供上下行≥500带宽</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5</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0"/>
                    </w:rPr>
                    <w:t>永昌派出所</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提供上下行≥500带宽</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6</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0"/>
                    </w:rPr>
                    <w:t>安昌派出所</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提供上下行≥500带宽</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7</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0"/>
                    </w:rPr>
                    <w:t>巡特警大队</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提供上下行≥300带宽</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8</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0"/>
                    </w:rPr>
                    <w:t>拘留所</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提供上下行≥300带宽</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9</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0"/>
                    </w:rPr>
                    <w:t>永安派出所</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提供上下行≥300带宽</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10</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0"/>
                    </w:rPr>
                    <w:t>香泉派出所</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提供上下行≥300带宽</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11</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0"/>
                    </w:rPr>
                    <w:t>擂鼓派出所</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提供上下行≥300带宽</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12</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0"/>
                    </w:rPr>
                    <w:t>曲山派出所</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提供上下行≥300带宽</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13</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0"/>
                    </w:rPr>
                    <w:t>禹里派出所</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提供上下行≥300带宽</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14</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0"/>
                    </w:rPr>
                    <w:t>坝底派出所</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提供上下行≥300带宽</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15</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0"/>
                    </w:rPr>
                    <w:t>小坝派出所</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提供上下行≥300带宽</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16</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0"/>
                    </w:rPr>
                    <w:t>桂溪派出所</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提供上下行≥300带宽</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17</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0"/>
                    </w:rPr>
                    <w:t>陈家坝派出所</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提供上下行≥300带宽</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18</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0"/>
                    </w:rPr>
                    <w:t>永安涉案财物中心</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提供上下行≥300带宽</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6"/>
                    <w:jc w:val="center"/>
                  </w:pPr>
                  <w:r>
                    <w:rPr>
                      <w:rFonts w:ascii="宋体" w:hAnsi="宋体" w:eastAsia="宋体" w:cs="宋体"/>
                      <w:color w:val="000000"/>
                      <w:sz w:val="22"/>
                    </w:rPr>
                    <w:t>19</w:t>
                  </w:r>
                </w:p>
              </w:tc>
              <w:tc>
                <w:tcPr>
                  <w:tcW w:w="0" w:type="auto"/>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6"/>
                    <w:jc w:val="center"/>
                  </w:pPr>
                  <w:r>
                    <w:rPr>
                      <w:rFonts w:ascii="宋体" w:hAnsi="宋体" w:eastAsia="宋体" w:cs="宋体"/>
                      <w:color w:val="000000"/>
                      <w:sz w:val="20"/>
                    </w:rPr>
                    <w:t>墩上检查站</w:t>
                  </w:r>
                </w:p>
              </w:tc>
              <w:tc>
                <w:tcPr>
                  <w:tcW w:w="0" w:type="auto"/>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6"/>
                    <w:jc w:val="center"/>
                  </w:pPr>
                  <w:r>
                    <w:rPr>
                      <w:rFonts w:ascii="宋体" w:hAnsi="宋体" w:eastAsia="宋体" w:cs="宋体"/>
                      <w:color w:val="000000"/>
                      <w:sz w:val="22"/>
                    </w:rPr>
                    <w:t>提供上下行≥200带宽</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6"/>
                    <w:jc w:val="center"/>
                  </w:pPr>
                  <w:r>
                    <w:rPr>
                      <w:rFonts w:ascii="宋体" w:hAnsi="宋体" w:eastAsia="宋体" w:cs="宋体"/>
                      <w:color w:val="000000"/>
                      <w:sz w:val="22"/>
                    </w:rPr>
                    <w:t>20</w:t>
                  </w:r>
                </w:p>
              </w:tc>
              <w:tc>
                <w:tcPr>
                  <w:tcW w:w="0" w:type="auto"/>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6"/>
                    <w:jc w:val="center"/>
                  </w:pPr>
                  <w:r>
                    <w:rPr>
                      <w:rFonts w:ascii="宋体" w:hAnsi="宋体" w:eastAsia="宋体" w:cs="宋体"/>
                      <w:color w:val="000000"/>
                      <w:sz w:val="20"/>
                    </w:rPr>
                    <w:t>禹龙警务室</w:t>
                  </w:r>
                </w:p>
              </w:tc>
              <w:tc>
                <w:tcPr>
                  <w:tcW w:w="0" w:type="auto"/>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6"/>
                    <w:jc w:val="center"/>
                  </w:pPr>
                  <w:r>
                    <w:rPr>
                      <w:rFonts w:ascii="宋体" w:hAnsi="宋体" w:eastAsia="宋体" w:cs="宋体"/>
                      <w:color w:val="000000"/>
                      <w:sz w:val="22"/>
                    </w:rPr>
                    <w:t>提供上下行≥200带宽</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6"/>
                    <w:jc w:val="center"/>
                  </w:pPr>
                  <w:r>
                    <w:rPr>
                      <w:rFonts w:ascii="宋体" w:hAnsi="宋体" w:eastAsia="宋体" w:cs="宋体"/>
                      <w:color w:val="000000"/>
                      <w:sz w:val="22"/>
                    </w:rPr>
                    <w:t>21</w:t>
                  </w:r>
                </w:p>
              </w:tc>
              <w:tc>
                <w:tcPr>
                  <w:tcW w:w="0" w:type="auto"/>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6"/>
                    <w:jc w:val="center"/>
                  </w:pPr>
                  <w:r>
                    <w:rPr>
                      <w:rFonts w:ascii="宋体" w:hAnsi="宋体" w:eastAsia="宋体" w:cs="宋体"/>
                      <w:color w:val="000000"/>
                      <w:sz w:val="20"/>
                    </w:rPr>
                    <w:t>尔玛警务室</w:t>
                  </w:r>
                </w:p>
              </w:tc>
              <w:tc>
                <w:tcPr>
                  <w:tcW w:w="0" w:type="auto"/>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6"/>
                    <w:jc w:val="center"/>
                  </w:pPr>
                  <w:r>
                    <w:rPr>
                      <w:rFonts w:ascii="宋体" w:hAnsi="宋体" w:eastAsia="宋体" w:cs="宋体"/>
                      <w:color w:val="000000"/>
                      <w:sz w:val="22"/>
                    </w:rPr>
                    <w:t>提供上下行≥200带宽</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6"/>
                    <w:jc w:val="center"/>
                  </w:pPr>
                  <w:r>
                    <w:rPr>
                      <w:rFonts w:ascii="宋体" w:hAnsi="宋体" w:eastAsia="宋体" w:cs="宋体"/>
                      <w:color w:val="000000"/>
                      <w:sz w:val="22"/>
                    </w:rPr>
                    <w:t>22</w:t>
                  </w:r>
                </w:p>
              </w:tc>
              <w:tc>
                <w:tcPr>
                  <w:tcW w:w="0" w:type="auto"/>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6"/>
                    <w:jc w:val="center"/>
                  </w:pPr>
                  <w:r>
                    <w:rPr>
                      <w:rFonts w:ascii="宋体" w:hAnsi="宋体" w:eastAsia="宋体" w:cs="宋体"/>
                      <w:color w:val="000000"/>
                      <w:sz w:val="20"/>
                    </w:rPr>
                    <w:t>新川警务室</w:t>
                  </w:r>
                </w:p>
              </w:tc>
              <w:tc>
                <w:tcPr>
                  <w:tcW w:w="0" w:type="auto"/>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6"/>
                    <w:jc w:val="center"/>
                  </w:pPr>
                  <w:r>
                    <w:rPr>
                      <w:rFonts w:ascii="宋体" w:hAnsi="宋体" w:eastAsia="宋体" w:cs="宋体"/>
                      <w:color w:val="000000"/>
                      <w:sz w:val="22"/>
                    </w:rPr>
                    <w:t>提供上下行≥100带宽</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6"/>
                    <w:jc w:val="center"/>
                  </w:pPr>
                  <w:r>
                    <w:rPr>
                      <w:rFonts w:ascii="宋体" w:hAnsi="宋体" w:eastAsia="宋体" w:cs="宋体"/>
                      <w:color w:val="000000"/>
                      <w:sz w:val="22"/>
                    </w:rPr>
                    <w:t>23</w:t>
                  </w:r>
                </w:p>
              </w:tc>
              <w:tc>
                <w:tcPr>
                  <w:tcW w:w="0" w:type="auto"/>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6"/>
                    <w:jc w:val="center"/>
                  </w:pPr>
                  <w:r>
                    <w:rPr>
                      <w:rFonts w:ascii="宋体" w:hAnsi="宋体" w:eastAsia="宋体" w:cs="宋体"/>
                      <w:color w:val="000000"/>
                      <w:sz w:val="20"/>
                    </w:rPr>
                    <w:t>沐曦警务室</w:t>
                  </w:r>
                </w:p>
              </w:tc>
              <w:tc>
                <w:tcPr>
                  <w:tcW w:w="0" w:type="auto"/>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6"/>
                    <w:jc w:val="center"/>
                  </w:pPr>
                  <w:r>
                    <w:rPr>
                      <w:rFonts w:ascii="宋体" w:hAnsi="宋体" w:eastAsia="宋体" w:cs="宋体"/>
                      <w:color w:val="000000"/>
                      <w:sz w:val="22"/>
                    </w:rPr>
                    <w:t>提供上下行≥100带宽</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6"/>
                    <w:jc w:val="center"/>
                  </w:pPr>
                  <w:r>
                    <w:rPr>
                      <w:rFonts w:ascii="宋体" w:hAnsi="宋体" w:eastAsia="宋体" w:cs="宋体"/>
                      <w:color w:val="000000"/>
                      <w:sz w:val="22"/>
                    </w:rPr>
                    <w:t>24</w:t>
                  </w:r>
                </w:p>
              </w:tc>
              <w:tc>
                <w:tcPr>
                  <w:tcW w:w="0" w:type="auto"/>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6"/>
                    <w:jc w:val="center"/>
                  </w:pPr>
                  <w:r>
                    <w:rPr>
                      <w:rFonts w:ascii="宋体" w:hAnsi="宋体" w:eastAsia="宋体" w:cs="宋体"/>
                      <w:color w:val="000000"/>
                      <w:sz w:val="20"/>
                    </w:rPr>
                    <w:t>金霞警务室</w:t>
                  </w:r>
                </w:p>
              </w:tc>
              <w:tc>
                <w:tcPr>
                  <w:tcW w:w="0" w:type="auto"/>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6"/>
                    <w:jc w:val="center"/>
                  </w:pPr>
                  <w:r>
                    <w:rPr>
                      <w:rFonts w:ascii="宋体" w:hAnsi="宋体" w:eastAsia="宋体" w:cs="宋体"/>
                      <w:color w:val="000000"/>
                      <w:sz w:val="22"/>
                    </w:rPr>
                    <w:t>提供上下行≥200带宽</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6"/>
                    <w:jc w:val="center"/>
                  </w:pPr>
                  <w:r>
                    <w:rPr>
                      <w:rFonts w:ascii="宋体" w:hAnsi="宋体" w:eastAsia="宋体" w:cs="宋体"/>
                      <w:color w:val="000000"/>
                      <w:sz w:val="22"/>
                    </w:rPr>
                    <w:t>25</w:t>
                  </w:r>
                </w:p>
              </w:tc>
              <w:tc>
                <w:tcPr>
                  <w:tcW w:w="0" w:type="auto"/>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6"/>
                    <w:jc w:val="center"/>
                  </w:pPr>
                  <w:r>
                    <w:rPr>
                      <w:rFonts w:ascii="宋体" w:hAnsi="宋体" w:eastAsia="宋体" w:cs="宋体"/>
                      <w:color w:val="000000"/>
                      <w:sz w:val="20"/>
                    </w:rPr>
                    <w:t>圣灯警务室</w:t>
                  </w:r>
                </w:p>
              </w:tc>
              <w:tc>
                <w:tcPr>
                  <w:tcW w:w="0" w:type="auto"/>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6"/>
                    <w:jc w:val="center"/>
                  </w:pPr>
                  <w:r>
                    <w:rPr>
                      <w:rFonts w:ascii="宋体" w:hAnsi="宋体" w:eastAsia="宋体" w:cs="宋体"/>
                      <w:color w:val="000000"/>
                      <w:sz w:val="22"/>
                    </w:rPr>
                    <w:t>提供上下行≥100带宽</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6"/>
                    <w:jc w:val="center"/>
                  </w:pPr>
                  <w:r>
                    <w:rPr>
                      <w:rFonts w:ascii="宋体" w:hAnsi="宋体" w:eastAsia="宋体" w:cs="宋体"/>
                      <w:color w:val="000000"/>
                      <w:sz w:val="22"/>
                    </w:rPr>
                    <w:t>26</w:t>
                  </w:r>
                </w:p>
              </w:tc>
              <w:tc>
                <w:tcPr>
                  <w:tcW w:w="0" w:type="auto"/>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6"/>
                    <w:jc w:val="center"/>
                  </w:pPr>
                  <w:r>
                    <w:rPr>
                      <w:rFonts w:ascii="宋体" w:hAnsi="宋体" w:eastAsia="宋体" w:cs="宋体"/>
                      <w:color w:val="000000"/>
                      <w:sz w:val="20"/>
                    </w:rPr>
                    <w:t>竹林警务室</w:t>
                  </w:r>
                </w:p>
              </w:tc>
              <w:tc>
                <w:tcPr>
                  <w:tcW w:w="0" w:type="auto"/>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6"/>
                    <w:jc w:val="center"/>
                  </w:pPr>
                  <w:r>
                    <w:rPr>
                      <w:rFonts w:ascii="宋体" w:hAnsi="宋体" w:eastAsia="宋体" w:cs="宋体"/>
                      <w:color w:val="000000"/>
                      <w:sz w:val="22"/>
                    </w:rPr>
                    <w:t>提供上下行≥100带宽</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6"/>
                    <w:jc w:val="center"/>
                  </w:pPr>
                  <w:r>
                    <w:rPr>
                      <w:rFonts w:ascii="宋体" w:hAnsi="宋体" w:eastAsia="宋体" w:cs="宋体"/>
                      <w:color w:val="000000"/>
                      <w:sz w:val="22"/>
                    </w:rPr>
                    <w:t>27</w:t>
                  </w:r>
                </w:p>
              </w:tc>
              <w:tc>
                <w:tcPr>
                  <w:tcW w:w="0" w:type="auto"/>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6"/>
                    <w:jc w:val="center"/>
                  </w:pPr>
                  <w:r>
                    <w:rPr>
                      <w:rFonts w:ascii="宋体" w:hAnsi="宋体" w:eastAsia="宋体" w:cs="宋体"/>
                      <w:color w:val="000000"/>
                      <w:sz w:val="20"/>
                    </w:rPr>
                    <w:t>北川中学警务室</w:t>
                  </w:r>
                </w:p>
              </w:tc>
              <w:tc>
                <w:tcPr>
                  <w:tcW w:w="0" w:type="auto"/>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6"/>
                    <w:jc w:val="center"/>
                  </w:pPr>
                  <w:r>
                    <w:rPr>
                      <w:rFonts w:ascii="宋体" w:hAnsi="宋体" w:eastAsia="宋体" w:cs="宋体"/>
                      <w:color w:val="000000"/>
                      <w:sz w:val="22"/>
                    </w:rPr>
                    <w:t>提供上下行≥100带宽</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6"/>
                    <w:jc w:val="center"/>
                  </w:pPr>
                  <w:r>
                    <w:rPr>
                      <w:rFonts w:ascii="宋体" w:hAnsi="宋体" w:eastAsia="宋体" w:cs="宋体"/>
                      <w:color w:val="000000"/>
                      <w:sz w:val="22"/>
                    </w:rPr>
                    <w:t>28</w:t>
                  </w:r>
                </w:p>
              </w:tc>
              <w:tc>
                <w:tcPr>
                  <w:tcW w:w="0" w:type="auto"/>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6"/>
                    <w:jc w:val="center"/>
                  </w:pPr>
                  <w:r>
                    <w:rPr>
                      <w:rFonts w:ascii="宋体" w:hAnsi="宋体" w:eastAsia="宋体" w:cs="宋体"/>
                      <w:color w:val="000000"/>
                      <w:sz w:val="20"/>
                    </w:rPr>
                    <w:t>石椅子警务室</w:t>
                  </w:r>
                </w:p>
              </w:tc>
              <w:tc>
                <w:tcPr>
                  <w:tcW w:w="0" w:type="auto"/>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6"/>
                    <w:jc w:val="center"/>
                  </w:pPr>
                  <w:r>
                    <w:rPr>
                      <w:rFonts w:ascii="宋体" w:hAnsi="宋体" w:eastAsia="宋体" w:cs="宋体"/>
                      <w:color w:val="000000"/>
                      <w:sz w:val="22"/>
                    </w:rPr>
                    <w:t>提供上下行≥100带宽</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6"/>
                    <w:jc w:val="center"/>
                  </w:pPr>
                  <w:r>
                    <w:rPr>
                      <w:rFonts w:ascii="宋体" w:hAnsi="宋体" w:eastAsia="宋体" w:cs="宋体"/>
                      <w:color w:val="000000"/>
                      <w:sz w:val="22"/>
                    </w:rPr>
                    <w:t>29</w:t>
                  </w:r>
                </w:p>
              </w:tc>
              <w:tc>
                <w:tcPr>
                  <w:tcW w:w="0" w:type="auto"/>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6"/>
                    <w:jc w:val="center"/>
                  </w:pPr>
                  <w:r>
                    <w:rPr>
                      <w:rFonts w:ascii="宋体" w:hAnsi="宋体" w:eastAsia="宋体" w:cs="宋体"/>
                      <w:color w:val="000000"/>
                      <w:sz w:val="20"/>
                    </w:rPr>
                    <w:t>交警桂溪中队</w:t>
                  </w:r>
                </w:p>
              </w:tc>
              <w:tc>
                <w:tcPr>
                  <w:tcW w:w="0" w:type="auto"/>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6"/>
                    <w:jc w:val="center"/>
                  </w:pPr>
                  <w:r>
                    <w:rPr>
                      <w:rFonts w:ascii="宋体" w:hAnsi="宋体" w:eastAsia="宋体" w:cs="宋体"/>
                      <w:color w:val="000000"/>
                      <w:sz w:val="22"/>
                    </w:rPr>
                    <w:t>提供上下行≥100带宽</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6"/>
                    <w:jc w:val="center"/>
                  </w:pPr>
                  <w:r>
                    <w:rPr>
                      <w:rFonts w:ascii="宋体" w:hAnsi="宋体" w:eastAsia="宋体" w:cs="宋体"/>
                      <w:color w:val="000000"/>
                      <w:sz w:val="22"/>
                    </w:rPr>
                    <w:t>30</w:t>
                  </w:r>
                </w:p>
              </w:tc>
              <w:tc>
                <w:tcPr>
                  <w:tcW w:w="0" w:type="auto"/>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6"/>
                    <w:jc w:val="center"/>
                  </w:pPr>
                  <w:r>
                    <w:rPr>
                      <w:rFonts w:ascii="宋体" w:hAnsi="宋体" w:eastAsia="宋体" w:cs="宋体"/>
                      <w:color w:val="000000"/>
                      <w:sz w:val="20"/>
                    </w:rPr>
                    <w:t>交警禹里中队</w:t>
                  </w:r>
                </w:p>
              </w:tc>
              <w:tc>
                <w:tcPr>
                  <w:tcW w:w="0" w:type="auto"/>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6"/>
                    <w:jc w:val="center"/>
                  </w:pPr>
                  <w:r>
                    <w:rPr>
                      <w:rFonts w:ascii="宋体" w:hAnsi="宋体" w:eastAsia="宋体" w:cs="宋体"/>
                      <w:color w:val="000000"/>
                      <w:sz w:val="22"/>
                    </w:rPr>
                    <w:t>提供上下行≥100带宽</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31</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0"/>
                    </w:rPr>
                    <w:t>蔬菜社区警务室</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提供上下行≥100带宽</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32</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0"/>
                    </w:rPr>
                    <w:t>巴拿恰禹王广场</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提供上下行≥100带宽</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33</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0"/>
                    </w:rPr>
                    <w:t>临时点位1</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提供上下行≥100带宽</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34</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0"/>
                    </w:rPr>
                    <w:t>临时点位2</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提供上下行≥100带宽</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pPr>
                    <w:pStyle w:val="6"/>
                    <w:jc w:val="center"/>
                  </w:pPr>
                  <w:r>
                    <w:rPr>
                      <w:rFonts w:ascii="宋体" w:hAnsi="宋体" w:eastAsia="宋体" w:cs="宋体"/>
                      <w:color w:val="000000"/>
                      <w:sz w:val="22"/>
                    </w:rPr>
                    <w:t>1</w:t>
                  </w:r>
                </w:p>
              </w:tc>
            </w:tr>
          </w:tbl>
          <w:p>
            <w:pPr>
              <w:pStyle w:val="6"/>
              <w:ind w:left="855" w:right="855"/>
              <w:jc w:val="both"/>
            </w:pPr>
            <w:r>
              <w:rPr>
                <w:rFonts w:ascii="宋体" w:hAnsi="宋体" w:eastAsia="宋体" w:cs="宋体"/>
                <w:b/>
                <w:sz w:val="24"/>
              </w:rPr>
              <w:t>（二）服务要求</w:t>
            </w:r>
          </w:p>
          <w:p>
            <w:pPr>
              <w:pStyle w:val="6"/>
              <w:ind w:firstLine="480"/>
              <w:jc w:val="both"/>
            </w:pPr>
            <w:r>
              <w:rPr>
                <w:rFonts w:ascii="宋体" w:hAnsi="宋体" w:eastAsia="宋体" w:cs="宋体"/>
                <w:sz w:val="24"/>
              </w:rPr>
              <w:t>专网租用期间提供以下(但不限于)技术服务：</w:t>
            </w:r>
          </w:p>
          <w:p>
            <w:pPr>
              <w:pStyle w:val="6"/>
              <w:ind w:firstLine="480"/>
              <w:jc w:val="both"/>
            </w:pPr>
            <w:r>
              <w:rPr>
                <w:rFonts w:ascii="宋体" w:hAnsi="宋体" w:eastAsia="宋体" w:cs="宋体"/>
                <w:sz w:val="24"/>
              </w:rPr>
              <w:t>1、投标人提供端到端全过程一站式服务；提供24小时×365天的质量保证。一站式服务包括：一点业务咨询、一点业务受理、一点故障申告、一点计费结算、一点技术支持。</w:t>
            </w:r>
          </w:p>
          <w:p>
            <w:pPr>
              <w:pStyle w:val="6"/>
              <w:ind w:firstLine="480"/>
              <w:jc w:val="both"/>
            </w:pPr>
            <w:r>
              <w:rPr>
                <w:rFonts w:ascii="宋体" w:hAnsi="宋体" w:eastAsia="宋体" w:cs="宋体"/>
                <w:sz w:val="24"/>
              </w:rPr>
              <w:t>2、投标人应提供各地子公司（或服务网点）技术支持通讯录以及7×24小时电话技术支持和故障申告服务。</w:t>
            </w:r>
          </w:p>
          <w:p>
            <w:pPr>
              <w:pStyle w:val="6"/>
              <w:ind w:firstLine="480"/>
              <w:jc w:val="both"/>
            </w:pPr>
            <w:r>
              <w:rPr>
                <w:rFonts w:ascii="宋体" w:hAnsi="宋体" w:eastAsia="宋体" w:cs="宋体"/>
                <w:sz w:val="24"/>
              </w:rPr>
              <w:t>3、客户在使用租用线路的过程中发现的任何问题均可向投标人各服务网点申告，投标人负责故障的全程处理，应建立“首问负责制”。</w:t>
            </w:r>
          </w:p>
          <w:p>
            <w:pPr>
              <w:pStyle w:val="6"/>
              <w:ind w:firstLine="480"/>
              <w:jc w:val="both"/>
            </w:pPr>
            <w:r>
              <w:rPr>
                <w:rFonts w:ascii="宋体" w:hAnsi="宋体" w:eastAsia="宋体" w:cs="宋体"/>
                <w:sz w:val="24"/>
              </w:rPr>
              <w:t>4、投标人应配合采购人进行线路调试、故障的诊断和排除。</w:t>
            </w:r>
          </w:p>
          <w:p>
            <w:pPr>
              <w:pStyle w:val="6"/>
              <w:ind w:firstLine="480"/>
              <w:jc w:val="both"/>
            </w:pPr>
            <w:r>
              <w:rPr>
                <w:rFonts w:ascii="宋体" w:hAnsi="宋体" w:eastAsia="宋体" w:cs="宋体"/>
                <w:sz w:val="24"/>
              </w:rPr>
              <w:t>5、投标人承诺对故障申告响应时间小于15分钟，线路故障恢复时间一般小于1小时，个别特殊情况(如光缆受损)最长不超过4小时。</w:t>
            </w:r>
          </w:p>
          <w:p>
            <w:pPr>
              <w:pStyle w:val="6"/>
              <w:ind w:firstLine="480"/>
              <w:jc w:val="both"/>
            </w:pPr>
            <w:r>
              <w:rPr>
                <w:rFonts w:ascii="宋体" w:hAnsi="宋体" w:eastAsia="宋体" w:cs="宋体"/>
                <w:sz w:val="24"/>
              </w:rPr>
              <w:t>6、投标人应对电路通信质量提供长期、不间断的监测，一旦发现问题应及时解决并告知客户。</w:t>
            </w:r>
          </w:p>
          <w:p>
            <w:pPr>
              <w:pStyle w:val="6"/>
              <w:ind w:firstLine="480"/>
              <w:jc w:val="both"/>
            </w:pPr>
            <w:r>
              <w:rPr>
                <w:rFonts w:ascii="宋体" w:hAnsi="宋体" w:eastAsia="宋体" w:cs="宋体"/>
                <w:sz w:val="24"/>
              </w:rPr>
              <w:t>7、投标人每季度提交线路运行质量分析报告，提出网络优化建议。</w:t>
            </w:r>
          </w:p>
          <w:p>
            <w:pPr>
              <w:pStyle w:val="6"/>
              <w:ind w:firstLine="480"/>
              <w:jc w:val="both"/>
            </w:pPr>
            <w:r>
              <w:rPr>
                <w:rFonts w:ascii="宋体" w:hAnsi="宋体" w:eastAsia="宋体" w:cs="宋体"/>
                <w:sz w:val="24"/>
              </w:rPr>
              <w:t>8、投标人如需中断客户线路，应提前48小时通知客户，经协商同意后实施，并不能影响客户的正常业务。</w:t>
            </w:r>
          </w:p>
          <w:p>
            <w:pPr>
              <w:pStyle w:val="6"/>
              <w:ind w:firstLine="480"/>
              <w:jc w:val="both"/>
            </w:pPr>
            <w:r>
              <w:rPr>
                <w:rFonts w:ascii="宋体" w:hAnsi="宋体" w:eastAsia="宋体" w:cs="宋体"/>
                <w:sz w:val="24"/>
              </w:rPr>
              <w:t>9、投标人按用户要求提供重要时段的特殊保障。</w:t>
            </w:r>
          </w:p>
        </w:tc>
      </w:tr>
    </w:tbl>
    <w:p>
      <w:pPr>
        <w:pStyle w:val="6"/>
        <w:jc w:val="left"/>
        <w:outlineLvl w:val="2"/>
      </w:pPr>
      <w:r>
        <w:rPr>
          <w:b/>
          <w:sz w:val="28"/>
        </w:rPr>
        <w:t>3.3.服务要求</w:t>
      </w:r>
    </w:p>
    <w:p>
      <w:pPr>
        <w:pStyle w:val="6"/>
        <w:jc w:val="left"/>
        <w:outlineLvl w:val="3"/>
      </w:pPr>
      <w:r>
        <w:rPr>
          <w:b/>
          <w:sz w:val="24"/>
        </w:rPr>
        <w:t>3.3.1服务内容要求</w:t>
      </w:r>
    </w:p>
    <w:p>
      <w:pPr>
        <w:pStyle w:val="6"/>
        <w:jc w:val="left"/>
      </w:pPr>
      <w: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6"/>
              <w:jc w:val="left"/>
            </w:pPr>
            <w:r>
              <w:t xml:space="preserve"> 序号</w:t>
            </w:r>
          </w:p>
        </w:tc>
        <w:tc>
          <w:tcPr>
            <w:tcW w:w="2076" w:type="dxa"/>
          </w:tcPr>
          <w:p>
            <w:pPr>
              <w:pStyle w:val="6"/>
              <w:jc w:val="left"/>
            </w:pPr>
            <w:r>
              <w:t xml:space="preserve"> 符号标识</w:t>
            </w:r>
          </w:p>
        </w:tc>
        <w:tc>
          <w:tcPr>
            <w:tcW w:w="2076" w:type="dxa"/>
          </w:tcPr>
          <w:p>
            <w:pPr>
              <w:pStyle w:val="6"/>
              <w:jc w:val="left"/>
            </w:pPr>
            <w:r>
              <w:t xml:space="preserve"> 服务要求名称</w:t>
            </w:r>
          </w:p>
        </w:tc>
        <w:tc>
          <w:tcPr>
            <w:tcW w:w="2076" w:type="dxa"/>
          </w:tcPr>
          <w:p>
            <w:pPr>
              <w:pStyle w:val="6"/>
              <w:jc w:val="left"/>
            </w:pPr>
            <w:r>
              <w:t xml:space="preserve"> 服务要求内容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4" w:type="dxa"/>
            <w:gridSpan w:val="4"/>
          </w:tcPr>
          <w:p>
            <w:pPr>
              <w:pStyle w:val="6"/>
              <w:jc w:val="center"/>
            </w:pPr>
            <w:r>
              <w:t>无</w:t>
            </w:r>
          </w:p>
        </w:tc>
      </w:tr>
    </w:tbl>
    <w:p>
      <w:pPr>
        <w:pStyle w:val="6"/>
        <w:jc w:val="left"/>
        <w:outlineLvl w:val="3"/>
      </w:pPr>
      <w:r>
        <w:rPr>
          <w:b/>
          <w:sz w:val="24"/>
        </w:rPr>
        <w:t>3.3.2.商务要求</w:t>
      </w:r>
    </w:p>
    <w:p>
      <w:pPr>
        <w:pStyle w:val="6"/>
        <w:jc w:val="left"/>
      </w:pPr>
      <w: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54"/>
        <w:gridCol w:w="529"/>
        <w:gridCol w:w="994"/>
        <w:gridCol w:w="6545"/>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0" w:type="auto"/>
          </w:tcPr>
          <w:p>
            <w:pPr>
              <w:pStyle w:val="6"/>
              <w:jc w:val="left"/>
            </w:pPr>
            <w:r>
              <w:t>序号</w:t>
            </w:r>
          </w:p>
        </w:tc>
        <w:tc>
          <w:tcPr>
            <w:tcW w:w="0" w:type="auto"/>
          </w:tcPr>
          <w:p>
            <w:pPr>
              <w:pStyle w:val="6"/>
              <w:jc w:val="left"/>
            </w:pPr>
            <w:r>
              <w:t>符号标识</w:t>
            </w:r>
          </w:p>
        </w:tc>
        <w:tc>
          <w:tcPr>
            <w:tcW w:w="0" w:type="auto"/>
          </w:tcPr>
          <w:p>
            <w:pPr>
              <w:pStyle w:val="6"/>
              <w:jc w:val="left"/>
            </w:pPr>
            <w:r>
              <w:t>商务要求名称</w:t>
            </w:r>
          </w:p>
        </w:tc>
        <w:tc>
          <w:tcPr>
            <w:tcW w:w="0" w:type="auto"/>
          </w:tcPr>
          <w:p>
            <w:pPr>
              <w:pStyle w:val="6"/>
              <w:jc w:val="left"/>
            </w:pPr>
            <w:r>
              <w:t>商务要求内容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0" w:type="auto"/>
          </w:tcPr>
          <w:p>
            <w:pPr>
              <w:pStyle w:val="6"/>
              <w:jc w:val="left"/>
            </w:pPr>
            <w:r>
              <w:t>1</w:t>
            </w:r>
          </w:p>
        </w:tc>
        <w:tc>
          <w:tcPr>
            <w:tcW w:w="0" w:type="auto"/>
          </w:tcPr>
          <w:p>
            <w:pPr>
              <w:pStyle w:val="6"/>
              <w:jc w:val="left"/>
            </w:pPr>
            <w:r>
              <w:t>★</w:t>
            </w:r>
          </w:p>
        </w:tc>
        <w:tc>
          <w:tcPr>
            <w:tcW w:w="0" w:type="auto"/>
          </w:tcPr>
          <w:p>
            <w:pPr>
              <w:pStyle w:val="6"/>
              <w:jc w:val="left"/>
            </w:pPr>
            <w:r>
              <w:t>服务期限</w:t>
            </w:r>
          </w:p>
        </w:tc>
        <w:tc>
          <w:tcPr>
            <w:tcW w:w="0" w:type="auto"/>
          </w:tcPr>
          <w:p>
            <w:pPr>
              <w:pStyle w:val="6"/>
              <w:jc w:val="left"/>
            </w:pPr>
            <w:r>
              <w:t>自合同签订之日起三年</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0" w:type="auto"/>
          </w:tcPr>
          <w:p>
            <w:pPr>
              <w:pStyle w:val="6"/>
              <w:jc w:val="left"/>
            </w:pPr>
            <w:r>
              <w:t>2</w:t>
            </w:r>
          </w:p>
        </w:tc>
        <w:tc>
          <w:tcPr>
            <w:tcW w:w="0" w:type="auto"/>
          </w:tcPr>
          <w:p>
            <w:pPr>
              <w:pStyle w:val="6"/>
              <w:jc w:val="left"/>
            </w:pPr>
            <w:r>
              <w:t>★</w:t>
            </w:r>
          </w:p>
        </w:tc>
        <w:tc>
          <w:tcPr>
            <w:tcW w:w="0" w:type="auto"/>
          </w:tcPr>
          <w:p>
            <w:pPr>
              <w:pStyle w:val="6"/>
              <w:jc w:val="left"/>
            </w:pPr>
            <w:r>
              <w:t>服务地点</w:t>
            </w:r>
          </w:p>
        </w:tc>
        <w:tc>
          <w:tcPr>
            <w:tcW w:w="0" w:type="auto"/>
          </w:tcPr>
          <w:p>
            <w:pPr>
              <w:pStyle w:val="6"/>
              <w:jc w:val="left"/>
            </w:pPr>
            <w:r>
              <w:t>采购人指定地点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0" w:type="auto"/>
          </w:tcPr>
          <w:p>
            <w:pPr>
              <w:pStyle w:val="6"/>
              <w:jc w:val="left"/>
            </w:pPr>
            <w:r>
              <w:t>3</w:t>
            </w:r>
          </w:p>
        </w:tc>
        <w:tc>
          <w:tcPr>
            <w:tcW w:w="0" w:type="auto"/>
          </w:tcPr>
          <w:p>
            <w:pPr>
              <w:pStyle w:val="6"/>
              <w:jc w:val="left"/>
            </w:pPr>
            <w:r>
              <w:t>★</w:t>
            </w:r>
          </w:p>
        </w:tc>
        <w:tc>
          <w:tcPr>
            <w:tcW w:w="0" w:type="auto"/>
          </w:tcPr>
          <w:p>
            <w:pPr>
              <w:pStyle w:val="6"/>
              <w:jc w:val="left"/>
            </w:pPr>
            <w:r>
              <w:t>验收、交付标准和方法</w:t>
            </w:r>
          </w:p>
        </w:tc>
        <w:tc>
          <w:tcPr>
            <w:tcW w:w="0" w:type="auto"/>
          </w:tcPr>
          <w:p>
            <w:pPr>
              <w:pStyle w:val="6"/>
              <w:jc w:val="left"/>
            </w:pPr>
            <w:r>
              <w:t>中标人与采购人应严格按照按国家有关规定、采购文件的服务要求、成交供应商响应文件及承诺以及合同约定标准及根据《政</w:t>
            </w:r>
            <w:bookmarkStart w:id="0" w:name="_GoBack"/>
            <w:bookmarkEnd w:id="0"/>
            <w:r>
              <w:t>府采购需求管理办法》（财库〔2021〕22号）文件的规定，同时参照《四川省政府采购项目需求论证和履约验收管理办法》（财库〔2016〕205号）文件的要求及国家行业主管部门规定的标准、方法和内容组织验收。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0" w:type="auto"/>
          </w:tcPr>
          <w:p>
            <w:pPr>
              <w:pStyle w:val="6"/>
              <w:jc w:val="left"/>
            </w:pPr>
            <w:r>
              <w:t>4</w:t>
            </w:r>
          </w:p>
        </w:tc>
        <w:tc>
          <w:tcPr>
            <w:tcW w:w="0" w:type="auto"/>
          </w:tcPr>
          <w:p>
            <w:pPr>
              <w:pStyle w:val="6"/>
              <w:jc w:val="left"/>
            </w:pPr>
            <w:r>
              <w:t>★</w:t>
            </w:r>
          </w:p>
        </w:tc>
        <w:tc>
          <w:tcPr>
            <w:tcW w:w="0" w:type="auto"/>
          </w:tcPr>
          <w:p>
            <w:pPr>
              <w:pStyle w:val="6"/>
              <w:jc w:val="left"/>
            </w:pPr>
            <w:r>
              <w:t>支付方式</w:t>
            </w:r>
          </w:p>
        </w:tc>
        <w:tc>
          <w:tcPr>
            <w:tcW w:w="0" w:type="auto"/>
          </w:tcPr>
          <w:p>
            <w:pPr>
              <w:pStyle w:val="6"/>
              <w:jc w:val="left"/>
            </w:pPr>
            <w:r>
              <w:t>分期付款</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0" w:type="auto"/>
          </w:tcPr>
          <w:p>
            <w:pPr>
              <w:pStyle w:val="6"/>
              <w:jc w:val="left"/>
            </w:pPr>
            <w:r>
              <w:t>5</w:t>
            </w:r>
          </w:p>
        </w:tc>
        <w:tc>
          <w:tcPr>
            <w:tcW w:w="0" w:type="auto"/>
          </w:tcPr>
          <w:p>
            <w:pPr>
              <w:pStyle w:val="6"/>
              <w:jc w:val="left"/>
            </w:pPr>
            <w:r>
              <w:t>★</w:t>
            </w:r>
          </w:p>
        </w:tc>
        <w:tc>
          <w:tcPr>
            <w:tcW w:w="0" w:type="auto"/>
          </w:tcPr>
          <w:p>
            <w:pPr>
              <w:pStyle w:val="6"/>
              <w:jc w:val="left"/>
            </w:pPr>
            <w:r>
              <w:t>付款进度安排</w:t>
            </w:r>
          </w:p>
        </w:tc>
        <w:tc>
          <w:tcPr>
            <w:tcW w:w="0" w:type="auto"/>
          </w:tcPr>
          <w:p>
            <w:pPr>
              <w:pStyle w:val="6"/>
              <w:jc w:val="left"/>
            </w:pPr>
            <w:r>
              <w:t>1、验收合格，达到付款条件起10日内，据实情况说明为采购人每季度对供应商进行考核，按季度考核结果支付该季度服务费用</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0" w:type="auto"/>
          </w:tcPr>
          <w:p>
            <w:pPr>
              <w:pStyle w:val="6"/>
              <w:jc w:val="left"/>
            </w:pPr>
            <w:r>
              <w:t>6</w:t>
            </w:r>
          </w:p>
        </w:tc>
        <w:tc>
          <w:tcPr>
            <w:tcW w:w="0" w:type="auto"/>
          </w:tcPr>
          <w:p>
            <w:pPr>
              <w:pStyle w:val="6"/>
              <w:jc w:val="left"/>
            </w:pPr>
            <w:r>
              <w:t>★</w:t>
            </w:r>
          </w:p>
        </w:tc>
        <w:tc>
          <w:tcPr>
            <w:tcW w:w="0" w:type="auto"/>
          </w:tcPr>
          <w:p>
            <w:pPr>
              <w:pStyle w:val="6"/>
              <w:jc w:val="left"/>
            </w:pPr>
            <w:r>
              <w:t>违约责任与解决争议的方法</w:t>
            </w:r>
          </w:p>
        </w:tc>
        <w:tc>
          <w:tcPr>
            <w:tcW w:w="0" w:type="auto"/>
          </w:tcPr>
          <w:p>
            <w:pPr>
              <w:pStyle w:val="6"/>
              <w:jc w:val="left"/>
            </w:pPr>
            <w:r>
              <w:t>签订合同时约定</w:t>
            </w:r>
          </w:p>
        </w:tc>
      </w:tr>
    </w:tbl>
    <w:p>
      <w:pPr>
        <w:pStyle w:val="6"/>
        <w:jc w:val="left"/>
        <w:outlineLvl w:val="2"/>
      </w:pPr>
      <w:r>
        <w:rPr>
          <w:b/>
          <w:sz w:val="28"/>
        </w:rPr>
        <w:t>3.4.其他要求</w:t>
      </w:r>
    </w:p>
    <w:p>
      <w:pPr>
        <w:pStyle w:val="6"/>
        <w:ind w:firstLine="480"/>
        <w:jc w:val="left"/>
      </w:pPr>
      <w:r>
        <w:t>采购包1：</w:t>
      </w:r>
    </w:p>
    <w:p>
      <w:pPr>
        <w:pStyle w:val="6"/>
        <w:jc w:val="left"/>
      </w:pPr>
      <w:r>
        <w:t>1、质量标准（★）： （1）供应商应当保证提供的所有货物和服务符合国家现行有关质量标准或者优于国家现行相关行业技术规范（或标准）及国家强制性标准。 （2）如果本项目采购需求中引用的相关标准有最新版本的均以最新标准执行，采购活动中已经作废失效的，在评审中和履约中自动不再适用。 2、其他采购需求：本采购需求是采购人期望获得供应商在满足基本采购需求基础之上的更优化的需求，希望供应商为采购人提供更加优质的合同履约质量，这样更能充分保证项目实施质量。供应商可以根据自身情况据实提供，未提供不会导致其响应无效，但会影响其综合评价情况。有关情况，详见评分标准。 （1）供应商需提供技术方案内容包括但不限于：①网络架构设计方案、②设备选型与配置方案、③传输技术方案、④服务质量保障方案、⑤网络安全和监控与管理方案； （2）供应商需提供服务方案内容包括但不限于：①一站式服务方案、②技术支持与故障处理方案、③线路调试与维护方案、④客户沟通与报告方案、⑤特殊时段保障方案； （3）供应商需提供应急服务方案内容包括但不限于：①故障响应与恢复方案、②备份与容灾方案、③紧急情况下的服务保障方案、④应急演练与培训方案、⑤应急通讯与协调方案； （4）供应商需具备相应履约能力。（5）供应商需具备相应业绩</w:t>
      </w:r>
    </w:p>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560"/>
      </w:pPr>
      <w:r>
        <w:separator/>
      </w:r>
    </w:p>
  </w:endnote>
  <w:endnote w:type="continuationSeparator" w:id="1">
    <w:p>
      <w:pPr>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西文正文">
    <w:altName w:val="Segoe Print"/>
    <w:panose1 w:val="00000000000000000000"/>
    <w:charset w:val="00"/>
    <w:family w:val="auto"/>
    <w:pitch w:val="default"/>
    <w:sig w:usb0="00000000" w:usb1="00000000" w:usb2="00000000" w:usb3="00000000" w:csb0="00000000" w:csb1="00000000"/>
  </w:font>
  <w:font w:name="+中文正文">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560"/>
      </w:pPr>
      <w:r>
        <w:separator/>
      </w:r>
    </w:p>
  </w:footnote>
  <w:footnote w:type="continuationSeparator" w:id="1">
    <w:p>
      <w:pPr>
        <w:ind w:firstLine="56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5C2138"/>
    <w:multiLevelType w:val="multilevel"/>
    <w:tmpl w:val="AD5C2138"/>
    <w:lvl w:ilvl="0" w:tentative="0">
      <w:start w:val="1"/>
      <w:numFmt w:val="chineseCounting"/>
      <w:pStyle w:val="3"/>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MyODljNDk0Zjg4MDJmYzc3MDNkNzMxMjllMzFmMTYifQ=="/>
  </w:docVars>
  <w:rsids>
    <w:rsidRoot w:val="3E0B2A7C"/>
    <w:rsid w:val="13373D9D"/>
    <w:rsid w:val="3789793C"/>
    <w:rsid w:val="3E0B2A7C"/>
    <w:rsid w:val="62107AF1"/>
    <w:rsid w:val="719360E4"/>
    <w:rsid w:val="753A71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723" w:firstLineChars="200"/>
      <w:jc w:val="left"/>
    </w:pPr>
    <w:rPr>
      <w:rFonts w:ascii="+西文正文" w:hAnsi="+西文正文" w:eastAsia="+中文正文" w:cstheme="minorBidi"/>
      <w:kern w:val="2"/>
      <w:sz w:val="28"/>
      <w:szCs w:val="24"/>
      <w:lang w:val="en-US" w:eastAsia="zh-CN" w:bidi="ar-SA"/>
    </w:rPr>
  </w:style>
  <w:style w:type="paragraph" w:styleId="3">
    <w:name w:val="heading 1"/>
    <w:basedOn w:val="1"/>
    <w:next w:val="1"/>
    <w:qFormat/>
    <w:uiPriority w:val="0"/>
    <w:pPr>
      <w:keepNext/>
      <w:keepLines/>
      <w:pageBreakBefore/>
      <w:numPr>
        <w:ilvl w:val="0"/>
        <w:numId w:val="1"/>
      </w:numPr>
      <w:spacing w:beforeLines="0" w:afterLines="0"/>
      <w:ind w:firstLine="0" w:firstLineChars="0"/>
      <w:jc w:val="center"/>
      <w:outlineLvl w:val="0"/>
    </w:pPr>
    <w:rPr>
      <w:b/>
      <w:kern w:val="44"/>
      <w:sz w:val="44"/>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uiPriority w:val="0"/>
    <w:pPr>
      <w:spacing w:after="120" w:afterLines="0" w:afterAutospacing="0"/>
    </w:pPr>
  </w:style>
  <w:style w:type="paragraph" w:customStyle="1" w:styleId="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2024-08-08T06:25:00Z</dcterms:created>
  <dc:creator>落叶听笙</dc:creator>
  <cp:lastModifiedBy>落叶听笙</cp:lastModifiedBy>
  <dcterms:modified xsi:type="dcterms:W3CDTF">2024-08-08T06:26:06Z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99AF96FF70D94E9EA43122168BD785E9_11</vt:lpwstr>
  </property>
</Properties>
</file>