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440101-2025-06441</w:t>
      </w:r>
    </w:p>
    <w:p>
      <w:pPr>
        <w:pStyle w:val="null3"/>
        <w:jc w:val="center"/>
        <w:outlineLvl w:val="3"/>
      </w:pPr>
      <w:r>
        <w:rPr>
          <w:sz w:val="24"/>
          <w:b/>
        </w:rPr>
        <w:t>采购项目编号：</w:t>
      </w:r>
      <w:r>
        <w:rPr>
          <w:sz w:val="24"/>
          <w:b/>
        </w:rPr>
        <w:t>HYGZ24HJ01C0578</w:t>
      </w:r>
    </w:p>
    <w:p>
      <w:pPr>
        <w:pStyle w:val="null3"/>
        <w:jc w:val="center"/>
        <w:outlineLvl w:val="3"/>
      </w:pPr>
      <w:r>
        <w:rPr>
          <w:sz w:val="24"/>
          <w:b/>
        </w:rPr>
        <w:t>项目名称：</w:t>
      </w:r>
      <w:r>
        <w:rPr>
          <w:sz w:val="24"/>
          <w:b/>
        </w:rPr>
        <w:t>2025年黄埔区“一街一站”空气质量监测及污染源监控设备运营服务项目</w:t>
      </w:r>
    </w:p>
    <w:p>
      <w:pPr>
        <w:pStyle w:val="null3"/>
        <w:jc w:val="center"/>
        <w:outlineLvl w:val="3"/>
      </w:pPr>
      <w:r>
        <w:rPr>
          <w:sz w:val="24"/>
          <w:b/>
        </w:rPr>
        <w:t>采购人：</w:t>
      </w:r>
      <w:r>
        <w:rPr>
          <w:sz w:val="24"/>
          <w:b/>
        </w:rPr>
        <w:t>广州市生态环境局黄埔环境监测站</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广东弘烨项目管理有限公司</w:t>
      </w:r>
      <w:r>
        <w:rPr/>
        <w:t>受</w:t>
      </w:r>
      <w:r>
        <w:rPr/>
        <w:t>广州市生态环境局黄埔环境监测站</w:t>
      </w:r>
      <w:r>
        <w:rPr/>
        <w:t>的委托，采用</w:t>
      </w:r>
      <w:r>
        <w:rPr/>
        <w:t>公开招标</w:t>
      </w:r>
      <w:r>
        <w:rPr/>
        <w:t>方式组织采购</w:t>
      </w:r>
      <w:r>
        <w:rPr/>
        <w:t>2025年黄埔区“一街一站”空气质量监测及污染源监控设备运营服务项目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2025年黄埔区“一街一站”空气质量监测及污染源监控设备运营服务项目</w:t>
      </w:r>
    </w:p>
    <w:p>
      <w:pPr>
        <w:pStyle w:val="null3"/>
        <w:ind w:firstLine="480"/>
      </w:pPr>
      <w:r>
        <w:rPr/>
        <w:t>采购计划编号：</w:t>
      </w:r>
      <w:r>
        <w:rPr/>
        <w:t>440101-2025-06441</w:t>
      </w:r>
    </w:p>
    <w:p>
      <w:pPr>
        <w:pStyle w:val="null3"/>
        <w:ind w:firstLine="480"/>
      </w:pPr>
      <w:r>
        <w:rPr/>
        <w:t>采购项目编号：</w:t>
      </w:r>
      <w:r>
        <w:rPr/>
        <w:t>HYGZ24HJ01C0578</w:t>
      </w:r>
    </w:p>
    <w:p>
      <w:pPr>
        <w:pStyle w:val="null3"/>
        <w:ind w:firstLine="480"/>
      </w:pPr>
      <w:r>
        <w:rPr/>
        <w:t>采购方式：</w:t>
      </w:r>
      <w:r>
        <w:rPr/>
        <w:t>公开招标</w:t>
      </w:r>
    </w:p>
    <w:p>
      <w:pPr>
        <w:pStyle w:val="null3"/>
        <w:ind w:firstLine="480"/>
      </w:pPr>
      <w:r>
        <w:rPr/>
        <w:t>预算金额：</w:t>
      </w:r>
      <w:r>
        <w:rPr/>
        <w:t>3,366,000.00</w:t>
      </w:r>
      <w:r>
        <w:rPr/>
        <w:t>元</w:t>
      </w:r>
    </w:p>
    <w:p>
      <w:pPr>
        <w:pStyle w:val="null3"/>
        <w:outlineLvl w:val="3"/>
      </w:pPr>
      <w:r>
        <w:rPr>
          <w:sz w:val="24"/>
          <w:b/>
        </w:rPr>
        <w:t>2.项目内容及需求情况（采购项目技术规格、参数及要求）</w:t>
      </w:r>
    </w:p>
    <w:p>
      <w:pPr>
        <w:pStyle w:val="null3"/>
      </w:pPr>
      <w:r>
        <w:rPr/>
        <w:t>采购包1(5个镇街（文冲街、黄埔街、大沙街、萝岗街、生物岛）空气站运行及技术服务（含18套高空高清视频监控系统、4套露天焚烧AI监测摄像运行及技术服务)):</w:t>
      </w:r>
    </w:p>
    <w:p>
      <w:pPr>
        <w:pStyle w:val="null3"/>
      </w:pPr>
      <w:r>
        <w:rPr/>
        <w:t>采购包预算金额：1,966,000.00元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5个镇街（文冲街、黄埔街、大沙街、萝岗街、生物岛）空气站运行及技术服务（含18套高空高清视频监控系统、4套露天焚烧AI监测摄像运行及技术服务)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合同履行期限：合同签订之日起2年。</w:t>
      </w:r>
    </w:p>
    <w:p>
      <w:pPr>
        <w:pStyle w:val="null3"/>
      </w:pPr>
      <w:r>
        <w:rPr/>
        <w:t>采购包2(5个镇街（新龙镇、长岭街、穗东街、南岗街、长洲街）空气站运行及技术服务):</w:t>
      </w:r>
    </w:p>
    <w:p>
      <w:pPr>
        <w:pStyle w:val="null3"/>
      </w:pPr>
      <w:r>
        <w:rPr/>
        <w:t>采购包预算金额：1,400,000.00元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其他专业技术服务</w:t>
            </w:r>
          </w:p>
        </w:tc>
        <w:tc>
          <w:tcPr>
            <w:tcW w:type="dxa" w:w="2136"/>
          </w:tcPr>
          <w:p>
            <w:pPr>
              <w:pStyle w:val="null3"/>
            </w:pPr>
            <w:r>
              <w:rPr/>
              <w:t>5个镇街（新龙镇、长岭街、穗东街、南岗街、长洲街）空气站运行及技术服务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合同履行期限：合同签订之日起2年。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采购包1（5个镇街（文冲街、黄埔街、大沙街、萝岗街、生物岛）空气站运行及技术服务（含18套高空高清视频监控系统、4套露天焚烧AI监测摄像运行及技术服务)）：</w:t>
      </w:r>
      <w:r>
        <w:rPr/>
        <w:t>本采购包要求合同分包给中小企业（包括中型企业、小型企业和微型企业，下同），具体合同分包相关要求如下： 1）投标人不属于中小企业的，须签订《分包意向协议书》，《分包意向协议书》里中小企业合同金额应当达到本采购包合同总金额的40%（其中预留给小微企业的部分不低于合同金额的28%），（投标文件中须同时提供《分包意向协议书》及《中小企业声明函》）； 2）投标人属于中型企业的，须签订《分包意向协议书》，《分包意向协议书》里小微企业合同金额应当达到本采购包合同总金额的28%（投标文件中须同时提供《分包意向协议书》及《中小企业声明函》）； 3）投标人属于小微企业的，不得将本采购包分包给他人（投标文件中须提供《中小企业声明函》）。注：①中小企业须符合本采购包采购标的对应行业（其他未列明行业）的政策划分标准。②接受分包合同的中小企业与分包企业之间不得存在直接控股、管理关系。③中小企业类型认定以投标人填写的《中小企业声明函》为判定标准，否则不予认定。④监狱企业、残疾人福利单位视同小型、微型企业。残疾人福利性单位以投标人填写的《残疾人福利性单位声明函》为判定标准；监狱企业须提供由省级以上监狱管理局、戒毒管理局（含新疆生产建设兵团）出具的属于监狱企业的证明文件；否则不予认定。</w:t>
      </w:r>
    </w:p>
    <w:p>
      <w:pPr>
        <w:pStyle w:val="null3"/>
        <w:jc w:val="left"/>
      </w:pPr>
      <w:r>
        <w:rPr/>
        <w:t>采购包2（5个镇街（新龙镇、长岭街、穗东街、南岗街、长洲街）空气站运行及技术服务）：</w:t>
      </w:r>
      <w:r>
        <w:rPr/>
        <w:t>本采购包要求合同分包给中小企业（包括中型企业、小型企业和微型企业，下同），具体合同分包相关要求如下： 1）投标人不属于中小企业的，须签订《分包意向协议书》，《分包意向协议书》里中小企业合同金额应当达到本采购包合同总金额的40%（其中预留给小微企业的部分不低于合同金额的28%），（投标文件中须同时提供《分包意向协议书》及《中小企业声明函》）； 2）投标人属于中型企业的，须签订《分包意向协议书》，《分包意向协议书》里小微企业合同金额应当达到本采购包合同总金额的28%（投标文件中须同时提供《分包意向协议书》及《中小企业声明函》）； 3）投标人属于小微企业的，不得将本采购包分包给他人（投标文件中须提供《中小企业声明函》）。注：①中小企业须符合本采购包采购标的对应行业（其他未列明行业）的政策划分标准。②接受分包合同的中小企业与分包企业之间不得存在直接控股、管理关系。③中小企业类型认定以投标人填写的《中小企业声明函》为判定标准，否则不予认定。④监狱企业、残疾人福利单位视同小型、微型企业。残疾人福利性单位以投标人填写的《残疾人福利性单位声明函》为判定标准；监狱企业须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采购包1（5个镇街（文冲街、黄埔街、大沙街、萝岗街、生物岛）空气站运行及技术服务（含18套高空高清视频监控系统、4套露天焚烧AI监测摄像运行及技术服务)）：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采购包2（5个镇街（新龙镇、长岭街、穗东街、南岗街、长洲街）空气站运行及技术服务）：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广州市生态环境局黄埔环境监测站</w:t>
      </w:r>
    </w:p>
    <w:p>
      <w:pPr>
        <w:pStyle w:val="null3"/>
        <w:ind w:firstLine="480"/>
      </w:pPr>
      <w:r>
        <w:rPr/>
        <w:t xml:space="preserve"> 地址：</w:t>
      </w:r>
      <w:r>
        <w:rPr/>
        <w:t>广州市黄埔区科学城科学大道162号创意大厦B1栋第11层1114、1107-1112房</w:t>
      </w:r>
    </w:p>
    <w:p>
      <w:pPr>
        <w:pStyle w:val="null3"/>
        <w:ind w:firstLine="480"/>
      </w:pPr>
      <w:r>
        <w:rPr/>
        <w:t xml:space="preserve"> 联系方式：</w:t>
      </w:r>
      <w:r>
        <w:rPr/>
        <w:t>020-82298162</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许小姐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w:t>
      </w:r>
      <w:r>
        <w:rPr>
          <w:sz w:val="24"/>
        </w:rPr>
        <w:t>项目基本情况</w:t>
      </w:r>
    </w:p>
    <w:p>
      <w:pPr>
        <w:pStyle w:val="null3"/>
        <w:ind w:firstLine="480"/>
      </w:pPr>
      <w:r>
        <w:rPr>
          <w:sz w:val="24"/>
        </w:rPr>
        <w:t>黄埔区</w:t>
      </w:r>
      <w:r>
        <w:rPr>
          <w:sz w:val="24"/>
        </w:rPr>
        <w:t>“一街一站”空气质量监测及污染源监控设备运营服务项目于2021年底建成并投入使用</w:t>
      </w:r>
      <w:r>
        <w:rPr>
          <w:sz w:val="24"/>
        </w:rPr>
        <w:t>。</w:t>
      </w:r>
    </w:p>
    <w:p>
      <w:pPr>
        <w:pStyle w:val="null3"/>
        <w:ind w:firstLine="480"/>
      </w:pPr>
      <w:r>
        <w:rPr>
          <w:sz w:val="24"/>
        </w:rPr>
        <w:t>为了保证黄埔区</w:t>
      </w:r>
      <w:r>
        <w:rPr>
          <w:sz w:val="24"/>
        </w:rPr>
        <w:t>“一街一站”空气质量监测及污染源监控设备持续稳定运行，计划继续委托专业技术机构对监测设备（</w:t>
      </w:r>
      <w:r>
        <w:rPr>
          <w:sz w:val="24"/>
        </w:rPr>
        <w:t>含</w:t>
      </w:r>
      <w:r>
        <w:rPr>
          <w:sz w:val="24"/>
        </w:rPr>
        <w:t>10个标准空气子站六参数仪器、18套高空高清摄像头、4套露天焚烧AI监测摄像终端</w:t>
      </w:r>
      <w:r>
        <w:rPr>
          <w:sz w:val="24"/>
        </w:rPr>
        <w:t>）开展运营维护工作，以获取连续、科学、有效的监测数据。</w:t>
      </w:r>
    </w:p>
    <w:p>
      <w:pPr>
        <w:pStyle w:val="null3"/>
        <w:ind w:firstLine="480"/>
      </w:pPr>
      <w:r>
        <w:rPr>
          <w:sz w:val="24"/>
        </w:rPr>
        <w:t>（二）现有站点及视频监控设备情况</w:t>
      </w:r>
    </w:p>
    <w:p>
      <w:pPr>
        <w:pStyle w:val="null3"/>
        <w:ind w:firstLine="480"/>
      </w:pPr>
      <w:r>
        <w:rPr>
          <w:sz w:val="24"/>
        </w:rPr>
        <w:t>采购包</w:t>
      </w:r>
      <w:r>
        <w:rPr>
          <w:sz w:val="24"/>
        </w:rPr>
        <w:t>1：</w:t>
      </w:r>
    </w:p>
    <w:p>
      <w:pPr>
        <w:pStyle w:val="null3"/>
        <w:ind w:firstLine="241"/>
        <w:jc w:val="center"/>
      </w:pPr>
      <w:r>
        <w:rPr>
          <w:sz w:val="24"/>
          <w:b/>
        </w:rPr>
        <w:t>（表一</w:t>
      </w:r>
      <w:r>
        <w:rPr>
          <w:sz w:val="24"/>
          <w:b/>
        </w:rPr>
        <w:t>)</w:t>
      </w:r>
      <w:r>
        <w:rPr>
          <w:sz w:val="24"/>
          <w:b/>
        </w:rPr>
        <w:t xml:space="preserve"> </w:t>
      </w:r>
      <w:r>
        <w:rPr>
          <w:sz w:val="24"/>
          <w:b/>
        </w:rPr>
        <w:t>5个镇街（文冲街、黄埔街、大沙街、萝岗街、生物岛）</w:t>
      </w:r>
      <w:r>
        <w:rPr>
          <w:sz w:val="24"/>
          <w:b/>
        </w:rPr>
        <w:t>空气站仪器设备明细表</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Pr>
          <w:p>
            <w:pPr>
              <w:pStyle w:val="null3"/>
              <w:jc w:val="center"/>
            </w:pPr>
            <w:r>
              <w:rPr>
                <w:sz w:val="19"/>
              </w:rPr>
              <w:t>序号</w:t>
            </w:r>
          </w:p>
        </w:tc>
        <w:tc>
          <w:tcPr>
            <w:tcW w:type="dxa" w:w="1661"/>
          </w:tcPr>
          <w:p>
            <w:pPr>
              <w:pStyle w:val="null3"/>
              <w:jc w:val="center"/>
            </w:pPr>
            <w:r>
              <w:rPr>
                <w:sz w:val="19"/>
              </w:rPr>
              <w:t>设备名称</w:t>
            </w:r>
          </w:p>
        </w:tc>
        <w:tc>
          <w:tcPr>
            <w:tcW w:type="dxa" w:w="1661"/>
          </w:tcPr>
          <w:p>
            <w:pPr>
              <w:pStyle w:val="null3"/>
              <w:jc w:val="center"/>
            </w:pPr>
            <w:r>
              <w:rPr>
                <w:sz w:val="19"/>
              </w:rPr>
              <w:t>型号规格</w:t>
            </w:r>
          </w:p>
        </w:tc>
        <w:tc>
          <w:tcPr>
            <w:tcW w:type="dxa" w:w="1661"/>
          </w:tcPr>
          <w:p>
            <w:pPr>
              <w:pStyle w:val="null3"/>
              <w:jc w:val="center"/>
            </w:pPr>
            <w:r>
              <w:rPr>
                <w:sz w:val="19"/>
              </w:rPr>
              <w:t>单位</w:t>
            </w:r>
          </w:p>
        </w:tc>
        <w:tc>
          <w:tcPr>
            <w:tcW w:type="dxa" w:w="1661"/>
          </w:tcPr>
          <w:p>
            <w:pPr>
              <w:pStyle w:val="null3"/>
              <w:jc w:val="center"/>
            </w:pPr>
            <w:r>
              <w:rPr>
                <w:sz w:val="19"/>
              </w:rPr>
              <w:t>数量</w:t>
            </w:r>
          </w:p>
        </w:tc>
      </w:tr>
      <w:tr>
        <w:tc>
          <w:tcPr>
            <w:tcW w:type="dxa" w:w="1661"/>
          </w:tcPr>
          <w:p>
            <w:pPr>
              <w:pStyle w:val="null3"/>
              <w:jc w:val="center"/>
            </w:pPr>
            <w:r>
              <w:rPr>
                <w:sz w:val="19"/>
              </w:rPr>
              <w:t>1</w:t>
            </w:r>
          </w:p>
        </w:tc>
        <w:tc>
          <w:tcPr>
            <w:tcW w:type="dxa" w:w="1661"/>
          </w:tcPr>
          <w:p>
            <w:pPr>
              <w:pStyle w:val="null3"/>
              <w:jc w:val="center"/>
            </w:pPr>
            <w:r>
              <w:rPr>
                <w:sz w:val="19"/>
              </w:rPr>
              <w:t>二氧化硫分析仪（SO2）</w:t>
            </w:r>
          </w:p>
        </w:tc>
        <w:tc>
          <w:tcPr>
            <w:tcW w:type="dxa" w:w="1661"/>
          </w:tcPr>
          <w:p>
            <w:pPr>
              <w:pStyle w:val="null3"/>
              <w:jc w:val="center"/>
            </w:pPr>
            <w:r>
              <w:rPr>
                <w:sz w:val="19"/>
              </w:rPr>
              <w:t>赛默飞世尔43i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2</w:t>
            </w:r>
          </w:p>
        </w:tc>
        <w:tc>
          <w:tcPr>
            <w:tcW w:type="dxa" w:w="1661"/>
          </w:tcPr>
          <w:p>
            <w:pPr>
              <w:pStyle w:val="null3"/>
              <w:jc w:val="center"/>
            </w:pPr>
            <w:r>
              <w:rPr>
                <w:sz w:val="19"/>
              </w:rPr>
              <w:t>氮氧化物分析仪（NO-NO2-NOx）</w:t>
            </w:r>
          </w:p>
        </w:tc>
        <w:tc>
          <w:tcPr>
            <w:tcW w:type="dxa" w:w="1661"/>
          </w:tcPr>
          <w:p>
            <w:pPr>
              <w:pStyle w:val="null3"/>
              <w:jc w:val="center"/>
            </w:pPr>
            <w:r>
              <w:rPr>
                <w:sz w:val="19"/>
              </w:rPr>
              <w:t>赛默飞世尔42i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3</w:t>
            </w:r>
          </w:p>
        </w:tc>
        <w:tc>
          <w:tcPr>
            <w:tcW w:type="dxa" w:w="1661"/>
          </w:tcPr>
          <w:p>
            <w:pPr>
              <w:pStyle w:val="null3"/>
              <w:jc w:val="center"/>
            </w:pPr>
            <w:r>
              <w:rPr>
                <w:sz w:val="19"/>
              </w:rPr>
              <w:t>一氧化碳分析仪（CO）</w:t>
            </w:r>
          </w:p>
        </w:tc>
        <w:tc>
          <w:tcPr>
            <w:tcW w:type="dxa" w:w="1661"/>
          </w:tcPr>
          <w:p>
            <w:pPr>
              <w:pStyle w:val="null3"/>
              <w:jc w:val="center"/>
            </w:pPr>
            <w:r>
              <w:rPr>
                <w:sz w:val="19"/>
              </w:rPr>
              <w:t>赛默飞世尔48i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4</w:t>
            </w:r>
          </w:p>
        </w:tc>
        <w:tc>
          <w:tcPr>
            <w:tcW w:type="dxa" w:w="1661"/>
          </w:tcPr>
          <w:p>
            <w:pPr>
              <w:pStyle w:val="null3"/>
              <w:jc w:val="center"/>
            </w:pPr>
            <w:r>
              <w:rPr>
                <w:sz w:val="19"/>
              </w:rPr>
              <w:t>臭氧分析仪（O3）</w:t>
            </w:r>
          </w:p>
        </w:tc>
        <w:tc>
          <w:tcPr>
            <w:tcW w:type="dxa" w:w="1661"/>
          </w:tcPr>
          <w:p>
            <w:pPr>
              <w:pStyle w:val="null3"/>
              <w:jc w:val="center"/>
            </w:pPr>
            <w:r>
              <w:rPr>
                <w:sz w:val="19"/>
              </w:rPr>
              <w:t>赛默飞世尔49i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5</w:t>
            </w:r>
          </w:p>
        </w:tc>
        <w:tc>
          <w:tcPr>
            <w:tcW w:type="dxa" w:w="1661"/>
          </w:tcPr>
          <w:p>
            <w:pPr>
              <w:pStyle w:val="null3"/>
              <w:jc w:val="center"/>
            </w:pPr>
            <w:r>
              <w:rPr>
                <w:sz w:val="19"/>
              </w:rPr>
              <w:t>PM10颗粒物分析仪</w:t>
            </w:r>
          </w:p>
        </w:tc>
        <w:tc>
          <w:tcPr>
            <w:tcW w:type="dxa" w:w="1661"/>
          </w:tcPr>
          <w:p>
            <w:pPr>
              <w:pStyle w:val="null3"/>
              <w:jc w:val="center"/>
            </w:pPr>
            <w:r>
              <w:rPr>
                <w:sz w:val="19"/>
              </w:rPr>
              <w:t>赛默飞世尔5014i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6</w:t>
            </w:r>
          </w:p>
        </w:tc>
        <w:tc>
          <w:tcPr>
            <w:tcW w:type="dxa" w:w="1661"/>
          </w:tcPr>
          <w:p>
            <w:pPr>
              <w:pStyle w:val="null3"/>
              <w:jc w:val="center"/>
            </w:pPr>
            <w:r>
              <w:rPr>
                <w:sz w:val="19"/>
              </w:rPr>
              <w:t>PM2.5颗粒物分析仪</w:t>
            </w:r>
          </w:p>
        </w:tc>
        <w:tc>
          <w:tcPr>
            <w:tcW w:type="dxa" w:w="1661"/>
          </w:tcPr>
          <w:p>
            <w:pPr>
              <w:pStyle w:val="null3"/>
              <w:jc w:val="center"/>
            </w:pPr>
            <w:r>
              <w:rPr>
                <w:sz w:val="19"/>
              </w:rPr>
              <w:t>赛默飞世尔5014i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8</w:t>
            </w:r>
          </w:p>
        </w:tc>
        <w:tc>
          <w:tcPr>
            <w:tcW w:type="dxa" w:w="1661"/>
          </w:tcPr>
          <w:p>
            <w:pPr>
              <w:pStyle w:val="null3"/>
              <w:jc w:val="center"/>
            </w:pPr>
            <w:r>
              <w:rPr>
                <w:sz w:val="19"/>
              </w:rPr>
              <w:t>动态校准系统（包括零气发生器、动态校准仪）</w:t>
            </w:r>
          </w:p>
        </w:tc>
        <w:tc>
          <w:tcPr>
            <w:tcW w:type="dxa" w:w="1661"/>
          </w:tcPr>
          <w:p>
            <w:pPr>
              <w:pStyle w:val="null3"/>
              <w:jc w:val="center"/>
            </w:pPr>
            <w:r>
              <w:rPr>
                <w:sz w:val="19"/>
              </w:rPr>
              <w:t>赛默飞世尔146i、111</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9</w:t>
            </w:r>
          </w:p>
        </w:tc>
        <w:tc>
          <w:tcPr>
            <w:tcW w:type="dxa" w:w="1661"/>
          </w:tcPr>
          <w:p>
            <w:pPr>
              <w:pStyle w:val="null3"/>
              <w:jc w:val="center"/>
            </w:pPr>
            <w:r>
              <w:rPr>
                <w:sz w:val="19"/>
              </w:rPr>
              <w:t>采样系统</w:t>
            </w:r>
          </w:p>
        </w:tc>
        <w:tc>
          <w:tcPr>
            <w:tcW w:type="dxa" w:w="1661"/>
          </w:tcPr>
          <w:p>
            <w:pPr>
              <w:pStyle w:val="null3"/>
              <w:jc w:val="center"/>
            </w:pPr>
            <w:r>
              <w:rPr>
                <w:sz w:val="19"/>
              </w:rPr>
              <w:t>科迪隆AQMS-CY3</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10</w:t>
            </w:r>
          </w:p>
        </w:tc>
        <w:tc>
          <w:tcPr>
            <w:tcW w:type="dxa" w:w="1661"/>
          </w:tcPr>
          <w:p>
            <w:pPr>
              <w:pStyle w:val="null3"/>
              <w:jc w:val="center"/>
            </w:pPr>
            <w:r>
              <w:rPr>
                <w:sz w:val="19"/>
              </w:rPr>
              <w:t>数据采集系统</w:t>
            </w:r>
          </w:p>
        </w:tc>
        <w:tc>
          <w:tcPr>
            <w:tcW w:type="dxa" w:w="1661"/>
          </w:tcPr>
          <w:p>
            <w:pPr>
              <w:pStyle w:val="null3"/>
              <w:jc w:val="center"/>
            </w:pPr>
            <w:r>
              <w:rPr>
                <w:sz w:val="19"/>
              </w:rPr>
              <w:t>科迪隆AQMS</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11</w:t>
            </w:r>
          </w:p>
        </w:tc>
        <w:tc>
          <w:tcPr>
            <w:tcW w:type="dxa" w:w="1661"/>
          </w:tcPr>
          <w:p>
            <w:pPr>
              <w:pStyle w:val="null3"/>
              <w:jc w:val="center"/>
            </w:pPr>
            <w:r>
              <w:rPr>
                <w:sz w:val="19"/>
              </w:rPr>
              <w:t>站房及配套设备</w:t>
            </w:r>
          </w:p>
        </w:tc>
        <w:tc>
          <w:tcPr>
            <w:tcW w:type="dxa" w:w="1661"/>
          </w:tcPr>
          <w:p>
            <w:pPr>
              <w:pStyle w:val="null3"/>
              <w:jc w:val="center"/>
            </w:pPr>
            <w:r>
              <w:rPr>
                <w:sz w:val="19"/>
              </w:rPr>
              <w:t>科迪隆ZF-CGB15</w:t>
            </w:r>
          </w:p>
        </w:tc>
        <w:tc>
          <w:tcPr>
            <w:tcW w:type="dxa" w:w="1661"/>
          </w:tcPr>
          <w:p>
            <w:pPr>
              <w:pStyle w:val="null3"/>
              <w:jc w:val="center"/>
            </w:pPr>
            <w:r>
              <w:rPr>
                <w:sz w:val="19"/>
              </w:rPr>
              <w:t>套</w:t>
            </w:r>
          </w:p>
        </w:tc>
        <w:tc>
          <w:tcPr>
            <w:tcW w:type="dxa" w:w="1661"/>
          </w:tcPr>
          <w:p>
            <w:pPr>
              <w:pStyle w:val="null3"/>
              <w:jc w:val="center"/>
            </w:pPr>
            <w:r>
              <w:rPr>
                <w:sz w:val="19"/>
              </w:rPr>
              <w:t>5</w:t>
            </w:r>
          </w:p>
        </w:tc>
      </w:tr>
    </w:tbl>
    <w:p>
      <w:pPr>
        <w:pStyle w:val="null3"/>
        <w:ind w:firstLine="241"/>
        <w:jc w:val="center"/>
      </w:pPr>
      <w:r>
        <w:rPr>
          <w:sz w:val="24"/>
          <w:b/>
        </w:rPr>
        <w:t>（表二</w:t>
      </w:r>
      <w:r>
        <w:rPr>
          <w:sz w:val="24"/>
          <w:b/>
        </w:rPr>
        <w:t>)视频监控系统仪器设备明细表</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Pr>
          <w:p>
            <w:pPr>
              <w:pStyle w:val="null3"/>
              <w:jc w:val="center"/>
            </w:pPr>
            <w:r>
              <w:rPr>
                <w:sz w:val="19"/>
              </w:rPr>
              <w:t>序号</w:t>
            </w:r>
          </w:p>
        </w:tc>
        <w:tc>
          <w:tcPr>
            <w:tcW w:type="dxa" w:w="1661"/>
          </w:tcPr>
          <w:p>
            <w:pPr>
              <w:pStyle w:val="null3"/>
              <w:jc w:val="center"/>
            </w:pPr>
            <w:r>
              <w:rPr>
                <w:sz w:val="19"/>
              </w:rPr>
              <w:t>设备名称</w:t>
            </w:r>
          </w:p>
        </w:tc>
        <w:tc>
          <w:tcPr>
            <w:tcW w:type="dxa" w:w="1661"/>
          </w:tcPr>
          <w:p>
            <w:pPr>
              <w:pStyle w:val="null3"/>
              <w:jc w:val="center"/>
            </w:pPr>
            <w:r>
              <w:rPr>
                <w:sz w:val="19"/>
              </w:rPr>
              <w:t>型号规格</w:t>
            </w:r>
          </w:p>
        </w:tc>
        <w:tc>
          <w:tcPr>
            <w:tcW w:type="dxa" w:w="1661"/>
          </w:tcPr>
          <w:p>
            <w:pPr>
              <w:pStyle w:val="null3"/>
              <w:jc w:val="center"/>
            </w:pPr>
            <w:r>
              <w:rPr>
                <w:sz w:val="19"/>
              </w:rPr>
              <w:t>单位</w:t>
            </w:r>
          </w:p>
        </w:tc>
        <w:tc>
          <w:tcPr>
            <w:tcW w:type="dxa" w:w="1661"/>
          </w:tcPr>
          <w:p>
            <w:pPr>
              <w:pStyle w:val="null3"/>
              <w:jc w:val="center"/>
            </w:pPr>
            <w:r>
              <w:rPr>
                <w:sz w:val="19"/>
              </w:rPr>
              <w:t>数量</w:t>
            </w:r>
          </w:p>
        </w:tc>
      </w:tr>
      <w:tr>
        <w:tc>
          <w:tcPr>
            <w:tcW w:type="dxa" w:w="1661"/>
          </w:tcPr>
          <w:p>
            <w:pPr>
              <w:pStyle w:val="null3"/>
              <w:jc w:val="center"/>
            </w:pPr>
            <w:r>
              <w:rPr>
                <w:sz w:val="19"/>
              </w:rPr>
              <w:t>1</w:t>
            </w:r>
          </w:p>
        </w:tc>
        <w:tc>
          <w:tcPr>
            <w:tcW w:type="dxa" w:w="1661"/>
          </w:tcPr>
          <w:p>
            <w:pPr>
              <w:pStyle w:val="null3"/>
              <w:jc w:val="center"/>
            </w:pPr>
            <w:r>
              <w:rPr>
                <w:sz w:val="19"/>
              </w:rPr>
              <w:t>焚烧AI监测设备终端</w:t>
            </w:r>
          </w:p>
        </w:tc>
        <w:tc>
          <w:tcPr>
            <w:tcW w:type="dxa" w:w="1661"/>
          </w:tcPr>
          <w:p>
            <w:pPr>
              <w:pStyle w:val="null3"/>
              <w:jc w:val="center"/>
            </w:pPr>
            <w:r>
              <w:rPr>
                <w:sz w:val="19"/>
              </w:rPr>
              <w:t>科迪隆AIPS2000</w:t>
            </w:r>
          </w:p>
        </w:tc>
        <w:tc>
          <w:tcPr>
            <w:tcW w:type="dxa" w:w="1661"/>
          </w:tcPr>
          <w:p>
            <w:pPr>
              <w:pStyle w:val="null3"/>
              <w:jc w:val="center"/>
            </w:pPr>
            <w:r>
              <w:rPr>
                <w:sz w:val="19"/>
              </w:rPr>
              <w:t>套</w:t>
            </w:r>
          </w:p>
        </w:tc>
        <w:tc>
          <w:tcPr>
            <w:tcW w:type="dxa" w:w="1661"/>
          </w:tcPr>
          <w:p>
            <w:pPr>
              <w:pStyle w:val="null3"/>
              <w:jc w:val="center"/>
            </w:pPr>
            <w:r>
              <w:rPr>
                <w:sz w:val="19"/>
              </w:rPr>
              <w:t>4</w:t>
            </w:r>
          </w:p>
        </w:tc>
      </w:tr>
      <w:tr>
        <w:tc>
          <w:tcPr>
            <w:tcW w:type="dxa" w:w="1661"/>
          </w:tcPr>
          <w:p>
            <w:pPr>
              <w:pStyle w:val="null3"/>
              <w:jc w:val="center"/>
            </w:pPr>
            <w:r>
              <w:rPr>
                <w:sz w:val="19"/>
              </w:rPr>
              <w:t>2</w:t>
            </w:r>
          </w:p>
        </w:tc>
        <w:tc>
          <w:tcPr>
            <w:tcW w:type="dxa" w:w="1661"/>
          </w:tcPr>
          <w:p>
            <w:pPr>
              <w:pStyle w:val="null3"/>
              <w:jc w:val="center"/>
            </w:pPr>
            <w:r>
              <w:rPr>
                <w:sz w:val="19"/>
              </w:rPr>
              <w:t>高空高清摄像头</w:t>
            </w:r>
          </w:p>
        </w:tc>
        <w:tc>
          <w:tcPr>
            <w:tcW w:type="dxa" w:w="1661"/>
          </w:tcPr>
          <w:p>
            <w:pPr>
              <w:pStyle w:val="null3"/>
              <w:jc w:val="center"/>
            </w:pPr>
            <w:r>
              <w:rPr>
                <w:sz w:val="19"/>
              </w:rPr>
              <w:t>科迪隆HCPS2000</w:t>
            </w:r>
          </w:p>
        </w:tc>
        <w:tc>
          <w:tcPr>
            <w:tcW w:type="dxa" w:w="1661"/>
          </w:tcPr>
          <w:p>
            <w:pPr>
              <w:pStyle w:val="null3"/>
              <w:jc w:val="center"/>
            </w:pPr>
            <w:r>
              <w:rPr>
                <w:sz w:val="19"/>
              </w:rPr>
              <w:t>套</w:t>
            </w:r>
          </w:p>
        </w:tc>
        <w:tc>
          <w:tcPr>
            <w:tcW w:type="dxa" w:w="1661"/>
          </w:tcPr>
          <w:p>
            <w:pPr>
              <w:pStyle w:val="null3"/>
              <w:jc w:val="center"/>
            </w:pPr>
            <w:r>
              <w:rPr>
                <w:sz w:val="19"/>
              </w:rPr>
              <w:t>18</w:t>
            </w:r>
          </w:p>
        </w:tc>
      </w:tr>
    </w:tbl>
    <w:p>
      <w:pPr>
        <w:pStyle w:val="null3"/>
        <w:ind w:firstLine="480"/>
      </w:pPr>
      <w:r>
        <w:rPr>
          <w:sz w:val="24"/>
        </w:rPr>
        <w:t>采购包</w:t>
      </w:r>
      <w:r>
        <w:rPr>
          <w:sz w:val="24"/>
        </w:rPr>
        <w:t>2</w:t>
      </w:r>
      <w:r>
        <w:rPr>
          <w:sz w:val="24"/>
        </w:rPr>
        <w:t>：</w:t>
      </w:r>
    </w:p>
    <w:p>
      <w:pPr>
        <w:pStyle w:val="null3"/>
        <w:ind w:firstLine="241"/>
        <w:jc w:val="center"/>
      </w:pPr>
      <w:r>
        <w:rPr>
          <w:sz w:val="24"/>
          <w:b/>
        </w:rPr>
        <w:t>（表</w:t>
      </w:r>
      <w:r>
        <w:rPr>
          <w:sz w:val="24"/>
          <w:b/>
        </w:rPr>
        <w:t>一</w:t>
      </w:r>
      <w:r>
        <w:rPr>
          <w:sz w:val="24"/>
          <w:b/>
        </w:rPr>
        <w:t>)</w:t>
      </w:r>
      <w:r>
        <w:rPr>
          <w:sz w:val="24"/>
          <w:b/>
        </w:rPr>
        <w:t xml:space="preserve"> </w:t>
      </w:r>
      <w:r>
        <w:rPr>
          <w:sz w:val="24"/>
          <w:b/>
        </w:rPr>
        <w:t>5个镇街（新龙镇、长岭街、穗东街、南岗街、长洲街）</w:t>
      </w:r>
      <w:r>
        <w:rPr>
          <w:sz w:val="24"/>
          <w:b/>
        </w:rPr>
        <w:t>空气站仪器设备明细表</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Pr>
          <w:p>
            <w:pPr>
              <w:pStyle w:val="null3"/>
              <w:jc w:val="center"/>
            </w:pPr>
            <w:r>
              <w:rPr>
                <w:sz w:val="19"/>
              </w:rPr>
              <w:t>序号</w:t>
            </w:r>
          </w:p>
        </w:tc>
        <w:tc>
          <w:tcPr>
            <w:tcW w:type="dxa" w:w="1661"/>
          </w:tcPr>
          <w:p>
            <w:pPr>
              <w:pStyle w:val="null3"/>
              <w:jc w:val="center"/>
            </w:pPr>
            <w:r>
              <w:rPr>
                <w:sz w:val="19"/>
              </w:rPr>
              <w:t>设备名称</w:t>
            </w:r>
          </w:p>
        </w:tc>
        <w:tc>
          <w:tcPr>
            <w:tcW w:type="dxa" w:w="1661"/>
          </w:tcPr>
          <w:p>
            <w:pPr>
              <w:pStyle w:val="null3"/>
              <w:jc w:val="center"/>
            </w:pPr>
            <w:r>
              <w:rPr>
                <w:sz w:val="19"/>
              </w:rPr>
              <w:t>型号规格</w:t>
            </w:r>
          </w:p>
        </w:tc>
        <w:tc>
          <w:tcPr>
            <w:tcW w:type="dxa" w:w="1661"/>
          </w:tcPr>
          <w:p>
            <w:pPr>
              <w:pStyle w:val="null3"/>
              <w:jc w:val="center"/>
            </w:pPr>
            <w:r>
              <w:rPr>
                <w:sz w:val="19"/>
              </w:rPr>
              <w:t>单位</w:t>
            </w:r>
          </w:p>
        </w:tc>
        <w:tc>
          <w:tcPr>
            <w:tcW w:type="dxa" w:w="1661"/>
          </w:tcPr>
          <w:p>
            <w:pPr>
              <w:pStyle w:val="null3"/>
              <w:jc w:val="center"/>
            </w:pPr>
            <w:r>
              <w:rPr>
                <w:sz w:val="19"/>
              </w:rPr>
              <w:t>数量</w:t>
            </w:r>
          </w:p>
        </w:tc>
      </w:tr>
      <w:tr>
        <w:tc>
          <w:tcPr>
            <w:tcW w:type="dxa" w:w="1661"/>
          </w:tcPr>
          <w:p>
            <w:pPr>
              <w:pStyle w:val="null3"/>
              <w:jc w:val="center"/>
            </w:pPr>
            <w:r>
              <w:rPr>
                <w:sz w:val="19"/>
              </w:rPr>
              <w:t>1</w:t>
            </w:r>
          </w:p>
        </w:tc>
        <w:tc>
          <w:tcPr>
            <w:tcW w:type="dxa" w:w="1661"/>
          </w:tcPr>
          <w:p>
            <w:pPr>
              <w:pStyle w:val="null3"/>
              <w:jc w:val="center"/>
            </w:pPr>
            <w:r>
              <w:rPr>
                <w:sz w:val="19"/>
              </w:rPr>
              <w:t>二氧化硫分析仪（SO2）</w:t>
            </w:r>
          </w:p>
        </w:tc>
        <w:tc>
          <w:tcPr>
            <w:tcW w:type="dxa" w:w="1661"/>
          </w:tcPr>
          <w:p>
            <w:pPr>
              <w:pStyle w:val="null3"/>
              <w:jc w:val="center"/>
            </w:pPr>
            <w:r>
              <w:rPr>
                <w:sz w:val="19"/>
              </w:rPr>
              <w:t>赛默飞世尔43i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2</w:t>
            </w:r>
          </w:p>
        </w:tc>
        <w:tc>
          <w:tcPr>
            <w:tcW w:type="dxa" w:w="1661"/>
          </w:tcPr>
          <w:p>
            <w:pPr>
              <w:pStyle w:val="null3"/>
              <w:jc w:val="center"/>
            </w:pPr>
            <w:r>
              <w:rPr>
                <w:sz w:val="19"/>
              </w:rPr>
              <w:t>氮氧化物分析仪（NO-NO2-NOx）</w:t>
            </w:r>
          </w:p>
        </w:tc>
        <w:tc>
          <w:tcPr>
            <w:tcW w:type="dxa" w:w="1661"/>
          </w:tcPr>
          <w:p>
            <w:pPr>
              <w:pStyle w:val="null3"/>
              <w:jc w:val="center"/>
            </w:pPr>
            <w:r>
              <w:rPr>
                <w:sz w:val="19"/>
              </w:rPr>
              <w:t>赛默飞世尔42i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3</w:t>
            </w:r>
          </w:p>
        </w:tc>
        <w:tc>
          <w:tcPr>
            <w:tcW w:type="dxa" w:w="1661"/>
          </w:tcPr>
          <w:p>
            <w:pPr>
              <w:pStyle w:val="null3"/>
              <w:jc w:val="center"/>
            </w:pPr>
            <w:r>
              <w:rPr>
                <w:sz w:val="19"/>
              </w:rPr>
              <w:t>一氧化碳分析仪（CO）</w:t>
            </w:r>
          </w:p>
        </w:tc>
        <w:tc>
          <w:tcPr>
            <w:tcW w:type="dxa" w:w="1661"/>
          </w:tcPr>
          <w:p>
            <w:pPr>
              <w:pStyle w:val="null3"/>
              <w:jc w:val="center"/>
            </w:pPr>
            <w:r>
              <w:rPr>
                <w:sz w:val="19"/>
              </w:rPr>
              <w:t>赛默飞世尔48i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4</w:t>
            </w:r>
          </w:p>
        </w:tc>
        <w:tc>
          <w:tcPr>
            <w:tcW w:type="dxa" w:w="1661"/>
          </w:tcPr>
          <w:p>
            <w:pPr>
              <w:pStyle w:val="null3"/>
              <w:jc w:val="center"/>
            </w:pPr>
            <w:r>
              <w:rPr>
                <w:sz w:val="19"/>
              </w:rPr>
              <w:t>臭氧分析仪（O3）</w:t>
            </w:r>
          </w:p>
        </w:tc>
        <w:tc>
          <w:tcPr>
            <w:tcW w:type="dxa" w:w="1661"/>
          </w:tcPr>
          <w:p>
            <w:pPr>
              <w:pStyle w:val="null3"/>
              <w:jc w:val="center"/>
            </w:pPr>
            <w:r>
              <w:rPr>
                <w:sz w:val="19"/>
              </w:rPr>
              <w:t>赛默飞世尔49i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5</w:t>
            </w:r>
          </w:p>
        </w:tc>
        <w:tc>
          <w:tcPr>
            <w:tcW w:type="dxa" w:w="1661"/>
          </w:tcPr>
          <w:p>
            <w:pPr>
              <w:pStyle w:val="null3"/>
              <w:jc w:val="center"/>
            </w:pPr>
            <w:r>
              <w:rPr>
                <w:sz w:val="19"/>
              </w:rPr>
              <w:t>PM10颗粒物分析仪</w:t>
            </w:r>
          </w:p>
        </w:tc>
        <w:tc>
          <w:tcPr>
            <w:tcW w:type="dxa" w:w="1661"/>
          </w:tcPr>
          <w:p>
            <w:pPr>
              <w:pStyle w:val="null3"/>
              <w:jc w:val="center"/>
            </w:pPr>
            <w:r>
              <w:rPr>
                <w:sz w:val="19"/>
              </w:rPr>
              <w:t>赛默飞世尔5014i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6</w:t>
            </w:r>
          </w:p>
        </w:tc>
        <w:tc>
          <w:tcPr>
            <w:tcW w:type="dxa" w:w="1661"/>
          </w:tcPr>
          <w:p>
            <w:pPr>
              <w:pStyle w:val="null3"/>
              <w:jc w:val="center"/>
            </w:pPr>
            <w:r>
              <w:rPr>
                <w:sz w:val="19"/>
              </w:rPr>
              <w:t>PM2.5颗粒物分析仪</w:t>
            </w:r>
          </w:p>
        </w:tc>
        <w:tc>
          <w:tcPr>
            <w:tcW w:type="dxa" w:w="1661"/>
          </w:tcPr>
          <w:p>
            <w:pPr>
              <w:pStyle w:val="null3"/>
              <w:jc w:val="center"/>
            </w:pPr>
            <w:r>
              <w:rPr>
                <w:sz w:val="19"/>
              </w:rPr>
              <w:t>赛默飞世尔5014i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8</w:t>
            </w:r>
          </w:p>
        </w:tc>
        <w:tc>
          <w:tcPr>
            <w:tcW w:type="dxa" w:w="1661"/>
          </w:tcPr>
          <w:p>
            <w:pPr>
              <w:pStyle w:val="null3"/>
              <w:jc w:val="center"/>
            </w:pPr>
            <w:r>
              <w:rPr>
                <w:sz w:val="19"/>
              </w:rPr>
              <w:t>动态校准系统（包括零气发生器、动态校准仪）</w:t>
            </w:r>
          </w:p>
        </w:tc>
        <w:tc>
          <w:tcPr>
            <w:tcW w:type="dxa" w:w="1661"/>
          </w:tcPr>
          <w:p>
            <w:pPr>
              <w:pStyle w:val="null3"/>
              <w:jc w:val="center"/>
            </w:pPr>
            <w:r>
              <w:rPr>
                <w:sz w:val="19"/>
              </w:rPr>
              <w:t>赛默飞世尔146i、111</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9</w:t>
            </w:r>
          </w:p>
        </w:tc>
        <w:tc>
          <w:tcPr>
            <w:tcW w:type="dxa" w:w="1661"/>
          </w:tcPr>
          <w:p>
            <w:pPr>
              <w:pStyle w:val="null3"/>
              <w:jc w:val="center"/>
            </w:pPr>
            <w:r>
              <w:rPr>
                <w:sz w:val="19"/>
              </w:rPr>
              <w:t>采样系统</w:t>
            </w:r>
          </w:p>
        </w:tc>
        <w:tc>
          <w:tcPr>
            <w:tcW w:type="dxa" w:w="1661"/>
          </w:tcPr>
          <w:p>
            <w:pPr>
              <w:pStyle w:val="null3"/>
              <w:jc w:val="center"/>
            </w:pPr>
            <w:r>
              <w:rPr>
                <w:sz w:val="19"/>
              </w:rPr>
              <w:t>科迪隆AQMS-CY3</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10</w:t>
            </w:r>
          </w:p>
        </w:tc>
        <w:tc>
          <w:tcPr>
            <w:tcW w:type="dxa" w:w="1661"/>
          </w:tcPr>
          <w:p>
            <w:pPr>
              <w:pStyle w:val="null3"/>
              <w:jc w:val="center"/>
            </w:pPr>
            <w:r>
              <w:rPr>
                <w:sz w:val="19"/>
              </w:rPr>
              <w:t>数据采集系统</w:t>
            </w:r>
          </w:p>
        </w:tc>
        <w:tc>
          <w:tcPr>
            <w:tcW w:type="dxa" w:w="1661"/>
          </w:tcPr>
          <w:p>
            <w:pPr>
              <w:pStyle w:val="null3"/>
              <w:jc w:val="center"/>
            </w:pPr>
            <w:r>
              <w:rPr>
                <w:sz w:val="19"/>
              </w:rPr>
              <w:t>科迪隆AQMS</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11</w:t>
            </w:r>
          </w:p>
        </w:tc>
        <w:tc>
          <w:tcPr>
            <w:tcW w:type="dxa" w:w="1661"/>
          </w:tcPr>
          <w:p>
            <w:pPr>
              <w:pStyle w:val="null3"/>
              <w:jc w:val="center"/>
            </w:pPr>
            <w:r>
              <w:rPr>
                <w:sz w:val="19"/>
              </w:rPr>
              <w:t>站房及配套设备</w:t>
            </w:r>
          </w:p>
        </w:tc>
        <w:tc>
          <w:tcPr>
            <w:tcW w:type="dxa" w:w="1661"/>
          </w:tcPr>
          <w:p>
            <w:pPr>
              <w:pStyle w:val="null3"/>
              <w:jc w:val="center"/>
            </w:pPr>
            <w:r>
              <w:rPr>
                <w:sz w:val="19"/>
              </w:rPr>
              <w:t>科迪隆ZF-CGB15</w:t>
            </w:r>
          </w:p>
        </w:tc>
        <w:tc>
          <w:tcPr>
            <w:tcW w:type="dxa" w:w="1661"/>
          </w:tcPr>
          <w:p>
            <w:pPr>
              <w:pStyle w:val="null3"/>
              <w:jc w:val="center"/>
            </w:pPr>
            <w:r>
              <w:rPr>
                <w:sz w:val="19"/>
              </w:rPr>
              <w:t>套</w:t>
            </w:r>
          </w:p>
        </w:tc>
        <w:tc>
          <w:tcPr>
            <w:tcW w:type="dxa" w:w="1661"/>
          </w:tcPr>
          <w:p>
            <w:pPr>
              <w:pStyle w:val="null3"/>
              <w:jc w:val="center"/>
            </w:pPr>
            <w:r>
              <w:rPr>
                <w:sz w:val="19"/>
              </w:rPr>
              <w:t>5</w:t>
            </w:r>
          </w:p>
        </w:tc>
      </w:tr>
    </w:tbl>
    <w:p>
      <w:pPr>
        <w:pStyle w:val="null3"/>
      </w:pPr>
      <w:r>
        <w:rPr/>
        <w:t>采购包1（5个镇街（文冲街、黄埔街、大沙街、萝岗街、生物岛）空气站运行及技术服务（含18套高空高清视频监控系统、4套露天焚烧AI监测摄像运行及技术服务)）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合同签订之日起2年。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第1期为(预付款)：支付比例35%，合同签订后收到中标供应商发票5个工作日内按照国库集中支付有关规定办理支付手续支付合同款的35%作为首付款。</w:t>
            </w:r>
          </w:p>
          <w:p>
            <w:pPr>
              <w:pStyle w:val="null3"/>
            </w:pPr>
            <w:r>
              <w:rPr/>
              <w:t>第2期为(进度款)：支付比例50%，运维一年并经考核合格后支付合同款的50%。</w:t>
            </w:r>
          </w:p>
          <w:p>
            <w:pPr>
              <w:pStyle w:val="null3"/>
            </w:pPr>
            <w:r>
              <w:rPr/>
              <w:t>第3期为(尾款)：支付比例15%，运维两年并经考核合格后支付合同款的15%。 注:1、中标供应商凭以下资料与采购人结算： （1）采购合同；（2）中标供应商开具的正式发票；（3）考核验收报告[1期无需提供]；（4）采购人财务部门要求的其他资料。 2、合同签订金额视财政资金落实情况和实际下拨数为准。 如项目发生合同融资，采购人应当将合同款项支付到合同约定收款账户。如财政部门对申请材料有其他要求的，中标供应商也应配合及时提供。如中标供应商（如有）未按本合同约定及时提供请款所需材料和发票的，采购人有权延缓申请支付，直至收到中标供应商提供的材料和发票时止，而不视为采购人违约。 3、关于付款的特别约定： 由于采购人使用的是财政性资金，采购人向财政部门申请支付即视为履行了付款义务，中标供应商不得因财政部门审核需要时间、拨款迟延等原因要求采购人承担迟延付款的责任，更不得因此怠于履行合同义务。若因上级政策调整或变化等原因，双方可协商一致后变更或解除合同。</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照《广州市黄埔区“一街一站”空气自动监测站运行管理及考核办法》等相关管理制度要求进行考核验收，中标供应商有责任接受黄埔环境监测站的定期和不定期考核。所有成果通过考核验收并获得采购人同意后，则视为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本项目以总价包干，包括项目全部内容的费用（包括但不限于服务所必须的人工费用、资料收集、采样、分析、出具报告、递送文件、日常办公、差旅、会议、劳务、管理费、税费及汇报成果制作费、不可预见的费用等），中标后不得再向采购人收取报价外的任何费用。</w:t>
            </w:r>
          </w:p>
          <w:p>
            <w:pPr>
              <w:pStyle w:val="null3"/>
            </w:pPr>
            <w:r>
              <w:rPr/>
              <w:t>二、保密要求，中标供应商需对所有监测数据及相关信息资料保密，不得以任何方式透露给第三方。</w:t>
            </w:r>
          </w:p>
          <w:p>
            <w:pPr>
              <w:pStyle w:val="null3"/>
            </w:pPr>
            <w:r>
              <w:rPr/>
              <w:t>三、违约处理，中标供应商在运营时出现以下状况，视为违约，采购人有权追究其责任； （1）中标供应商将数据泄密，采购人有权即时终止合同，有权要求中标供应商向采购人支付双倍已支付运营费作为违约金，并追究相关的法律责任。 （2）如在服务期内子站单站月数据因运维不到位有效率达不到90%，中标供应商需支付合同总额的5%作为违约金，同时采购人有权即时终止合同。 （3）在采购人日常检查中，单项检查如出现跨度偏差大于等于15%的，每项支付500元违约金；如同一单项的检查出现累计2次以上跨度偏差大于等于15%的，中标供应商需支付合同总额的20%作为违约金，同时采购人有权即时终止合同。 （4）在采购人的检查中，如发现中标供应商未能按《环境空气颗粒物（PM10 和PM2.5）连续自动监测系统安装和验收技术规范》（HJ 655-2013）、《环境空气气态污染物（SO2、NO2、O3、CO）连续自动监测系统安装验收技术规范》（HJ 193-2013）、《环境空气颗粒物（PM10和PM2.5）连续自动监测系统技术要求及检测方法》（HJ 653-2021）、《环境空气气态污染物（SO2、NO2、O3、CO）连续自动监测系统技术要求及检测方法》（HJ 654-2013）要求执行，同一站点服务期内累计超过3次后，每次向采购人支付违约金1000元。 （5）如中标供应商未能按本合同规定的时间提供服务，从逾期之日起每日按本合同总价3‰的数额向采购人支付违约金；逾期半个月以上的，采购人有权终止合同，由此造成的采购人经济损失由中标供应商承担。 （6）采购人、中标供应商其中一方在合同履行期间要求终止合同时，应提前5天以书面形式通知对方，经双方协商同音后方可解除合同，否则视为违约。双方协商确认后，按照合同付款方式已支付的剩余资金的5个工作日内退还给采购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5个镇街（文冲街、黄埔街、大沙街、萝岗街、生物岛）空气站运行及技术服务（含18套高空高清视频监控系统、4套露天焚烧AI监测摄像运行及技术服务)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1,966,000.00</w:t>
            </w:r>
          </w:p>
        </w:tc>
        <w:tc>
          <w:tcPr>
            <w:tcW w:type="dxa" w:w="933"/>
          </w:tcPr>
          <w:p>
            <w:pPr>
              <w:pStyle w:val="null3"/>
              <w:jc w:val="right"/>
            </w:pPr>
            <w:r>
              <w:rPr/>
              <w:t>1,966,000.00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5个镇街（文冲街、黄埔街、大沙街、萝岗街、生物岛）空气站运行及技术服务（含18套高空高清视频监控系统、4套露天焚烧AI监测摄像运行及技术服务)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1.定期预防性维护服务</w:t>
            </w:r>
          </w:p>
          <w:p>
            <w:pPr>
              <w:pStyle w:val="null3"/>
            </w:pPr>
            <w:r>
              <w:rPr/>
              <w:t>中标供应商负责派遣工程技术人员每周定期至各空气自动监测站，进行现场仪器性能检查及预防性维护工作，及时更换失效硅胶、分子筛和变黑的滤膜，及时排除积水，保证监测仪器及辅助设施的正常运行，按质量控制和管理要求做好相应的维护记录，每月提交维护和质控报告。相关的日常维护工作必须符合仪器说明书及《环境空气颗粒物（PM10 和PM2.5）连续自动监测系统安装和验收技术规范》、《环境空气气态污染物（SO2、NO2、O3、CO）连续自动监测系统安装验收技术规范》、《环境空气颗粒物（PM10 和 PM2.5）连续自动监测系统运行和质控技术规范》、《环境空气气态污染物（SO2、NO2、O3、CO）连续自动监测系统运行和质控技术规范》要求。</w:t>
            </w:r>
          </w:p>
        </w:tc>
      </w:tr>
      <w:tr>
        <w:tc>
          <w:tcPr>
            <w:tcW w:type="dxa" w:w="2076"/>
          </w:tcPr>
          <w:p/>
        </w:tc>
        <w:tc>
          <w:tcPr>
            <w:tcW w:type="dxa" w:w="415"/>
          </w:tcPr>
          <w:p>
            <w:pPr>
              <w:pStyle w:val="null3"/>
            </w:pPr>
            <w:r>
              <w:rPr/>
              <w:t>2</w:t>
            </w:r>
          </w:p>
        </w:tc>
        <w:tc>
          <w:tcPr>
            <w:tcW w:type="dxa" w:w="5814"/>
          </w:tcPr>
          <w:p>
            <w:pPr>
              <w:pStyle w:val="null3"/>
              <w:jc w:val="both"/>
            </w:pPr>
            <w:r>
              <w:rPr/>
              <w:t>2.定期质量保证及控制服务</w:t>
            </w:r>
          </w:p>
          <w:p>
            <w:pPr>
              <w:pStyle w:val="null3"/>
            </w:pPr>
            <w:r>
              <w:rPr/>
              <w:t>2.1依照《环境空气颗粒物（PM10 和PM2.5）连续自动监测系统安装和验收技术规范》、《环境空气气态污染物（SO2、NO2、O3、CO）连续自动监测系统安装验收技术规范》、《环境空气颗粒物（PM10 和 PM2.5）连续自动监测系统运行和质控技术规范》、《环境空气气态污染物（SO2、NO2、O3、CO）连续自动监测系统运行和质控技术规范》，实施大气自动监测系统的质量保证及质量控制（QA/QC）工作，每月提交QA/QC工作报告。</w:t>
            </w:r>
          </w:p>
          <w:p>
            <w:pPr>
              <w:pStyle w:val="null3"/>
            </w:pPr>
            <w:r>
              <w:rPr/>
              <w:t>2.2需对监测仪器进行定期校准，并提交校准报告。中标供应商应配备仪器校准所需的设备及配件。每周进行零点校准和跨度校准，每月进行精度校准，服务期限内每半年至少进行一次多点校准，每月提交校准报告，每半年提供一次多点校准报告。</w:t>
            </w:r>
          </w:p>
        </w:tc>
      </w:tr>
      <w:tr>
        <w:tc>
          <w:tcPr>
            <w:tcW w:type="dxa" w:w="2076"/>
          </w:tcPr>
          <w:p/>
        </w:tc>
        <w:tc>
          <w:tcPr>
            <w:tcW w:type="dxa" w:w="415"/>
          </w:tcPr>
          <w:p>
            <w:pPr>
              <w:pStyle w:val="null3"/>
            </w:pPr>
            <w:r>
              <w:rPr/>
              <w:t>3</w:t>
            </w:r>
          </w:p>
        </w:tc>
        <w:tc>
          <w:tcPr>
            <w:tcW w:type="dxa" w:w="5814"/>
          </w:tcPr>
          <w:p>
            <w:pPr>
              <w:pStyle w:val="null3"/>
              <w:jc w:val="both"/>
            </w:pPr>
            <w:r>
              <w:rPr/>
              <w:t>3.数据监控服务</w:t>
            </w:r>
          </w:p>
          <w:p>
            <w:pPr>
              <w:pStyle w:val="null3"/>
            </w:pPr>
            <w:r>
              <w:rPr/>
              <w:t>3.1中标供应商负责对监测数据和仪器问题进行实时监控，监控人员发现超标情况和异常情况应即刻通知黄埔环境监测站管理人员，同时观测子站周围是否发生污染事故，发现污染事故要及时上报，同时做好记录；如发现仪器异常或者接到黄埔环境监测站通知后，应立刻派遣工程技术人员在2小时内赶至现场处理，如果当场不能修复的应立即机更换备机，确保在24小时内系统恢复正常，并做好运行记录，及时向黄埔环境监测站值班人员报告，由监测站管理人员删除无效数据。</w:t>
            </w:r>
          </w:p>
          <w:p>
            <w:pPr>
              <w:pStyle w:val="null3"/>
            </w:pPr>
            <w:r>
              <w:rPr/>
              <w:t>3.2中标供应商需在每月、每季度、半年和年终结束的7天内提交月、季度、半年和全年数据分析报告。中标供应商有义务承担黄埔环境监测站提出的各类空气质量分析报告编写工作。并利用自己的技术优势帮助黄埔环境监测站对全区的空气质量进行综合分析，提出合理化建议、建设性意见和有效可行的改善措施。</w:t>
            </w:r>
          </w:p>
          <w:p>
            <w:pPr>
              <w:pStyle w:val="null3"/>
            </w:pPr>
            <w:r>
              <w:rPr/>
              <w:t>3.3 中标供应商需每日做好质控记录和运行情况记录，按月汇总上报给黄埔环境监测站。</w:t>
            </w:r>
          </w:p>
        </w:tc>
      </w:tr>
      <w:tr>
        <w:tc>
          <w:tcPr>
            <w:tcW w:type="dxa" w:w="2076"/>
          </w:tcPr>
          <w:p/>
        </w:tc>
        <w:tc>
          <w:tcPr>
            <w:tcW w:type="dxa" w:w="415"/>
          </w:tcPr>
          <w:p>
            <w:pPr>
              <w:pStyle w:val="null3"/>
            </w:pPr>
            <w:r>
              <w:rPr/>
              <w:t>4</w:t>
            </w:r>
          </w:p>
        </w:tc>
        <w:tc>
          <w:tcPr>
            <w:tcW w:type="dxa" w:w="5814"/>
          </w:tcPr>
          <w:p>
            <w:pPr>
              <w:pStyle w:val="null3"/>
              <w:jc w:val="both"/>
            </w:pPr>
            <w:r>
              <w:rPr/>
              <w:t>4.数据要求：</w:t>
            </w:r>
          </w:p>
          <w:p>
            <w:pPr>
              <w:pStyle w:val="null3"/>
            </w:pPr>
            <w:r>
              <w:rPr/>
              <w:t>中标供应商要保证各空气质量自动监测系统能正常运行，数据传输正常，月、年数据有效率达到90%以上的要求。提供视频监控系统AI智能分析识别焚烧、烟雾等异常情况并实现自动预警，将本项目涉及的实时监测数据和监控视频上传至黄埔区污染防治攻坚战指挥系统。</w:t>
            </w:r>
          </w:p>
        </w:tc>
      </w:tr>
      <w:tr>
        <w:tc>
          <w:tcPr>
            <w:tcW w:type="dxa" w:w="2076"/>
          </w:tcPr>
          <w:p/>
        </w:tc>
        <w:tc>
          <w:tcPr>
            <w:tcW w:type="dxa" w:w="415"/>
          </w:tcPr>
          <w:p>
            <w:pPr>
              <w:pStyle w:val="null3"/>
            </w:pPr>
            <w:r>
              <w:rPr/>
              <w:t>5</w:t>
            </w:r>
          </w:p>
        </w:tc>
        <w:tc>
          <w:tcPr>
            <w:tcW w:type="dxa" w:w="5814"/>
          </w:tcPr>
          <w:p>
            <w:pPr>
              <w:pStyle w:val="null3"/>
              <w:jc w:val="both"/>
            </w:pPr>
            <w:r>
              <w:rPr/>
              <w:t>5.考核要求：</w:t>
            </w:r>
          </w:p>
          <w:p>
            <w:pPr>
              <w:pStyle w:val="null3"/>
            </w:pPr>
            <w:r>
              <w:rPr/>
              <w:t>中标供应商有责任接受黄埔环境监测站的定期和不定期考核。在考核中，不能出现两次以上偏差大于等于15%。</w:t>
            </w:r>
          </w:p>
        </w:tc>
      </w:tr>
      <w:tr>
        <w:tc>
          <w:tcPr>
            <w:tcW w:type="dxa" w:w="2076"/>
          </w:tcPr>
          <w:p/>
        </w:tc>
        <w:tc>
          <w:tcPr>
            <w:tcW w:type="dxa" w:w="415"/>
          </w:tcPr>
          <w:p>
            <w:pPr>
              <w:pStyle w:val="null3"/>
            </w:pPr>
            <w:r>
              <w:rPr/>
              <w:t>6</w:t>
            </w:r>
          </w:p>
        </w:tc>
        <w:tc>
          <w:tcPr>
            <w:tcW w:type="dxa" w:w="5814"/>
          </w:tcPr>
          <w:p>
            <w:pPr>
              <w:pStyle w:val="null3"/>
            </w:pPr>
            <w:r>
              <w:rPr/>
              <w:t>6.监督检查要求：</w:t>
            </w:r>
            <w:r>
              <w:br/>
            </w:r>
            <w:r>
              <w:rPr/>
              <w:t xml:space="preserve"> 中标供应商有责任接受黄埔环境监测站定期和不定期检查，每年被检查出不符合《广州市黄埔区“一街一站”空气自动监测站运行管理及考核办法》的次数累计不能超过3次。 </w:t>
            </w:r>
          </w:p>
        </w:tc>
      </w:tr>
      <w:tr>
        <w:tc>
          <w:tcPr>
            <w:tcW w:type="dxa" w:w="2076"/>
          </w:tcPr>
          <w:p/>
        </w:tc>
        <w:tc>
          <w:tcPr>
            <w:tcW w:type="dxa" w:w="415"/>
          </w:tcPr>
          <w:p>
            <w:pPr>
              <w:pStyle w:val="null3"/>
            </w:pPr>
            <w:r>
              <w:rPr/>
              <w:t>7</w:t>
            </w:r>
          </w:p>
        </w:tc>
        <w:tc>
          <w:tcPr>
            <w:tcW w:type="dxa" w:w="5814"/>
          </w:tcPr>
          <w:p>
            <w:pPr>
              <w:pStyle w:val="null3"/>
              <w:jc w:val="both"/>
            </w:pPr>
            <w:r>
              <w:rPr/>
              <w:t>7.常规耗材及配件的提供及更换要求：</w:t>
            </w:r>
          </w:p>
          <w:p>
            <w:pPr>
              <w:pStyle w:val="null3"/>
            </w:pPr>
            <w:r>
              <w:rPr/>
              <w:t>7.1中标供应商负责提供仪器日常运转所需要更换的消耗品以及维修所需的零配件。仪器维修后及使用前均需进行校准才能投入使用，并提供相应的维修记录和校准记录。</w:t>
            </w:r>
          </w:p>
          <w:p>
            <w:pPr>
              <w:pStyle w:val="null3"/>
            </w:pPr>
            <w:r>
              <w:rPr/>
              <w:t>7.2中标供应商应有本项目仪器设备的维修和零配件供应的能力。为保证本次项目所有仪器设备所使用的零配件是原厂原装正品，中标供应商承诺本项目所有仪器设备所使用的零配件为从正当渠道购置的原厂原装正品；需提交每次更换零配件记录、出厂证明等说明材料。若中标后提供非原厂原装正品导致仪器设备损坏或影响项目进行的，采购人有权要求中标供应商赔偿损失并追究其相关责任。（提供承诺函，格式自拟）</w:t>
            </w:r>
          </w:p>
        </w:tc>
      </w:tr>
      <w:tr>
        <w:tc>
          <w:tcPr>
            <w:tcW w:type="dxa" w:w="2076"/>
          </w:tcPr>
          <w:p/>
        </w:tc>
        <w:tc>
          <w:tcPr>
            <w:tcW w:type="dxa" w:w="415"/>
          </w:tcPr>
          <w:p>
            <w:pPr>
              <w:pStyle w:val="null3"/>
            </w:pPr>
            <w:r>
              <w:rPr/>
              <w:t>8</w:t>
            </w:r>
          </w:p>
        </w:tc>
        <w:tc>
          <w:tcPr>
            <w:tcW w:type="dxa" w:w="5814"/>
          </w:tcPr>
          <w:p>
            <w:pPr>
              <w:pStyle w:val="null3"/>
              <w:jc w:val="both"/>
            </w:pPr>
            <w:r>
              <w:rPr/>
              <w:t>8.备用仪器的要求：</w:t>
            </w:r>
          </w:p>
          <w:p>
            <w:pPr>
              <w:pStyle w:val="null3"/>
            </w:pPr>
            <w:r>
              <w:rPr/>
              <w:t>中标供应商要保证及时维修损坏的仪器，保证各子站现有仪器设备完好率达到要求。SO2、NOX、CO、PM10、PM2.5、O3等监测项目，中标供应商每项备用仪器不少于一台，并保持在可正常使用状态以便及时更换。</w:t>
            </w:r>
          </w:p>
        </w:tc>
      </w:tr>
      <w:tr>
        <w:tc>
          <w:tcPr>
            <w:tcW w:type="dxa" w:w="2076"/>
          </w:tcPr>
          <w:p/>
        </w:tc>
        <w:tc>
          <w:tcPr>
            <w:tcW w:type="dxa" w:w="415"/>
          </w:tcPr>
          <w:p>
            <w:pPr>
              <w:pStyle w:val="null3"/>
            </w:pPr>
            <w:r>
              <w:rPr/>
              <w:t>9</w:t>
            </w:r>
          </w:p>
        </w:tc>
        <w:tc>
          <w:tcPr>
            <w:tcW w:type="dxa" w:w="5814"/>
          </w:tcPr>
          <w:p>
            <w:pPr>
              <w:pStyle w:val="null3"/>
              <w:jc w:val="both"/>
            </w:pPr>
            <w:r>
              <w:rPr/>
              <w:t>9.站房维护要求：</w:t>
            </w:r>
          </w:p>
          <w:p>
            <w:pPr>
              <w:pStyle w:val="null3"/>
            </w:pPr>
            <w:r>
              <w:rPr/>
              <w:t>9.1中标供应商负责站房的维修保养及安全，保证整洁干净。配备足够的有效期内的灭火器等消防设施并定期巡查检查，确保站房消防安全。</w:t>
            </w:r>
          </w:p>
          <w:p>
            <w:pPr>
              <w:pStyle w:val="null3"/>
            </w:pPr>
            <w:r>
              <w:rPr/>
              <w:t>9.2黄埔环境监测站有权要求中标供应商对不能满足监测仪器设备正常运行的站房设施和空调设备等进行维修更换，中标供应商需对采购人提出的要求按期保质完成。</w:t>
            </w:r>
          </w:p>
        </w:tc>
      </w:tr>
      <w:tr>
        <w:tc>
          <w:tcPr>
            <w:tcW w:type="dxa" w:w="2076"/>
          </w:tcPr>
          <w:p/>
        </w:tc>
        <w:tc>
          <w:tcPr>
            <w:tcW w:type="dxa" w:w="415"/>
          </w:tcPr>
          <w:p>
            <w:pPr>
              <w:pStyle w:val="null3"/>
            </w:pPr>
            <w:r>
              <w:rPr/>
              <w:t>10</w:t>
            </w:r>
          </w:p>
        </w:tc>
        <w:tc>
          <w:tcPr>
            <w:tcW w:type="dxa" w:w="5814"/>
          </w:tcPr>
          <w:p>
            <w:pPr>
              <w:pStyle w:val="null3"/>
              <w:jc w:val="both"/>
            </w:pPr>
            <w:r>
              <w:rPr/>
              <w:t>10.协助考核参观要求：</w:t>
            </w:r>
          </w:p>
          <w:p>
            <w:pPr>
              <w:pStyle w:val="null3"/>
            </w:pPr>
            <w:r>
              <w:rPr/>
              <w:t>中标供应商有责任协助黄埔环境监测站接受国家、省、市的考核，有责任协助黄埔环境监测站迎接上级部门及兄弟单位的参观。</w:t>
            </w:r>
          </w:p>
        </w:tc>
      </w:tr>
      <w:tr>
        <w:tc>
          <w:tcPr>
            <w:tcW w:type="dxa" w:w="2076"/>
          </w:tcPr>
          <w:p/>
        </w:tc>
        <w:tc>
          <w:tcPr>
            <w:tcW w:type="dxa" w:w="415"/>
          </w:tcPr>
          <w:p>
            <w:pPr>
              <w:pStyle w:val="null3"/>
            </w:pPr>
            <w:r>
              <w:rPr/>
              <w:t>11</w:t>
            </w:r>
          </w:p>
        </w:tc>
        <w:tc>
          <w:tcPr>
            <w:tcW w:type="dxa" w:w="5814"/>
          </w:tcPr>
          <w:p>
            <w:pPr>
              <w:pStyle w:val="null3"/>
              <w:jc w:val="both"/>
            </w:pPr>
            <w:r>
              <w:rPr/>
              <w:t>11.操作维护人员资格、车辆要求</w:t>
            </w:r>
          </w:p>
          <w:p>
            <w:pPr>
              <w:pStyle w:val="null3"/>
            </w:pPr>
            <w:r>
              <w:rPr/>
              <w:t>11.1中标供应商应提供不少于3人的专职技术人员进行本项目的日常运营维护，参与的专职技术人员需经过相关培训、考核才可进行相关工作。技术人员需具有环境空气质量自动监测运维相关的考核或培训合格证书，在投标文件中提供相关证明。</w:t>
            </w:r>
          </w:p>
          <w:p>
            <w:pPr>
              <w:pStyle w:val="null3"/>
            </w:pPr>
            <w:r>
              <w:rPr/>
              <w:t>11.2除上述日常运营维护工作外，中标供应商应自备工作用车（不少于1辆）用于本项目，并按照黄埔环境监测站要求，安排1名有本科或以上学历和相关工作经验的人员（非日常运营维护人员），在黄埔环境监测站指定的场所完成以下工作内容：</w:t>
            </w:r>
          </w:p>
          <w:p>
            <w:pPr>
              <w:pStyle w:val="null3"/>
            </w:pPr>
            <w:r>
              <w:rPr/>
              <w:t>①负责现场沟通协调跟进项目实施工作，汇总每周自动监测站运维工作情况、质控情况。</w:t>
            </w:r>
          </w:p>
          <w:p>
            <w:pPr>
              <w:pStyle w:val="null3"/>
            </w:pPr>
            <w:r>
              <w:rPr/>
              <w:t>②对监测数据和仪器运行进行实时监控，分析数据。</w:t>
            </w:r>
          </w:p>
          <w:p>
            <w:pPr>
              <w:pStyle w:val="null3"/>
            </w:pPr>
            <w:r>
              <w:rPr/>
              <w:t>③按照采购人的工作安排开展站点巡查工作。</w:t>
            </w:r>
          </w:p>
          <w:p>
            <w:pPr>
              <w:pStyle w:val="null3"/>
            </w:pPr>
            <w:r>
              <w:rPr/>
              <w:t>注：投标人需要按照本条要求安排人员、车辆。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采购包2（5个镇街（新龙镇、长岭街、穗东街、南岗街、长洲街）空气站运行及技术服务）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合同签订之日起2年。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第1期为(预付款)：支付比例35%，合同签订后收到中标供应商发票5个工作日内按照国库集中支付有关规定办理支付手续支付合同款的35%作为首付款。</w:t>
            </w:r>
          </w:p>
          <w:p>
            <w:pPr>
              <w:pStyle w:val="null3"/>
            </w:pPr>
            <w:r>
              <w:rPr/>
              <w:t>第2期为(进度款)：支付比例50%，运维一年并经考核合格后支付合同款的50%。</w:t>
            </w:r>
          </w:p>
          <w:p>
            <w:pPr>
              <w:pStyle w:val="null3"/>
            </w:pPr>
            <w:r>
              <w:rPr/>
              <w:t>第3期为(尾款)：支付比例15%，运维两年并经考核合格后支付合同款的15%。 注:1、中标供应商凭以下资料与采购人结算： （1）采购合同；（2）中标供应商开具的正式发票；（3）考核验收报告[1期无需提供]；（4）采购人财务部门要求的其他资料。 2、合同签订金额视财政资金落实情况和实际下拨数为准。 如项目发生合同融资，采购人应当将合同款项支付到合同约定收款账户。如财政部门对申请材料有其他要求的，中标供应商也应配合及时提供。如中标供应商（如有）未按本合同约定及时提供请款所需材料和发票的，采购人有权延缓申请支付，直至收到中标供应商提供的材料和发票时止，而不视为采购人违约。 3、关于付款的特别约定： 由于采购人使用的是财政性资金，采购人向财政部门申请支付即视为履行了付款义务，中标供应商不得因财政部门审核需要时间、拨款迟延等原因要求采购人承担迟延付款的责任，更不得因此怠于履行合同义务。若因上级政策调整或变化等原因，双方可协商一致后变更或解除合同。</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照《广州市黄埔区“一街一站”空气自动监测站运行管理及考核办法》等相关管理制度要求进行考核验收，中标供应商有责任接受黄埔环境监测站的定期和不定期考核。所有成果通过考核验收并获得采购人同意后，则视为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本项目以总价包干，包括项目全部内容的费用（包括但不限于服务所必须的人工费用、资料收集、采样、分析、出具报告、递送文件、日常办公、差旅、会议、劳务、管理费、税费及汇报成果制作费、不可预见的费用等），中标后不得再向采购人收取报价外的任何费用。</w:t>
            </w:r>
          </w:p>
          <w:p>
            <w:pPr>
              <w:pStyle w:val="null3"/>
            </w:pPr>
            <w:r>
              <w:rPr/>
              <w:t>二、保密要求，中标供应商需对所有监测数据及相关信息资料保密，不得以任何方式透露给第三方。</w:t>
            </w:r>
          </w:p>
          <w:p>
            <w:pPr>
              <w:pStyle w:val="null3"/>
            </w:pPr>
            <w:r>
              <w:rPr/>
              <w:t>三、违约处理，中标供应商在运营时出现以下状况，视为违约，采购人有权追究其责任； （1）中标供应商将数据泄密，采购人有权即时终止合同，有权要求中标供应商向采购人支付双倍已支付运营费作为违约金，并追究相关的法律责任。 （2）如在服务期内子站单站月数据因运维不到位有效率达不到90%，中标供应商需支付合同总额的5%作为违约金，同时采购人有权即时终止合同。 （3）在采购人日常检查中，单项检查如出现跨度偏差大于等于15%的，每项支付500元违约金；如同一单项的检查出现累计2次以上跨度偏差大于等于15%的，中标供应商需支付合同总额的20%作为违约金，同时采购人有权即时终止合同。 （4）在采购人的检查中，如发现中标供应商未能按《环境空气颗粒物（PM10 和PM2.5）连续自动监测系统安装和验收技术规范》（HJ 655-2013）、《环境空气气态污染物（SO2、NO2、O3、CO）连续自动监测系统安装验收技术规范》（HJ 193-2013）、《环境空气颗粒物（PM10和PM2.5）连续自动监测系统技术要求及检测方法》（HJ 653-2021）、《环境空气气态污染物（SO2、NO2、O3、CO）连续自动监测系统技术要求及检测方法》（HJ 654-2013）要求执行，同一站点服务期内累计超过3次后，每次向采购人支付违约金1000元。 （5）如中标供应商未能按本合同规定的时间提供服务，从逾期之日起每日按本合同总价3‰的数额向采购人支付违约金；逾期半个月以上的，采购人有权终止合同，由此造成的采购人经济损失由中标供应商承担。 （6）采购人、中标供应商其中一方在合同履行期间要求终止合同时，应提前5天以书面形式通知对方，经双方协商同音后方可解除合同，否则视为违约。双方协商确认后，按照合同付款方式已支付的剩余资金的5个工作日内退还给采购人。</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5个镇街（新龙镇、长岭街、穗东街、南岗街、长洲街）空气站运行及技术服务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1,400,000.00</w:t>
            </w:r>
          </w:p>
        </w:tc>
        <w:tc>
          <w:tcPr>
            <w:tcW w:type="dxa" w:w="933"/>
          </w:tcPr>
          <w:p>
            <w:pPr>
              <w:pStyle w:val="null3"/>
              <w:jc w:val="right"/>
            </w:pPr>
            <w:r>
              <w:rPr/>
              <w:t>1,400,000.00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5个镇街（新龙镇、长岭街、穗东街、南岗街、长洲街）空气站运行及技术服务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1.定期预防性维护服务</w:t>
            </w:r>
          </w:p>
          <w:p>
            <w:pPr>
              <w:pStyle w:val="null3"/>
            </w:pPr>
            <w:r>
              <w:rPr/>
              <w:t>中标供应商负责派遣工程技术人员每周定期至各空气自动监测站，进行现场仪器性能检查及预防性维护工作，及时更换失效硅胶、分子筛和变黑的滤膜，及时排除积水，保证监测仪器及辅助设施的正常运行，按质量控制和管理要求做好相应的维护记录，每月提交维护和质控报告。相关的日常维护工作必须符合仪器说明书及《环境空气颗粒物（PM10 和PM2.5）连续自动监测系统安装和验收技术规范》、《环境空气气态污染物（SO2、NO2、O3、CO）连续自动监测系统安装验收技术规范》、《环境空气颗粒物（PM10 和 PM2.5）连续自动监测系统运行和质控技术规范》、《环境空气气态污染物（SO2、NO2、O3、CO）连续自动监测系统运行和质控技术规范》要求。</w:t>
            </w:r>
          </w:p>
        </w:tc>
      </w:tr>
      <w:tr>
        <w:tc>
          <w:tcPr>
            <w:tcW w:type="dxa" w:w="2076"/>
          </w:tcPr>
          <w:p/>
        </w:tc>
        <w:tc>
          <w:tcPr>
            <w:tcW w:type="dxa" w:w="415"/>
          </w:tcPr>
          <w:p>
            <w:pPr>
              <w:pStyle w:val="null3"/>
            </w:pPr>
            <w:r>
              <w:rPr/>
              <w:t>2</w:t>
            </w:r>
          </w:p>
        </w:tc>
        <w:tc>
          <w:tcPr>
            <w:tcW w:type="dxa" w:w="5814"/>
          </w:tcPr>
          <w:p>
            <w:pPr>
              <w:pStyle w:val="null3"/>
              <w:jc w:val="both"/>
            </w:pPr>
            <w:r>
              <w:rPr/>
              <w:t>2.定期质量保证及控制服务</w:t>
            </w:r>
          </w:p>
          <w:p>
            <w:pPr>
              <w:pStyle w:val="null3"/>
            </w:pPr>
            <w:r>
              <w:rPr/>
              <w:t>2.1依照《环境空气颗粒物（PM10 和PM2.5）连续自动监测系统安装和验收技术规范》、《环境空气气态污染物（SO2、NO2、O3、CO）连续自动监测系统安装验收技术规范》、《环境空气颗粒物（PM10 和 PM2.5）连续自动监测系统运行和质控技术规范》、《环境空气气态污染物（SO2、NO2、O3、CO）连续自动监测系统运行和质控技术规范》，实施大气自动监测系统的质量保证及质量控制（QA/QC）工作，每月提交QA/QC工作报告。</w:t>
            </w:r>
          </w:p>
          <w:p>
            <w:pPr>
              <w:pStyle w:val="null3"/>
            </w:pPr>
            <w:r>
              <w:rPr/>
              <w:t>2.2需对监测仪器进行定期校准，并提交校准报告。中标供应商应配备仪器校准所需的设备及配件。每周进行零点校准和跨度校准，每月进行精度校准，服务期限内每半年至少进行一次多点校准，每月提交校准报告，每半年提供一次多点校准报告。</w:t>
            </w:r>
          </w:p>
        </w:tc>
      </w:tr>
      <w:tr>
        <w:tc>
          <w:tcPr>
            <w:tcW w:type="dxa" w:w="2076"/>
          </w:tcPr>
          <w:p/>
        </w:tc>
        <w:tc>
          <w:tcPr>
            <w:tcW w:type="dxa" w:w="415"/>
          </w:tcPr>
          <w:p>
            <w:pPr>
              <w:pStyle w:val="null3"/>
            </w:pPr>
            <w:r>
              <w:rPr/>
              <w:t>3</w:t>
            </w:r>
          </w:p>
        </w:tc>
        <w:tc>
          <w:tcPr>
            <w:tcW w:type="dxa" w:w="5814"/>
          </w:tcPr>
          <w:p>
            <w:pPr>
              <w:pStyle w:val="null3"/>
              <w:jc w:val="both"/>
            </w:pPr>
            <w:r>
              <w:rPr/>
              <w:t>3.数据监控服务</w:t>
            </w:r>
          </w:p>
          <w:p>
            <w:pPr>
              <w:pStyle w:val="null3"/>
            </w:pPr>
            <w:r>
              <w:rPr/>
              <w:t>3.1中标供应商负责对监测数据和仪器问题进行实时监控，监控人员发现超标情况和异常情况应即刻通知黄埔环境监测站管理人员，同时观测子站周围是否发生污染事故，发现污染事故要及时上报，同时做好记录；如发现仪器异常或者接到黄埔环境监测站通知后，应立刻派遣工程技术人员在2小时内赶至现场处理，如果当场不能修复的应立即机更换备机，确保在24小时内系统恢复正常，并做好运行记录，及时向黄埔环境监测站值班人员报告，由监测站管理人员删除无效数据。</w:t>
            </w:r>
          </w:p>
          <w:p>
            <w:pPr>
              <w:pStyle w:val="null3"/>
            </w:pPr>
            <w:r>
              <w:rPr/>
              <w:t>3.2中标供应商需在每月、每季度、半年和年终结束的7天内提交月、季度、半年和全年数据分析报告。中标供应商有义务承担黄埔环境监测站提出的各类空气质量分析报告编写工作。并利用自己的技术优势帮助黄埔环境监测站对全区的空气质量进行综合分析，提出合理化建议、建设性意见和有效可行的改善措施。</w:t>
            </w:r>
          </w:p>
          <w:p>
            <w:pPr>
              <w:pStyle w:val="null3"/>
            </w:pPr>
            <w:r>
              <w:rPr/>
              <w:t>3.3 中标供应商需每日做好质控记录和运行情况记录，按月汇总上报给黄埔环境监测站。</w:t>
            </w:r>
          </w:p>
        </w:tc>
      </w:tr>
      <w:tr>
        <w:tc>
          <w:tcPr>
            <w:tcW w:type="dxa" w:w="2076"/>
          </w:tcPr>
          <w:p/>
        </w:tc>
        <w:tc>
          <w:tcPr>
            <w:tcW w:type="dxa" w:w="415"/>
          </w:tcPr>
          <w:p>
            <w:pPr>
              <w:pStyle w:val="null3"/>
            </w:pPr>
            <w:r>
              <w:rPr/>
              <w:t>4</w:t>
            </w:r>
          </w:p>
        </w:tc>
        <w:tc>
          <w:tcPr>
            <w:tcW w:type="dxa" w:w="5814"/>
          </w:tcPr>
          <w:p>
            <w:pPr>
              <w:pStyle w:val="null3"/>
              <w:jc w:val="both"/>
            </w:pPr>
            <w:r>
              <w:rPr/>
              <w:t>4.数据要求：</w:t>
            </w:r>
          </w:p>
          <w:p>
            <w:pPr>
              <w:pStyle w:val="null3"/>
            </w:pPr>
            <w:r>
              <w:rPr/>
              <w:t>中标供应商要保证各空气质量自动监测系统能正常运行，数据传输正常，月、年数据有效率达到90%以上的要求。提供视频监控系统AI智能分析识别焚烧、烟雾等异常情况并实现自动预警，将本项目涉及的实时监测数据和监控视频上传至黄埔区污染防治攻坚战指挥系统。</w:t>
            </w:r>
          </w:p>
        </w:tc>
      </w:tr>
      <w:tr>
        <w:tc>
          <w:tcPr>
            <w:tcW w:type="dxa" w:w="2076"/>
          </w:tcPr>
          <w:p/>
        </w:tc>
        <w:tc>
          <w:tcPr>
            <w:tcW w:type="dxa" w:w="415"/>
          </w:tcPr>
          <w:p>
            <w:pPr>
              <w:pStyle w:val="null3"/>
            </w:pPr>
            <w:r>
              <w:rPr/>
              <w:t>5</w:t>
            </w:r>
          </w:p>
        </w:tc>
        <w:tc>
          <w:tcPr>
            <w:tcW w:type="dxa" w:w="5814"/>
          </w:tcPr>
          <w:p>
            <w:pPr>
              <w:pStyle w:val="null3"/>
              <w:jc w:val="both"/>
            </w:pPr>
            <w:r>
              <w:rPr/>
              <w:t>5.考核要求：</w:t>
            </w:r>
          </w:p>
          <w:p>
            <w:pPr>
              <w:pStyle w:val="null3"/>
            </w:pPr>
            <w:r>
              <w:rPr/>
              <w:t>中标供应商有责任接受黄埔环境监测站的定期和不定期考核。在考核中，不能出现两次以上偏差大于等于15%。</w:t>
            </w:r>
          </w:p>
        </w:tc>
      </w:tr>
      <w:tr>
        <w:tc>
          <w:tcPr>
            <w:tcW w:type="dxa" w:w="2076"/>
          </w:tcPr>
          <w:p/>
        </w:tc>
        <w:tc>
          <w:tcPr>
            <w:tcW w:type="dxa" w:w="415"/>
          </w:tcPr>
          <w:p>
            <w:pPr>
              <w:pStyle w:val="null3"/>
            </w:pPr>
            <w:r>
              <w:rPr/>
              <w:t>6</w:t>
            </w:r>
          </w:p>
        </w:tc>
        <w:tc>
          <w:tcPr>
            <w:tcW w:type="dxa" w:w="5814"/>
          </w:tcPr>
          <w:p>
            <w:pPr>
              <w:pStyle w:val="null3"/>
              <w:jc w:val="both"/>
            </w:pPr>
            <w:r>
              <w:rPr/>
              <w:t>6.监督检查要求：</w:t>
            </w:r>
          </w:p>
          <w:p>
            <w:pPr>
              <w:pStyle w:val="null3"/>
            </w:pPr>
            <w:r>
              <w:rPr/>
              <w:t>中标供应商有责任接受黄埔环境监测站定期和不定期检查，每年被检查出不符合《广州市黄埔区“一街一站”空气自动监测站运行管理及考核办法》的次数累计不能超过3次。</w:t>
            </w:r>
          </w:p>
        </w:tc>
      </w:tr>
      <w:tr>
        <w:tc>
          <w:tcPr>
            <w:tcW w:type="dxa" w:w="2076"/>
          </w:tcPr>
          <w:p/>
        </w:tc>
        <w:tc>
          <w:tcPr>
            <w:tcW w:type="dxa" w:w="415"/>
          </w:tcPr>
          <w:p>
            <w:pPr>
              <w:pStyle w:val="null3"/>
            </w:pPr>
            <w:r>
              <w:rPr/>
              <w:t>7</w:t>
            </w:r>
          </w:p>
        </w:tc>
        <w:tc>
          <w:tcPr>
            <w:tcW w:type="dxa" w:w="5814"/>
          </w:tcPr>
          <w:p>
            <w:pPr>
              <w:pStyle w:val="null3"/>
              <w:jc w:val="both"/>
            </w:pPr>
            <w:r>
              <w:rPr/>
              <w:t>7.常规耗材及配件的提供及更换要求：</w:t>
            </w:r>
          </w:p>
          <w:p>
            <w:pPr>
              <w:pStyle w:val="null3"/>
            </w:pPr>
            <w:r>
              <w:rPr/>
              <w:t>7.1中标供应商负责提供仪器日常运转所需要更换的消耗品以及维修所需的零配件。仪器维修后及使用前均需进行校准才能投入使用，并提供相应的维修记录和校准记录。</w:t>
            </w:r>
          </w:p>
          <w:p>
            <w:pPr>
              <w:pStyle w:val="null3"/>
            </w:pPr>
            <w:r>
              <w:rPr/>
              <w:t>7.2中标供应商应有本项目仪器设备的维修和零配件供应的能力。为保证本次项目所有仪器设备所使用的零配件是原厂原装正品，中标供应商承诺本项目所有仪器设备所使用的零配件为从正当渠道购置的原厂原装正品；需提交每次更换零配件记录、出厂证明等说明材料。若中标后提供非原厂原装正品导致仪器设备损坏或影响项目进行的，采购人有权要求中标供应商赔偿损失并追究其相关责任。（提供承诺函，格式自拟）</w:t>
            </w:r>
          </w:p>
        </w:tc>
      </w:tr>
      <w:tr>
        <w:tc>
          <w:tcPr>
            <w:tcW w:type="dxa" w:w="2076"/>
          </w:tcPr>
          <w:p/>
        </w:tc>
        <w:tc>
          <w:tcPr>
            <w:tcW w:type="dxa" w:w="415"/>
          </w:tcPr>
          <w:p>
            <w:pPr>
              <w:pStyle w:val="null3"/>
            </w:pPr>
            <w:r>
              <w:rPr/>
              <w:t>8</w:t>
            </w:r>
          </w:p>
        </w:tc>
        <w:tc>
          <w:tcPr>
            <w:tcW w:type="dxa" w:w="5814"/>
          </w:tcPr>
          <w:p>
            <w:pPr>
              <w:pStyle w:val="null3"/>
              <w:jc w:val="both"/>
            </w:pPr>
            <w:r>
              <w:rPr/>
              <w:t>8.备用仪器的要求：</w:t>
            </w:r>
          </w:p>
          <w:p>
            <w:pPr>
              <w:pStyle w:val="null3"/>
            </w:pPr>
            <w:r>
              <w:rPr/>
              <w:t>中标供应商要保证及时维修损坏的仪器，保证各子站现有仪器设备完好率达到要求。SO2、NOX、CO、PM10、PM2.5、O3等监测项目，中标供应商每项备用仪器不少于一台，并保持在可正常使用状态以便及时更换。</w:t>
            </w:r>
          </w:p>
        </w:tc>
      </w:tr>
      <w:tr>
        <w:tc>
          <w:tcPr>
            <w:tcW w:type="dxa" w:w="2076"/>
          </w:tcPr>
          <w:p/>
        </w:tc>
        <w:tc>
          <w:tcPr>
            <w:tcW w:type="dxa" w:w="415"/>
          </w:tcPr>
          <w:p>
            <w:pPr>
              <w:pStyle w:val="null3"/>
            </w:pPr>
            <w:r>
              <w:rPr/>
              <w:t>9</w:t>
            </w:r>
          </w:p>
        </w:tc>
        <w:tc>
          <w:tcPr>
            <w:tcW w:type="dxa" w:w="5814"/>
          </w:tcPr>
          <w:p>
            <w:pPr>
              <w:pStyle w:val="null3"/>
              <w:jc w:val="both"/>
            </w:pPr>
            <w:r>
              <w:rPr/>
              <w:t>9.站房维护要求：</w:t>
            </w:r>
          </w:p>
          <w:p>
            <w:pPr>
              <w:pStyle w:val="null3"/>
            </w:pPr>
            <w:r>
              <w:rPr/>
              <w:t>9.1中标供应商负责站房的维修保养及安全，保证整洁干净。配备足够的有效期内的灭火器等消防设施并定期巡查检查，确保站房消防安全。</w:t>
            </w:r>
          </w:p>
          <w:p>
            <w:pPr>
              <w:pStyle w:val="null3"/>
            </w:pPr>
            <w:r>
              <w:rPr/>
              <w:t>9.2黄埔环境监测站有权要求中标供应商对不能满足监测仪器设备正常运行的站房设施和空调设备等进行维修更换，中标供应商需对采购人提出的要求按期保质完成。</w:t>
            </w:r>
          </w:p>
        </w:tc>
      </w:tr>
      <w:tr>
        <w:tc>
          <w:tcPr>
            <w:tcW w:type="dxa" w:w="2076"/>
          </w:tcPr>
          <w:p/>
        </w:tc>
        <w:tc>
          <w:tcPr>
            <w:tcW w:type="dxa" w:w="415"/>
          </w:tcPr>
          <w:p>
            <w:pPr>
              <w:pStyle w:val="null3"/>
            </w:pPr>
            <w:r>
              <w:rPr/>
              <w:t>10</w:t>
            </w:r>
          </w:p>
        </w:tc>
        <w:tc>
          <w:tcPr>
            <w:tcW w:type="dxa" w:w="5814"/>
          </w:tcPr>
          <w:p>
            <w:pPr>
              <w:pStyle w:val="null3"/>
              <w:jc w:val="both"/>
            </w:pPr>
            <w:r>
              <w:rPr/>
              <w:t>10.协助考核参观要求：</w:t>
            </w:r>
          </w:p>
          <w:p>
            <w:pPr>
              <w:pStyle w:val="null3"/>
            </w:pPr>
            <w:r>
              <w:rPr/>
              <w:t>中标供应商有责任协助黄埔环境监测站接受国家、省、市的考核，有责任协助黄埔环境监测站迎接上级部门及兄弟单位的参观。</w:t>
            </w:r>
          </w:p>
        </w:tc>
      </w:tr>
      <w:tr>
        <w:tc>
          <w:tcPr>
            <w:tcW w:type="dxa" w:w="2076"/>
          </w:tcPr>
          <w:p/>
        </w:tc>
        <w:tc>
          <w:tcPr>
            <w:tcW w:type="dxa" w:w="415"/>
          </w:tcPr>
          <w:p>
            <w:pPr>
              <w:pStyle w:val="null3"/>
            </w:pPr>
            <w:r>
              <w:rPr/>
              <w:t>11</w:t>
            </w:r>
          </w:p>
        </w:tc>
        <w:tc>
          <w:tcPr>
            <w:tcW w:type="dxa" w:w="5814"/>
          </w:tcPr>
          <w:p>
            <w:pPr>
              <w:pStyle w:val="null3"/>
              <w:jc w:val="both"/>
            </w:pPr>
            <w:r>
              <w:rPr/>
              <w:t>11.操作维护人员资格、车辆要求</w:t>
            </w:r>
          </w:p>
          <w:p>
            <w:pPr>
              <w:pStyle w:val="null3"/>
            </w:pPr>
            <w:r>
              <w:rPr/>
              <w:t>11.1中标供应商应提供不少于3人的专职技术人员进行本项目的日常运营维护，参与的专职技术人员需经过相关培训、考核才可进行相关工作。技术人员需具有环境空气质量自动监测运维相关的考核或培训合格证书，在投标文件中提供相关证明。</w:t>
            </w:r>
          </w:p>
          <w:p>
            <w:pPr>
              <w:pStyle w:val="null3"/>
            </w:pPr>
            <w:r>
              <w:rPr/>
              <w:t>11.2除上述日常运营维护工作外，中标供应商应自备工作用车（不少于1辆）用于本项目，并按照黄埔环境监测站要求，安排1名有本科或以上学历和相关工作经验的人员（非日常运营维护人员），在黄埔环境监测站指定的场所完成以下工作内容：</w:t>
            </w:r>
          </w:p>
          <w:p>
            <w:pPr>
              <w:pStyle w:val="null3"/>
            </w:pPr>
            <w:r>
              <w:rPr/>
              <w:t>①负责现场沟通协调跟进项目实施工作，汇总每周自动监测站运维工作情况、质控情况。</w:t>
            </w:r>
          </w:p>
          <w:p>
            <w:pPr>
              <w:pStyle w:val="null3"/>
            </w:pPr>
            <w:r>
              <w:rPr/>
              <w:t>②对监测数据和仪器运行进行实时监控，分析数据。</w:t>
            </w:r>
          </w:p>
          <w:p>
            <w:pPr>
              <w:pStyle w:val="null3"/>
            </w:pPr>
            <w:r>
              <w:rPr/>
              <w:t>③按照采购人的工作安排开展站点巡查工作。</w:t>
            </w:r>
          </w:p>
          <w:p>
            <w:pPr>
              <w:pStyle w:val="null3"/>
            </w:pPr>
            <w:r>
              <w:rPr/>
              <w:t>注：投标人需要按照本条要求安排人员、车辆。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广州市生态环境局黄埔环境监测站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投标人可参投一个或多个采购包，但最多只能被推荐为1个采购包的第一中标候选人。本项目依照采购包号从小到大顺序进行评审，已推荐为第一中标候选人的，将不再推荐为其他采购包的第一中标候选人。例如：投标人已推荐为采购包1的第一中标候选人，则不再推荐为采购包2的第一中标候选人，采购包2由综合得分排名第二的投标人替补，依次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采购机构代理服务收费标准：以各采购包预算金额作为计算基数；参照国家计委（计价格〔2002〕1980号）及国家发改委（发改价格〔2011〕534号）规定的收费标准实行差额定率累进法计算收取。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采购包1：面向中小企业，以合同分包形式预留，预留比例：40%。</w:t>
            </w:r>
          </w:p>
          <w:p>
            <w:pPr>
              <w:pStyle w:val="null3"/>
              <w:jc w:val="left"/>
            </w:pPr>
            <w:r>
              <w:rPr/>
              <w:t>采购包2：面向中小企业，以合同分包形式预留，预留比例：40%。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许小姐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(5个镇街（文冲街、黄埔街、大沙街、萝岗街、生物岛）空气站运行及技术服务（含18套高空高清视频监控系统、4套露天焚烧AI监测摄像运行及技术服务))：综合评分法,是指投标文件满足招标文件全部实质性要求，且按照评审因素的量化指标评审得分最高的投标人为中标候选人的评标方法。（最低报价不是中标的唯一依据。）</w:t>
      </w:r>
    </w:p>
    <w:p>
      <w:pPr>
        <w:pStyle w:val="null3"/>
      </w:pPr>
      <w:r>
        <w:rPr/>
        <w:t>采购包2(5个镇街（新龙镇、长岭街、穗东街、南岗街、长洲街）空气站运行及技术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采购包1（5个镇街（文冲街、黄埔街、大沙街、萝岗街、生物岛）空气站运行及技术服务（含18套高空高清视频监控系统、4套露天焚烧AI监测摄像运行及技术服务)）：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采购包2（5个镇街（新龙镇、长岭街、穗东街、南岗街、长洲街）空气站运行及技术服务）：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采购包1（5个镇街（文冲街、黄埔街、大沙街、萝岗街、生物岛）空气站运行及技术服务（含18套高空高清视频监控系统、4套露天焚烧AI监测摄像运行及技术服务)）：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本采购包要求合同分包给中小企业（包括中型企业、小型企业和微型企业，下同），具体合同分包相关要求如下： 1）投标人不属于中小企业的，须签订《分包意向协议书》，《分包意向协议书》里中小企业合同金额应当达到本采购包合同总金额的40%（其中预留给小微企业的部分不低于合同金额的28%），（投标文件中须同时提供《分包意向协议书》及《中小企业声明函》）； 2）投标人属于中型企业的，须签订《分包意向协议书》，《分包意向协议书》里小微企业合同金额应当达到本采购包合同总金额的28%（投标文件中须同时提供《分包意向协议书》及《中小企业声明函》）； 3）投标人属于小微企业的，不得将本采购包分包给他人（投标文件中须提供《中小企业声明函》）。注：①中小企业须符合本采购包采购标的对应行业（其他未列明行业）的政策划分标准。②接受分包合同的中小企业与分包企业之间不得存在直接控股、管理关系。③中小企业类型认定以投标人填写的《中小企业声明函》为判定标准，否则不予认定。④监狱企业、残疾人福利单位视同小型、微型企业。残疾人福利性单位以投标人填写的《残疾人福利性单位声明函》为判定标准；监狱企业须提供由省级以上监狱管理局、戒毒管理局（含新疆生产建设兵团）出具的属于监狱企业的证明文件；否则不予认定。</w:t>
            </w:r>
          </w:p>
        </w:tc>
      </w:tr>
    </w:tbl>
    <w:p>
      <w:pPr>
        <w:pStyle w:val="null3"/>
      </w:pPr>
      <w:r>
        <w:rPr/>
        <w:t>采购包2（5个镇街（新龙镇、长岭街、穗东街、南岗街、长洲街）空气站运行及技术服务）：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本采购包要求合同分包给中小企业（包括中型企业、小型企业和微型企业，下同），具体合同分包相关要求如下： 1）投标人不属于中小企业的，须签订《分包意向协议书》，《分包意向协议书》里中小企业合同金额应当达到本采购包合同总金额的40%（其中预留给小微企业的部分不低于合同金额的28%），（投标文件中须同时提供《分包意向协议书》及《中小企业声明函》）； 2）投标人属于中型企业的，须签订《分包意向协议书》，《分包意向协议书》里小微企业合同金额应当达到本采购包合同总金额的28%（投标文件中须同时提供《分包意向协议书》及《中小企业声明函》）； 3）投标人属于小微企业的，不得将本采购包分包给他人（投标文件中须提供《中小企业声明函》）。注：①中小企业须符合本采购包采购标的对应行业（其他未列明行业）的政策划分标准。②接受分包合同的中小企业与分包企业之间不得存在直接控股、管理关系。③中小企业类型认定以投标人填写的《中小企业声明函》为判定标准，否则不予认定。④监狱企业、残疾人福利单位视同小型、微型企业。残疾人福利性单位以投标人填写的《残疾人福利性单位声明函》为判定标准；监狱企业须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采购包1（5个镇街（文冲街、黄埔街、大沙街、萝岗街、生物岛）空气站运行及技术服务（含18套高空高清视频监控系统、4套露天焚烧AI监测摄像运行及技术服务)）：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报价有效期</w:t>
            </w:r>
          </w:p>
        </w:tc>
        <w:tc>
          <w:tcPr>
            <w:tcW w:type="dxa" w:w="4238"/>
          </w:tcPr>
          <w:p>
            <w:pPr>
              <w:pStyle w:val="null3"/>
            </w:pPr>
            <w:r>
              <w:rPr/>
              <w:t>报价有效期为报价截止日起至少90天。</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pPr>
      <w:r>
        <w:rPr/>
        <w:t>采购包2（5个镇街（新龙镇、长岭街、穗东街、南岗街、长洲街）空气站运行及技术服务）：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投标报价是固定价且是唯一的，投标总价未超出最高限价。</w:t>
            </w:r>
          </w:p>
        </w:tc>
      </w:tr>
      <w:tr>
        <w:tc>
          <w:tcPr>
            <w:tcW w:type="dxa" w:w="890"/>
          </w:tcPr>
          <w:p>
            <w:pPr>
              <w:pStyle w:val="null3"/>
            </w:pPr>
            <w:r>
              <w:rPr/>
              <w:t>4</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5</w:t>
            </w:r>
          </w:p>
        </w:tc>
        <w:tc>
          <w:tcPr>
            <w:tcW w:type="dxa" w:w="3178"/>
          </w:tcPr>
          <w:p>
            <w:pPr>
              <w:pStyle w:val="null3"/>
            </w:pPr>
            <w:r>
              <w:rPr/>
              <w:t>报价有效期</w:t>
            </w:r>
          </w:p>
        </w:tc>
        <w:tc>
          <w:tcPr>
            <w:tcW w:type="dxa" w:w="4238"/>
          </w:tcPr>
          <w:p>
            <w:pPr>
              <w:pStyle w:val="null3"/>
            </w:pPr>
            <w:r>
              <w:rPr/>
              <w:t>报价有效期为报价截止日起至少90天。</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采购包1(5个镇街（文冲街、黄埔街、大沙街、萝岗街、生物岛）空气站运行及技术服务（含18套高空高清视频监控系统、4套露天焚烧AI监测摄像运行及技术服务)):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项目认识程度方案 (15.0分)</w:t>
            </w:r>
          </w:p>
        </w:tc>
        <w:tc>
          <w:tcPr>
            <w:tcW w:type="dxa" w:w="5076"/>
          </w:tcPr>
          <w:p>
            <w:pPr>
              <w:pStyle w:val="null3"/>
              <w:jc w:val="left"/>
            </w:pPr>
            <w:r>
              <w:rPr/>
              <w:t>根据投标人对本项目的认识程度方案（内容包括但不限于：①项目背景；②现有站点情况；③视频监控及露天焚烧AI监测设备情况；④对本项目需求响应情况等）进行综合评审： 1、方案各项内容详细全面且规划详细、分析准确、合理清晰，可行性高，对项目需求认识理解透彻，满足或优于采购需求，得15分； 2、方案各项内容基本详细全面且规划基本清晰、分析基本准确、合理，具有可行性，对项目需求认识基本理解透彻，基本满足采购需求，得10分； 3、方案各项内容不全面，规划简单，分析简单、不清晰，可行性低，对项目需求认识理解不够，部分满足采购需求，得5分； 4、方案有缺漏项，但规划基本清晰、合理，具有可行性，对项目需求认识基本理解透彻，基本满足采购需求，得1分。 5、不能满足采购需求或无提供不得分。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根据投标人制定的实施方案（内容包括但不限于：①组织计划；②时间进度安排；③质量保障实施；④工作方法、技术路线等）进行综合评审： 1、实施方案完全满足或优于采购需求，对项目分析准确，制定详细且严谨方案，时间进度安排合理目标明确，可行性高，得15分； 2、实施方案基本满足采购需求，对项目分析基本准确，制定详细方案，时间进度安排基本合理目标基本明确，具有可行性，得10分； 3、实施方案部分满足采购需求，对项目分析简单，制定方案简单，时间进度安排简单目标不够明确，可行性低，得5分； 4、实施方案有缺漏项，但基本满足采购需求，对项目分析基本准确，制定方案简单，时间进度安排合理，具有可行性，得1分； 5、不能满足采购需求或无提供不得分。</w:t>
            </w:r>
          </w:p>
        </w:tc>
      </w:tr>
      <w:tr>
        <w:tc>
          <w:tcPr>
            <w:tcW w:type="dxa" w:w="922"/>
            <w:gridSpan w:val="2"/>
            <w:vMerge/>
          </w:tcPr>
          <w:p/>
        </w:tc>
        <w:tc>
          <w:tcPr>
            <w:tcW w:type="dxa" w:w="2307"/>
          </w:tcPr>
          <w:p>
            <w:pPr>
              <w:pStyle w:val="null3"/>
              <w:jc w:val="left"/>
            </w:pPr>
            <w:r>
              <w:rPr/>
              <w:t>运维方案 (15.0分)</w:t>
            </w:r>
          </w:p>
        </w:tc>
        <w:tc>
          <w:tcPr>
            <w:tcW w:type="dxa" w:w="5076"/>
          </w:tcPr>
          <w:p>
            <w:pPr>
              <w:pStyle w:val="null3"/>
              <w:jc w:val="left"/>
            </w:pPr>
            <w:r>
              <w:rPr/>
              <w:t>1、方案准确、合理，优于或完全满足采购需求；制定并提供详细严谨的规章制度、详细具体的日常维护、定期巡检和故障维修方案，方案内容合理可行，可操作性高，得15分； 2、方案基本准确、合理，能满足采购需求，制定并提供详细的规章制度、详细的日常维护、定期巡检和故障维修方案，方案内容具有合理、可行性，具有可操作性，得10分； 3、方案具有一定的准确性和合理性，部分满足采购需求，提供了规章制度、日常维护、定期巡检和故障维修方案，方案内容简单，可行性低，可操作性低，得5分； 4、运维方案有缺漏项，但基本满足采购需求，方案内容具有合理、可行性，具有实操性，得1分； 5、不能满足采购需求或无提供不得分。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投标人具有效期内的下列证书的： 1、具有质量管理体系认证证书，得2分； 2、具有环境管理体系认证证书得2分； 3、具有职业健康安全管理体系认证证书，得2分； 注：投标文件中提供相关证书复印件，并加盖投标人公章，未提供不得分。以上证书如因成立时间原因未能获得证书且供应商提供书面说明的，可对应得分。</w:t>
            </w:r>
          </w:p>
        </w:tc>
      </w:tr>
      <w:tr>
        <w:tc>
          <w:tcPr>
            <w:tcW w:type="dxa" w:w="922"/>
            <w:gridSpan w:val="2"/>
            <w:vMerge/>
          </w:tcPr>
          <w:p/>
        </w:tc>
        <w:tc>
          <w:tcPr>
            <w:tcW w:type="dxa" w:w="2307"/>
          </w:tcPr>
          <w:p>
            <w:pPr>
              <w:pStyle w:val="null3"/>
              <w:jc w:val="left"/>
            </w:pPr>
            <w:r>
              <w:rPr/>
              <w:t>经验与业绩情况 (10.0分)</w:t>
            </w:r>
          </w:p>
        </w:tc>
        <w:tc>
          <w:tcPr>
            <w:tcW w:type="dxa" w:w="5076"/>
          </w:tcPr>
          <w:p>
            <w:pPr>
              <w:pStyle w:val="null3"/>
              <w:jc w:val="left"/>
            </w:pPr>
            <w:r>
              <w:rPr/>
              <w:t>投标人自2021年（以合同签订时间为准）至今，以投标人名义独立运维或运维检查的委托的空气质量自动监测子站累计数量： 1、≥200个，得10分； 2、≥150个且＜200个，得8分； 3、≥100个且＜150个，得6分； 4、≥50个且＜100个，得4分； 5、≥1且＜50个，得2分。 注：提供站点清单及对应的合同关键页（包括采购内容、金额、签约日期、双方盖章）复印件并加盖公章，无提供不得分，同一个站点只算一次业绩。</w:t>
            </w:r>
          </w:p>
        </w:tc>
      </w:tr>
      <w:tr>
        <w:tc>
          <w:tcPr>
            <w:tcW w:type="dxa" w:w="922"/>
            <w:gridSpan w:val="2"/>
            <w:vMerge/>
          </w:tcPr>
          <w:p/>
        </w:tc>
        <w:tc>
          <w:tcPr>
            <w:tcW w:type="dxa" w:w="2307"/>
          </w:tcPr>
          <w:p>
            <w:pPr>
              <w:pStyle w:val="null3"/>
              <w:jc w:val="left"/>
            </w:pPr>
            <w:r>
              <w:rPr/>
              <w:t>综合实力 (10.0分)</w:t>
            </w:r>
          </w:p>
        </w:tc>
        <w:tc>
          <w:tcPr>
            <w:tcW w:type="dxa" w:w="5076"/>
          </w:tcPr>
          <w:p>
            <w:pPr>
              <w:pStyle w:val="null3"/>
              <w:jc w:val="left"/>
            </w:pPr>
            <w:r>
              <w:rPr/>
              <w:t>1、投标人具有环境空气质量自动监测工程技术研究中心，得4分； 2、投标人拟投入的项目负责人具有环境类高级技术职称、本科或以上学历和环境空气自动监测运维考核合格证书的得3分； 3、投入本项目的技术负责人具有环境类中级技术职称证书的得1分，具有环境类副高级技术职称证书的得2分，具有环境类正高级技术职称证书的得3分，本项最多得3分。 注：投标文件中提供相关科技部门的证明材料或证书复印件，提供项目投入人员相应的学历证书、职称证书、考核合格证书等复印件和投标人为该成员在响应截止时间前6个月内任意1个月的社保购买证明，并加盖投标人公章，未提供不得分。</w:t>
            </w:r>
          </w:p>
        </w:tc>
      </w:tr>
      <w:tr>
        <w:tc>
          <w:tcPr>
            <w:tcW w:type="dxa" w:w="922"/>
            <w:gridSpan w:val="2"/>
            <w:vMerge/>
          </w:tcPr>
          <w:p/>
        </w:tc>
        <w:tc>
          <w:tcPr>
            <w:tcW w:type="dxa" w:w="2307"/>
          </w:tcPr>
          <w:p>
            <w:pPr>
              <w:pStyle w:val="null3"/>
              <w:jc w:val="left"/>
            </w:pPr>
            <w:r>
              <w:rPr/>
              <w:t>其他团队成员 (8.0分)</w:t>
            </w:r>
          </w:p>
        </w:tc>
        <w:tc>
          <w:tcPr>
            <w:tcW w:type="dxa" w:w="5076"/>
          </w:tcPr>
          <w:p>
            <w:pPr>
              <w:pStyle w:val="null3"/>
              <w:jc w:val="left"/>
            </w:pPr>
            <w:r>
              <w:rPr/>
              <w:t>除项目负责人、技术负责人外，拟投入的服务团队中： 1、投标人投入人员具有环境空气自动监测运维考核合格证书的有15人（含）以上的，得8分； 2、投标人投入人员具有环境空气自动监测运维考核合格证书的有10人（含）以上的，得5分； 3、投标人投入人员具有环境空气自动监测运维考核合格证书的有5人（含）以上的，得2分； 4、其他不得分。 注：需同时提供上述考核合格证书及投标人为该成员在响应截止时间前6个月内任意1个月的社保购买证明，不提供不得分。</w:t>
            </w:r>
          </w:p>
        </w:tc>
      </w:tr>
      <w:tr>
        <w:tc>
          <w:tcPr>
            <w:tcW w:type="dxa" w:w="922"/>
            <w:gridSpan w:val="2"/>
            <w:vMerge/>
          </w:tcPr>
          <w:p/>
        </w:tc>
        <w:tc>
          <w:tcPr>
            <w:tcW w:type="dxa" w:w="2307"/>
          </w:tcPr>
          <w:p>
            <w:pPr>
              <w:pStyle w:val="null3"/>
              <w:jc w:val="left"/>
            </w:pPr>
            <w:r>
              <w:rPr/>
              <w:t>服务支撑能力 (6.0分)</w:t>
            </w:r>
          </w:p>
        </w:tc>
        <w:tc>
          <w:tcPr>
            <w:tcW w:type="dxa" w:w="5076"/>
          </w:tcPr>
          <w:p>
            <w:pPr>
              <w:pStyle w:val="null3"/>
              <w:jc w:val="left"/>
            </w:pPr>
            <w:r>
              <w:rPr/>
              <w:t>1、投标人完全满足服务响应的时效性，配备有相应的项目服务人员，保证项目服务人员在发现故障1小时内（不含1小时）到现场处理，得6分； 2、投标人能够满足服务响应的时效性，配备有项目服务人员，保证技术人员在发现故障1小时-2小时内到现场处理，得4分； 3、投标人基本满足服务响应的时效性，配备有项目服务人员，保证技术人员在发现故障2小时-4个小时内到现场处理，得2分； 4、其他不符合以上情况的，得0分。 注：同时提供（1）、（2）的材料，不提供不得分： （1）提供相关承诺函（格式自拟）加盖投标人公章； （2）到达现场服务所需时间合理性的说明并加盖投标人公章。还须提供工程技术人员名单。</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采购包2(5个镇街（新龙镇、长岭街、穗东街、南岗街、长洲街）空气站运行及技术服务):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项目认识程度方案 (15.0分)</w:t>
            </w:r>
          </w:p>
        </w:tc>
        <w:tc>
          <w:tcPr>
            <w:tcW w:type="dxa" w:w="5076"/>
          </w:tcPr>
          <w:p>
            <w:pPr>
              <w:pStyle w:val="null3"/>
              <w:jc w:val="left"/>
            </w:pPr>
            <w:r>
              <w:rPr/>
              <w:t>根据投标人对本项目的认识程度方案（内容包括但不限于：①项目背景；②现有站点情况；③对本项目需求响应情况等）进行综合评审： 1、方案各项内容详细全面且规划详细、分析准确、合理清晰，可行性高，对项目需求认识理解透彻，满足或优于采购需求，得15分； 2、方案各项内容基本详细全面且规划基本清晰、分析基本准确、合理，具有可行性，对项目需求认识基本理解透彻，基本满足采购需求，得10分； 3、方案各项内容不全面，规划简单，分析简单、不清晰，可行性低，对项目需求认识理解不够，部分满足采购需求，得5分； 4、方案有缺漏项，但规划基本清晰、合理，具有可行性，对项目需求认识基本理解透彻，基本满足采购需求，得1分。 5、不能满足采购需求或无提供不得分。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根据投标人制定的实施方案（内容包括但不限于：①组织计划；②时间进度安排；③质量保障实施；④工作方法、技术路线等）进行综合评审： 1、实施方案完全满足或优于采购需求，对项目分析准确，制定详细且严谨方案，时间进度安排合理目标明确，可行性高，得15分； 2、实施方案基本满足采购需求，对项目分析基本准确，制定详细方案，时间进度安排基本合理目标基本明确，具有可行性，得10分； 3、实施方案部分满足采购需求，对项目分析简单，制定方案简单，时间进度安排简单目标不够明确，可行性低，得5分； 4、实施方案有缺漏项，但基本满足采购需求，对项目分析基本准确，制定方案简单，时间进度安排合理，具有可行性，得1分； 5、不能满足采购需求或无提供不得分。</w:t>
            </w:r>
          </w:p>
        </w:tc>
      </w:tr>
      <w:tr>
        <w:tc>
          <w:tcPr>
            <w:tcW w:type="dxa" w:w="922"/>
            <w:gridSpan w:val="2"/>
            <w:vMerge/>
          </w:tcPr>
          <w:p/>
        </w:tc>
        <w:tc>
          <w:tcPr>
            <w:tcW w:type="dxa" w:w="2307"/>
          </w:tcPr>
          <w:p>
            <w:pPr>
              <w:pStyle w:val="null3"/>
              <w:jc w:val="left"/>
            </w:pPr>
            <w:r>
              <w:rPr/>
              <w:t>运维方案 (15.0分)</w:t>
            </w:r>
          </w:p>
        </w:tc>
        <w:tc>
          <w:tcPr>
            <w:tcW w:type="dxa" w:w="5076"/>
          </w:tcPr>
          <w:p>
            <w:pPr>
              <w:pStyle w:val="null3"/>
              <w:jc w:val="left"/>
            </w:pPr>
            <w:r>
              <w:rPr/>
              <w:t>1、方案准确、合理，优于或完全满足采购需求；制定并提供详细严谨的规章制度、详细具体的日常维护、定期巡检和故障维修方案，方案内容合理可行，可操作性高，得15分； 2、方案基本准确、合理，能满足采购需求，制定并提供详细的规章制度、详细的日常维护、定期巡检和故障维修方案，方案内容具有合理、可行性，具有可操作性，得10分； 3、方案具有一定的准确性和合理性，部分满足采购需求，提供了规章制度、日常维护、定期巡检和故障维修方案，方案内容简单，可行性低，可操作性低，得5分； 4、运维方案有缺漏项，但基本满足采购需求，方案内容具有合理、可行性，具有实操性，得1分； 5、不能满足采购需求或无提供不得分。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投标人具有效期内的下列证书的： 1、具有质量管理体系认证证书，得2分； 2、具有环境管理体系认证证书得2分； 3、具有职业健康安全管理体系认证证书，得2分； 注：投标文件中提供相关证书复印件，并加盖投标人公章，未提供不得分。以上证书如因成立时间原因未能获得证书且供应商提供书面说明的，可对应得分。</w:t>
            </w:r>
          </w:p>
        </w:tc>
      </w:tr>
      <w:tr>
        <w:tc>
          <w:tcPr>
            <w:tcW w:type="dxa" w:w="922"/>
            <w:gridSpan w:val="2"/>
            <w:vMerge/>
          </w:tcPr>
          <w:p/>
        </w:tc>
        <w:tc>
          <w:tcPr>
            <w:tcW w:type="dxa" w:w="2307"/>
          </w:tcPr>
          <w:p>
            <w:pPr>
              <w:pStyle w:val="null3"/>
              <w:jc w:val="left"/>
            </w:pPr>
            <w:r>
              <w:rPr/>
              <w:t>经验与业绩情况 (10.0分)</w:t>
            </w:r>
          </w:p>
        </w:tc>
        <w:tc>
          <w:tcPr>
            <w:tcW w:type="dxa" w:w="5076"/>
          </w:tcPr>
          <w:p>
            <w:pPr>
              <w:pStyle w:val="null3"/>
              <w:jc w:val="left"/>
            </w:pPr>
            <w:r>
              <w:rPr/>
              <w:t>投标人自2021年（以合同签订时间为准）至今，以投标人名义独立运维或运维检查的委托的空气质量自动监测子站累计数量： 1、≥200个，得10分； 2、≥150个且＜200个，得8分； 3、≥100个且＜150个，得6分； 4、≥50个且＜100个，得4分； 5、≥1且＜50个，得2分。 注：提供站点清单及对应的合同关键页（包括采购内容、金额、签约日期、双方盖章）复印件并加盖公章，无提供不得分，同一个站点只算一次业绩。</w:t>
            </w:r>
          </w:p>
        </w:tc>
      </w:tr>
      <w:tr>
        <w:tc>
          <w:tcPr>
            <w:tcW w:type="dxa" w:w="922"/>
            <w:gridSpan w:val="2"/>
            <w:vMerge/>
          </w:tcPr>
          <w:p/>
        </w:tc>
        <w:tc>
          <w:tcPr>
            <w:tcW w:type="dxa" w:w="2307"/>
          </w:tcPr>
          <w:p>
            <w:pPr>
              <w:pStyle w:val="null3"/>
              <w:jc w:val="left"/>
            </w:pPr>
            <w:r>
              <w:rPr/>
              <w:t>综合实力 (10.0分)</w:t>
            </w:r>
          </w:p>
        </w:tc>
        <w:tc>
          <w:tcPr>
            <w:tcW w:type="dxa" w:w="5076"/>
          </w:tcPr>
          <w:p>
            <w:pPr>
              <w:pStyle w:val="null3"/>
              <w:jc w:val="left"/>
            </w:pPr>
            <w:r>
              <w:rPr/>
              <w:t>1、投标人具有环境空气质量自动监测工程技术研究中心，得4分； 2、投标人拟投入的项目负责人具有环境类高级技术职称、本科或以上学历和环境空气自动监测运维考核合格证书的得3分； 3、投入本项目的技术负责人具有环境类中级技术职称证书的得1分，具有环境类副高级技术职称证书的得2分，具有环境类正高级技术职称证书的得3分，本项最多得3分。 注：投标文件中提供相关科技部门的证明材料或证书复印件，提供项目投入人员相应的学历证书、职称证书、考核合格证书等复印件和投标人为该成员在响应截止时间前6个月内任意1个月的社保购买证明，并加盖投标人公章，未提供不得分。</w:t>
            </w:r>
          </w:p>
        </w:tc>
      </w:tr>
      <w:tr>
        <w:tc>
          <w:tcPr>
            <w:tcW w:type="dxa" w:w="922"/>
            <w:gridSpan w:val="2"/>
            <w:vMerge/>
          </w:tcPr>
          <w:p/>
        </w:tc>
        <w:tc>
          <w:tcPr>
            <w:tcW w:type="dxa" w:w="2307"/>
          </w:tcPr>
          <w:p>
            <w:pPr>
              <w:pStyle w:val="null3"/>
              <w:jc w:val="left"/>
            </w:pPr>
            <w:r>
              <w:rPr/>
              <w:t>其他团队成员 (8.0分)</w:t>
            </w:r>
          </w:p>
        </w:tc>
        <w:tc>
          <w:tcPr>
            <w:tcW w:type="dxa" w:w="5076"/>
          </w:tcPr>
          <w:p>
            <w:pPr>
              <w:pStyle w:val="null3"/>
              <w:jc w:val="left"/>
            </w:pPr>
            <w:r>
              <w:rPr/>
              <w:t>除项目负责人、技术负责人外，拟投入的服务团队中： 1、投标人投入人员具有环境空气自动监测运维考核合格证书的有15人（含）以上的，得8分； 2、投标人投入人员具有环境空气自动监测运维考核合格证书的有10人（含）以上的，得5分； 3、投标人投入人员具有环境空气自动监测运维考核合格证书的有5人（含）以上的，得2分； 4、其他不得分。 注：需同时提供上述考核合格证书及投标人为该成员在响应截止时间前6个月内任意1个月的社保购买证明，不提供不得分。</w:t>
            </w:r>
          </w:p>
        </w:tc>
      </w:tr>
      <w:tr>
        <w:tc>
          <w:tcPr>
            <w:tcW w:type="dxa" w:w="922"/>
            <w:gridSpan w:val="2"/>
            <w:vMerge/>
          </w:tcPr>
          <w:p/>
        </w:tc>
        <w:tc>
          <w:tcPr>
            <w:tcW w:type="dxa" w:w="2307"/>
          </w:tcPr>
          <w:p>
            <w:pPr>
              <w:pStyle w:val="null3"/>
              <w:jc w:val="left"/>
            </w:pPr>
            <w:r>
              <w:rPr/>
              <w:t>服务支撑能力 (6.0分)</w:t>
            </w:r>
          </w:p>
        </w:tc>
        <w:tc>
          <w:tcPr>
            <w:tcW w:type="dxa" w:w="5076"/>
          </w:tcPr>
          <w:p>
            <w:pPr>
              <w:pStyle w:val="null3"/>
              <w:jc w:val="left"/>
            </w:pPr>
            <w:r>
              <w:rPr/>
              <w:t>1、投标人完全满足服务响应的时效性，配备有相应的项目服务人员，保证项目服务人员在发现故障1小时内（不含1小时）到现场处理，得6分； 2、投标人能够满足服务响应的时效性，配备有项目服务人员，保证技术人员在发现故障1小时-2小时内到现场处理，得4分； 3、投标人基本满足服务响应的时效性，配备有项目服务人员，保证技术人员在发现故障2小时-4个小时内到现场处理，得2分； 4、其他不符合以上情况的，得0分。 注：同时提供（1）、（2）的材料，不提供不得分： （1）提供相关承诺函（格式自拟）加盖投标人公章； （2）到达现场服务所需时间合理性的说明并加盖投标人公章。还须提供工程技术人员名单。</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shd w:fill="FFFFFF" w:val="clear"/>
        </w:rPr>
        <w:t>广州市生态环境局黄埔环境监测站</w:t>
      </w:r>
    </w:p>
    <w:p>
      <w:pPr>
        <w:pStyle w:val="null3"/>
        <w:jc w:val="center"/>
      </w:pPr>
      <w:r>
        <w:rPr>
          <w:sz w:val="48"/>
          <w:shd w:fill="FFFFFF" w:val="clear"/>
        </w:rPr>
        <w:t>政府采购</w:t>
      </w:r>
    </w:p>
    <w:p>
      <w:pPr>
        <w:pStyle w:val="null3"/>
        <w:jc w:val="center"/>
      </w:pPr>
      <w:r>
        <w:rPr>
          <w:sz w:val="52"/>
          <w:b/>
        </w:rPr>
        <w:t>合　同　书</w:t>
      </w:r>
    </w:p>
    <w:p>
      <w:pPr>
        <w:pStyle w:val="null3"/>
        <w:jc w:val="center"/>
      </w:pPr>
      <w:r>
        <w:rPr>
          <w:sz w:val="24"/>
          <w:b/>
        </w:rPr>
        <w:t>采购编号：</w:t>
      </w:r>
      <w:r>
        <w:rPr>
          <w:b/>
          <w:u w:val="single"/>
        </w:rPr>
        <w:t xml:space="preserve">                          </w:t>
      </w:r>
    </w:p>
    <w:p>
      <w:pPr>
        <w:pStyle w:val="null3"/>
        <w:ind w:firstLine="1687"/>
        <w:jc w:val="both"/>
      </w:pPr>
      <w:r>
        <w:rPr>
          <w:sz w:val="24"/>
          <w:b/>
        </w:rPr>
        <w:t>项目名称：</w:t>
      </w:r>
      <w:r>
        <w:rPr>
          <w:b/>
          <w:u w:val="single"/>
        </w:rPr>
        <w:t xml:space="preserve"> </w:t>
      </w:r>
      <w:r>
        <w:rPr>
          <w:sz w:val="24"/>
          <w:b/>
          <w:u w:val="single"/>
        </w:rPr>
        <w:t>2025年</w:t>
      </w:r>
      <w:r>
        <w:rPr>
          <w:sz w:val="24"/>
          <w:b/>
          <w:u w:val="single"/>
        </w:rPr>
        <w:t>黄埔区</w:t>
      </w:r>
      <w:r>
        <w:rPr>
          <w:sz w:val="24"/>
          <w:b/>
          <w:u w:val="single"/>
        </w:rPr>
        <w:t>“一街一站”空气质量监测及污染源监控设备运营服务项目</w:t>
      </w:r>
    </w:p>
    <w:p>
      <w:pPr>
        <w:pStyle w:val="null3"/>
        <w:jc w:val="both"/>
      </w:pPr>
      <w:r>
        <w:rPr>
          <w:sz w:val="21"/>
          <w:b/>
        </w:rPr>
        <w:t>注：本合同仅为合同的参考文本，合同签订双方可根据项目的具体要求进行修订，但不得修改实质性条款。</w:t>
      </w:r>
    </w:p>
    <w:p>
      <w:pPr>
        <w:pStyle w:val="null3"/>
      </w:pPr>
      <w:r>
        <w:rPr/>
        <w:t xml:space="preserve"> </w:t>
      </w:r>
    </w:p>
    <w:p>
      <w:pPr>
        <w:pStyle w:val="null3"/>
        <w:jc w:val="both"/>
      </w:pPr>
      <w:r>
        <w:rPr>
          <w:sz w:val="24"/>
        </w:rPr>
        <w:t>（适用于采购包</w:t>
      </w:r>
      <w:r>
        <w:rPr>
          <w:sz w:val="24"/>
        </w:rPr>
        <w:t>1、采购包2）</w:t>
      </w:r>
    </w:p>
    <w:p>
      <w:pPr>
        <w:pStyle w:val="null3"/>
        <w:jc w:val="both"/>
      </w:pPr>
      <w:r>
        <w:rPr>
          <w:sz w:val="24"/>
        </w:rPr>
        <w:t>甲　　方：</w:t>
      </w:r>
    </w:p>
    <w:p>
      <w:pPr>
        <w:pStyle w:val="null3"/>
        <w:jc w:val="both"/>
      </w:pPr>
      <w:r>
        <w:rPr>
          <w:sz w:val="24"/>
        </w:rPr>
        <w:t>电　　话：</w:t>
      </w:r>
    </w:p>
    <w:p>
      <w:pPr>
        <w:pStyle w:val="null3"/>
        <w:jc w:val="both"/>
      </w:pPr>
      <w:r>
        <w:rPr>
          <w:sz w:val="24"/>
        </w:rPr>
        <w:t>传　　真：</w:t>
      </w:r>
    </w:p>
    <w:p>
      <w:pPr>
        <w:pStyle w:val="null3"/>
        <w:jc w:val="both"/>
      </w:pPr>
      <w:r>
        <w:rPr>
          <w:sz w:val="24"/>
        </w:rPr>
        <w:t>地　　址：</w:t>
      </w:r>
    </w:p>
    <w:p>
      <w:pPr>
        <w:pStyle w:val="null3"/>
        <w:jc w:val="both"/>
      </w:pPr>
      <w:r>
        <w:rPr>
          <w:sz w:val="24"/>
        </w:rPr>
        <w:t>乙　　方：</w:t>
      </w:r>
    </w:p>
    <w:p>
      <w:pPr>
        <w:pStyle w:val="null3"/>
        <w:jc w:val="both"/>
      </w:pPr>
      <w:r>
        <w:rPr>
          <w:sz w:val="24"/>
        </w:rPr>
        <w:t>电　　话：</w:t>
      </w:r>
    </w:p>
    <w:p>
      <w:pPr>
        <w:pStyle w:val="null3"/>
        <w:jc w:val="both"/>
      </w:pPr>
      <w:r>
        <w:rPr>
          <w:sz w:val="24"/>
        </w:rPr>
        <w:t>传　　真：</w:t>
      </w:r>
    </w:p>
    <w:p>
      <w:pPr>
        <w:pStyle w:val="null3"/>
        <w:jc w:val="both"/>
      </w:pPr>
      <w:r>
        <w:rPr>
          <w:sz w:val="24"/>
        </w:rPr>
        <w:t>地　　址：</w:t>
      </w:r>
    </w:p>
    <w:p>
      <w:pPr>
        <w:pStyle w:val="null3"/>
        <w:jc w:val="both"/>
      </w:pPr>
      <w:r>
        <w:rPr>
          <w:sz w:val="24"/>
        </w:rPr>
        <w:t>项目名称：</w:t>
      </w:r>
    </w:p>
    <w:p>
      <w:pPr>
        <w:pStyle w:val="null3"/>
        <w:jc w:val="both"/>
      </w:pPr>
      <w:r>
        <w:rPr>
          <w:sz w:val="24"/>
        </w:rPr>
        <w:t>采购编号：</w:t>
      </w:r>
    </w:p>
    <w:p>
      <w:pPr>
        <w:pStyle w:val="null3"/>
        <w:ind w:firstLine="480"/>
        <w:jc w:val="both"/>
      </w:pPr>
      <w:r>
        <w:rPr>
          <w:sz w:val="24"/>
        </w:rPr>
        <w:t>根据</w:t>
      </w:r>
      <w:r>
        <w:rPr>
          <w:sz w:val="24"/>
          <w:u w:val="single"/>
        </w:rPr>
        <w:t xml:space="preserve">              </w:t>
      </w:r>
      <w:r>
        <w:rPr>
          <w:sz w:val="24"/>
          <w:u w:val="single"/>
        </w:rPr>
        <w:t>项目</w:t>
      </w:r>
      <w:r>
        <w:rPr>
          <w:sz w:val="24"/>
        </w:rPr>
        <w:t>的采购结果，按照《中华人民共和国民法典》的规定，经甲乙双方协商，本着平等互利和诚实信用的原则，一致同意签订本合同如下。</w:t>
      </w:r>
    </w:p>
    <w:p>
      <w:pPr>
        <w:pStyle w:val="null3"/>
        <w:jc w:val="both"/>
      </w:pPr>
      <w:r>
        <w:rPr>
          <w:sz w:val="24"/>
          <w:b/>
        </w:rPr>
        <w:t>一、</w:t>
      </w:r>
      <w:r>
        <w:rPr>
          <w:sz w:val="24"/>
          <w:b/>
        </w:rPr>
        <w:t>合同金额</w:t>
      </w:r>
    </w:p>
    <w:p>
      <w:pPr>
        <w:pStyle w:val="null3"/>
        <w:ind w:firstLine="480"/>
        <w:jc w:val="both"/>
      </w:pPr>
      <w:r>
        <w:rPr>
          <w:sz w:val="24"/>
        </w:rPr>
        <w:t>本合同金额为（大写）：</w:t>
      </w:r>
      <w:r>
        <w:rPr>
          <w:sz w:val="24"/>
        </w:rPr>
        <w:t>_________________元（¥_______________元），注：</w:t>
      </w:r>
      <w:r>
        <w:rPr>
          <w:sz w:val="24"/>
        </w:rPr>
        <w:t>本项目以总价包干，</w:t>
      </w:r>
      <w:r>
        <w:rPr>
          <w:sz w:val="24"/>
        </w:rPr>
        <w:t>包括项目全部内容的费用（包括但不限于服务所必须的人工费用、资料收集、采样、分析、出具报告、递送文件、日常办公、差旅、会议、劳务、管理费、税费及汇报成果制作费、不可预见的费用等），中标后不得再向甲方收取报价外的任何费用。</w:t>
      </w:r>
      <w:r>
        <w:rPr>
          <w:sz w:val="24"/>
        </w:rPr>
        <w:t>因本项目使用财政资金，若因上级政策调整或变化等原因，双方可协商一致后变更或解除合同。</w:t>
      </w:r>
    </w:p>
    <w:p>
      <w:pPr>
        <w:pStyle w:val="null3"/>
        <w:jc w:val="both"/>
      </w:pPr>
      <w:r>
        <w:rPr>
          <w:sz w:val="24"/>
          <w:b/>
        </w:rPr>
        <w:t>二、</w:t>
      </w:r>
      <w:r>
        <w:rPr>
          <w:sz w:val="24"/>
          <w:b/>
        </w:rPr>
        <w:t>服务期间（项目完成期限）</w:t>
      </w:r>
    </w:p>
    <w:p>
      <w:pPr>
        <w:pStyle w:val="null3"/>
        <w:ind w:firstLine="480"/>
        <w:jc w:val="both"/>
      </w:pPr>
      <w:r>
        <w:rPr>
          <w:sz w:val="24"/>
        </w:rPr>
        <w:t>委托服务期间自</w:t>
      </w:r>
      <w:r>
        <w:rPr>
          <w:sz w:val="24"/>
        </w:rPr>
        <w:t>_____年_____月_____日至_____年_____月_____日止。</w:t>
      </w:r>
    </w:p>
    <w:p>
      <w:pPr>
        <w:pStyle w:val="null3"/>
        <w:jc w:val="both"/>
      </w:pPr>
      <w:r>
        <w:rPr>
          <w:sz w:val="24"/>
          <w:b/>
        </w:rPr>
        <w:t>三、</w:t>
      </w:r>
      <w:r>
        <w:rPr>
          <w:sz w:val="24"/>
          <w:b/>
        </w:rPr>
        <w:t>项目概况</w:t>
      </w:r>
    </w:p>
    <w:p>
      <w:pPr>
        <w:pStyle w:val="null3"/>
        <w:ind w:firstLine="480"/>
      </w:pPr>
      <w:r>
        <w:rPr>
          <w:sz w:val="24"/>
        </w:rPr>
        <w:t>（一）</w:t>
      </w:r>
      <w:r>
        <w:rPr>
          <w:sz w:val="24"/>
        </w:rPr>
        <w:t>项目基本情况</w:t>
      </w:r>
    </w:p>
    <w:p>
      <w:pPr>
        <w:pStyle w:val="null3"/>
        <w:ind w:firstLine="480"/>
      </w:pPr>
      <w:r>
        <w:rPr>
          <w:sz w:val="24"/>
        </w:rPr>
        <w:t>黄埔区</w:t>
      </w:r>
      <w:r>
        <w:rPr>
          <w:sz w:val="24"/>
        </w:rPr>
        <w:t>“一街一站”空气质量监测及污染源监控设备运营服务项目于2021年底建成并投入使用</w:t>
      </w:r>
      <w:r>
        <w:rPr>
          <w:sz w:val="24"/>
        </w:rPr>
        <w:t>。</w:t>
      </w:r>
    </w:p>
    <w:p>
      <w:pPr>
        <w:pStyle w:val="null3"/>
        <w:ind w:firstLine="480"/>
      </w:pPr>
      <w:r>
        <w:rPr>
          <w:sz w:val="24"/>
        </w:rPr>
        <w:t>为了保证黄埔区</w:t>
      </w:r>
      <w:r>
        <w:rPr>
          <w:sz w:val="24"/>
        </w:rPr>
        <w:t>“一街一站”空气质量监测及污染源监控设备持续稳定运行，计划继续委托专业技术机构对监测设备（</w:t>
      </w:r>
      <w:r>
        <w:rPr>
          <w:sz w:val="24"/>
        </w:rPr>
        <w:t>含</w:t>
      </w:r>
      <w:r>
        <w:rPr>
          <w:sz w:val="24"/>
        </w:rPr>
        <w:t>10个标准空气子站六参数仪器、18套高空高清摄像头、4套露天焚烧AI监测摄像终端</w:t>
      </w:r>
      <w:r>
        <w:rPr>
          <w:sz w:val="24"/>
        </w:rPr>
        <w:t>）开展运营维护工作，以获取连续、科学、有效的监测数据。</w:t>
      </w:r>
    </w:p>
    <w:p>
      <w:pPr>
        <w:pStyle w:val="null3"/>
        <w:ind w:firstLine="480"/>
      </w:pPr>
      <w:r>
        <w:rPr>
          <w:sz w:val="24"/>
        </w:rPr>
        <w:t>（二）现有站点及视频监控设备情况</w:t>
      </w:r>
      <w:r>
        <w:rPr>
          <w:sz w:val="24"/>
        </w:rPr>
        <w:t>（根据各采购包的内容填写）</w:t>
      </w:r>
    </w:p>
    <w:p>
      <w:pPr>
        <w:pStyle w:val="null3"/>
        <w:ind w:firstLine="480"/>
      </w:pPr>
      <w:r>
        <w:rPr>
          <w:sz w:val="24"/>
        </w:rPr>
        <w:t>采购包</w:t>
      </w:r>
      <w:r>
        <w:rPr>
          <w:sz w:val="24"/>
        </w:rPr>
        <w:t>1：</w:t>
      </w:r>
    </w:p>
    <w:p>
      <w:pPr>
        <w:pStyle w:val="null3"/>
        <w:ind w:firstLine="241"/>
        <w:jc w:val="center"/>
      </w:pPr>
      <w:r>
        <w:rPr>
          <w:sz w:val="24"/>
          <w:b/>
        </w:rPr>
        <w:t>（表一</w:t>
      </w:r>
      <w:r>
        <w:rPr>
          <w:sz w:val="24"/>
          <w:b/>
        </w:rPr>
        <w:t>)</w:t>
      </w:r>
      <w:r>
        <w:rPr>
          <w:sz w:val="24"/>
          <w:b/>
        </w:rPr>
        <w:t xml:space="preserve"> </w:t>
      </w:r>
      <w:r>
        <w:rPr>
          <w:sz w:val="24"/>
          <w:b/>
        </w:rPr>
        <w:t>5个镇街（文冲街、黄埔街、大沙街、萝岗街、生物岛）</w:t>
      </w:r>
      <w:r>
        <w:rPr>
          <w:sz w:val="24"/>
          <w:b/>
        </w:rPr>
        <w:t>空气站仪器设备明细表</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Pr>
          <w:p>
            <w:pPr>
              <w:pStyle w:val="null3"/>
              <w:jc w:val="center"/>
            </w:pPr>
            <w:r>
              <w:rPr>
                <w:sz w:val="19"/>
              </w:rPr>
              <w:t>序号</w:t>
            </w:r>
          </w:p>
        </w:tc>
        <w:tc>
          <w:tcPr>
            <w:tcW w:type="dxa" w:w="1661"/>
          </w:tcPr>
          <w:p>
            <w:pPr>
              <w:pStyle w:val="null3"/>
              <w:jc w:val="center"/>
            </w:pPr>
            <w:r>
              <w:rPr>
                <w:sz w:val="19"/>
              </w:rPr>
              <w:t>设备名称</w:t>
            </w:r>
          </w:p>
        </w:tc>
        <w:tc>
          <w:tcPr>
            <w:tcW w:type="dxa" w:w="1661"/>
          </w:tcPr>
          <w:p>
            <w:pPr>
              <w:pStyle w:val="null3"/>
              <w:jc w:val="center"/>
            </w:pPr>
            <w:r>
              <w:rPr>
                <w:sz w:val="19"/>
              </w:rPr>
              <w:t>型号规格</w:t>
            </w:r>
          </w:p>
        </w:tc>
        <w:tc>
          <w:tcPr>
            <w:tcW w:type="dxa" w:w="1661"/>
          </w:tcPr>
          <w:p>
            <w:pPr>
              <w:pStyle w:val="null3"/>
              <w:jc w:val="center"/>
            </w:pPr>
            <w:r>
              <w:rPr>
                <w:sz w:val="19"/>
              </w:rPr>
              <w:t>单位</w:t>
            </w:r>
          </w:p>
        </w:tc>
        <w:tc>
          <w:tcPr>
            <w:tcW w:type="dxa" w:w="1661"/>
          </w:tcPr>
          <w:p>
            <w:pPr>
              <w:pStyle w:val="null3"/>
              <w:jc w:val="center"/>
            </w:pPr>
            <w:r>
              <w:rPr>
                <w:sz w:val="19"/>
              </w:rPr>
              <w:t>数量</w:t>
            </w:r>
          </w:p>
        </w:tc>
      </w:tr>
      <w:tr>
        <w:tc>
          <w:tcPr>
            <w:tcW w:type="dxa" w:w="1661"/>
          </w:tcPr>
          <w:p>
            <w:pPr>
              <w:pStyle w:val="null3"/>
              <w:jc w:val="center"/>
            </w:pPr>
            <w:r>
              <w:rPr>
                <w:sz w:val="19"/>
              </w:rPr>
              <w:t>1</w:t>
            </w:r>
          </w:p>
        </w:tc>
        <w:tc>
          <w:tcPr>
            <w:tcW w:type="dxa" w:w="1661"/>
          </w:tcPr>
          <w:p>
            <w:pPr>
              <w:pStyle w:val="null3"/>
              <w:jc w:val="center"/>
            </w:pPr>
            <w:r>
              <w:rPr>
                <w:sz w:val="19"/>
              </w:rPr>
              <w:t>二氧化硫分析仪（SO2）</w:t>
            </w:r>
          </w:p>
        </w:tc>
        <w:tc>
          <w:tcPr>
            <w:tcW w:type="dxa" w:w="1661"/>
          </w:tcPr>
          <w:p>
            <w:pPr>
              <w:pStyle w:val="null3"/>
              <w:jc w:val="center"/>
            </w:pPr>
            <w:r>
              <w:rPr>
                <w:sz w:val="19"/>
              </w:rPr>
              <w:t>赛默飞世尔43i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2</w:t>
            </w:r>
          </w:p>
        </w:tc>
        <w:tc>
          <w:tcPr>
            <w:tcW w:type="dxa" w:w="1661"/>
          </w:tcPr>
          <w:p>
            <w:pPr>
              <w:pStyle w:val="null3"/>
              <w:jc w:val="center"/>
            </w:pPr>
            <w:r>
              <w:rPr>
                <w:sz w:val="19"/>
              </w:rPr>
              <w:t>氮氧化物分析仪（NO-NO2-NOx）</w:t>
            </w:r>
          </w:p>
        </w:tc>
        <w:tc>
          <w:tcPr>
            <w:tcW w:type="dxa" w:w="1661"/>
          </w:tcPr>
          <w:p>
            <w:pPr>
              <w:pStyle w:val="null3"/>
              <w:jc w:val="center"/>
            </w:pPr>
            <w:r>
              <w:rPr>
                <w:sz w:val="19"/>
              </w:rPr>
              <w:t>赛默飞世尔42i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3</w:t>
            </w:r>
          </w:p>
        </w:tc>
        <w:tc>
          <w:tcPr>
            <w:tcW w:type="dxa" w:w="1661"/>
          </w:tcPr>
          <w:p>
            <w:pPr>
              <w:pStyle w:val="null3"/>
              <w:jc w:val="center"/>
            </w:pPr>
            <w:r>
              <w:rPr>
                <w:sz w:val="19"/>
              </w:rPr>
              <w:t>一氧化碳分析仪（CO）</w:t>
            </w:r>
          </w:p>
        </w:tc>
        <w:tc>
          <w:tcPr>
            <w:tcW w:type="dxa" w:w="1661"/>
          </w:tcPr>
          <w:p>
            <w:pPr>
              <w:pStyle w:val="null3"/>
              <w:jc w:val="center"/>
            </w:pPr>
            <w:r>
              <w:rPr>
                <w:sz w:val="19"/>
              </w:rPr>
              <w:t>赛默飞世尔48i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4</w:t>
            </w:r>
          </w:p>
        </w:tc>
        <w:tc>
          <w:tcPr>
            <w:tcW w:type="dxa" w:w="1661"/>
          </w:tcPr>
          <w:p>
            <w:pPr>
              <w:pStyle w:val="null3"/>
              <w:jc w:val="center"/>
            </w:pPr>
            <w:r>
              <w:rPr>
                <w:sz w:val="19"/>
              </w:rPr>
              <w:t>臭氧分析仪（O3）</w:t>
            </w:r>
          </w:p>
        </w:tc>
        <w:tc>
          <w:tcPr>
            <w:tcW w:type="dxa" w:w="1661"/>
          </w:tcPr>
          <w:p>
            <w:pPr>
              <w:pStyle w:val="null3"/>
              <w:jc w:val="center"/>
            </w:pPr>
            <w:r>
              <w:rPr>
                <w:sz w:val="19"/>
              </w:rPr>
              <w:t>赛默飞世尔49i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5</w:t>
            </w:r>
          </w:p>
        </w:tc>
        <w:tc>
          <w:tcPr>
            <w:tcW w:type="dxa" w:w="1661"/>
          </w:tcPr>
          <w:p>
            <w:pPr>
              <w:pStyle w:val="null3"/>
              <w:jc w:val="center"/>
            </w:pPr>
            <w:r>
              <w:rPr>
                <w:sz w:val="19"/>
              </w:rPr>
              <w:t>PM10颗粒物分析仪</w:t>
            </w:r>
          </w:p>
        </w:tc>
        <w:tc>
          <w:tcPr>
            <w:tcW w:type="dxa" w:w="1661"/>
          </w:tcPr>
          <w:p>
            <w:pPr>
              <w:pStyle w:val="null3"/>
              <w:jc w:val="center"/>
            </w:pPr>
            <w:r>
              <w:rPr>
                <w:sz w:val="19"/>
              </w:rPr>
              <w:t>赛默飞世尔5014i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6</w:t>
            </w:r>
          </w:p>
        </w:tc>
        <w:tc>
          <w:tcPr>
            <w:tcW w:type="dxa" w:w="1661"/>
          </w:tcPr>
          <w:p>
            <w:pPr>
              <w:pStyle w:val="null3"/>
              <w:jc w:val="center"/>
            </w:pPr>
            <w:r>
              <w:rPr>
                <w:sz w:val="19"/>
              </w:rPr>
              <w:t>PM2.5颗粒物分析仪</w:t>
            </w:r>
          </w:p>
        </w:tc>
        <w:tc>
          <w:tcPr>
            <w:tcW w:type="dxa" w:w="1661"/>
          </w:tcPr>
          <w:p>
            <w:pPr>
              <w:pStyle w:val="null3"/>
              <w:jc w:val="center"/>
            </w:pPr>
            <w:r>
              <w:rPr>
                <w:sz w:val="19"/>
              </w:rPr>
              <w:t>赛默飞世尔5014i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8</w:t>
            </w:r>
          </w:p>
        </w:tc>
        <w:tc>
          <w:tcPr>
            <w:tcW w:type="dxa" w:w="1661"/>
          </w:tcPr>
          <w:p>
            <w:pPr>
              <w:pStyle w:val="null3"/>
              <w:jc w:val="center"/>
            </w:pPr>
            <w:r>
              <w:rPr>
                <w:sz w:val="19"/>
              </w:rPr>
              <w:t>动态校准系统（包括零气发生器、动态校准仪）</w:t>
            </w:r>
          </w:p>
        </w:tc>
        <w:tc>
          <w:tcPr>
            <w:tcW w:type="dxa" w:w="1661"/>
          </w:tcPr>
          <w:p>
            <w:pPr>
              <w:pStyle w:val="null3"/>
              <w:jc w:val="center"/>
            </w:pPr>
            <w:r>
              <w:rPr>
                <w:sz w:val="19"/>
              </w:rPr>
              <w:t>赛默飞世尔146i、111</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9</w:t>
            </w:r>
          </w:p>
        </w:tc>
        <w:tc>
          <w:tcPr>
            <w:tcW w:type="dxa" w:w="1661"/>
          </w:tcPr>
          <w:p>
            <w:pPr>
              <w:pStyle w:val="null3"/>
              <w:jc w:val="center"/>
            </w:pPr>
            <w:r>
              <w:rPr>
                <w:sz w:val="19"/>
              </w:rPr>
              <w:t>采样系统</w:t>
            </w:r>
          </w:p>
        </w:tc>
        <w:tc>
          <w:tcPr>
            <w:tcW w:type="dxa" w:w="1661"/>
          </w:tcPr>
          <w:p>
            <w:pPr>
              <w:pStyle w:val="null3"/>
              <w:jc w:val="center"/>
            </w:pPr>
            <w:r>
              <w:rPr>
                <w:sz w:val="19"/>
              </w:rPr>
              <w:t>科迪隆AQMS-CY3</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10</w:t>
            </w:r>
          </w:p>
        </w:tc>
        <w:tc>
          <w:tcPr>
            <w:tcW w:type="dxa" w:w="1661"/>
          </w:tcPr>
          <w:p>
            <w:pPr>
              <w:pStyle w:val="null3"/>
              <w:jc w:val="center"/>
            </w:pPr>
            <w:r>
              <w:rPr>
                <w:sz w:val="19"/>
              </w:rPr>
              <w:t>数据采集系统</w:t>
            </w:r>
          </w:p>
        </w:tc>
        <w:tc>
          <w:tcPr>
            <w:tcW w:type="dxa" w:w="1661"/>
          </w:tcPr>
          <w:p>
            <w:pPr>
              <w:pStyle w:val="null3"/>
              <w:jc w:val="center"/>
            </w:pPr>
            <w:r>
              <w:rPr>
                <w:sz w:val="19"/>
              </w:rPr>
              <w:t>科迪隆AQMS</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11</w:t>
            </w:r>
          </w:p>
        </w:tc>
        <w:tc>
          <w:tcPr>
            <w:tcW w:type="dxa" w:w="1661"/>
          </w:tcPr>
          <w:p>
            <w:pPr>
              <w:pStyle w:val="null3"/>
              <w:jc w:val="center"/>
            </w:pPr>
            <w:r>
              <w:rPr>
                <w:sz w:val="19"/>
              </w:rPr>
              <w:t>站房及配套设备</w:t>
            </w:r>
          </w:p>
        </w:tc>
        <w:tc>
          <w:tcPr>
            <w:tcW w:type="dxa" w:w="1661"/>
          </w:tcPr>
          <w:p>
            <w:pPr>
              <w:pStyle w:val="null3"/>
              <w:jc w:val="center"/>
            </w:pPr>
            <w:r>
              <w:rPr>
                <w:sz w:val="19"/>
              </w:rPr>
              <w:t>科迪隆ZF-CGB15</w:t>
            </w:r>
          </w:p>
        </w:tc>
        <w:tc>
          <w:tcPr>
            <w:tcW w:type="dxa" w:w="1661"/>
          </w:tcPr>
          <w:p>
            <w:pPr>
              <w:pStyle w:val="null3"/>
              <w:jc w:val="center"/>
            </w:pPr>
            <w:r>
              <w:rPr>
                <w:sz w:val="19"/>
              </w:rPr>
              <w:t>套</w:t>
            </w:r>
          </w:p>
        </w:tc>
        <w:tc>
          <w:tcPr>
            <w:tcW w:type="dxa" w:w="1661"/>
          </w:tcPr>
          <w:p>
            <w:pPr>
              <w:pStyle w:val="null3"/>
              <w:jc w:val="center"/>
            </w:pPr>
            <w:r>
              <w:rPr>
                <w:sz w:val="19"/>
              </w:rPr>
              <w:t>5</w:t>
            </w:r>
          </w:p>
        </w:tc>
      </w:tr>
    </w:tbl>
    <w:p>
      <w:pPr>
        <w:pStyle w:val="null3"/>
        <w:ind w:firstLine="241"/>
        <w:jc w:val="center"/>
      </w:pPr>
      <w:r>
        <w:rPr>
          <w:sz w:val="24"/>
          <w:b/>
        </w:rPr>
        <w:t>（表二</w:t>
      </w:r>
      <w:r>
        <w:rPr>
          <w:sz w:val="24"/>
          <w:b/>
        </w:rPr>
        <w:t>)视频监控系统仪器设备明细表</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Pr>
          <w:p>
            <w:pPr>
              <w:pStyle w:val="null3"/>
              <w:jc w:val="center"/>
            </w:pPr>
            <w:r>
              <w:rPr>
                <w:sz w:val="19"/>
              </w:rPr>
              <w:t>序号</w:t>
            </w:r>
          </w:p>
        </w:tc>
        <w:tc>
          <w:tcPr>
            <w:tcW w:type="dxa" w:w="1661"/>
          </w:tcPr>
          <w:p>
            <w:pPr>
              <w:pStyle w:val="null3"/>
              <w:jc w:val="center"/>
            </w:pPr>
            <w:r>
              <w:rPr>
                <w:sz w:val="19"/>
              </w:rPr>
              <w:t>设备名称</w:t>
            </w:r>
          </w:p>
        </w:tc>
        <w:tc>
          <w:tcPr>
            <w:tcW w:type="dxa" w:w="1661"/>
          </w:tcPr>
          <w:p>
            <w:pPr>
              <w:pStyle w:val="null3"/>
              <w:jc w:val="center"/>
            </w:pPr>
            <w:r>
              <w:rPr>
                <w:sz w:val="19"/>
              </w:rPr>
              <w:t>型号规格</w:t>
            </w:r>
          </w:p>
        </w:tc>
        <w:tc>
          <w:tcPr>
            <w:tcW w:type="dxa" w:w="1661"/>
          </w:tcPr>
          <w:p>
            <w:pPr>
              <w:pStyle w:val="null3"/>
              <w:jc w:val="center"/>
            </w:pPr>
            <w:r>
              <w:rPr>
                <w:sz w:val="19"/>
              </w:rPr>
              <w:t>单位</w:t>
            </w:r>
          </w:p>
        </w:tc>
        <w:tc>
          <w:tcPr>
            <w:tcW w:type="dxa" w:w="1661"/>
          </w:tcPr>
          <w:p>
            <w:pPr>
              <w:pStyle w:val="null3"/>
              <w:jc w:val="center"/>
            </w:pPr>
            <w:r>
              <w:rPr>
                <w:sz w:val="19"/>
              </w:rPr>
              <w:t>数量</w:t>
            </w:r>
          </w:p>
        </w:tc>
      </w:tr>
      <w:tr>
        <w:tc>
          <w:tcPr>
            <w:tcW w:type="dxa" w:w="1661"/>
          </w:tcPr>
          <w:p>
            <w:pPr>
              <w:pStyle w:val="null3"/>
              <w:jc w:val="center"/>
            </w:pPr>
            <w:r>
              <w:rPr>
                <w:sz w:val="19"/>
              </w:rPr>
              <w:t>1</w:t>
            </w:r>
          </w:p>
        </w:tc>
        <w:tc>
          <w:tcPr>
            <w:tcW w:type="dxa" w:w="1661"/>
          </w:tcPr>
          <w:p>
            <w:pPr>
              <w:pStyle w:val="null3"/>
              <w:jc w:val="center"/>
            </w:pPr>
            <w:r>
              <w:rPr>
                <w:sz w:val="19"/>
              </w:rPr>
              <w:t>焚烧AI监测设备终端</w:t>
            </w:r>
          </w:p>
        </w:tc>
        <w:tc>
          <w:tcPr>
            <w:tcW w:type="dxa" w:w="1661"/>
          </w:tcPr>
          <w:p>
            <w:pPr>
              <w:pStyle w:val="null3"/>
              <w:jc w:val="center"/>
            </w:pPr>
            <w:r>
              <w:rPr>
                <w:sz w:val="19"/>
              </w:rPr>
              <w:t>科迪隆AIPS2000</w:t>
            </w:r>
          </w:p>
        </w:tc>
        <w:tc>
          <w:tcPr>
            <w:tcW w:type="dxa" w:w="1661"/>
          </w:tcPr>
          <w:p>
            <w:pPr>
              <w:pStyle w:val="null3"/>
              <w:jc w:val="center"/>
            </w:pPr>
            <w:r>
              <w:rPr>
                <w:sz w:val="19"/>
              </w:rPr>
              <w:t>套</w:t>
            </w:r>
          </w:p>
        </w:tc>
        <w:tc>
          <w:tcPr>
            <w:tcW w:type="dxa" w:w="1661"/>
          </w:tcPr>
          <w:p>
            <w:pPr>
              <w:pStyle w:val="null3"/>
              <w:jc w:val="center"/>
            </w:pPr>
            <w:r>
              <w:rPr>
                <w:sz w:val="19"/>
              </w:rPr>
              <w:t>4</w:t>
            </w:r>
          </w:p>
        </w:tc>
      </w:tr>
      <w:tr>
        <w:tc>
          <w:tcPr>
            <w:tcW w:type="dxa" w:w="1661"/>
          </w:tcPr>
          <w:p>
            <w:pPr>
              <w:pStyle w:val="null3"/>
              <w:jc w:val="center"/>
            </w:pPr>
            <w:r>
              <w:rPr>
                <w:sz w:val="19"/>
              </w:rPr>
              <w:t>2</w:t>
            </w:r>
          </w:p>
        </w:tc>
        <w:tc>
          <w:tcPr>
            <w:tcW w:type="dxa" w:w="1661"/>
          </w:tcPr>
          <w:p>
            <w:pPr>
              <w:pStyle w:val="null3"/>
              <w:jc w:val="center"/>
            </w:pPr>
            <w:r>
              <w:rPr>
                <w:sz w:val="19"/>
              </w:rPr>
              <w:t>高空高清摄像头</w:t>
            </w:r>
          </w:p>
        </w:tc>
        <w:tc>
          <w:tcPr>
            <w:tcW w:type="dxa" w:w="1661"/>
          </w:tcPr>
          <w:p>
            <w:pPr>
              <w:pStyle w:val="null3"/>
              <w:jc w:val="center"/>
            </w:pPr>
            <w:r>
              <w:rPr>
                <w:sz w:val="19"/>
              </w:rPr>
              <w:t>科迪隆HCPS2000</w:t>
            </w:r>
          </w:p>
        </w:tc>
        <w:tc>
          <w:tcPr>
            <w:tcW w:type="dxa" w:w="1661"/>
          </w:tcPr>
          <w:p>
            <w:pPr>
              <w:pStyle w:val="null3"/>
              <w:jc w:val="center"/>
            </w:pPr>
            <w:r>
              <w:rPr>
                <w:sz w:val="19"/>
              </w:rPr>
              <w:t>套</w:t>
            </w:r>
          </w:p>
        </w:tc>
        <w:tc>
          <w:tcPr>
            <w:tcW w:type="dxa" w:w="1661"/>
          </w:tcPr>
          <w:p>
            <w:pPr>
              <w:pStyle w:val="null3"/>
              <w:jc w:val="center"/>
            </w:pPr>
            <w:r>
              <w:rPr>
                <w:sz w:val="19"/>
              </w:rPr>
              <w:t>18</w:t>
            </w:r>
          </w:p>
        </w:tc>
      </w:tr>
    </w:tbl>
    <w:p>
      <w:pPr>
        <w:pStyle w:val="null3"/>
        <w:ind w:firstLine="480"/>
      </w:pPr>
      <w:r>
        <w:rPr>
          <w:sz w:val="24"/>
        </w:rPr>
        <w:t>采购包</w:t>
      </w:r>
      <w:r>
        <w:rPr>
          <w:sz w:val="24"/>
        </w:rPr>
        <w:t>2</w:t>
      </w:r>
      <w:r>
        <w:rPr>
          <w:sz w:val="24"/>
        </w:rPr>
        <w:t>：</w:t>
      </w:r>
    </w:p>
    <w:p>
      <w:pPr>
        <w:pStyle w:val="null3"/>
        <w:ind w:firstLine="241"/>
        <w:jc w:val="center"/>
      </w:pPr>
      <w:r>
        <w:rPr>
          <w:sz w:val="24"/>
          <w:b/>
        </w:rPr>
        <w:t>（表</w:t>
      </w:r>
      <w:r>
        <w:rPr>
          <w:sz w:val="24"/>
          <w:b/>
        </w:rPr>
        <w:t>一</w:t>
      </w:r>
      <w:r>
        <w:rPr>
          <w:sz w:val="24"/>
          <w:b/>
        </w:rPr>
        <w:t>)</w:t>
      </w:r>
      <w:r>
        <w:rPr>
          <w:sz w:val="24"/>
          <w:b/>
        </w:rPr>
        <w:t xml:space="preserve"> </w:t>
      </w:r>
      <w:r>
        <w:rPr>
          <w:sz w:val="24"/>
          <w:b/>
        </w:rPr>
        <w:t>5个镇街（新龙镇、长岭街、穗东街、南岗街、长洲街）</w:t>
      </w:r>
      <w:r>
        <w:rPr>
          <w:sz w:val="24"/>
          <w:b/>
        </w:rPr>
        <w:t>空气站仪器设备明细表</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Pr>
          <w:p>
            <w:pPr>
              <w:pStyle w:val="null3"/>
              <w:jc w:val="center"/>
            </w:pPr>
            <w:r>
              <w:rPr>
                <w:sz w:val="19"/>
              </w:rPr>
              <w:t>序号</w:t>
            </w:r>
          </w:p>
        </w:tc>
        <w:tc>
          <w:tcPr>
            <w:tcW w:type="dxa" w:w="1661"/>
          </w:tcPr>
          <w:p>
            <w:pPr>
              <w:pStyle w:val="null3"/>
              <w:jc w:val="center"/>
            </w:pPr>
            <w:r>
              <w:rPr>
                <w:sz w:val="19"/>
              </w:rPr>
              <w:t>设备名称</w:t>
            </w:r>
          </w:p>
        </w:tc>
        <w:tc>
          <w:tcPr>
            <w:tcW w:type="dxa" w:w="1661"/>
          </w:tcPr>
          <w:p>
            <w:pPr>
              <w:pStyle w:val="null3"/>
              <w:jc w:val="center"/>
            </w:pPr>
            <w:r>
              <w:rPr>
                <w:sz w:val="19"/>
              </w:rPr>
              <w:t>型号规格</w:t>
            </w:r>
          </w:p>
        </w:tc>
        <w:tc>
          <w:tcPr>
            <w:tcW w:type="dxa" w:w="1661"/>
          </w:tcPr>
          <w:p>
            <w:pPr>
              <w:pStyle w:val="null3"/>
              <w:jc w:val="center"/>
            </w:pPr>
            <w:r>
              <w:rPr>
                <w:sz w:val="19"/>
              </w:rPr>
              <w:t>单位</w:t>
            </w:r>
          </w:p>
        </w:tc>
        <w:tc>
          <w:tcPr>
            <w:tcW w:type="dxa" w:w="1661"/>
          </w:tcPr>
          <w:p>
            <w:pPr>
              <w:pStyle w:val="null3"/>
              <w:jc w:val="center"/>
            </w:pPr>
            <w:r>
              <w:rPr>
                <w:sz w:val="19"/>
              </w:rPr>
              <w:t>数量</w:t>
            </w:r>
          </w:p>
        </w:tc>
      </w:tr>
      <w:tr>
        <w:tc>
          <w:tcPr>
            <w:tcW w:type="dxa" w:w="1661"/>
          </w:tcPr>
          <w:p>
            <w:pPr>
              <w:pStyle w:val="null3"/>
              <w:jc w:val="center"/>
            </w:pPr>
            <w:r>
              <w:rPr>
                <w:sz w:val="19"/>
              </w:rPr>
              <w:t>1</w:t>
            </w:r>
          </w:p>
        </w:tc>
        <w:tc>
          <w:tcPr>
            <w:tcW w:type="dxa" w:w="1661"/>
          </w:tcPr>
          <w:p>
            <w:pPr>
              <w:pStyle w:val="null3"/>
              <w:jc w:val="center"/>
            </w:pPr>
            <w:r>
              <w:rPr>
                <w:sz w:val="19"/>
              </w:rPr>
              <w:t>二氧化硫分析仪（SO2）</w:t>
            </w:r>
          </w:p>
        </w:tc>
        <w:tc>
          <w:tcPr>
            <w:tcW w:type="dxa" w:w="1661"/>
          </w:tcPr>
          <w:p>
            <w:pPr>
              <w:pStyle w:val="null3"/>
              <w:jc w:val="center"/>
            </w:pPr>
            <w:r>
              <w:rPr>
                <w:sz w:val="19"/>
              </w:rPr>
              <w:t>赛默飞世尔43i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2</w:t>
            </w:r>
          </w:p>
        </w:tc>
        <w:tc>
          <w:tcPr>
            <w:tcW w:type="dxa" w:w="1661"/>
          </w:tcPr>
          <w:p>
            <w:pPr>
              <w:pStyle w:val="null3"/>
              <w:jc w:val="center"/>
            </w:pPr>
            <w:r>
              <w:rPr>
                <w:sz w:val="19"/>
              </w:rPr>
              <w:t>氮氧化物分析仪（NO-NO2-NOx）</w:t>
            </w:r>
          </w:p>
        </w:tc>
        <w:tc>
          <w:tcPr>
            <w:tcW w:type="dxa" w:w="1661"/>
          </w:tcPr>
          <w:p>
            <w:pPr>
              <w:pStyle w:val="null3"/>
              <w:jc w:val="center"/>
            </w:pPr>
            <w:r>
              <w:rPr>
                <w:sz w:val="19"/>
              </w:rPr>
              <w:t>赛默飞世尔42i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3</w:t>
            </w:r>
          </w:p>
        </w:tc>
        <w:tc>
          <w:tcPr>
            <w:tcW w:type="dxa" w:w="1661"/>
          </w:tcPr>
          <w:p>
            <w:pPr>
              <w:pStyle w:val="null3"/>
              <w:jc w:val="center"/>
            </w:pPr>
            <w:r>
              <w:rPr>
                <w:sz w:val="19"/>
              </w:rPr>
              <w:t>一氧化碳分析仪（CO）</w:t>
            </w:r>
          </w:p>
        </w:tc>
        <w:tc>
          <w:tcPr>
            <w:tcW w:type="dxa" w:w="1661"/>
          </w:tcPr>
          <w:p>
            <w:pPr>
              <w:pStyle w:val="null3"/>
              <w:jc w:val="center"/>
            </w:pPr>
            <w:r>
              <w:rPr>
                <w:sz w:val="19"/>
              </w:rPr>
              <w:t>赛默飞世尔48i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4</w:t>
            </w:r>
          </w:p>
        </w:tc>
        <w:tc>
          <w:tcPr>
            <w:tcW w:type="dxa" w:w="1661"/>
          </w:tcPr>
          <w:p>
            <w:pPr>
              <w:pStyle w:val="null3"/>
              <w:jc w:val="center"/>
            </w:pPr>
            <w:r>
              <w:rPr>
                <w:sz w:val="19"/>
              </w:rPr>
              <w:t>臭氧分析仪（O3）</w:t>
            </w:r>
          </w:p>
        </w:tc>
        <w:tc>
          <w:tcPr>
            <w:tcW w:type="dxa" w:w="1661"/>
          </w:tcPr>
          <w:p>
            <w:pPr>
              <w:pStyle w:val="null3"/>
              <w:jc w:val="center"/>
            </w:pPr>
            <w:r>
              <w:rPr>
                <w:sz w:val="19"/>
              </w:rPr>
              <w:t>赛默飞世尔49i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5</w:t>
            </w:r>
          </w:p>
        </w:tc>
        <w:tc>
          <w:tcPr>
            <w:tcW w:type="dxa" w:w="1661"/>
          </w:tcPr>
          <w:p>
            <w:pPr>
              <w:pStyle w:val="null3"/>
              <w:jc w:val="center"/>
            </w:pPr>
            <w:r>
              <w:rPr>
                <w:sz w:val="19"/>
              </w:rPr>
              <w:t>PM10颗粒物分析仪</w:t>
            </w:r>
          </w:p>
        </w:tc>
        <w:tc>
          <w:tcPr>
            <w:tcW w:type="dxa" w:w="1661"/>
          </w:tcPr>
          <w:p>
            <w:pPr>
              <w:pStyle w:val="null3"/>
              <w:jc w:val="center"/>
            </w:pPr>
            <w:r>
              <w:rPr>
                <w:sz w:val="19"/>
              </w:rPr>
              <w:t>赛默飞世尔5014i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6</w:t>
            </w:r>
          </w:p>
        </w:tc>
        <w:tc>
          <w:tcPr>
            <w:tcW w:type="dxa" w:w="1661"/>
          </w:tcPr>
          <w:p>
            <w:pPr>
              <w:pStyle w:val="null3"/>
              <w:jc w:val="center"/>
            </w:pPr>
            <w:r>
              <w:rPr>
                <w:sz w:val="19"/>
              </w:rPr>
              <w:t>PM2.5颗粒物分析仪</w:t>
            </w:r>
          </w:p>
        </w:tc>
        <w:tc>
          <w:tcPr>
            <w:tcW w:type="dxa" w:w="1661"/>
          </w:tcPr>
          <w:p>
            <w:pPr>
              <w:pStyle w:val="null3"/>
              <w:jc w:val="center"/>
            </w:pPr>
            <w:r>
              <w:rPr>
                <w:sz w:val="19"/>
              </w:rPr>
              <w:t>赛默飞世尔5014i</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8</w:t>
            </w:r>
          </w:p>
        </w:tc>
        <w:tc>
          <w:tcPr>
            <w:tcW w:type="dxa" w:w="1661"/>
          </w:tcPr>
          <w:p>
            <w:pPr>
              <w:pStyle w:val="null3"/>
              <w:jc w:val="center"/>
            </w:pPr>
            <w:r>
              <w:rPr>
                <w:sz w:val="19"/>
              </w:rPr>
              <w:t>动态校准系统（包括零气发生器、动态校准仪）</w:t>
            </w:r>
          </w:p>
        </w:tc>
        <w:tc>
          <w:tcPr>
            <w:tcW w:type="dxa" w:w="1661"/>
          </w:tcPr>
          <w:p>
            <w:pPr>
              <w:pStyle w:val="null3"/>
              <w:jc w:val="center"/>
            </w:pPr>
            <w:r>
              <w:rPr>
                <w:sz w:val="19"/>
              </w:rPr>
              <w:t>赛默飞世尔146i、111</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9</w:t>
            </w:r>
          </w:p>
        </w:tc>
        <w:tc>
          <w:tcPr>
            <w:tcW w:type="dxa" w:w="1661"/>
          </w:tcPr>
          <w:p>
            <w:pPr>
              <w:pStyle w:val="null3"/>
              <w:jc w:val="center"/>
            </w:pPr>
            <w:r>
              <w:rPr>
                <w:sz w:val="19"/>
              </w:rPr>
              <w:t>采样系统</w:t>
            </w:r>
          </w:p>
        </w:tc>
        <w:tc>
          <w:tcPr>
            <w:tcW w:type="dxa" w:w="1661"/>
          </w:tcPr>
          <w:p>
            <w:pPr>
              <w:pStyle w:val="null3"/>
              <w:jc w:val="center"/>
            </w:pPr>
            <w:r>
              <w:rPr>
                <w:sz w:val="19"/>
              </w:rPr>
              <w:t>科迪隆AQMS-CY3</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10</w:t>
            </w:r>
          </w:p>
        </w:tc>
        <w:tc>
          <w:tcPr>
            <w:tcW w:type="dxa" w:w="1661"/>
          </w:tcPr>
          <w:p>
            <w:pPr>
              <w:pStyle w:val="null3"/>
              <w:jc w:val="center"/>
            </w:pPr>
            <w:r>
              <w:rPr>
                <w:sz w:val="19"/>
              </w:rPr>
              <w:t>数据采集系统</w:t>
            </w:r>
          </w:p>
        </w:tc>
        <w:tc>
          <w:tcPr>
            <w:tcW w:type="dxa" w:w="1661"/>
          </w:tcPr>
          <w:p>
            <w:pPr>
              <w:pStyle w:val="null3"/>
              <w:jc w:val="center"/>
            </w:pPr>
            <w:r>
              <w:rPr>
                <w:sz w:val="19"/>
              </w:rPr>
              <w:t>科迪隆AQMS</w:t>
            </w:r>
          </w:p>
        </w:tc>
        <w:tc>
          <w:tcPr>
            <w:tcW w:type="dxa" w:w="1661"/>
          </w:tcPr>
          <w:p>
            <w:pPr>
              <w:pStyle w:val="null3"/>
              <w:jc w:val="center"/>
            </w:pPr>
            <w:r>
              <w:rPr>
                <w:sz w:val="19"/>
              </w:rPr>
              <w:t>套</w:t>
            </w:r>
          </w:p>
        </w:tc>
        <w:tc>
          <w:tcPr>
            <w:tcW w:type="dxa" w:w="1661"/>
          </w:tcPr>
          <w:p>
            <w:pPr>
              <w:pStyle w:val="null3"/>
              <w:jc w:val="center"/>
            </w:pPr>
            <w:r>
              <w:rPr>
                <w:sz w:val="19"/>
              </w:rPr>
              <w:t>5</w:t>
            </w:r>
          </w:p>
        </w:tc>
      </w:tr>
      <w:tr>
        <w:tc>
          <w:tcPr>
            <w:tcW w:type="dxa" w:w="1661"/>
          </w:tcPr>
          <w:p>
            <w:pPr>
              <w:pStyle w:val="null3"/>
              <w:jc w:val="center"/>
            </w:pPr>
            <w:r>
              <w:rPr>
                <w:sz w:val="19"/>
              </w:rPr>
              <w:t>11</w:t>
            </w:r>
          </w:p>
        </w:tc>
        <w:tc>
          <w:tcPr>
            <w:tcW w:type="dxa" w:w="1661"/>
          </w:tcPr>
          <w:p>
            <w:pPr>
              <w:pStyle w:val="null3"/>
              <w:jc w:val="center"/>
            </w:pPr>
            <w:r>
              <w:rPr>
                <w:sz w:val="19"/>
              </w:rPr>
              <w:t>站房及配套设备</w:t>
            </w:r>
          </w:p>
        </w:tc>
        <w:tc>
          <w:tcPr>
            <w:tcW w:type="dxa" w:w="1661"/>
          </w:tcPr>
          <w:p>
            <w:pPr>
              <w:pStyle w:val="null3"/>
              <w:jc w:val="center"/>
            </w:pPr>
            <w:r>
              <w:rPr>
                <w:sz w:val="19"/>
              </w:rPr>
              <w:t>科迪隆ZF-CGB15</w:t>
            </w:r>
          </w:p>
        </w:tc>
        <w:tc>
          <w:tcPr>
            <w:tcW w:type="dxa" w:w="1661"/>
          </w:tcPr>
          <w:p>
            <w:pPr>
              <w:pStyle w:val="null3"/>
              <w:jc w:val="center"/>
            </w:pPr>
            <w:r>
              <w:rPr>
                <w:sz w:val="19"/>
              </w:rPr>
              <w:t>套</w:t>
            </w:r>
          </w:p>
        </w:tc>
        <w:tc>
          <w:tcPr>
            <w:tcW w:type="dxa" w:w="1661"/>
          </w:tcPr>
          <w:p>
            <w:pPr>
              <w:pStyle w:val="null3"/>
              <w:jc w:val="center"/>
            </w:pPr>
            <w:r>
              <w:rPr>
                <w:sz w:val="19"/>
              </w:rPr>
              <w:t>5</w:t>
            </w:r>
          </w:p>
        </w:tc>
      </w:tr>
    </w:tbl>
    <w:p>
      <w:pPr>
        <w:pStyle w:val="null3"/>
        <w:jc w:val="both"/>
      </w:pPr>
      <w:r>
        <w:rPr>
          <w:sz w:val="24"/>
          <w:b/>
        </w:rPr>
        <w:t>四、</w:t>
      </w:r>
      <w:r>
        <w:rPr>
          <w:sz w:val="24"/>
          <w:b/>
        </w:rPr>
        <w:t>定期预防性维护服务</w:t>
      </w:r>
    </w:p>
    <w:p>
      <w:pPr>
        <w:pStyle w:val="null3"/>
        <w:ind w:firstLine="480"/>
        <w:jc w:val="both"/>
      </w:pPr>
      <w:r>
        <w:rPr>
          <w:sz w:val="24"/>
        </w:rPr>
        <w:t>乙方</w:t>
      </w:r>
      <w:r>
        <w:rPr>
          <w:sz w:val="24"/>
        </w:rPr>
        <w:t>负责派遣工程技术人员每周定期至各空气自动监测站，进行现场仪器性能检查及预防性维护工作，及时更换失效硅胶、分子筛和变黑的滤膜，及时排除积水，保证监测仪器及辅助设施的正常运行，按质量控制和管理要求做好相应的维护记录，每月提交维护和质控报告。相关的日常维护工作必须符合仪器说明书及《环境空气颗粒物（</w:t>
      </w:r>
      <w:r>
        <w:rPr>
          <w:sz w:val="24"/>
        </w:rPr>
        <w:t>PM10 和PM2.5）连续自动监测系统安装和验收技术规范》、《环境空气气态污染物（SO2、NO2、O3、CO）连续自动监测系统安装验收技术规范》、《环境空气颗粒物（PM10 和 PM2.5）连续自动监测系统运行和质控技术规范》、《环境空气气态污染物（SO2、NO2、O3、CO）连续自动监测系统运行和质控技术规范》要求</w:t>
      </w:r>
      <w:r>
        <w:rPr>
          <w:sz w:val="24"/>
        </w:rPr>
        <w:t>。</w:t>
      </w:r>
    </w:p>
    <w:p>
      <w:pPr>
        <w:pStyle w:val="null3"/>
        <w:jc w:val="both"/>
      </w:pPr>
      <w:r>
        <w:rPr>
          <w:sz w:val="24"/>
          <w:b/>
        </w:rPr>
        <w:t>五、</w:t>
      </w:r>
      <w:r>
        <w:rPr>
          <w:sz w:val="24"/>
          <w:b/>
        </w:rPr>
        <w:t>定期质量保证及控制服务</w:t>
      </w:r>
    </w:p>
    <w:p>
      <w:pPr>
        <w:pStyle w:val="null3"/>
        <w:ind w:firstLine="480"/>
        <w:jc w:val="both"/>
      </w:pPr>
      <w:r>
        <w:rPr>
          <w:sz w:val="24"/>
        </w:rPr>
        <w:t>1.</w:t>
      </w:r>
      <w:r>
        <w:rPr>
          <w:sz w:val="24"/>
        </w:rPr>
        <w:t>依照《环境空气颗粒物（</w:t>
      </w:r>
      <w:r>
        <w:rPr>
          <w:sz w:val="24"/>
        </w:rPr>
        <w:t>PM10 和PM2.5）连续自动监测系统安装和验收技术规范》</w:t>
      </w:r>
      <w:r>
        <w:rPr>
          <w:sz w:val="24"/>
        </w:rPr>
        <w:t>、</w:t>
      </w:r>
      <w:r>
        <w:rPr>
          <w:sz w:val="24"/>
        </w:rPr>
        <w:t>《环境空气气态污染物（</w:t>
      </w:r>
      <w:r>
        <w:rPr>
          <w:sz w:val="24"/>
        </w:rPr>
        <w:t>SO2、NO2、O3、CO）连续自动监测系统安装验收技术规范》</w:t>
      </w:r>
      <w:r>
        <w:rPr>
          <w:sz w:val="24"/>
        </w:rPr>
        <w:t>、</w:t>
      </w:r>
      <w:r>
        <w:rPr>
          <w:sz w:val="24"/>
        </w:rPr>
        <w:t>《环境空气颗粒物（</w:t>
      </w:r>
      <w:r>
        <w:rPr>
          <w:sz w:val="24"/>
        </w:rPr>
        <w:t>PM10 和 PM2.5）连续自动监测系统运行和质控技术规范》</w:t>
      </w:r>
      <w:r>
        <w:rPr>
          <w:sz w:val="24"/>
        </w:rPr>
        <w:t>、</w:t>
      </w:r>
      <w:r>
        <w:rPr>
          <w:sz w:val="24"/>
        </w:rPr>
        <w:t>《环境空气气态污染物（</w:t>
      </w:r>
      <w:r>
        <w:rPr>
          <w:sz w:val="24"/>
        </w:rPr>
        <w:t>SO2、NO2、O3、CO）连续自动监测系统运行和质控技术规范》，实施大气自动监测系统的质量保证及质量控制（QA/QC）工作，每月提交QA/QC工作报告。</w:t>
      </w:r>
    </w:p>
    <w:p>
      <w:pPr>
        <w:pStyle w:val="null3"/>
        <w:ind w:firstLine="480"/>
        <w:jc w:val="both"/>
      </w:pPr>
      <w:r>
        <w:rPr>
          <w:sz w:val="24"/>
        </w:rPr>
        <w:t>2.</w:t>
      </w:r>
      <w:r>
        <w:rPr>
          <w:sz w:val="24"/>
        </w:rPr>
        <w:t>需对监测仪器进行定期校准，并提交校准报告。</w:t>
      </w:r>
      <w:r>
        <w:rPr>
          <w:sz w:val="24"/>
        </w:rPr>
        <w:t>乙方</w:t>
      </w:r>
      <w:r>
        <w:rPr>
          <w:sz w:val="24"/>
        </w:rPr>
        <w:t>应配备仪器校准所需的设备及配件。每周进行零点校准和跨度校准，每月进行精度校准，服务期限内每半年至少进行一次多点校准，每月提交校准报告，每半年提供一次多点校准报告。</w:t>
      </w:r>
    </w:p>
    <w:p>
      <w:pPr>
        <w:pStyle w:val="null3"/>
        <w:jc w:val="both"/>
      </w:pPr>
      <w:r>
        <w:rPr>
          <w:sz w:val="24"/>
          <w:b/>
        </w:rPr>
        <w:t>六、</w:t>
      </w:r>
      <w:r>
        <w:rPr>
          <w:sz w:val="24"/>
          <w:b/>
        </w:rPr>
        <w:t>数据监控服务</w:t>
      </w:r>
    </w:p>
    <w:p>
      <w:pPr>
        <w:pStyle w:val="null3"/>
        <w:ind w:firstLine="480"/>
        <w:jc w:val="both"/>
      </w:pPr>
      <w:r>
        <w:rPr>
          <w:sz w:val="24"/>
        </w:rPr>
        <w:t>1.</w:t>
      </w:r>
      <w:r>
        <w:rPr>
          <w:sz w:val="24"/>
        </w:rPr>
        <w:t>乙方</w:t>
      </w:r>
      <w:r>
        <w:rPr>
          <w:sz w:val="24"/>
        </w:rPr>
        <w:t>负责对监测数据和仪器问题进行实时监控，监控人员发现超标情况和异常情况应即刻通知黄埔环境监测站管理人员，同时观测子站周围是否发生污染事故，发现污染事故要及时上报，同时做好记录；如发现仪器异常或者接到黄埔环境监测站通知后，应立刻派遣工程技术人员在</w:t>
      </w:r>
      <w:r>
        <w:rPr>
          <w:sz w:val="24"/>
        </w:rPr>
        <w:t>2小时内赶至现场处理，如果当场不能修复的应立即机更换备机，确保在24小时内系统恢复正常，并做好运行记录，及时向黄埔环境监测站值班人员报告，由监测站管理人员删除无效数据。</w:t>
      </w:r>
    </w:p>
    <w:p>
      <w:pPr>
        <w:pStyle w:val="null3"/>
        <w:ind w:firstLine="480"/>
        <w:jc w:val="both"/>
      </w:pPr>
      <w:r>
        <w:rPr>
          <w:sz w:val="24"/>
        </w:rPr>
        <w:t>2.</w:t>
      </w:r>
      <w:r>
        <w:rPr>
          <w:sz w:val="24"/>
        </w:rPr>
        <w:t>乙方</w:t>
      </w:r>
      <w:r>
        <w:rPr>
          <w:sz w:val="24"/>
        </w:rPr>
        <w:t>需在每月、每季度、半年和年终结束的</w:t>
      </w:r>
      <w:r>
        <w:rPr>
          <w:sz w:val="24"/>
        </w:rPr>
        <w:t>7天内提交月、季度、半年和全年数据分析报告。</w:t>
      </w:r>
      <w:r>
        <w:rPr>
          <w:sz w:val="24"/>
        </w:rPr>
        <w:t>乙方</w:t>
      </w:r>
      <w:r>
        <w:rPr>
          <w:sz w:val="24"/>
        </w:rPr>
        <w:t>有义务承担黄埔环境监测站提出的各类空气质量分析报告编写工作。并利用自己的技术优势帮助黄埔环境监测站对全区的空气质量进行综合分析，提出合理化建议、建设性意见和有效可行的改善措施。</w:t>
      </w:r>
    </w:p>
    <w:p>
      <w:pPr>
        <w:pStyle w:val="null3"/>
        <w:ind w:firstLine="480"/>
        <w:jc w:val="both"/>
      </w:pPr>
      <w:r>
        <w:rPr>
          <w:sz w:val="24"/>
        </w:rPr>
        <w:t>3.</w:t>
      </w:r>
      <w:r>
        <w:rPr>
          <w:sz w:val="24"/>
        </w:rPr>
        <w:t>乙方</w:t>
      </w:r>
      <w:r>
        <w:rPr>
          <w:sz w:val="24"/>
        </w:rPr>
        <w:t>需每日做好质控记录和运行情况记录，按月汇总上报给黄埔环境监测站</w:t>
      </w:r>
      <w:r>
        <w:rPr>
          <w:sz w:val="24"/>
        </w:rPr>
        <w:t>。</w:t>
      </w:r>
    </w:p>
    <w:p>
      <w:pPr>
        <w:pStyle w:val="null3"/>
        <w:jc w:val="both"/>
      </w:pPr>
      <w:r>
        <w:rPr>
          <w:sz w:val="24"/>
          <w:b/>
        </w:rPr>
        <w:t>七、</w:t>
      </w:r>
      <w:r>
        <w:rPr>
          <w:sz w:val="24"/>
          <w:b/>
        </w:rPr>
        <w:t>数据要求</w:t>
      </w:r>
    </w:p>
    <w:p>
      <w:pPr>
        <w:pStyle w:val="null3"/>
        <w:ind w:firstLine="480"/>
        <w:jc w:val="both"/>
      </w:pPr>
      <w:r>
        <w:rPr>
          <w:sz w:val="24"/>
        </w:rPr>
        <w:t>乙方要保证各空气质量自动监测系统能正常运行，数据传输正常，月、年数据有效率达到</w:t>
      </w:r>
      <w:r>
        <w:rPr>
          <w:sz w:val="24"/>
        </w:rPr>
        <w:t>90%以上的要求。提供视频监控系统AI智能分析识别焚烧、烟雾等异常情况并实现自动预警，将本项目涉及的实时监测数据和监控视频上传至黄埔区污染防治攻坚战指挥系统。</w:t>
      </w:r>
    </w:p>
    <w:p>
      <w:pPr>
        <w:pStyle w:val="null3"/>
        <w:jc w:val="both"/>
      </w:pPr>
      <w:r>
        <w:rPr>
          <w:sz w:val="24"/>
          <w:b/>
        </w:rPr>
        <w:t>八、</w:t>
      </w:r>
      <w:r>
        <w:rPr>
          <w:sz w:val="24"/>
          <w:b/>
        </w:rPr>
        <w:t>考核要求</w:t>
      </w:r>
    </w:p>
    <w:p>
      <w:pPr>
        <w:pStyle w:val="null3"/>
        <w:ind w:firstLine="480"/>
        <w:jc w:val="both"/>
      </w:pPr>
      <w:r>
        <w:rPr>
          <w:sz w:val="24"/>
        </w:rPr>
        <w:t>乙方</w:t>
      </w:r>
      <w:r>
        <w:rPr>
          <w:sz w:val="24"/>
        </w:rPr>
        <w:t>有责任接受黄埔环境监测站的定期和不定期考核。在考核中，不能出现两次以上偏差大于等于</w:t>
      </w:r>
      <w:r>
        <w:rPr>
          <w:sz w:val="24"/>
        </w:rPr>
        <w:t>15%。</w:t>
      </w:r>
    </w:p>
    <w:p>
      <w:pPr>
        <w:pStyle w:val="null3"/>
        <w:jc w:val="both"/>
      </w:pPr>
      <w:r>
        <w:rPr>
          <w:sz w:val="24"/>
          <w:b/>
        </w:rPr>
        <w:t>九、</w:t>
      </w:r>
      <w:r>
        <w:rPr>
          <w:sz w:val="24"/>
          <w:b/>
        </w:rPr>
        <w:t>监督检查要求</w:t>
      </w:r>
    </w:p>
    <w:p>
      <w:pPr>
        <w:pStyle w:val="null3"/>
        <w:ind w:firstLine="480"/>
        <w:jc w:val="both"/>
      </w:pPr>
      <w:r>
        <w:rPr>
          <w:sz w:val="24"/>
        </w:rPr>
        <w:t>乙方</w:t>
      </w:r>
      <w:r>
        <w:rPr>
          <w:sz w:val="24"/>
        </w:rPr>
        <w:t>有责任接受黄埔环境监测站定期和不定期检查，每年被检查出不符合《广州市黄埔区</w:t>
      </w:r>
      <w:r>
        <w:rPr>
          <w:sz w:val="24"/>
        </w:rPr>
        <w:t>“一街一站”空气自动监测站运行管理及考核办法》的次数累计不能超过3次</w:t>
      </w:r>
      <w:r>
        <w:rPr>
          <w:sz w:val="24"/>
        </w:rPr>
        <w:t>。</w:t>
      </w:r>
    </w:p>
    <w:p>
      <w:pPr>
        <w:pStyle w:val="null3"/>
        <w:jc w:val="both"/>
      </w:pPr>
      <w:r>
        <w:rPr>
          <w:sz w:val="24"/>
          <w:b/>
        </w:rPr>
        <w:t>十、</w:t>
      </w:r>
      <w:r>
        <w:rPr>
          <w:sz w:val="24"/>
          <w:b/>
        </w:rPr>
        <w:t>常规耗材及配件的提供及更换要求</w:t>
      </w:r>
    </w:p>
    <w:p>
      <w:pPr>
        <w:pStyle w:val="null3"/>
        <w:ind w:firstLine="480"/>
        <w:jc w:val="both"/>
      </w:pPr>
      <w:r>
        <w:rPr>
          <w:sz w:val="24"/>
        </w:rPr>
        <w:t>1.</w:t>
      </w:r>
      <w:r>
        <w:rPr>
          <w:sz w:val="24"/>
        </w:rPr>
        <w:t>乙方负责提供仪器日常运转所需要更换的消耗品以及维修所需的零配件。仪器维修后及使用前均需进行校准才能投入使用，并提供相应的维修记录和校准记录。</w:t>
      </w:r>
    </w:p>
    <w:p>
      <w:pPr>
        <w:pStyle w:val="null3"/>
        <w:ind w:firstLine="480"/>
        <w:jc w:val="both"/>
      </w:pPr>
      <w:r>
        <w:rPr>
          <w:sz w:val="24"/>
        </w:rPr>
        <w:t>2.</w:t>
      </w:r>
      <w:r>
        <w:rPr>
          <w:sz w:val="24"/>
        </w:rPr>
        <w:t>乙方应有本项目仪器设备的维修和零配件供应的能力。为保证本次项目所有仪器设备所使用的零配件是原厂原装正品，乙方承诺本项目所有仪器设备所使用的零配件为从正当渠道购置的原厂原装正品；需提交每次更换零配件记录、出厂证明等说明材料。若中标后提供非原厂原装正品导致仪器设备损坏或影响项目进行的，甲方有权要求乙方赔偿损失并追究其相关责任</w:t>
      </w:r>
      <w:r>
        <w:rPr>
          <w:sz w:val="24"/>
        </w:rPr>
        <w:t>。</w:t>
      </w:r>
    </w:p>
    <w:p>
      <w:pPr>
        <w:pStyle w:val="null3"/>
        <w:jc w:val="both"/>
      </w:pPr>
      <w:r>
        <w:rPr>
          <w:sz w:val="24"/>
          <w:b/>
        </w:rPr>
        <w:t>十一、</w:t>
      </w:r>
      <w:r>
        <w:rPr>
          <w:sz w:val="24"/>
          <w:b/>
        </w:rPr>
        <w:t>备用仪器的要求</w:t>
      </w:r>
    </w:p>
    <w:p>
      <w:pPr>
        <w:pStyle w:val="null3"/>
        <w:ind w:firstLine="480"/>
        <w:jc w:val="both"/>
      </w:pPr>
      <w:r>
        <w:rPr>
          <w:sz w:val="24"/>
        </w:rPr>
        <w:t>乙方</w:t>
      </w:r>
      <w:r>
        <w:rPr>
          <w:sz w:val="24"/>
        </w:rPr>
        <w:t>要保证及时维修损坏的仪器，保证各子站现有仪器设备完好率达到要求。</w:t>
      </w:r>
      <w:r>
        <w:rPr>
          <w:sz w:val="24"/>
        </w:rPr>
        <w:t>SO2、NOX、CO、PM10、PM2.5、O3等监测项目，</w:t>
      </w:r>
      <w:r>
        <w:rPr>
          <w:sz w:val="24"/>
        </w:rPr>
        <w:t>乙方</w:t>
      </w:r>
      <w:r>
        <w:rPr>
          <w:sz w:val="24"/>
        </w:rPr>
        <w:t>每项备用仪器不少于一台，并保持在可正常使用状态以便及时更换。</w:t>
      </w:r>
    </w:p>
    <w:p>
      <w:pPr>
        <w:pStyle w:val="null3"/>
        <w:jc w:val="both"/>
      </w:pPr>
      <w:r>
        <w:rPr>
          <w:sz w:val="24"/>
          <w:b/>
        </w:rPr>
        <w:t>十二、</w:t>
      </w:r>
      <w:r>
        <w:rPr>
          <w:sz w:val="24"/>
          <w:b/>
        </w:rPr>
        <w:t>站房维护要求</w:t>
      </w:r>
    </w:p>
    <w:p>
      <w:pPr>
        <w:pStyle w:val="null3"/>
        <w:ind w:firstLine="480"/>
        <w:jc w:val="both"/>
      </w:pPr>
      <w:r>
        <w:rPr>
          <w:sz w:val="24"/>
        </w:rPr>
        <w:t>1.</w:t>
      </w:r>
      <w:r>
        <w:rPr>
          <w:sz w:val="24"/>
        </w:rPr>
        <w:t>乙方</w:t>
      </w:r>
      <w:r>
        <w:rPr>
          <w:sz w:val="24"/>
        </w:rPr>
        <w:t>负责站房的维修保养及安全，保证整洁干净。</w:t>
      </w:r>
      <w:r>
        <w:rPr>
          <w:sz w:val="24"/>
        </w:rPr>
        <w:t>配备足够的有效期内的灭火器等消防设施并定期巡查检查，确保站房消防安全。</w:t>
      </w:r>
    </w:p>
    <w:p>
      <w:pPr>
        <w:pStyle w:val="null3"/>
        <w:ind w:firstLine="480"/>
        <w:jc w:val="both"/>
      </w:pPr>
      <w:r>
        <w:rPr>
          <w:sz w:val="24"/>
        </w:rPr>
        <w:t>2.</w:t>
      </w:r>
      <w:r>
        <w:rPr>
          <w:sz w:val="24"/>
        </w:rPr>
        <w:t>黄埔环境监测站有权要求</w:t>
      </w:r>
      <w:r>
        <w:rPr>
          <w:sz w:val="24"/>
        </w:rPr>
        <w:t>乙方</w:t>
      </w:r>
      <w:r>
        <w:rPr>
          <w:sz w:val="24"/>
        </w:rPr>
        <w:t>对不能满足监测仪器设备正常运行的站房设施和空调设备等进行维修更换，</w:t>
      </w:r>
      <w:r>
        <w:rPr>
          <w:sz w:val="24"/>
        </w:rPr>
        <w:t>乙方</w:t>
      </w:r>
      <w:r>
        <w:rPr>
          <w:sz w:val="24"/>
        </w:rPr>
        <w:t>需对</w:t>
      </w:r>
      <w:r>
        <w:rPr>
          <w:sz w:val="24"/>
        </w:rPr>
        <w:t>甲方</w:t>
      </w:r>
      <w:r>
        <w:rPr>
          <w:sz w:val="24"/>
        </w:rPr>
        <w:t>提出的要求按期保质完成。</w:t>
      </w:r>
    </w:p>
    <w:p>
      <w:pPr>
        <w:pStyle w:val="null3"/>
        <w:jc w:val="both"/>
      </w:pPr>
      <w:r>
        <w:rPr>
          <w:sz w:val="24"/>
          <w:b/>
        </w:rPr>
        <w:t>十三、</w:t>
      </w:r>
      <w:r>
        <w:rPr>
          <w:sz w:val="24"/>
          <w:b/>
        </w:rPr>
        <w:t>协助考核参观要求</w:t>
      </w:r>
    </w:p>
    <w:p>
      <w:pPr>
        <w:pStyle w:val="null3"/>
        <w:ind w:firstLine="480"/>
        <w:jc w:val="both"/>
      </w:pPr>
      <w:r>
        <w:rPr>
          <w:sz w:val="24"/>
        </w:rPr>
        <w:t>乙方</w:t>
      </w:r>
      <w:r>
        <w:rPr>
          <w:sz w:val="24"/>
        </w:rPr>
        <w:t>有责任协助黄埔环境监测站接受国家、省、市的考核，有责任协助黄埔环境监测站迎接上级部门及兄弟单位的参观。</w:t>
      </w:r>
    </w:p>
    <w:p>
      <w:pPr>
        <w:pStyle w:val="null3"/>
        <w:jc w:val="both"/>
      </w:pPr>
      <w:r>
        <w:rPr>
          <w:sz w:val="24"/>
          <w:b/>
        </w:rPr>
        <w:t>十四、</w:t>
      </w:r>
      <w:r>
        <w:rPr>
          <w:sz w:val="24"/>
          <w:b/>
        </w:rPr>
        <w:t>操作维护人员资格、车辆要求</w:t>
      </w:r>
    </w:p>
    <w:p>
      <w:pPr>
        <w:pStyle w:val="null3"/>
        <w:ind w:firstLine="480"/>
        <w:jc w:val="both"/>
      </w:pPr>
      <w:r>
        <w:rPr>
          <w:sz w:val="24"/>
        </w:rPr>
        <w:t>1.</w:t>
      </w:r>
      <w:r>
        <w:rPr>
          <w:sz w:val="24"/>
        </w:rPr>
        <w:t>乙方</w:t>
      </w:r>
      <w:r>
        <w:rPr>
          <w:sz w:val="24"/>
        </w:rPr>
        <w:t>应提供</w:t>
      </w:r>
      <w:r>
        <w:rPr>
          <w:sz w:val="24"/>
        </w:rPr>
        <w:t>不少于</w:t>
      </w:r>
      <w:r>
        <w:rPr>
          <w:sz w:val="24"/>
        </w:rPr>
        <w:t>3人的</w:t>
      </w:r>
      <w:r>
        <w:rPr>
          <w:sz w:val="24"/>
        </w:rPr>
        <w:t>专职技术人员进行本项目的日常运营维护，参与的专职技术人员需经过相关培训、考核才可进行相关工作。技术人员</w:t>
      </w:r>
      <w:r>
        <w:rPr>
          <w:sz w:val="24"/>
        </w:rPr>
        <w:t>需</w:t>
      </w:r>
      <w:r>
        <w:rPr>
          <w:sz w:val="24"/>
        </w:rPr>
        <w:t>具有</w:t>
      </w:r>
      <w:r>
        <w:rPr>
          <w:sz w:val="24"/>
        </w:rPr>
        <w:t>环境空气质量自动监测运维</w:t>
      </w:r>
      <w:r>
        <w:rPr>
          <w:sz w:val="24"/>
        </w:rPr>
        <w:t>相关</w:t>
      </w:r>
      <w:r>
        <w:rPr>
          <w:sz w:val="24"/>
        </w:rPr>
        <w:t>的</w:t>
      </w:r>
      <w:r>
        <w:rPr>
          <w:sz w:val="24"/>
        </w:rPr>
        <w:t>考核或培训合格证书</w:t>
      </w:r>
      <w:r>
        <w:rPr>
          <w:sz w:val="24"/>
        </w:rPr>
        <w:t>，在投标文件中提供相关证明。</w:t>
      </w:r>
    </w:p>
    <w:p>
      <w:pPr>
        <w:pStyle w:val="null3"/>
        <w:ind w:firstLine="480"/>
        <w:jc w:val="both"/>
      </w:pPr>
      <w:r>
        <w:rPr>
          <w:sz w:val="24"/>
        </w:rPr>
        <w:t>2.</w:t>
      </w:r>
      <w:r>
        <w:rPr>
          <w:sz w:val="24"/>
        </w:rPr>
        <w:t>除上述日常运营维护工作外，</w:t>
      </w:r>
      <w:r>
        <w:rPr>
          <w:sz w:val="24"/>
        </w:rPr>
        <w:t>乙方</w:t>
      </w:r>
      <w:r>
        <w:rPr>
          <w:sz w:val="24"/>
        </w:rPr>
        <w:t>应自备工作用车（不少于</w:t>
      </w:r>
      <w:r>
        <w:rPr>
          <w:sz w:val="24"/>
        </w:rPr>
        <w:t>1辆）用于本项目，并按照</w:t>
      </w:r>
      <w:r>
        <w:rPr>
          <w:sz w:val="24"/>
        </w:rPr>
        <w:t>黄埔环境监测站</w:t>
      </w:r>
      <w:r>
        <w:rPr>
          <w:sz w:val="24"/>
        </w:rPr>
        <w:t>要求，安排</w:t>
      </w:r>
      <w:r>
        <w:rPr>
          <w:sz w:val="24"/>
        </w:rPr>
        <w:t>1名有本科或以上学历和相关工作经验的人员（非日常运营维护人员），在</w:t>
      </w:r>
      <w:r>
        <w:rPr>
          <w:sz w:val="24"/>
        </w:rPr>
        <w:t>黄埔环境监测站</w:t>
      </w:r>
      <w:r>
        <w:rPr>
          <w:sz w:val="24"/>
        </w:rPr>
        <w:t>指定的场所完成以下工作内容：</w:t>
      </w:r>
    </w:p>
    <w:p>
      <w:pPr>
        <w:pStyle w:val="null3"/>
        <w:ind w:firstLine="480"/>
        <w:jc w:val="both"/>
      </w:pPr>
      <w:r>
        <w:rPr>
          <w:sz w:val="24"/>
        </w:rPr>
        <w:t>①</w:t>
      </w:r>
      <w:r>
        <w:rPr>
          <w:sz w:val="24"/>
        </w:rPr>
        <w:t>负责</w:t>
      </w:r>
      <w:r>
        <w:rPr>
          <w:sz w:val="24"/>
        </w:rPr>
        <w:t>现场沟通协调跟进项目实施工作，汇总每周自动</w:t>
      </w:r>
      <w:r>
        <w:rPr>
          <w:sz w:val="24"/>
        </w:rPr>
        <w:t>监测站</w:t>
      </w:r>
      <w:r>
        <w:rPr>
          <w:sz w:val="24"/>
        </w:rPr>
        <w:t>运维工作情况、质控情况。</w:t>
      </w:r>
    </w:p>
    <w:p>
      <w:pPr>
        <w:pStyle w:val="null3"/>
        <w:ind w:firstLine="480"/>
        <w:jc w:val="both"/>
      </w:pPr>
      <w:r>
        <w:rPr>
          <w:sz w:val="24"/>
        </w:rPr>
        <w:t>②对监测数据和仪器运行进行实时监控，分析数据。</w:t>
      </w:r>
    </w:p>
    <w:p>
      <w:pPr>
        <w:pStyle w:val="null3"/>
        <w:ind w:firstLine="480"/>
        <w:jc w:val="both"/>
      </w:pPr>
      <w:r>
        <w:rPr>
          <w:sz w:val="24"/>
        </w:rPr>
        <w:t>③按照</w:t>
      </w:r>
      <w:r>
        <w:rPr>
          <w:sz w:val="24"/>
        </w:rPr>
        <w:t>甲方</w:t>
      </w:r>
      <w:r>
        <w:rPr>
          <w:sz w:val="24"/>
        </w:rPr>
        <w:t>的工作安排开展站点巡查工作。</w:t>
      </w:r>
    </w:p>
    <w:p>
      <w:pPr>
        <w:pStyle w:val="null3"/>
        <w:ind w:firstLine="480"/>
        <w:jc w:val="both"/>
      </w:pPr>
      <w:r>
        <w:rPr>
          <w:sz w:val="24"/>
        </w:rPr>
        <w:t>注：</w:t>
      </w:r>
      <w:r>
        <w:rPr>
          <w:sz w:val="24"/>
        </w:rPr>
        <w:t>乙方</w:t>
      </w:r>
      <w:r>
        <w:rPr>
          <w:sz w:val="24"/>
        </w:rPr>
        <w:t>需要按照本条要求安排人员、车辆。</w:t>
      </w:r>
    </w:p>
    <w:p>
      <w:pPr>
        <w:pStyle w:val="null3"/>
        <w:jc w:val="both"/>
      </w:pPr>
      <w:r>
        <w:rPr>
          <w:sz w:val="24"/>
          <w:b/>
        </w:rPr>
        <w:t>十五、</w:t>
      </w:r>
      <w:r>
        <w:rPr>
          <w:sz w:val="24"/>
          <w:b/>
        </w:rPr>
        <w:t>付款方式</w:t>
      </w:r>
    </w:p>
    <w:p>
      <w:pPr>
        <w:pStyle w:val="null3"/>
        <w:ind w:firstLine="480"/>
        <w:jc w:val="both"/>
      </w:pPr>
      <w:r>
        <w:rPr>
          <w:sz w:val="24"/>
        </w:rPr>
        <w:t>1</w:t>
      </w:r>
      <w:r>
        <w:rPr>
          <w:sz w:val="24"/>
        </w:rPr>
        <w:t>期：合同签订后</w:t>
      </w:r>
      <w:r>
        <w:rPr>
          <w:sz w:val="24"/>
        </w:rPr>
        <w:t>收到</w:t>
      </w:r>
      <w:r>
        <w:rPr>
          <w:sz w:val="24"/>
        </w:rPr>
        <w:t>乙方</w:t>
      </w:r>
      <w:r>
        <w:rPr>
          <w:sz w:val="24"/>
        </w:rPr>
        <w:t>发票</w:t>
      </w:r>
      <w:r>
        <w:rPr>
          <w:sz w:val="24"/>
        </w:rPr>
        <w:t>5个工作日内</w:t>
      </w:r>
      <w:r>
        <w:rPr>
          <w:sz w:val="24"/>
        </w:rPr>
        <w:t>按照国库集中支付有关规定办理支付手续</w:t>
      </w:r>
      <w:r>
        <w:rPr>
          <w:sz w:val="24"/>
        </w:rPr>
        <w:t>支付合同款的</w:t>
      </w:r>
      <w:r>
        <w:rPr>
          <w:sz w:val="24"/>
        </w:rPr>
        <w:t>35%作为首付款</w:t>
      </w:r>
      <w:r>
        <w:rPr>
          <w:sz w:val="24"/>
        </w:rPr>
        <w:t>；</w:t>
      </w:r>
    </w:p>
    <w:p>
      <w:pPr>
        <w:pStyle w:val="null3"/>
        <w:ind w:firstLine="480"/>
        <w:jc w:val="both"/>
      </w:pPr>
      <w:r>
        <w:rPr>
          <w:sz w:val="24"/>
        </w:rPr>
        <w:t>2期：运维一年并</w:t>
      </w:r>
      <w:r>
        <w:rPr>
          <w:sz w:val="24"/>
        </w:rPr>
        <w:t>经考核合格后</w:t>
      </w:r>
      <w:r>
        <w:rPr>
          <w:sz w:val="24"/>
        </w:rPr>
        <w:t>支付</w:t>
      </w:r>
      <w:r>
        <w:rPr>
          <w:sz w:val="24"/>
        </w:rPr>
        <w:t>合同款的</w:t>
      </w:r>
      <w:r>
        <w:rPr>
          <w:sz w:val="24"/>
        </w:rPr>
        <w:t>50%</w:t>
      </w:r>
      <w:r>
        <w:rPr>
          <w:sz w:val="24"/>
        </w:rPr>
        <w:t>；</w:t>
      </w:r>
    </w:p>
    <w:p>
      <w:pPr>
        <w:pStyle w:val="null3"/>
        <w:ind w:firstLine="480"/>
        <w:jc w:val="both"/>
      </w:pPr>
      <w:r>
        <w:rPr>
          <w:sz w:val="24"/>
        </w:rPr>
        <w:t>3期：运维两年并</w:t>
      </w:r>
      <w:r>
        <w:rPr>
          <w:sz w:val="24"/>
        </w:rPr>
        <w:t>经考核合格后支付合同款的</w:t>
      </w:r>
      <w:r>
        <w:rPr>
          <w:sz w:val="24"/>
        </w:rPr>
        <w:t>15%。</w:t>
      </w:r>
    </w:p>
    <w:p>
      <w:pPr>
        <w:pStyle w:val="null3"/>
        <w:ind w:firstLine="480"/>
        <w:jc w:val="both"/>
      </w:pPr>
      <w:r>
        <w:rPr>
          <w:sz w:val="24"/>
        </w:rPr>
        <w:t>注</w:t>
      </w:r>
      <w:r>
        <w:rPr>
          <w:sz w:val="24"/>
        </w:rPr>
        <w:t>:1、</w:t>
      </w:r>
      <w:r>
        <w:rPr>
          <w:sz w:val="24"/>
        </w:rPr>
        <w:t>乙方</w:t>
      </w:r>
      <w:r>
        <w:rPr>
          <w:sz w:val="24"/>
        </w:rPr>
        <w:t>凭以下资料与</w:t>
      </w:r>
      <w:r>
        <w:rPr>
          <w:sz w:val="24"/>
        </w:rPr>
        <w:t>甲方</w:t>
      </w:r>
      <w:r>
        <w:rPr>
          <w:sz w:val="24"/>
        </w:rPr>
        <w:t>结算：</w:t>
      </w:r>
    </w:p>
    <w:p>
      <w:pPr>
        <w:pStyle w:val="null3"/>
        <w:ind w:firstLine="480"/>
        <w:jc w:val="both"/>
      </w:pPr>
      <w:r>
        <w:rPr>
          <w:sz w:val="24"/>
        </w:rPr>
        <w:t>（</w:t>
      </w:r>
      <w:r>
        <w:rPr>
          <w:sz w:val="24"/>
        </w:rPr>
        <w:t>1）采购合同；（2）</w:t>
      </w:r>
      <w:r>
        <w:rPr>
          <w:sz w:val="24"/>
        </w:rPr>
        <w:t>乙方</w:t>
      </w:r>
      <w:r>
        <w:rPr>
          <w:sz w:val="24"/>
        </w:rPr>
        <w:t>开具的正式发票；（</w:t>
      </w:r>
      <w:r>
        <w:rPr>
          <w:sz w:val="24"/>
        </w:rPr>
        <w:t>3）考核验收报告</w:t>
      </w:r>
      <w:r>
        <w:rPr>
          <w:sz w:val="24"/>
        </w:rPr>
        <w:t>[1期无</w:t>
      </w:r>
      <w:r>
        <w:rPr>
          <w:sz w:val="24"/>
        </w:rPr>
        <w:t>需</w:t>
      </w:r>
      <w:r>
        <w:rPr>
          <w:sz w:val="24"/>
        </w:rPr>
        <w:t>提供</w:t>
      </w:r>
      <w:r>
        <w:rPr>
          <w:sz w:val="24"/>
        </w:rPr>
        <w:t>]</w:t>
      </w:r>
      <w:r>
        <w:rPr>
          <w:sz w:val="24"/>
        </w:rPr>
        <w:t>；（</w:t>
      </w:r>
      <w:r>
        <w:rPr>
          <w:sz w:val="24"/>
        </w:rPr>
        <w:t>4）</w:t>
      </w:r>
      <w:r>
        <w:rPr>
          <w:sz w:val="24"/>
        </w:rPr>
        <w:t>甲方</w:t>
      </w:r>
      <w:r>
        <w:rPr>
          <w:sz w:val="24"/>
        </w:rPr>
        <w:t>财务部门要求的其他资料。</w:t>
      </w:r>
    </w:p>
    <w:p>
      <w:pPr>
        <w:pStyle w:val="null3"/>
        <w:ind w:firstLine="480"/>
        <w:jc w:val="both"/>
      </w:pPr>
      <w:r>
        <w:rPr>
          <w:sz w:val="24"/>
        </w:rPr>
        <w:t>2、合同签订金额视财政资金落实情况和实际下拨数为准。</w:t>
      </w:r>
    </w:p>
    <w:p>
      <w:pPr>
        <w:pStyle w:val="null3"/>
      </w:pPr>
      <w:r>
        <w:rPr>
          <w:sz w:val="24"/>
        </w:rPr>
        <w:t>如项目发生合同融资，</w:t>
      </w:r>
      <w:r>
        <w:rPr>
          <w:sz w:val="24"/>
        </w:rPr>
        <w:t>甲方</w:t>
      </w:r>
      <w:r>
        <w:rPr>
          <w:sz w:val="24"/>
        </w:rPr>
        <w:t>应当将合同款项支付到合同约定收款账户。</w:t>
      </w:r>
      <w:r>
        <w:rPr>
          <w:sz w:val="24"/>
        </w:rPr>
        <w:t>如财政部门对申请材料有其他要求的，</w:t>
      </w:r>
      <w:r>
        <w:rPr>
          <w:sz w:val="24"/>
        </w:rPr>
        <w:t>乙方</w:t>
      </w:r>
      <w:r>
        <w:rPr>
          <w:sz w:val="24"/>
        </w:rPr>
        <w:t>也应配合及时提供。如</w:t>
      </w:r>
      <w:r>
        <w:rPr>
          <w:sz w:val="24"/>
        </w:rPr>
        <w:t>乙方</w:t>
      </w:r>
      <w:r>
        <w:rPr>
          <w:sz w:val="24"/>
        </w:rPr>
        <w:t>（如有）未按本合同约定及时提供请款所需材料和发票的，</w:t>
      </w:r>
      <w:r>
        <w:rPr>
          <w:sz w:val="24"/>
        </w:rPr>
        <w:t>甲方</w:t>
      </w:r>
      <w:r>
        <w:rPr>
          <w:sz w:val="24"/>
        </w:rPr>
        <w:t>有权延缓申请支付，直至收到</w:t>
      </w:r>
      <w:r>
        <w:rPr>
          <w:sz w:val="24"/>
        </w:rPr>
        <w:t>乙方</w:t>
      </w:r>
      <w:r>
        <w:rPr>
          <w:sz w:val="24"/>
        </w:rPr>
        <w:t>提供的材料和发票时止，而不视为</w:t>
      </w:r>
      <w:r>
        <w:rPr>
          <w:sz w:val="24"/>
        </w:rPr>
        <w:t>甲方</w:t>
      </w:r>
      <w:r>
        <w:rPr>
          <w:sz w:val="24"/>
        </w:rPr>
        <w:t>违约。</w:t>
      </w:r>
    </w:p>
    <w:p>
      <w:pPr>
        <w:pStyle w:val="null3"/>
        <w:ind w:firstLine="480"/>
        <w:jc w:val="both"/>
      </w:pPr>
      <w:r>
        <w:rPr>
          <w:sz w:val="24"/>
        </w:rPr>
        <w:t>3</w:t>
      </w:r>
      <w:r>
        <w:rPr>
          <w:sz w:val="24"/>
        </w:rPr>
        <w:t>、</w:t>
      </w:r>
      <w:r>
        <w:rPr>
          <w:sz w:val="24"/>
        </w:rPr>
        <w:t>关于付款的特别约定：</w:t>
      </w:r>
    </w:p>
    <w:p>
      <w:pPr>
        <w:pStyle w:val="null3"/>
        <w:ind w:firstLine="480"/>
        <w:jc w:val="both"/>
      </w:pPr>
      <w:r>
        <w:rPr>
          <w:sz w:val="24"/>
        </w:rPr>
        <w:t>由于</w:t>
      </w:r>
      <w:r>
        <w:rPr>
          <w:sz w:val="24"/>
        </w:rPr>
        <w:t>甲方</w:t>
      </w:r>
      <w:r>
        <w:rPr>
          <w:sz w:val="24"/>
        </w:rPr>
        <w:t>使用的是财政性资金，</w:t>
      </w:r>
      <w:r>
        <w:rPr>
          <w:sz w:val="24"/>
        </w:rPr>
        <w:t>甲方</w:t>
      </w:r>
      <w:r>
        <w:rPr>
          <w:sz w:val="24"/>
        </w:rPr>
        <w:t>向财政部门申请支付即视为履行了付款义务，</w:t>
      </w:r>
      <w:r>
        <w:rPr>
          <w:sz w:val="24"/>
        </w:rPr>
        <w:t>乙方</w:t>
      </w:r>
      <w:r>
        <w:rPr>
          <w:sz w:val="24"/>
        </w:rPr>
        <w:t>不得因财政部门审核需要时间、拨款迟延等原因要求</w:t>
      </w:r>
      <w:r>
        <w:rPr>
          <w:sz w:val="24"/>
        </w:rPr>
        <w:t>甲方</w:t>
      </w:r>
      <w:r>
        <w:rPr>
          <w:sz w:val="24"/>
        </w:rPr>
        <w:t>承担迟延付款的责任，更不得因此怠于履行合同义务。</w:t>
      </w:r>
      <w:r>
        <w:rPr>
          <w:sz w:val="24"/>
        </w:rPr>
        <w:t>若因上级政策调整或变化等原因，双方可协商一致后变更或解除合同。</w:t>
      </w:r>
    </w:p>
    <w:p>
      <w:pPr>
        <w:pStyle w:val="null3"/>
        <w:jc w:val="both"/>
      </w:pPr>
      <w:r>
        <w:rPr>
          <w:sz w:val="24"/>
          <w:b/>
        </w:rPr>
        <w:t>十六、</w:t>
      </w:r>
      <w:r>
        <w:rPr>
          <w:sz w:val="24"/>
          <w:b/>
        </w:rPr>
        <w:t>验收要求</w:t>
      </w:r>
    </w:p>
    <w:p>
      <w:pPr>
        <w:pStyle w:val="null3"/>
        <w:ind w:firstLine="480"/>
        <w:jc w:val="both"/>
      </w:pPr>
      <w:r>
        <w:rPr>
          <w:sz w:val="24"/>
        </w:rPr>
        <w:t>按照《广州市黄埔区</w:t>
      </w:r>
      <w:r>
        <w:rPr>
          <w:sz w:val="24"/>
        </w:rPr>
        <w:t>“一街一站”空气自动监测站运行管理及考核办法》等相关管理制度要求进行考核验收，</w:t>
      </w:r>
      <w:r>
        <w:rPr>
          <w:sz w:val="24"/>
        </w:rPr>
        <w:t>乙方</w:t>
      </w:r>
      <w:r>
        <w:rPr>
          <w:sz w:val="24"/>
        </w:rPr>
        <w:t>有责任接受黄埔环境监测站的定期和不定期考核。所有成果通过考核验收并获得</w:t>
      </w:r>
      <w:r>
        <w:rPr>
          <w:sz w:val="24"/>
        </w:rPr>
        <w:t>甲方</w:t>
      </w:r>
      <w:r>
        <w:rPr>
          <w:sz w:val="24"/>
        </w:rPr>
        <w:t>同意后，则视为验收合格。</w:t>
      </w:r>
    </w:p>
    <w:p>
      <w:pPr>
        <w:pStyle w:val="null3"/>
        <w:jc w:val="both"/>
      </w:pPr>
      <w:r>
        <w:rPr>
          <w:sz w:val="24"/>
          <w:b/>
        </w:rPr>
        <w:t>十七、</w:t>
      </w:r>
      <w:r>
        <w:rPr>
          <w:sz w:val="24"/>
          <w:b/>
        </w:rPr>
        <w:t>保密要求</w:t>
      </w:r>
    </w:p>
    <w:p>
      <w:pPr>
        <w:pStyle w:val="null3"/>
        <w:ind w:firstLine="480"/>
        <w:jc w:val="both"/>
      </w:pPr>
      <w:r>
        <w:rPr>
          <w:sz w:val="24"/>
        </w:rPr>
        <w:t>乙方</w:t>
      </w:r>
      <w:r>
        <w:rPr>
          <w:sz w:val="24"/>
        </w:rPr>
        <w:t>需对所有监测数据及相关信息资料保密，不得以任何方式透露给第三方</w:t>
      </w:r>
      <w:r>
        <w:rPr>
          <w:sz w:val="24"/>
        </w:rPr>
        <w:t>。</w:t>
      </w:r>
    </w:p>
    <w:p>
      <w:pPr>
        <w:pStyle w:val="null3"/>
        <w:jc w:val="both"/>
      </w:pPr>
      <w:r>
        <w:rPr>
          <w:sz w:val="24"/>
          <w:b/>
        </w:rPr>
        <w:t>十八、</w:t>
      </w:r>
      <w:r>
        <w:rPr>
          <w:sz w:val="24"/>
          <w:b/>
        </w:rPr>
        <w:t>违约处理</w:t>
      </w:r>
    </w:p>
    <w:p>
      <w:pPr>
        <w:pStyle w:val="null3"/>
        <w:ind w:firstLine="480"/>
        <w:jc w:val="both"/>
      </w:pPr>
      <w:r>
        <w:rPr>
          <w:sz w:val="24"/>
        </w:rPr>
        <w:t>乙方</w:t>
      </w:r>
      <w:r>
        <w:rPr>
          <w:sz w:val="24"/>
        </w:rPr>
        <w:t>在运营时出现以下状况，视为违约，</w:t>
      </w:r>
      <w:r>
        <w:rPr>
          <w:sz w:val="24"/>
        </w:rPr>
        <w:t>甲方</w:t>
      </w:r>
      <w:r>
        <w:rPr>
          <w:sz w:val="24"/>
        </w:rPr>
        <w:t>有权追究其责任；</w:t>
      </w:r>
    </w:p>
    <w:p>
      <w:pPr>
        <w:pStyle w:val="null3"/>
        <w:ind w:firstLine="480"/>
        <w:jc w:val="both"/>
      </w:pPr>
      <w:r>
        <w:rPr>
          <w:sz w:val="24"/>
        </w:rPr>
        <w:t>（</w:t>
      </w:r>
      <w:r>
        <w:rPr>
          <w:sz w:val="24"/>
        </w:rPr>
        <w:t>1）</w:t>
      </w:r>
      <w:r>
        <w:rPr>
          <w:sz w:val="24"/>
        </w:rPr>
        <w:t>乙方</w:t>
      </w:r>
      <w:r>
        <w:rPr>
          <w:sz w:val="24"/>
        </w:rPr>
        <w:t>将数据泄密，</w:t>
      </w:r>
      <w:r>
        <w:rPr>
          <w:sz w:val="24"/>
        </w:rPr>
        <w:t>甲方</w:t>
      </w:r>
      <w:r>
        <w:rPr>
          <w:sz w:val="24"/>
        </w:rPr>
        <w:t>有权即时终止合同，有权要求</w:t>
      </w:r>
      <w:r>
        <w:rPr>
          <w:sz w:val="24"/>
        </w:rPr>
        <w:t>乙方</w:t>
      </w:r>
      <w:r>
        <w:rPr>
          <w:sz w:val="24"/>
        </w:rPr>
        <w:t>向</w:t>
      </w:r>
      <w:r>
        <w:rPr>
          <w:sz w:val="24"/>
        </w:rPr>
        <w:t>甲方</w:t>
      </w:r>
      <w:r>
        <w:rPr>
          <w:sz w:val="24"/>
        </w:rPr>
        <w:t>支付双倍已支付运营费作为违约金，并追究相关的法律责任。</w:t>
      </w:r>
    </w:p>
    <w:p>
      <w:pPr>
        <w:pStyle w:val="null3"/>
        <w:ind w:firstLine="480"/>
        <w:jc w:val="both"/>
      </w:pPr>
      <w:r>
        <w:rPr>
          <w:sz w:val="24"/>
        </w:rPr>
        <w:t>（</w:t>
      </w:r>
      <w:r>
        <w:rPr>
          <w:sz w:val="24"/>
        </w:rPr>
        <w:t>2）如在服务期内子站单站月数据因运维不到位有效率达不到90%，</w:t>
      </w:r>
      <w:r>
        <w:rPr>
          <w:sz w:val="24"/>
        </w:rPr>
        <w:t>乙方</w:t>
      </w:r>
      <w:r>
        <w:rPr>
          <w:sz w:val="24"/>
        </w:rPr>
        <w:t>需支付合同总额的</w:t>
      </w:r>
      <w:r>
        <w:rPr>
          <w:sz w:val="24"/>
        </w:rPr>
        <w:t>5%作为违约金，同时</w:t>
      </w:r>
      <w:r>
        <w:rPr>
          <w:sz w:val="24"/>
        </w:rPr>
        <w:t>甲方</w:t>
      </w:r>
      <w:r>
        <w:rPr>
          <w:sz w:val="24"/>
        </w:rPr>
        <w:t>有权即时终止合同。</w:t>
      </w:r>
    </w:p>
    <w:p>
      <w:pPr>
        <w:pStyle w:val="null3"/>
        <w:ind w:firstLine="480"/>
        <w:jc w:val="both"/>
      </w:pPr>
      <w:r>
        <w:rPr>
          <w:sz w:val="24"/>
        </w:rPr>
        <w:t>（</w:t>
      </w:r>
      <w:r>
        <w:rPr>
          <w:sz w:val="24"/>
        </w:rPr>
        <w:t>3）在</w:t>
      </w:r>
      <w:r>
        <w:rPr>
          <w:sz w:val="24"/>
        </w:rPr>
        <w:t>甲方</w:t>
      </w:r>
      <w:r>
        <w:rPr>
          <w:sz w:val="24"/>
        </w:rPr>
        <w:t>日常检查中，单项检查如出现跨度偏差大于等于</w:t>
      </w:r>
      <w:r>
        <w:rPr>
          <w:sz w:val="24"/>
        </w:rPr>
        <w:t>15%的，每项支付500元违约金；如同一单项的检查出现累计</w:t>
      </w:r>
      <w:r>
        <w:rPr>
          <w:sz w:val="24"/>
        </w:rPr>
        <w:t>2</w:t>
      </w:r>
      <w:r>
        <w:rPr>
          <w:sz w:val="24"/>
        </w:rPr>
        <w:t>次以上跨度偏差大于等于</w:t>
      </w:r>
      <w:r>
        <w:rPr>
          <w:sz w:val="24"/>
        </w:rPr>
        <w:t>15%的，</w:t>
      </w:r>
      <w:r>
        <w:rPr>
          <w:sz w:val="24"/>
        </w:rPr>
        <w:t>乙方</w:t>
      </w:r>
      <w:r>
        <w:rPr>
          <w:sz w:val="24"/>
        </w:rPr>
        <w:t>需支付合同总额的</w:t>
      </w:r>
      <w:r>
        <w:rPr>
          <w:sz w:val="24"/>
        </w:rPr>
        <w:t>20%作为违约金，同时</w:t>
      </w:r>
      <w:r>
        <w:rPr>
          <w:sz w:val="24"/>
        </w:rPr>
        <w:t>甲方</w:t>
      </w:r>
      <w:r>
        <w:rPr>
          <w:sz w:val="24"/>
        </w:rPr>
        <w:t>有权即时终止合同。</w:t>
      </w:r>
    </w:p>
    <w:p>
      <w:pPr>
        <w:pStyle w:val="null3"/>
        <w:ind w:firstLine="480"/>
        <w:jc w:val="both"/>
      </w:pPr>
      <w:r>
        <w:rPr>
          <w:sz w:val="24"/>
        </w:rPr>
        <w:t>（</w:t>
      </w:r>
      <w:r>
        <w:rPr>
          <w:sz w:val="24"/>
        </w:rPr>
        <w:t>4）在</w:t>
      </w:r>
      <w:r>
        <w:rPr>
          <w:sz w:val="24"/>
        </w:rPr>
        <w:t>甲方</w:t>
      </w:r>
      <w:r>
        <w:rPr>
          <w:sz w:val="24"/>
        </w:rPr>
        <w:t>的检查中，如发现</w:t>
      </w:r>
      <w:r>
        <w:rPr>
          <w:sz w:val="24"/>
        </w:rPr>
        <w:t>乙方</w:t>
      </w:r>
      <w:r>
        <w:rPr>
          <w:sz w:val="24"/>
        </w:rPr>
        <w:t>未能按《环境空气颗粒物（</w:t>
      </w:r>
      <w:r>
        <w:rPr>
          <w:sz w:val="24"/>
        </w:rPr>
        <w:t>PM10 和PM2.5）连续自动监测系统安装和验收技术规范》（HJ 655-2013）、《环境空气气态污染物（SO2、NO2、O3、CO）连续自动监测系统安装验收技术规范》（HJ 193-2013）、《环境空气颗粒物（PM10和PM2.5）连续自动监测系统技术要求及检测方法》（HJ 653-2021）、《环境空气气态污染物（SO2、NO2、O3、CO）连续自动监测系统技术要求及检测方法》（HJ 654-2013）要求执行，同一站点服务期内累计超过3次后，每次向</w:t>
      </w:r>
      <w:r>
        <w:rPr>
          <w:sz w:val="24"/>
        </w:rPr>
        <w:t>甲方</w:t>
      </w:r>
      <w:r>
        <w:rPr>
          <w:sz w:val="24"/>
        </w:rPr>
        <w:t>支付违约金</w:t>
      </w:r>
      <w:r>
        <w:rPr>
          <w:sz w:val="24"/>
        </w:rPr>
        <w:t>1000元。</w:t>
      </w:r>
    </w:p>
    <w:p>
      <w:pPr>
        <w:pStyle w:val="null3"/>
        <w:ind w:firstLine="480"/>
        <w:jc w:val="both"/>
      </w:pPr>
      <w:r>
        <w:rPr>
          <w:sz w:val="24"/>
        </w:rPr>
        <w:t>（</w:t>
      </w:r>
      <w:r>
        <w:rPr>
          <w:sz w:val="24"/>
        </w:rPr>
        <w:t>5）如</w:t>
      </w:r>
      <w:r>
        <w:rPr>
          <w:sz w:val="24"/>
        </w:rPr>
        <w:t>乙方</w:t>
      </w:r>
      <w:r>
        <w:rPr>
          <w:sz w:val="24"/>
        </w:rPr>
        <w:t>未能按本合同规定的时间提供服务，从逾期之日起每日按本合同总价</w:t>
      </w:r>
      <w:r>
        <w:rPr>
          <w:sz w:val="24"/>
        </w:rPr>
        <w:t>3‰的数额向</w:t>
      </w:r>
      <w:r>
        <w:rPr>
          <w:sz w:val="24"/>
        </w:rPr>
        <w:t>甲方</w:t>
      </w:r>
      <w:r>
        <w:rPr>
          <w:sz w:val="24"/>
        </w:rPr>
        <w:t>支付违约金；逾期半个月以上的，</w:t>
      </w:r>
      <w:r>
        <w:rPr>
          <w:sz w:val="24"/>
        </w:rPr>
        <w:t>甲方</w:t>
      </w:r>
      <w:r>
        <w:rPr>
          <w:sz w:val="24"/>
        </w:rPr>
        <w:t>有权终止合同，由此造成的</w:t>
      </w:r>
      <w:r>
        <w:rPr>
          <w:sz w:val="24"/>
        </w:rPr>
        <w:t>甲方</w:t>
      </w:r>
      <w:r>
        <w:rPr>
          <w:sz w:val="24"/>
        </w:rPr>
        <w:t>经济损失由</w:t>
      </w:r>
      <w:r>
        <w:rPr>
          <w:sz w:val="24"/>
        </w:rPr>
        <w:t>乙方</w:t>
      </w:r>
      <w:r>
        <w:rPr>
          <w:sz w:val="24"/>
        </w:rPr>
        <w:t>承担。</w:t>
      </w:r>
    </w:p>
    <w:p>
      <w:pPr>
        <w:pStyle w:val="null3"/>
        <w:ind w:firstLine="480"/>
        <w:jc w:val="both"/>
      </w:pPr>
      <w:r>
        <w:rPr>
          <w:sz w:val="24"/>
        </w:rPr>
        <w:t>（</w:t>
      </w:r>
      <w:r>
        <w:rPr>
          <w:sz w:val="24"/>
        </w:rPr>
        <w:t>6）</w:t>
      </w:r>
      <w:r>
        <w:rPr>
          <w:sz w:val="24"/>
        </w:rPr>
        <w:t>甲方</w:t>
      </w:r>
      <w:r>
        <w:rPr>
          <w:sz w:val="24"/>
        </w:rPr>
        <w:t>、</w:t>
      </w:r>
      <w:r>
        <w:rPr>
          <w:sz w:val="24"/>
        </w:rPr>
        <w:t>乙方</w:t>
      </w:r>
      <w:r>
        <w:rPr>
          <w:sz w:val="24"/>
        </w:rPr>
        <w:t>其中一方在合同履行期间要求终止合同时，应提前</w:t>
      </w:r>
      <w:r>
        <w:rPr>
          <w:sz w:val="24"/>
        </w:rPr>
        <w:t>5天以书面形式通知对方，经双方协商同音后方可解除合同，否则视为违约。双方协商确认后，按照合同</w:t>
      </w:r>
      <w:r>
        <w:rPr>
          <w:sz w:val="24"/>
        </w:rPr>
        <w:t>付款方式</w:t>
      </w:r>
      <w:r>
        <w:rPr>
          <w:sz w:val="24"/>
        </w:rPr>
        <w:t>已支付的</w:t>
      </w:r>
      <w:r>
        <w:rPr>
          <w:sz w:val="24"/>
        </w:rPr>
        <w:t>剩余资金的</w:t>
      </w:r>
      <w:r>
        <w:rPr>
          <w:sz w:val="24"/>
        </w:rPr>
        <w:t>5个工作日内退还给</w:t>
      </w:r>
      <w:r>
        <w:rPr>
          <w:sz w:val="24"/>
        </w:rPr>
        <w:t>甲方</w:t>
      </w:r>
      <w:r>
        <w:rPr>
          <w:sz w:val="24"/>
        </w:rPr>
        <w:t>。</w:t>
      </w:r>
    </w:p>
    <w:p>
      <w:pPr>
        <w:pStyle w:val="null3"/>
        <w:jc w:val="both"/>
      </w:pPr>
      <w:r>
        <w:rPr>
          <w:sz w:val="24"/>
          <w:b/>
        </w:rPr>
        <w:t>十九、</w:t>
      </w:r>
      <w:r>
        <w:rPr>
          <w:sz w:val="24"/>
          <w:b/>
        </w:rPr>
        <w:t>知识产权产权归属</w:t>
      </w:r>
    </w:p>
    <w:p>
      <w:pPr>
        <w:pStyle w:val="null3"/>
        <w:ind w:firstLine="480"/>
        <w:jc w:val="both"/>
      </w:pPr>
      <w:r>
        <w:rPr>
          <w:sz w:val="24"/>
        </w:rPr>
        <w:t>乙方应保证本项目的响应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4"/>
          <w:b/>
        </w:rPr>
        <w:t>二十、</w:t>
      </w:r>
      <w:r>
        <w:rPr>
          <w:sz w:val="24"/>
          <w:b/>
        </w:rPr>
        <w:t>保密</w:t>
      </w:r>
    </w:p>
    <w:p>
      <w:pPr>
        <w:pStyle w:val="null3"/>
        <w:ind w:firstLine="480"/>
        <w:jc w:val="both"/>
      </w:pPr>
      <w:r>
        <w:rPr>
          <w:sz w:val="24"/>
        </w:rPr>
        <w:t>项目实施过程中至乙方正式向甲方交付技术文档资料时止，乙方必须采取措施对本项目实施过程中的数据、文档等资料保密，否则，由于乙方过错导致的上述资料泄密的，乙方必须承担一切责任。项目完成后，甲、乙双方均有责任对本项目的技术保密承担责任，保密期限直至该技术秘密合法为公众公开知悉为止。</w:t>
      </w:r>
    </w:p>
    <w:p>
      <w:pPr>
        <w:pStyle w:val="null3"/>
        <w:jc w:val="both"/>
      </w:pPr>
      <w:r>
        <w:rPr>
          <w:sz w:val="24"/>
          <w:b/>
        </w:rPr>
        <w:t>二十一、</w:t>
      </w:r>
      <w:r>
        <w:rPr>
          <w:sz w:val="24"/>
          <w:b/>
        </w:rPr>
        <w:t>违约责任与赔偿损失</w:t>
      </w:r>
    </w:p>
    <w:p>
      <w:pPr>
        <w:pStyle w:val="null3"/>
        <w:ind w:firstLine="420"/>
        <w:jc w:val="both"/>
      </w:pPr>
      <w:r>
        <w:rPr>
          <w:sz w:val="24"/>
        </w:rPr>
        <w:t>1、乙方提供的服务不符合招标文件、投标文件或本合同规定的，甲方有权拒收不符合招标文件、投标文件或本合同规定的服务内容，并且乙方须向甲方支付本合同总价5%的违约金，乙方应当在甲方催告的期限内就行纠正，若规定期限内未能完全纠正的，甲方有权选择终止合同，由此造成的甲方经济损失由乙方承担。</w:t>
      </w:r>
    </w:p>
    <w:p>
      <w:pPr>
        <w:pStyle w:val="null3"/>
        <w:ind w:firstLine="420"/>
        <w:jc w:val="both"/>
      </w:pPr>
      <w:r>
        <w:rPr>
          <w:sz w:val="24"/>
        </w:rPr>
        <w:t>2、乙方未能按本合同规定的时间提供服务，从逾期之日起每日按本合同总价3‰的数额向甲方支付违约金；逾期15日以上的，甲方有权终止合同，由此造成的甲方经济损失由乙方承担。</w:t>
      </w:r>
    </w:p>
    <w:p>
      <w:pPr>
        <w:pStyle w:val="null3"/>
        <w:ind w:firstLine="420"/>
        <w:jc w:val="both"/>
      </w:pPr>
      <w:r>
        <w:rPr>
          <w:sz w:val="24"/>
        </w:rPr>
        <w:t>3、甲方无正当理由拒收接受服务，到期拒付服务款项的，甲方向乙方偿付本合同总的5%的违约金。甲方人逾期付款，则每日按本合同总价的3‰向乙方偿付违约金。</w:t>
      </w:r>
    </w:p>
    <w:p>
      <w:pPr>
        <w:pStyle w:val="null3"/>
        <w:ind w:firstLine="420"/>
        <w:jc w:val="both"/>
      </w:pPr>
      <w:r>
        <w:rPr>
          <w:sz w:val="24"/>
        </w:rPr>
        <w:t>4、甲方因前述约定向乙方主张承担违约责任的，乙方除承担违约责任外，还需要承担甲方维权产生的其它合理支出，包括但不限于律师费、诉讼费、保全费、鉴定费、公证费等一切费用。</w:t>
      </w:r>
    </w:p>
    <w:p>
      <w:pPr>
        <w:pStyle w:val="null3"/>
        <w:ind w:firstLine="420"/>
        <w:jc w:val="both"/>
      </w:pPr>
      <w:r>
        <w:rPr>
          <w:sz w:val="24"/>
        </w:rPr>
        <w:t>5、其它违约责任按《中华人民共和国民法典》处理。</w:t>
      </w:r>
    </w:p>
    <w:p>
      <w:pPr>
        <w:pStyle w:val="null3"/>
        <w:jc w:val="both"/>
      </w:pPr>
      <w:r>
        <w:rPr>
          <w:sz w:val="24"/>
          <w:b/>
        </w:rPr>
        <w:t>二十二、</w:t>
      </w:r>
      <w:r>
        <w:rPr>
          <w:sz w:val="24"/>
          <w:b/>
        </w:rPr>
        <w:t>争端的解决</w:t>
      </w:r>
    </w:p>
    <w:p>
      <w:pPr>
        <w:pStyle w:val="null3"/>
        <w:ind w:firstLine="420"/>
        <w:jc w:val="both"/>
      </w:pPr>
      <w:r>
        <w:rPr>
          <w:sz w:val="24"/>
        </w:rPr>
        <w:t>合同执行过程中发生的任何争议，如双方不能通过友好协商解决，应提交甲方所在地人民法院诉讼。</w:t>
      </w:r>
    </w:p>
    <w:p>
      <w:pPr>
        <w:pStyle w:val="null3"/>
        <w:jc w:val="both"/>
      </w:pPr>
      <w:r>
        <w:rPr>
          <w:sz w:val="24"/>
          <w:b/>
        </w:rPr>
        <w:t>二十三、</w:t>
      </w:r>
      <w:r>
        <w:rPr>
          <w:sz w:val="24"/>
          <w:b/>
        </w:rPr>
        <w:t>不可抗力：</w:t>
      </w:r>
    </w:p>
    <w:p>
      <w:pPr>
        <w:pStyle w:val="null3"/>
        <w:ind w:firstLine="42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二十四、</w:t>
      </w:r>
      <w:r>
        <w:rPr>
          <w:sz w:val="24"/>
          <w:b/>
        </w:rPr>
        <w:t>税费：</w:t>
      </w:r>
    </w:p>
    <w:p>
      <w:pPr>
        <w:pStyle w:val="null3"/>
        <w:ind w:firstLine="420"/>
        <w:jc w:val="both"/>
      </w:pPr>
      <w:r>
        <w:rPr>
          <w:sz w:val="24"/>
        </w:rPr>
        <w:t>在中国境内、外发生的与本合同执行有关的一切税费均由乙方负担。</w:t>
      </w:r>
    </w:p>
    <w:p>
      <w:pPr>
        <w:pStyle w:val="null3"/>
        <w:jc w:val="both"/>
      </w:pPr>
      <w:r>
        <w:rPr>
          <w:sz w:val="24"/>
          <w:b/>
        </w:rPr>
        <w:t>二十五、</w:t>
      </w:r>
      <w:r>
        <w:rPr>
          <w:sz w:val="24"/>
          <w:b/>
        </w:rPr>
        <w:t>其它</w:t>
      </w:r>
    </w:p>
    <w:p>
      <w:pPr>
        <w:pStyle w:val="null3"/>
        <w:ind w:firstLine="420"/>
        <w:jc w:val="both"/>
      </w:pPr>
      <w:r>
        <w:rPr>
          <w:sz w:val="24"/>
        </w:rPr>
        <w:t>1、本合同所有附件、招标文件、投标文件、中标通知书均为合同的有效组成部分，与本合同具有同等法律效力。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jc w:val="both"/>
      </w:pPr>
      <w:r>
        <w:rPr>
          <w:sz w:val="24"/>
          <w:b/>
        </w:rPr>
        <w:t>二十六、</w:t>
      </w:r>
      <w:r>
        <w:rPr>
          <w:sz w:val="24"/>
          <w:b/>
        </w:rPr>
        <w:t>合同生效：</w:t>
      </w:r>
    </w:p>
    <w:p>
      <w:pPr>
        <w:pStyle w:val="null3"/>
        <w:ind w:firstLine="420"/>
        <w:jc w:val="both"/>
      </w:pPr>
      <w:r>
        <w:rPr>
          <w:sz w:val="24"/>
        </w:rPr>
        <w:t>1、本合同在甲乙双方法人代表或其授权代表签字盖章后生效。</w:t>
      </w:r>
    </w:p>
    <w:p>
      <w:pPr>
        <w:pStyle w:val="null3"/>
        <w:ind w:firstLine="420"/>
        <w:jc w:val="both"/>
      </w:pPr>
      <w:r>
        <w:rPr>
          <w:sz w:val="24"/>
        </w:rPr>
        <w:t>2、合同一式</w:t>
      </w:r>
      <w:r>
        <w:rPr>
          <w:u w:val="single"/>
        </w:rPr>
        <w:t xml:space="preserve">    </w:t>
      </w:r>
      <w:r>
        <w:rPr>
          <w:sz w:val="24"/>
        </w:rPr>
        <w:t>份，甲、乙双方各执</w:t>
      </w:r>
      <w:r>
        <w:rPr>
          <w:u w:val="single"/>
        </w:rPr>
        <w:t xml:space="preserve">    </w:t>
      </w:r>
      <w:r>
        <w:rPr>
          <w:sz w:val="24"/>
        </w:rPr>
        <w:t>份，采购代理机构</w:t>
      </w:r>
      <w:r>
        <w:rPr>
          <w:u w:val="single"/>
        </w:rPr>
        <w:t xml:space="preserve"> </w:t>
      </w:r>
      <w:r>
        <w:rPr>
          <w:sz w:val="24"/>
          <w:u w:val="single"/>
        </w:rPr>
        <w:t>壹</w:t>
      </w:r>
      <w:r>
        <w:rPr>
          <w:u w:val="single"/>
        </w:rPr>
        <w:t xml:space="preserve"> </w:t>
      </w:r>
      <w:r>
        <w:rPr>
          <w:sz w:val="24"/>
        </w:rPr>
        <w:t>份。</w:t>
      </w:r>
    </w:p>
    <w:p>
      <w:pPr>
        <w:pStyle w:val="null3"/>
        <w:jc w:val="both"/>
      </w:pPr>
      <w:r>
        <w:rPr>
          <w:sz w:val="24"/>
        </w:rPr>
        <w:t>甲方（盖章）：</w:t>
      </w:r>
      <w:r>
        <w:rPr>
          <w:sz w:val="24"/>
        </w:rPr>
        <w:t xml:space="preserve">                          </w:t>
      </w:r>
      <w:r>
        <w:rPr>
          <w:sz w:val="24"/>
        </w:rPr>
        <w:t>乙方（盖章）：</w:t>
      </w:r>
    </w:p>
    <w:p>
      <w:pPr>
        <w:pStyle w:val="null3"/>
        <w:jc w:val="both"/>
      </w:pPr>
      <w:r>
        <w:rPr>
          <w:sz w:val="24"/>
        </w:rPr>
        <w:t>代表：</w:t>
      </w:r>
      <w:r>
        <w:rPr>
          <w:sz w:val="24"/>
        </w:rPr>
        <w:t xml:space="preserve">                                  </w:t>
      </w:r>
      <w:r>
        <w:rPr>
          <w:sz w:val="24"/>
        </w:rPr>
        <w:t>代表：</w:t>
      </w:r>
    </w:p>
    <w:p>
      <w:pPr>
        <w:pStyle w:val="null3"/>
        <w:jc w:val="both"/>
      </w:pPr>
      <w:r>
        <w:rPr>
          <w:sz w:val="24"/>
        </w:rPr>
        <w:t>签定地点：</w:t>
      </w:r>
    </w:p>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ind w:firstLine="4830"/>
        <w:jc w:val="both"/>
      </w:pPr>
      <w:r>
        <w:rPr>
          <w:sz w:val="24"/>
        </w:rPr>
        <w:t>开户名称：</w:t>
      </w:r>
    </w:p>
    <w:p>
      <w:pPr>
        <w:pStyle w:val="null3"/>
        <w:ind w:firstLine="4830"/>
        <w:jc w:val="both"/>
      </w:pPr>
      <w:r>
        <w:rPr>
          <w:sz w:val="24"/>
        </w:rPr>
        <w:t>银行帐号：</w:t>
      </w:r>
    </w:p>
    <w:p>
      <w:pPr>
        <w:pStyle w:val="null3"/>
        <w:ind w:firstLine="4830"/>
        <w:jc w:val="both"/>
      </w:pPr>
      <w:r>
        <w:rPr>
          <w:sz w:val="24"/>
        </w:rPr>
        <w:t>开户行：</w:t>
      </w:r>
    </w:p>
    <w:p>
      <w:pPr>
        <w:pStyle w:val="null3"/>
        <w:jc w:val="center"/>
      </w:pPr>
      <w:r>
        <w:rPr/>
        <w:t xml:space="preserve">  </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440101-2025-06441</w:t>
      </w:r>
    </w:p>
    <w:p>
      <w:pPr>
        <w:pStyle w:val="null3"/>
        <w:jc w:val="center"/>
        <w:outlineLvl w:val="3"/>
      </w:pPr>
      <w:r>
        <w:rPr>
          <w:sz w:val="24"/>
          <w:b/>
        </w:rPr>
        <w:t>采购项目编号：</w:t>
      </w:r>
      <w:r>
        <w:rPr>
          <w:sz w:val="24"/>
          <w:b/>
        </w:rPr>
        <w:t>HYGZ24HJ01C0578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2025年黄埔区“一街一站”空气质量监测及污染源监控设备运营服务项目</w:t>
      </w:r>
      <w:r>
        <w:rPr>
          <w:u w:val="single"/>
        </w:rPr>
        <w:t>”</w:t>
      </w:r>
      <w:r>
        <w:rPr/>
        <w:t>项目的招标[采购项目编号为：</w:t>
      </w:r>
      <w:r>
        <w:rPr>
          <w:u w:val="single"/>
        </w:rPr>
        <w:t>HYGZ24HJ01C0578</w:t>
      </w:r>
      <w:r>
        <w:rPr/>
        <w:t>]，我方愿参与投标。</w:t>
      </w:r>
    </w:p>
    <w:p>
      <w:pPr>
        <w:pStyle w:val="null3"/>
        <w:ind w:firstLine="480"/>
      </w:pPr>
      <w:r>
        <w:rPr/>
        <w:t>我方确认收到贵方提供的</w:t>
      </w:r>
      <w:r>
        <w:rPr>
          <w:u w:val="single"/>
        </w:rPr>
        <w:t>“</w:t>
      </w:r>
      <w:r>
        <w:rPr>
          <w:u w:val="single"/>
        </w:rPr>
        <w:t>2025年黄埔区“一街一站”空气质量监测及污染源监控设备运营服务项目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2025年黄埔区“一街一站”空气质量监测及污染源监控设备运营服务项目</w:t>
      </w:r>
      <w:r>
        <w:rPr/>
        <w:t>”项目采购[采购项目编号为</w:t>
      </w:r>
      <w:r>
        <w:rPr/>
        <w:t>HYGZ24HJ01C0578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广州市生态环境局黄埔环境监测站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2025年黄埔区“一街一站”空气质量监测及污染源监控设备运营服务项目</w:t>
      </w:r>
      <w:r>
        <w:rPr/>
        <w:t>招标中获中标（采购项目编号：</w:t>
      </w:r>
      <w:r>
        <w:rPr/>
        <w:t>HYGZ24HJ01C0578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