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CCB552">
      <w:pPr>
        <w:pStyle w:val="3"/>
        <w:bidi w:val="0"/>
        <w:rPr>
          <w:rFonts w:hint="eastAsia" w:cs="Times New Roman"/>
        </w:rPr>
      </w:pPr>
      <w:bookmarkStart w:id="1" w:name="_GoBack"/>
      <w:bookmarkEnd w:id="1"/>
      <w:bookmarkStart w:id="0" w:name="_Toc29232"/>
      <w:r>
        <w:rPr>
          <w:rFonts w:hint="eastAsia" w:cs="Times New Roman"/>
        </w:rPr>
        <w:t xml:space="preserve"> 采购需求</w:t>
      </w:r>
      <w:bookmarkEnd w:id="0"/>
    </w:p>
    <w:p w14:paraId="5A76659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p>
    <w:p w14:paraId="29DCB610">
      <w:pPr>
        <w:pageBreakBefore w:val="0"/>
        <w:widowControl w:val="0"/>
        <w:numPr>
          <w:ilvl w:val="0"/>
          <w:numId w:val="1"/>
        </w:numPr>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项目名称</w:t>
      </w:r>
      <w:r>
        <w:rPr>
          <w:rFonts w:hint="eastAsia" w:ascii="宋体" w:hAnsi="宋体" w:eastAsia="宋体" w:cs="宋体"/>
          <w:color w:val="auto"/>
          <w:sz w:val="21"/>
          <w:szCs w:val="21"/>
          <w:highlight w:val="none"/>
          <w:lang w:val="en-US" w:eastAsia="zh-CN"/>
        </w:rPr>
        <w:t>：临湘市建筑垃圾信息化监管平台项目。</w:t>
      </w:r>
    </w:p>
    <w:p w14:paraId="4E23A2D9">
      <w:pPr>
        <w:pageBreakBefore w:val="0"/>
        <w:widowControl w:val="0"/>
        <w:numPr>
          <w:ilvl w:val="0"/>
          <w:numId w:val="1"/>
        </w:numPr>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项目建设内容</w:t>
      </w:r>
    </w:p>
    <w:p w14:paraId="564F7CC4">
      <w:pPr>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围绕建筑垃圾“产、运、消、利”等环节，提升业务与平台的粘合度，实现平台模块与业务板块对应，数据流向与业务流程统一，本次平台主要建设内容包括应用软件建设、数据资源建设、网络完全建设和基础设施建设四大部分。</w:t>
      </w:r>
    </w:p>
    <w:p w14:paraId="78933F1E">
      <w:pPr>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（1）应用软件建设</w:t>
      </w:r>
    </w:p>
    <w:p w14:paraId="1AC491FA">
      <w:pPr>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应用软件建设围绕建筑垃圾“产、运、消、利”各个环节，依照相关管理制度，深入分析政务、企业、居民相关需求，加强源头管控、联勤联动和信用评价，完善服务功能，拓宽服务渠道，创新服务模式，主要建设基础信息管理、核准备案管理、运输态势监控、电子联单管理、统计分析、移动端、建筑垃圾GIS监管系统、专修垃圾、违规管理、系统对接等系统。助力全市建筑垃圾治理“一网统管”，行政许可“一网通办”，全面提升精准服务能力。</w:t>
      </w:r>
    </w:p>
    <w:p w14:paraId="675E3EF4">
      <w:pPr>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（2）数据资源建设</w:t>
      </w:r>
    </w:p>
    <w:p w14:paraId="41DD40C6">
      <w:pPr>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数据资源建设主要包括工地、消纳场、车辆路线、电子围栏、报警信息等专题数据图层。同时还有针对建筑垃圾日常管理流程的数据建设，包括证件审批信息、违章事故数据、建筑垃圾案件数据、智能化设备实时监控数据、运输企业车辆人员信息、视频证据数据、黑名单信用数据等数据库的建设。</w:t>
      </w:r>
    </w:p>
    <w:p w14:paraId="710FC729">
      <w:pPr>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（3）基础设施建设</w:t>
      </w:r>
    </w:p>
    <w:p w14:paraId="5FB3D897">
      <w:pPr>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本次将采购11个视频监控点和11个网络专线以及视频存储服务器辅助完成对于建筑垃圾车辆的监控。</w:t>
      </w:r>
    </w:p>
    <w:p w14:paraId="149EB4B1">
      <w:pPr>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三、详细技术参数</w:t>
      </w:r>
    </w:p>
    <w:p w14:paraId="70EC763A">
      <w:pPr>
        <w:keepNext/>
        <w:keepLines/>
        <w:widowControl w:val="0"/>
        <w:numPr>
          <w:ilvl w:val="0"/>
          <w:numId w:val="0"/>
        </w:numPr>
        <w:bidi w:val="0"/>
        <w:spacing w:before="260" w:beforeLines="0" w:beforeAutospacing="0" w:after="260" w:afterLines="0" w:afterAutospacing="0" w:line="240" w:lineRule="auto"/>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（1）应用软件系统技术参数</w:t>
      </w:r>
    </w:p>
    <w:tbl>
      <w:tblPr>
        <w:tblStyle w:val="4"/>
        <w:tblW w:w="9485"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5"/>
        <w:gridCol w:w="1240"/>
        <w:gridCol w:w="1427"/>
        <w:gridCol w:w="6113"/>
      </w:tblGrid>
      <w:tr w14:paraId="7EAEC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08BE5F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667" w:type="dxa"/>
            <w:gridSpan w:val="2"/>
            <w:tcBorders>
              <w:top w:val="single" w:color="000000" w:sz="4" w:space="0"/>
              <w:left w:val="single" w:color="000000" w:sz="4" w:space="0"/>
              <w:bottom w:val="single" w:color="000000" w:sz="4" w:space="0"/>
              <w:right w:val="single" w:color="000000" w:sz="4" w:space="0"/>
            </w:tcBorders>
            <w:noWrap/>
            <w:vAlign w:val="center"/>
          </w:tcPr>
          <w:p w14:paraId="394ABB4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建设内容</w:t>
            </w:r>
          </w:p>
        </w:tc>
        <w:tc>
          <w:tcPr>
            <w:tcW w:w="6113" w:type="dxa"/>
            <w:tcBorders>
              <w:top w:val="single" w:color="000000" w:sz="4" w:space="0"/>
              <w:left w:val="single" w:color="000000" w:sz="4" w:space="0"/>
              <w:bottom w:val="single" w:color="000000" w:sz="4" w:space="0"/>
              <w:right w:val="single" w:color="000000" w:sz="4" w:space="0"/>
            </w:tcBorders>
            <w:noWrap/>
            <w:vAlign w:val="center"/>
          </w:tcPr>
          <w:p w14:paraId="08F9E88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技术参数</w:t>
            </w:r>
          </w:p>
        </w:tc>
      </w:tr>
      <w:tr w14:paraId="51D12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24F49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40" w:type="dxa"/>
            <w:vMerge w:val="restart"/>
            <w:tcBorders>
              <w:top w:val="single" w:color="000000" w:sz="4" w:space="0"/>
              <w:left w:val="single" w:color="000000" w:sz="4" w:space="0"/>
              <w:bottom w:val="single" w:color="000000" w:sz="4" w:space="0"/>
              <w:right w:val="single" w:color="000000" w:sz="4" w:space="0"/>
            </w:tcBorders>
            <w:noWrap/>
            <w:vAlign w:val="center"/>
          </w:tcPr>
          <w:p w14:paraId="5F72C9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基础信息</w:t>
            </w:r>
          </w:p>
          <w:p w14:paraId="7ADFB9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管理系统</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193C8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源头信</w:t>
            </w:r>
          </w:p>
          <w:p w14:paraId="065068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息管理</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7E770B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源头信息管理模块主要对产废端各类项目进行全面的信息采集与管理，支持按施工状态分类建立项目台账，支持区域树级联筛选、导入导出、查询的基础功能，并可实现新增、编辑、删除、竣工标记的操作，实现对建筑垃圾排放源的可视化、结构化监管，为后续的联单申报工作提供支撑。</w:t>
            </w:r>
          </w:p>
        </w:tc>
      </w:tr>
      <w:tr w14:paraId="6F43A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19243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3BBEE4AE">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68816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运输企业</w:t>
            </w:r>
          </w:p>
          <w:p w14:paraId="69DB36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信息管理</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48F95A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该模块用于管理从事建筑垃圾运输活动的企业及其所运营的车辆的相关信息。</w:t>
            </w:r>
          </w:p>
        </w:tc>
      </w:tr>
      <w:tr w14:paraId="2ED1E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410FE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386DDC02">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0DD10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运输车辆</w:t>
            </w:r>
          </w:p>
          <w:p w14:paraId="32308F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信息管理</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172926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管理运输企业所备案的运输车辆详细信息</w:t>
            </w:r>
          </w:p>
        </w:tc>
      </w:tr>
      <w:tr w14:paraId="2911E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4EB28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58F069F6">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40151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处置场所</w:t>
            </w:r>
          </w:p>
          <w:p w14:paraId="3D6A5F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信息管理</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3491E9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该模块主要对辖区内各类建筑垃圾终端处置设施进行信息化管理，包括消纳场、资源化处理厂。通过统一的登记、维护和查询机制，完善终端处置单位相关详细信息</w:t>
            </w:r>
          </w:p>
        </w:tc>
      </w:tr>
      <w:tr w14:paraId="178E5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81191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11CE482A">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C42C0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区域围</w:t>
            </w:r>
          </w:p>
          <w:p w14:paraId="4DDCAE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栏管理</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279AFE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围栏区域管理模块用于对建筑垃圾运输车辆运行轨迹进行空间限制和重点监管区域设置，通过对路线和区域进行预设，可实现对禁行路段、重点敏感区域（如学校、医院、居民区）进行电子围栏设置。系统支持路线管理和重点区域管理两大功能，用户可通过绘图工具直观标注电子围栏，并配置预警规则。</w:t>
            </w:r>
          </w:p>
        </w:tc>
      </w:tr>
      <w:tr w14:paraId="5E1F8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BFAA7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240" w:type="dxa"/>
            <w:vMerge w:val="restart"/>
            <w:tcBorders>
              <w:top w:val="single" w:color="000000" w:sz="4" w:space="0"/>
              <w:left w:val="single" w:color="000000" w:sz="4" w:space="0"/>
              <w:bottom w:val="single" w:color="000000" w:sz="4" w:space="0"/>
              <w:right w:val="single" w:color="000000" w:sz="4" w:space="0"/>
            </w:tcBorders>
            <w:noWrap/>
            <w:vAlign w:val="center"/>
          </w:tcPr>
          <w:p w14:paraId="20CA15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核准备</w:t>
            </w:r>
          </w:p>
          <w:p w14:paraId="310D26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案系统</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3AC48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源头产生</w:t>
            </w:r>
          </w:p>
          <w:p w14:paraId="317122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核准台账</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6AA38F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该模块对已完成审批的源头核准信息进行归档、统计与管理。支持通过区域树结构快速查找源头项目台账信息，查看各类建设项目垃圾有关核准信息。</w:t>
            </w:r>
          </w:p>
        </w:tc>
      </w:tr>
      <w:tr w14:paraId="56740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FA2E6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52F00487">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8472F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运输过程</w:t>
            </w:r>
          </w:p>
          <w:p w14:paraId="059883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核准台账</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360713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运输过程核准台账用于集中管理所有运输许可类记录，包括证件类型、运输企业标识、运输企业名称、运输开始时间、运输结束时间、企业负责人、负责人联系方式、id、文号、运输时段、准运车辆信息，结合电子运单、GPS轨迹实现全过程比对和合规性追溯，为运输过程监管提供强有力的数据支撑。</w:t>
            </w:r>
          </w:p>
        </w:tc>
      </w:tr>
      <w:tr w14:paraId="40956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49D19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29981C12">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ECC77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终端处置</w:t>
            </w:r>
          </w:p>
          <w:p w14:paraId="0C7927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核准台账</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176BE2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该模块用于集中记录建筑垃圾在终端处置环节的所有核准信息，支持对处置场所的运行情况进行统一监管，便于系统自动比对运输量与许可容量的匹配性，防止超量倾倒、非法处置的问题发生。</w:t>
            </w:r>
          </w:p>
        </w:tc>
      </w:tr>
      <w:tr w14:paraId="1840F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1"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6FB4F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66C97AE8">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DB956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建筑垃圾处</w:t>
            </w:r>
          </w:p>
          <w:p w14:paraId="201248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置方案备案台账</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67CBC4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建筑垃圾处置方案备案台账模块用于汇总记录所有已备案的项目建筑垃圾处理方案，为后续的联单生成、运输监管、处置核对提供依据，确保源头到终端的管理链条完整闭环。</w:t>
            </w:r>
          </w:p>
        </w:tc>
      </w:tr>
      <w:tr w14:paraId="061A4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5D2AD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240" w:type="dxa"/>
            <w:tcBorders>
              <w:top w:val="single" w:color="000000" w:sz="4" w:space="0"/>
              <w:left w:val="single" w:color="000000" w:sz="4" w:space="0"/>
              <w:bottom w:val="single" w:color="000000" w:sz="4" w:space="0"/>
              <w:right w:val="single" w:color="000000" w:sz="4" w:space="0"/>
            </w:tcBorders>
            <w:noWrap/>
            <w:vAlign w:val="center"/>
          </w:tcPr>
          <w:p w14:paraId="1F6D8C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运输态势</w:t>
            </w:r>
          </w:p>
          <w:p w14:paraId="4B9394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p w14:paraId="1D6648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监控系统</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FC4CB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车辆监控</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128EB3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基于GIS地图，集成车辆基础信息、GPS定位、车载终端物联设备及视频监控数据，关联车辆电子联单数据，实现车辆状态、位置、车载视频的实时展示以及历史轨迹、运量查询。</w:t>
            </w:r>
          </w:p>
        </w:tc>
      </w:tr>
      <w:tr w14:paraId="7BA53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167D4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240" w:type="dxa"/>
            <w:tcBorders>
              <w:top w:val="single" w:color="000000" w:sz="4" w:space="0"/>
              <w:left w:val="single" w:color="000000" w:sz="4" w:space="0"/>
              <w:bottom w:val="single" w:color="000000" w:sz="4" w:space="0"/>
              <w:right w:val="single" w:color="000000" w:sz="4" w:space="0"/>
            </w:tcBorders>
            <w:noWrap/>
            <w:vAlign w:val="center"/>
          </w:tcPr>
          <w:p w14:paraId="216257CD">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0F31A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工地监控</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04D909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基于GIS地图，接入在建项目视频监控、道闸及地磅数据（如有），实现对工地范围内运输车辆进出情况的实时监监控，结合电子围栏与电子联单数据，辅助工地合规管理。</w:t>
            </w:r>
          </w:p>
        </w:tc>
      </w:tr>
      <w:tr w14:paraId="0CB2F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0BA7A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240" w:type="dxa"/>
            <w:tcBorders>
              <w:top w:val="single" w:color="000000" w:sz="4" w:space="0"/>
              <w:left w:val="single" w:color="000000" w:sz="4" w:space="0"/>
              <w:bottom w:val="single" w:color="000000" w:sz="4" w:space="0"/>
              <w:right w:val="single" w:color="000000" w:sz="4" w:space="0"/>
            </w:tcBorders>
            <w:noWrap/>
            <w:vAlign w:val="center"/>
          </w:tcPr>
          <w:p w14:paraId="03388383">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45EC1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处置场</w:t>
            </w:r>
          </w:p>
          <w:p w14:paraId="484447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所监控</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067127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基于GIS地图，接入处置场所视频监控、道闸及地磅数据（如有），实现对处置场所范围内运输车辆进出情况的实时监监控，结合电子围栏与电子联单数据，辅助消纳场所合规管理。</w:t>
            </w:r>
          </w:p>
        </w:tc>
      </w:tr>
      <w:tr w14:paraId="111C8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3DE2B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240" w:type="dxa"/>
            <w:vMerge w:val="restart"/>
            <w:tcBorders>
              <w:top w:val="single" w:color="000000" w:sz="4" w:space="0"/>
              <w:left w:val="single" w:color="000000" w:sz="4" w:space="0"/>
              <w:bottom w:val="single" w:color="000000" w:sz="4" w:space="0"/>
              <w:right w:val="single" w:color="000000" w:sz="4" w:space="0"/>
            </w:tcBorders>
            <w:noWrap/>
            <w:vAlign w:val="center"/>
          </w:tcPr>
          <w:p w14:paraId="5B5FD3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电子联单</w:t>
            </w:r>
          </w:p>
          <w:p w14:paraId="090E56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管理系统</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130AB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电子联</w:t>
            </w:r>
          </w:p>
          <w:p w14:paraId="75B0D9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单查询</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663DF3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提供项目工地、运输企业、处置单位上传的联单信息的集中查询功能，支持多条件筛选并按项目分类查看联单详情，可导出数据进行汇总分析，提升数据可用性与管理效率。</w:t>
            </w:r>
          </w:p>
        </w:tc>
      </w:tr>
      <w:tr w14:paraId="6170A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4B417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7CE0A438">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CB096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联单补录</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0DB02C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针对系统外形成但确属合规的联单信息，系统提供人工补录入口，管理员可录入运输详情、拍照证据、合同截图，实现数据的后补归档，保证联单数据完整性。</w:t>
            </w:r>
          </w:p>
        </w:tc>
      </w:tr>
      <w:tr w14:paraId="19AAE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B420D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5A1ABD6D">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1C411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联单统</w:t>
            </w:r>
          </w:p>
          <w:p w14:paraId="49BD05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计与分析</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47C8EB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系统通过对全部联单数据的结构化分析，生成区域联单分布图、运输周期分析图、异常频发时段统计表，支持按区（市）、运输单位、处置场所几个维度进行数据透视与可视化呈现。</w:t>
            </w:r>
          </w:p>
        </w:tc>
      </w:tr>
      <w:tr w14:paraId="00376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36995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240" w:type="dxa"/>
            <w:vMerge w:val="restart"/>
            <w:tcBorders>
              <w:top w:val="single" w:color="000000" w:sz="4" w:space="0"/>
              <w:left w:val="single" w:color="000000" w:sz="4" w:space="0"/>
              <w:bottom w:val="single" w:color="000000" w:sz="4" w:space="0"/>
              <w:right w:val="single" w:color="000000" w:sz="4" w:space="0"/>
            </w:tcBorders>
            <w:noWrap w:val="0"/>
            <w:vAlign w:val="center"/>
          </w:tcPr>
          <w:p w14:paraId="3A27B5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装修垃圾</w:t>
            </w:r>
          </w:p>
          <w:p w14:paraId="757BBF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管理系统</w:t>
            </w: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11DBD2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装修源</w:t>
            </w:r>
          </w:p>
          <w:p w14:paraId="54B32E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头管理</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749A85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对装修垃圾的产生源头进行分类管理，包括住宅小区与商业场所，记录所属区、所属街道、所属社区、联系人、联系方式、地址、物业名称、统一社会编码、坐标X、坐标Y，并支持源头责任主体备案管理，确保源头可溯，责任明确。实际使用过程中，可根据使用人员需要展示定向字段数据。</w:t>
            </w:r>
          </w:p>
        </w:tc>
      </w:tr>
      <w:tr w14:paraId="008F3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53864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2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5E06F0">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5ADA9C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企业信</w:t>
            </w:r>
          </w:p>
          <w:p w14:paraId="12AFFA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息管理</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232989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管理从事装修垃圾清运服务的企业信息，包括运输车辆、清运人员、收费标准。</w:t>
            </w:r>
          </w:p>
        </w:tc>
      </w:tr>
      <w:tr w14:paraId="33A3A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BC52A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2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FA7017">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2AD496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装修联</w:t>
            </w:r>
          </w:p>
          <w:p w14:paraId="4F99B6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单监管</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27A39F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查看不同阶段的装修联单的相关信息</w:t>
            </w:r>
          </w:p>
        </w:tc>
      </w:tr>
      <w:tr w14:paraId="7F90A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9729E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2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5A0605">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578F2B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终端处</w:t>
            </w:r>
          </w:p>
          <w:p w14:paraId="42794D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置管理</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0A0EAB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该模块用于对装修垃圾的终端处置行为进行集中管理，涵盖对临时堆放点、资源化处理厂的基础信息、进出场记录、容量占用情况数据的维护与监测，全面掌握装修垃圾最终流向，防止非法倾倒与中转堆存行为。</w:t>
            </w:r>
          </w:p>
        </w:tc>
      </w:tr>
      <w:tr w14:paraId="50E12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9F399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2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E41E77">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2C538F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综合查询</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554BB9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系统提供综合查询服务，用户可通过预约人或单位、运输企业、联单编号信息查询装修垃圾清运全过程信息，实现运输行为透明化、责任追溯有据。</w:t>
            </w:r>
          </w:p>
        </w:tc>
      </w:tr>
      <w:tr w14:paraId="42C72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6BFDC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240" w:type="dxa"/>
            <w:vMerge w:val="restart"/>
            <w:tcBorders>
              <w:top w:val="single" w:color="000000" w:sz="4" w:space="0"/>
              <w:left w:val="single" w:color="000000" w:sz="4" w:space="0"/>
              <w:bottom w:val="single" w:color="000000" w:sz="4" w:space="0"/>
              <w:right w:val="single" w:color="000000" w:sz="4" w:space="0"/>
            </w:tcBorders>
            <w:noWrap/>
            <w:vAlign w:val="center"/>
          </w:tcPr>
          <w:p w14:paraId="18BDBF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违规管</w:t>
            </w:r>
          </w:p>
          <w:p w14:paraId="449137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理系统</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27108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报警配置</w:t>
            </w:r>
          </w:p>
        </w:tc>
        <w:tc>
          <w:tcPr>
            <w:tcW w:w="6113" w:type="dxa"/>
            <w:tcBorders>
              <w:top w:val="single" w:color="000000" w:sz="4" w:space="0"/>
              <w:left w:val="single" w:color="000000" w:sz="4" w:space="0"/>
              <w:bottom w:val="single" w:color="000000" w:sz="4" w:space="0"/>
              <w:right w:val="single" w:color="000000" w:sz="4" w:space="0"/>
            </w:tcBorders>
            <w:noWrap/>
            <w:vAlign w:val="center"/>
          </w:tcPr>
          <w:p w14:paraId="2FCF16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对报警的类型和规则进行配置和管理。</w:t>
            </w:r>
          </w:p>
        </w:tc>
      </w:tr>
      <w:tr w14:paraId="51FF9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3"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9E1CD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07F1C5B8">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173FE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违规发现</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7D2286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该模块通过视频图像分析、物联传感技术以及其他部门判别报告，结合系统预先设置的报警类型和报警规则对GPS异常、车身不洁、车身未密闭、道路遗撒问题进行主动判别，同时接入三黑稽查成果（疑似黑车、疑似装卸点），生成报警。</w:t>
            </w:r>
          </w:p>
        </w:tc>
      </w:tr>
      <w:tr w14:paraId="279E7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7C15F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4F920134">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B09A1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案件管理</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79E000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案件管理模块承接预警派发后各类违规事件的处置流程，实现对报警线索的审核、案件流转、案件结果反馈和结案管理，支持电子文书、附件、现场资料同步上传，确保所有案件处理有据可查、全流程可追溯，为执法监管形成闭环管控机制提供支撑。</w:t>
            </w:r>
          </w:p>
        </w:tc>
      </w:tr>
      <w:tr w14:paraId="43A20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65BE1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240" w:type="dxa"/>
            <w:vMerge w:val="restart"/>
            <w:tcBorders>
              <w:top w:val="single" w:color="000000" w:sz="4" w:space="0"/>
              <w:left w:val="single" w:color="000000" w:sz="4" w:space="0"/>
              <w:bottom w:val="single" w:color="000000" w:sz="4" w:space="0"/>
              <w:right w:val="single" w:color="000000" w:sz="4" w:space="0"/>
            </w:tcBorders>
            <w:noWrap/>
            <w:vAlign w:val="center"/>
          </w:tcPr>
          <w:p w14:paraId="3BE58F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统计分</w:t>
            </w:r>
          </w:p>
          <w:p w14:paraId="506138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析系统</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35BC9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区域统计</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6FF5E9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照区域维度对建筑垃圾的管理数据进行整合分析，包括辖区内的工地数量、处置场数量、违规行为频次、车辆运输活跃度等内容，支持图表展示、列表导出与卡片式展示，方便进行辖区横向对比和纵向趋势追踪。</w:t>
            </w:r>
          </w:p>
        </w:tc>
      </w:tr>
      <w:tr w14:paraId="74EE4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BF9D0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46FEE754">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51C7F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车辆统计</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41F93C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对建筑垃圾运输车辆的运行状态、违规行为等信息进行全面统计，支持按照不同企业、时间段、区域进行多维数据汇总与导出，辅助执法部门、监管单位对运输车辆的动态管理与运营评估。</w:t>
            </w:r>
          </w:p>
        </w:tc>
      </w:tr>
      <w:tr w14:paraId="15E09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466B0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6153226E">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35FC3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运量统计</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1FF26F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运量统计模块聚焦于对不同主体的建筑垃圾运输总量、日均运量、月度波动趋势等数据进行全面分析，涵盖运输企业、项目工地、终端消纳场等多方维度，有效支撑监管单位对产运销各环节的总量控制与周期对比。</w:t>
            </w:r>
          </w:p>
        </w:tc>
      </w:tr>
      <w:tr w14:paraId="75FEB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B52C2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240" w:type="dxa"/>
            <w:vMerge w:val="restart"/>
            <w:tcBorders>
              <w:top w:val="single" w:color="000000" w:sz="4" w:space="0"/>
              <w:left w:val="single" w:color="000000" w:sz="4" w:space="0"/>
              <w:bottom w:val="single" w:color="000000" w:sz="4" w:space="0"/>
              <w:right w:val="single" w:color="000000" w:sz="4" w:space="0"/>
            </w:tcBorders>
            <w:noWrap/>
            <w:vAlign w:val="center"/>
          </w:tcPr>
          <w:p w14:paraId="3A045E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移动办</w:t>
            </w:r>
          </w:p>
          <w:p w14:paraId="7CDA3B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公应用</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54C2C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移动办公小程序</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10F2C6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面向环卫监管部门工作人员提供建筑垃圾监管工作相关的移动巡查处理能力，提供包括实时监控查看、各主体基础信息查看、地图定位导航、巡查记录上报等功能，全面支撑移动巡查工作开展。</w:t>
            </w:r>
          </w:p>
        </w:tc>
      </w:tr>
      <w:tr w14:paraId="6B733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4"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71E7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5ECB7F30">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C0D75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电子联单小程序</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494F68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面向项目工地、运输企业、处置场所用户提供线上电子联单功能，适配各类场景下的联单核验需求。系统提供三种联单生成方式，适用于不同硬件条件的工程项目：一是对于有条件的工地，系统基于接入的工地道闸车牌数据、地磅称重数据、出口视频监控识别的建筑垃圾类型数据，自动关联匹配上述信息并生成电子运单；二是工地负责人扫描随车二维码生成电子联单，自动将车辆、运输企业信息进行关联匹配，其他信息手动填报；三是工地负责人手动新建电子联单，录入联单各项信息。</w:t>
            </w:r>
          </w:p>
        </w:tc>
      </w:tr>
      <w:tr w14:paraId="754C1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3"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379EA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5D442A6C">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91CDD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装修便民服务小程序</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2DE9EB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面向市区（市）居民使用，主要分为装修垃圾服务、移动供需平台和信息公示三大板块。装修垃圾服务为参与到装修垃圾清运工作的居民、物业、运输企业提供线上下单、进度查询等服务功能，提高行业部门对装修垃圾运输的监管覆盖程度。移动供需平台方便建筑工地、运输企业、消纳场、资源化利用企业在线完成需求上报审核。信息公示作为面向公众的移动信息公开平台，为市民提供各类建筑垃圾信息的查阅通道，保障行业运行透明，促进社会监督。</w:t>
            </w:r>
          </w:p>
        </w:tc>
      </w:tr>
      <w:tr w14:paraId="26057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EB0D6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240" w:type="dxa"/>
            <w:vMerge w:val="restart"/>
            <w:tcBorders>
              <w:top w:val="single" w:color="000000" w:sz="4" w:space="0"/>
              <w:left w:val="single" w:color="000000" w:sz="4" w:space="0"/>
              <w:bottom w:val="single" w:color="000000" w:sz="4" w:space="0"/>
              <w:right w:val="single" w:color="000000" w:sz="4" w:space="0"/>
            </w:tcBorders>
            <w:noWrap/>
            <w:vAlign w:val="center"/>
          </w:tcPr>
          <w:p w14:paraId="2AFC64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建筑垃圾</w:t>
            </w:r>
          </w:p>
          <w:p w14:paraId="703E66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GIS监管系统</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0CEAA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运输基</w:t>
            </w:r>
          </w:p>
          <w:p w14:paraId="674269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本情况</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429E9D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展示运输企业数量、建筑垃圾运输车辆（渣土车）数量，及装修垃圾车辆的数量，并进行在运/空闲状态统计。地图实时显示车辆位置轨迹，点击企业图标可查看企业资质、车辆列表及违规记录。</w:t>
            </w:r>
          </w:p>
        </w:tc>
      </w:tr>
      <w:tr w14:paraId="50405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0A261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48894554">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BAB93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源头基</w:t>
            </w:r>
          </w:p>
          <w:p w14:paraId="49E9AA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本概况</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37686C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展示在建工地、商业场所、住宅小区三类源头点数量及分布，统计总出土面积、新增源头数量；按区域维度分类统计，结合热力图，直观对比各区域工地密度。地图以点状图标标注源头位置，点击可查看工地名称、出土量、所属区域等详情。</w:t>
            </w:r>
          </w:p>
        </w:tc>
      </w:tr>
      <w:tr w14:paraId="2E822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77F77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216D7A42">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9C8BD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处置基</w:t>
            </w:r>
          </w:p>
          <w:p w14:paraId="374414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本情况</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128AA6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展示消纳场位置、剩余容量（百分比及实际方量）、资源化利用厂处理能力（日处理量/类型）。地图消纳场图标按容量状态分级配色（绿色充足/黄色预警/红色满容）</w:t>
            </w:r>
          </w:p>
        </w:tc>
      </w:tr>
      <w:tr w14:paraId="17C08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C0432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51670AE9">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5B644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联单状</w:t>
            </w:r>
          </w:p>
          <w:p w14:paraId="79C8F2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态追踪</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1F3F1D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展示联单状态（运输中、已受纳、异常关闭）实时统计与占比；点击单张联单，展示其详情信息，同时地图自动定位关联的工地、车辆、消纳场点位，进行运输路径动态绘制，并高亮显示关联关系。</w:t>
            </w:r>
          </w:p>
        </w:tc>
      </w:tr>
      <w:tr w14:paraId="697E6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A7B86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48E89B3B">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38A0A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区域收</w:t>
            </w:r>
          </w:p>
          <w:p w14:paraId="36C10D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运情况</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7560A2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以不同区域为维度，整合联单申报运输量与消纳场实际处置量数据，构建“运输-处置平衡分析”看板。通过对比各区域垃圾产生量、运输合规性及终端消纳能力，识别“超量运输未处置”“跨区违规消纳”等异常问题，辅助管理者优化区域垃圾调度策略，强化属地监管责任。</w:t>
            </w:r>
          </w:p>
        </w:tc>
      </w:tr>
      <w:tr w14:paraId="3D849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7E020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3769C697">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04A22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联单溯</w:t>
            </w:r>
          </w:p>
          <w:p w14:paraId="0060E5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源分析</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31C967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展示区域联单热力分析：按区域统计联单生成量、完成量、异常量；展示运输企业绩效分析：按时完成率、异常率、平均运输时效。</w:t>
            </w:r>
          </w:p>
        </w:tc>
      </w:tr>
      <w:tr w14:paraId="037C7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90D1B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3C9E0623">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FB171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动态图</w:t>
            </w:r>
          </w:p>
          <w:p w14:paraId="34BC7B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层交互</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16BE6F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GIS地图支持叠加/切换不同数据图层，包括源头点、车辆轨迹、消纳场，以及围栏数据，包括工地围栏、线路围栏等。</w:t>
            </w:r>
          </w:p>
        </w:tc>
      </w:tr>
      <w:tr w14:paraId="1296B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8C304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240" w:type="dxa"/>
            <w:vMerge w:val="restart"/>
            <w:tcBorders>
              <w:top w:val="single" w:color="000000" w:sz="4" w:space="0"/>
              <w:left w:val="single" w:color="000000" w:sz="4" w:space="0"/>
              <w:bottom w:val="single" w:color="000000" w:sz="4" w:space="0"/>
              <w:right w:val="single" w:color="000000" w:sz="4" w:space="0"/>
            </w:tcBorders>
            <w:noWrap/>
            <w:vAlign w:val="center"/>
          </w:tcPr>
          <w:p w14:paraId="5B913C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系统</w:t>
            </w:r>
          </w:p>
          <w:p w14:paraId="14B61C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对接</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04C39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和车辆管理平台对接</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081590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对接建筑垃圾车辆监测GPS数据和其他相关基础数据信息，辅助实现对于建筑垃圾平台的有效监管。</w:t>
            </w:r>
          </w:p>
        </w:tc>
      </w:tr>
      <w:tr w14:paraId="348DE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457E4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139821C3">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4FF8C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对接临湘市“一网通办”平台</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68DCF4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对接获取临湘市“一网通办”平台，获取其中的三核准一备案相关数据，为系统正常运行提供支撑。</w:t>
            </w:r>
          </w:p>
        </w:tc>
      </w:tr>
      <w:tr w14:paraId="26520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1FDB9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60F95AF4">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36F05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对接工地（消纳场）监测设备数据</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06DD67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对接获取工地（消纳场）的监测设备（地磅和视频监控），实现对于工地和消纳场的有效监管。</w:t>
            </w:r>
          </w:p>
        </w:tc>
      </w:tr>
      <w:tr w14:paraId="2A702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BE575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4091C4B5">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CCBC3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和临湘市综管服对接</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2A8A1A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主要是将本平台已有的数据通过对接方式传输到运管服平台，除此之外将本平台产生的违规行为通过运管服平台指挥协调系统实习案件快速指挥处置。</w:t>
            </w:r>
          </w:p>
        </w:tc>
      </w:tr>
      <w:tr w14:paraId="31507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9391C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1240" w:type="dxa"/>
            <w:vMerge w:val="continue"/>
            <w:tcBorders>
              <w:top w:val="single" w:color="000000" w:sz="4" w:space="0"/>
              <w:left w:val="single" w:color="000000" w:sz="4" w:space="0"/>
              <w:bottom w:val="single" w:color="000000" w:sz="4" w:space="0"/>
              <w:right w:val="single" w:color="000000" w:sz="4" w:space="0"/>
            </w:tcBorders>
            <w:noWrap/>
            <w:vAlign w:val="center"/>
          </w:tcPr>
          <w:p w14:paraId="204657BE">
            <w:pPr>
              <w:jc w:val="center"/>
              <w:rPr>
                <w:rFonts w:hint="eastAsia" w:ascii="宋体" w:hAnsi="宋体" w:eastAsia="宋体" w:cs="宋体"/>
                <w:i w:val="0"/>
                <w:iCs w:val="0"/>
                <w:color w:val="000000"/>
                <w:sz w:val="21"/>
                <w:szCs w:val="21"/>
                <w:u w:val="none"/>
              </w:rPr>
            </w:pP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D9585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和岳阳市建筑垃圾管理平台对接</w:t>
            </w:r>
          </w:p>
        </w:tc>
        <w:tc>
          <w:tcPr>
            <w:tcW w:w="6113" w:type="dxa"/>
            <w:tcBorders>
              <w:top w:val="single" w:color="000000" w:sz="4" w:space="0"/>
              <w:left w:val="single" w:color="000000" w:sz="4" w:space="0"/>
              <w:bottom w:val="single" w:color="000000" w:sz="4" w:space="0"/>
              <w:right w:val="single" w:color="000000" w:sz="4" w:space="0"/>
            </w:tcBorders>
            <w:noWrap w:val="0"/>
            <w:vAlign w:val="center"/>
          </w:tcPr>
          <w:p w14:paraId="13694C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主要是将本平台已有的数据通过对接方式传输到岳阳市建筑垃圾信息化监管平台，实现岳阳市对于临湘市建筑垃圾的有效监管。</w:t>
            </w:r>
          </w:p>
        </w:tc>
      </w:tr>
    </w:tbl>
    <w:p w14:paraId="73B1F05F">
      <w:pPr>
        <w:keepNext/>
        <w:keepLines/>
        <w:widowControl w:val="0"/>
        <w:numPr>
          <w:ilvl w:val="0"/>
          <w:numId w:val="0"/>
        </w:numPr>
        <w:bidi w:val="0"/>
        <w:spacing w:before="260" w:beforeLines="0" w:beforeAutospacing="0" w:after="260" w:afterLines="0" w:afterAutospacing="0" w:line="240" w:lineRule="auto"/>
        <w:ind w:left="0" w:leftChars="0" w:firstLine="0" w:firstLineChars="0"/>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（2）数据处理服务</w:t>
      </w:r>
    </w:p>
    <w:tbl>
      <w:tblPr>
        <w:tblStyle w:val="4"/>
        <w:tblW w:w="0" w:type="auto"/>
        <w:tblInd w:w="1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8"/>
        <w:gridCol w:w="1686"/>
        <w:gridCol w:w="1370"/>
        <w:gridCol w:w="5652"/>
      </w:tblGrid>
      <w:tr w14:paraId="7F98C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18" w:type="dxa"/>
            <w:tcBorders>
              <w:top w:val="single" w:color="000000" w:sz="4" w:space="0"/>
              <w:left w:val="single" w:color="000000" w:sz="4" w:space="0"/>
              <w:bottom w:val="single" w:color="000000" w:sz="4" w:space="0"/>
              <w:right w:val="single" w:color="000000" w:sz="4" w:space="0"/>
            </w:tcBorders>
            <w:noWrap/>
            <w:vAlign w:val="center"/>
          </w:tcPr>
          <w:p w14:paraId="14673CA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3056" w:type="dxa"/>
            <w:gridSpan w:val="2"/>
            <w:tcBorders>
              <w:top w:val="single" w:color="000000" w:sz="4" w:space="0"/>
              <w:left w:val="single" w:color="000000" w:sz="4" w:space="0"/>
              <w:bottom w:val="single" w:color="000000" w:sz="4" w:space="0"/>
              <w:right w:val="single" w:color="000000" w:sz="4" w:space="0"/>
            </w:tcBorders>
            <w:noWrap/>
            <w:vAlign w:val="center"/>
          </w:tcPr>
          <w:p w14:paraId="5EA38D0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建设内容</w:t>
            </w:r>
          </w:p>
        </w:tc>
        <w:tc>
          <w:tcPr>
            <w:tcW w:w="5652" w:type="dxa"/>
            <w:tcBorders>
              <w:top w:val="single" w:color="000000" w:sz="4" w:space="0"/>
              <w:left w:val="single" w:color="000000" w:sz="4" w:space="0"/>
              <w:bottom w:val="single" w:color="000000" w:sz="4" w:space="0"/>
              <w:right w:val="single" w:color="000000" w:sz="4" w:space="0"/>
            </w:tcBorders>
            <w:noWrap/>
            <w:vAlign w:val="center"/>
          </w:tcPr>
          <w:p w14:paraId="7027A53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参数</w:t>
            </w:r>
          </w:p>
        </w:tc>
      </w:tr>
      <w:tr w14:paraId="49D24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18" w:type="dxa"/>
            <w:tcBorders>
              <w:top w:val="single" w:color="000000" w:sz="4" w:space="0"/>
              <w:left w:val="single" w:color="000000" w:sz="4" w:space="0"/>
              <w:bottom w:val="single" w:color="000000" w:sz="4" w:space="0"/>
              <w:right w:val="single" w:color="000000" w:sz="4" w:space="0"/>
            </w:tcBorders>
            <w:noWrap/>
            <w:vAlign w:val="center"/>
          </w:tcPr>
          <w:p w14:paraId="61A9C2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86" w:type="dxa"/>
            <w:vMerge w:val="restart"/>
            <w:tcBorders>
              <w:top w:val="single" w:color="000000" w:sz="4" w:space="0"/>
              <w:left w:val="single" w:color="000000" w:sz="4" w:space="0"/>
              <w:bottom w:val="single" w:color="000000" w:sz="4" w:space="0"/>
              <w:right w:val="single" w:color="000000" w:sz="4" w:space="0"/>
            </w:tcBorders>
            <w:noWrap/>
            <w:vAlign w:val="center"/>
          </w:tcPr>
          <w:p w14:paraId="31A417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建筑垃圾基础</w:t>
            </w:r>
          </w:p>
          <w:p w14:paraId="3AEC83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数据处理与入库</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7C7E5D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源头信息</w:t>
            </w:r>
          </w:p>
          <w:p w14:paraId="477F03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数据库</w:t>
            </w:r>
          </w:p>
        </w:tc>
        <w:tc>
          <w:tcPr>
            <w:tcW w:w="5652" w:type="dxa"/>
            <w:tcBorders>
              <w:top w:val="single" w:color="000000" w:sz="4" w:space="0"/>
              <w:left w:val="single" w:color="000000" w:sz="4" w:space="0"/>
              <w:bottom w:val="single" w:color="000000" w:sz="4" w:space="0"/>
              <w:right w:val="single" w:color="000000" w:sz="4" w:space="0"/>
            </w:tcBorders>
            <w:noWrap w:val="0"/>
            <w:vAlign w:val="center"/>
          </w:tcPr>
          <w:p w14:paraId="20F2B8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建筑垃圾源头信息专题库数据包括在建项目信息、住宅小区信息、商业场所信息、堆体信息。</w:t>
            </w:r>
          </w:p>
        </w:tc>
      </w:tr>
      <w:tr w14:paraId="6A677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18" w:type="dxa"/>
            <w:tcBorders>
              <w:top w:val="single" w:color="000000" w:sz="4" w:space="0"/>
              <w:left w:val="single" w:color="000000" w:sz="4" w:space="0"/>
              <w:bottom w:val="single" w:color="000000" w:sz="4" w:space="0"/>
              <w:right w:val="single" w:color="000000" w:sz="4" w:space="0"/>
            </w:tcBorders>
            <w:noWrap/>
            <w:vAlign w:val="center"/>
          </w:tcPr>
          <w:p w14:paraId="642304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686" w:type="dxa"/>
            <w:vMerge w:val="continue"/>
            <w:tcBorders>
              <w:top w:val="single" w:color="000000" w:sz="4" w:space="0"/>
              <w:left w:val="single" w:color="000000" w:sz="4" w:space="0"/>
              <w:bottom w:val="single" w:color="000000" w:sz="4" w:space="0"/>
              <w:right w:val="single" w:color="000000" w:sz="4" w:space="0"/>
            </w:tcBorders>
            <w:noWrap/>
            <w:vAlign w:val="center"/>
          </w:tcPr>
          <w:p w14:paraId="208341ED">
            <w:pPr>
              <w:jc w:val="center"/>
              <w:rPr>
                <w:rFonts w:hint="eastAsia" w:ascii="宋体" w:hAnsi="宋体" w:eastAsia="宋体" w:cs="宋体"/>
                <w:i w:val="0"/>
                <w:iCs w:val="0"/>
                <w:color w:val="000000"/>
                <w:sz w:val="21"/>
                <w:szCs w:val="21"/>
                <w:u w:val="none"/>
              </w:rPr>
            </w:pP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0CF43B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运输企业</w:t>
            </w:r>
          </w:p>
          <w:p w14:paraId="0BF15C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专题库</w:t>
            </w:r>
          </w:p>
        </w:tc>
        <w:tc>
          <w:tcPr>
            <w:tcW w:w="5652" w:type="dxa"/>
            <w:tcBorders>
              <w:top w:val="single" w:color="000000" w:sz="4" w:space="0"/>
              <w:left w:val="single" w:color="000000" w:sz="4" w:space="0"/>
              <w:bottom w:val="single" w:color="000000" w:sz="4" w:space="0"/>
              <w:right w:val="single" w:color="000000" w:sz="4" w:space="0"/>
            </w:tcBorders>
            <w:noWrap w:val="0"/>
            <w:vAlign w:val="center"/>
          </w:tcPr>
          <w:p w14:paraId="3BE9EC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运输企业专题库数据包括运输企业、运输车辆 、运输证车辆信息、排放证基础信息、车辆驾驶员、清运人员、停车场。</w:t>
            </w:r>
          </w:p>
        </w:tc>
      </w:tr>
      <w:tr w14:paraId="55CA4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18" w:type="dxa"/>
            <w:tcBorders>
              <w:top w:val="single" w:color="000000" w:sz="4" w:space="0"/>
              <w:left w:val="single" w:color="000000" w:sz="4" w:space="0"/>
              <w:bottom w:val="single" w:color="000000" w:sz="4" w:space="0"/>
              <w:right w:val="single" w:color="000000" w:sz="4" w:space="0"/>
            </w:tcBorders>
            <w:noWrap/>
            <w:vAlign w:val="center"/>
          </w:tcPr>
          <w:p w14:paraId="486351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686" w:type="dxa"/>
            <w:vMerge w:val="continue"/>
            <w:tcBorders>
              <w:top w:val="single" w:color="000000" w:sz="4" w:space="0"/>
              <w:left w:val="single" w:color="000000" w:sz="4" w:space="0"/>
              <w:bottom w:val="single" w:color="000000" w:sz="4" w:space="0"/>
              <w:right w:val="single" w:color="000000" w:sz="4" w:space="0"/>
            </w:tcBorders>
            <w:noWrap/>
            <w:vAlign w:val="center"/>
          </w:tcPr>
          <w:p w14:paraId="52CD5ACA">
            <w:pPr>
              <w:jc w:val="center"/>
              <w:rPr>
                <w:rFonts w:hint="eastAsia" w:ascii="宋体" w:hAnsi="宋体" w:eastAsia="宋体" w:cs="宋体"/>
                <w:i w:val="0"/>
                <w:iCs w:val="0"/>
                <w:color w:val="000000"/>
                <w:sz w:val="21"/>
                <w:szCs w:val="21"/>
                <w:u w:val="none"/>
              </w:rPr>
            </w:pP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F6078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处置场所</w:t>
            </w:r>
          </w:p>
          <w:p w14:paraId="756539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专题库</w:t>
            </w:r>
          </w:p>
        </w:tc>
        <w:tc>
          <w:tcPr>
            <w:tcW w:w="5652" w:type="dxa"/>
            <w:tcBorders>
              <w:top w:val="single" w:color="000000" w:sz="4" w:space="0"/>
              <w:left w:val="single" w:color="000000" w:sz="4" w:space="0"/>
              <w:bottom w:val="single" w:color="000000" w:sz="4" w:space="0"/>
              <w:right w:val="single" w:color="000000" w:sz="4" w:space="0"/>
            </w:tcBorders>
            <w:noWrap w:val="0"/>
            <w:vAlign w:val="center"/>
          </w:tcPr>
          <w:p w14:paraId="7055EB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处置场所专题库数据包括消纳场。</w:t>
            </w:r>
          </w:p>
        </w:tc>
      </w:tr>
      <w:tr w14:paraId="732B4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18" w:type="dxa"/>
            <w:tcBorders>
              <w:top w:val="single" w:color="000000" w:sz="4" w:space="0"/>
              <w:left w:val="single" w:color="000000" w:sz="4" w:space="0"/>
              <w:bottom w:val="single" w:color="000000" w:sz="4" w:space="0"/>
              <w:right w:val="single" w:color="000000" w:sz="4" w:space="0"/>
            </w:tcBorders>
            <w:noWrap/>
            <w:vAlign w:val="center"/>
          </w:tcPr>
          <w:p w14:paraId="075988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686" w:type="dxa"/>
            <w:vMerge w:val="restart"/>
            <w:tcBorders>
              <w:top w:val="single" w:color="000000" w:sz="4" w:space="0"/>
              <w:left w:val="single" w:color="000000" w:sz="4" w:space="0"/>
              <w:bottom w:val="single" w:color="000000" w:sz="4" w:space="0"/>
              <w:right w:val="single" w:color="000000" w:sz="4" w:space="0"/>
            </w:tcBorders>
            <w:noWrap/>
            <w:vAlign w:val="center"/>
          </w:tcPr>
          <w:p w14:paraId="113B40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建筑垃圾业务</w:t>
            </w:r>
          </w:p>
          <w:p w14:paraId="32C7E0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数据处理与入库</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0C73B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核准备案</w:t>
            </w:r>
          </w:p>
          <w:p w14:paraId="7BCB88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专题库</w:t>
            </w:r>
          </w:p>
        </w:tc>
        <w:tc>
          <w:tcPr>
            <w:tcW w:w="5652" w:type="dxa"/>
            <w:tcBorders>
              <w:top w:val="single" w:color="000000" w:sz="4" w:space="0"/>
              <w:left w:val="single" w:color="000000" w:sz="4" w:space="0"/>
              <w:bottom w:val="single" w:color="000000" w:sz="4" w:space="0"/>
              <w:right w:val="single" w:color="000000" w:sz="4" w:space="0"/>
            </w:tcBorders>
            <w:noWrap/>
            <w:vAlign w:val="center"/>
          </w:tcPr>
          <w:p w14:paraId="47E646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核准备案专题库数据包括核准数据、备案数据。</w:t>
            </w:r>
          </w:p>
        </w:tc>
      </w:tr>
      <w:tr w14:paraId="6A389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18" w:type="dxa"/>
            <w:tcBorders>
              <w:top w:val="single" w:color="000000" w:sz="4" w:space="0"/>
              <w:left w:val="single" w:color="000000" w:sz="4" w:space="0"/>
              <w:bottom w:val="single" w:color="000000" w:sz="4" w:space="0"/>
              <w:right w:val="single" w:color="000000" w:sz="4" w:space="0"/>
            </w:tcBorders>
            <w:noWrap/>
            <w:vAlign w:val="center"/>
          </w:tcPr>
          <w:p w14:paraId="36EDC8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686" w:type="dxa"/>
            <w:vMerge w:val="continue"/>
            <w:tcBorders>
              <w:top w:val="single" w:color="000000" w:sz="4" w:space="0"/>
              <w:left w:val="single" w:color="000000" w:sz="4" w:space="0"/>
              <w:bottom w:val="single" w:color="000000" w:sz="4" w:space="0"/>
              <w:right w:val="single" w:color="000000" w:sz="4" w:space="0"/>
            </w:tcBorders>
            <w:noWrap/>
            <w:vAlign w:val="center"/>
          </w:tcPr>
          <w:p w14:paraId="298394AC">
            <w:pPr>
              <w:jc w:val="center"/>
              <w:rPr>
                <w:rFonts w:hint="eastAsia" w:ascii="宋体" w:hAnsi="宋体" w:eastAsia="宋体" w:cs="宋体"/>
                <w:i w:val="0"/>
                <w:iCs w:val="0"/>
                <w:color w:val="000000"/>
                <w:sz w:val="21"/>
                <w:szCs w:val="21"/>
                <w:u w:val="none"/>
              </w:rPr>
            </w:pP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206C4B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电子联单</w:t>
            </w:r>
          </w:p>
          <w:p w14:paraId="45035A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专题库</w:t>
            </w:r>
          </w:p>
        </w:tc>
        <w:tc>
          <w:tcPr>
            <w:tcW w:w="5652" w:type="dxa"/>
            <w:tcBorders>
              <w:top w:val="single" w:color="000000" w:sz="4" w:space="0"/>
              <w:left w:val="single" w:color="000000" w:sz="4" w:space="0"/>
              <w:bottom w:val="single" w:color="000000" w:sz="4" w:space="0"/>
              <w:right w:val="single" w:color="000000" w:sz="4" w:space="0"/>
            </w:tcBorders>
            <w:noWrap w:val="0"/>
            <w:vAlign w:val="center"/>
          </w:tcPr>
          <w:p w14:paraId="795317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电子联单专题库数据包括电子运单和电子运单配置数据。</w:t>
            </w:r>
          </w:p>
        </w:tc>
      </w:tr>
      <w:tr w14:paraId="6BEBE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718" w:type="dxa"/>
            <w:tcBorders>
              <w:top w:val="single" w:color="000000" w:sz="4" w:space="0"/>
              <w:left w:val="single" w:color="000000" w:sz="4" w:space="0"/>
              <w:bottom w:val="single" w:color="000000" w:sz="4" w:space="0"/>
              <w:right w:val="single" w:color="000000" w:sz="4" w:space="0"/>
            </w:tcBorders>
            <w:noWrap/>
            <w:vAlign w:val="center"/>
          </w:tcPr>
          <w:p w14:paraId="2FB9EF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686" w:type="dxa"/>
            <w:vMerge w:val="continue"/>
            <w:tcBorders>
              <w:top w:val="single" w:color="000000" w:sz="4" w:space="0"/>
              <w:left w:val="single" w:color="000000" w:sz="4" w:space="0"/>
              <w:bottom w:val="single" w:color="000000" w:sz="4" w:space="0"/>
              <w:right w:val="single" w:color="000000" w:sz="4" w:space="0"/>
            </w:tcBorders>
            <w:noWrap/>
            <w:vAlign w:val="center"/>
          </w:tcPr>
          <w:p w14:paraId="63BC684F">
            <w:pPr>
              <w:jc w:val="center"/>
              <w:rPr>
                <w:rFonts w:hint="eastAsia" w:ascii="宋体" w:hAnsi="宋体" w:eastAsia="宋体" w:cs="宋体"/>
                <w:i w:val="0"/>
                <w:iCs w:val="0"/>
                <w:color w:val="000000"/>
                <w:sz w:val="21"/>
                <w:szCs w:val="21"/>
                <w:u w:val="none"/>
              </w:rPr>
            </w:pP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49F087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车辆监控</w:t>
            </w:r>
          </w:p>
          <w:p w14:paraId="2D4EBB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专题库</w:t>
            </w:r>
          </w:p>
        </w:tc>
        <w:tc>
          <w:tcPr>
            <w:tcW w:w="5652" w:type="dxa"/>
            <w:tcBorders>
              <w:top w:val="single" w:color="000000" w:sz="4" w:space="0"/>
              <w:left w:val="single" w:color="000000" w:sz="4" w:space="0"/>
              <w:bottom w:val="single" w:color="000000" w:sz="4" w:space="0"/>
              <w:right w:val="single" w:color="000000" w:sz="4" w:space="0"/>
            </w:tcBorders>
            <w:noWrap w:val="0"/>
            <w:vAlign w:val="center"/>
          </w:tcPr>
          <w:p w14:paraId="4AA856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车辆监控专题库数据包括渣土车路线 、渣土车里程记录、渣土车历史轨迹、设备绑定关系、车辆载重记录、车辆GPS服务配置。</w:t>
            </w:r>
          </w:p>
        </w:tc>
      </w:tr>
      <w:tr w14:paraId="46BED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718" w:type="dxa"/>
            <w:tcBorders>
              <w:top w:val="single" w:color="000000" w:sz="4" w:space="0"/>
              <w:left w:val="single" w:color="000000" w:sz="4" w:space="0"/>
              <w:bottom w:val="single" w:color="000000" w:sz="4" w:space="0"/>
              <w:right w:val="single" w:color="000000" w:sz="4" w:space="0"/>
            </w:tcBorders>
            <w:noWrap/>
            <w:vAlign w:val="center"/>
          </w:tcPr>
          <w:p w14:paraId="73EA45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686" w:type="dxa"/>
            <w:vMerge w:val="continue"/>
            <w:tcBorders>
              <w:top w:val="single" w:color="000000" w:sz="4" w:space="0"/>
              <w:left w:val="single" w:color="000000" w:sz="4" w:space="0"/>
              <w:bottom w:val="single" w:color="000000" w:sz="4" w:space="0"/>
              <w:right w:val="single" w:color="000000" w:sz="4" w:space="0"/>
            </w:tcBorders>
            <w:noWrap/>
            <w:vAlign w:val="center"/>
          </w:tcPr>
          <w:p w14:paraId="0EE2C613">
            <w:pPr>
              <w:jc w:val="center"/>
              <w:rPr>
                <w:rFonts w:hint="eastAsia" w:ascii="宋体" w:hAnsi="宋体" w:eastAsia="宋体" w:cs="宋体"/>
                <w:i w:val="0"/>
                <w:iCs w:val="0"/>
                <w:color w:val="000000"/>
                <w:sz w:val="21"/>
                <w:szCs w:val="21"/>
                <w:u w:val="none"/>
              </w:rPr>
            </w:pP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FC834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围栏管理</w:t>
            </w:r>
          </w:p>
          <w:p w14:paraId="42C049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专题库</w:t>
            </w:r>
          </w:p>
        </w:tc>
        <w:tc>
          <w:tcPr>
            <w:tcW w:w="5652" w:type="dxa"/>
            <w:tcBorders>
              <w:top w:val="single" w:color="000000" w:sz="4" w:space="0"/>
              <w:left w:val="single" w:color="000000" w:sz="4" w:space="0"/>
              <w:bottom w:val="single" w:color="000000" w:sz="4" w:space="0"/>
              <w:right w:val="single" w:color="000000" w:sz="4" w:space="0"/>
            </w:tcBorders>
            <w:noWrap w:val="0"/>
            <w:vAlign w:val="center"/>
          </w:tcPr>
          <w:p w14:paraId="4AF133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围栏管理专题库数据包括重点区域、重点区域车辆经过记录、卡口信息、监控设备点位、工地黑/白名单。</w:t>
            </w:r>
          </w:p>
        </w:tc>
      </w:tr>
      <w:tr w14:paraId="3FD7D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18" w:type="dxa"/>
            <w:tcBorders>
              <w:top w:val="single" w:color="000000" w:sz="4" w:space="0"/>
              <w:left w:val="single" w:color="000000" w:sz="4" w:space="0"/>
              <w:bottom w:val="single" w:color="000000" w:sz="4" w:space="0"/>
              <w:right w:val="single" w:color="000000" w:sz="4" w:space="0"/>
            </w:tcBorders>
            <w:noWrap/>
            <w:vAlign w:val="center"/>
          </w:tcPr>
          <w:p w14:paraId="192086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686" w:type="dxa"/>
            <w:vMerge w:val="continue"/>
            <w:tcBorders>
              <w:top w:val="single" w:color="000000" w:sz="4" w:space="0"/>
              <w:left w:val="single" w:color="000000" w:sz="4" w:space="0"/>
              <w:bottom w:val="single" w:color="000000" w:sz="4" w:space="0"/>
              <w:right w:val="single" w:color="000000" w:sz="4" w:space="0"/>
            </w:tcBorders>
            <w:noWrap/>
            <w:vAlign w:val="center"/>
          </w:tcPr>
          <w:p w14:paraId="059774FB">
            <w:pPr>
              <w:jc w:val="center"/>
              <w:rPr>
                <w:rFonts w:hint="eastAsia" w:ascii="宋体" w:hAnsi="宋体" w:eastAsia="宋体" w:cs="宋体"/>
                <w:i w:val="0"/>
                <w:iCs w:val="0"/>
                <w:color w:val="000000"/>
                <w:sz w:val="21"/>
                <w:szCs w:val="21"/>
                <w:u w:val="none"/>
              </w:rPr>
            </w:pP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0E2AC5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装修垃圾</w:t>
            </w:r>
          </w:p>
          <w:p w14:paraId="05E934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专题库</w:t>
            </w:r>
          </w:p>
        </w:tc>
        <w:tc>
          <w:tcPr>
            <w:tcW w:w="5652" w:type="dxa"/>
            <w:tcBorders>
              <w:top w:val="single" w:color="000000" w:sz="4" w:space="0"/>
              <w:left w:val="single" w:color="000000" w:sz="4" w:space="0"/>
              <w:bottom w:val="single" w:color="000000" w:sz="4" w:space="0"/>
              <w:right w:val="single" w:color="000000" w:sz="4" w:space="0"/>
            </w:tcBorders>
            <w:noWrap w:val="0"/>
            <w:vAlign w:val="center"/>
          </w:tcPr>
          <w:p w14:paraId="344C68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装修垃圾专题库数据包括住宅小区、商业场所、装修公司、装修垃圾清运企业及车辆信息、装修联单数据</w:t>
            </w:r>
          </w:p>
        </w:tc>
      </w:tr>
    </w:tbl>
    <w:p w14:paraId="55914287">
      <w:pPr>
        <w:keepNext/>
        <w:keepLines/>
        <w:widowControl w:val="0"/>
        <w:numPr>
          <w:ilvl w:val="0"/>
          <w:numId w:val="0"/>
        </w:numPr>
        <w:bidi w:val="0"/>
        <w:spacing w:before="260" w:beforeLines="0" w:beforeAutospacing="0" w:after="260" w:afterLines="0" w:afterAutospacing="0" w:line="240" w:lineRule="auto"/>
        <w:ind w:left="0" w:leftChars="0" w:firstLine="0" w:firstLineChars="0"/>
        <w:jc w:val="both"/>
        <w:outlineLvl w:val="1"/>
        <w:rPr>
          <w:rFonts w:hint="eastAsia" w:ascii="宋体" w:hAnsi="宋体" w:eastAsia="宋体" w:cs="宋体"/>
          <w:b w:val="0"/>
          <w:bCs/>
          <w:kern w:val="2"/>
          <w:sz w:val="21"/>
          <w:szCs w:val="21"/>
          <w:lang w:val="en-US" w:eastAsia="zh-CN" w:bidi="ar-SA"/>
        </w:rPr>
      </w:pPr>
      <w:r>
        <w:rPr>
          <w:rFonts w:hint="eastAsia" w:ascii="宋体" w:hAnsi="宋体" w:eastAsia="宋体" w:cs="宋体"/>
          <w:b/>
          <w:kern w:val="2"/>
          <w:sz w:val="21"/>
          <w:szCs w:val="21"/>
          <w:lang w:val="en-US" w:eastAsia="zh-CN" w:bidi="ar-SA"/>
        </w:rPr>
        <w:t>（3）基础环境技术参数</w:t>
      </w:r>
    </w:p>
    <w:tbl>
      <w:tblPr>
        <w:tblStyle w:val="4"/>
        <w:tblW w:w="0" w:type="auto"/>
        <w:tblInd w:w="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31"/>
        <w:gridCol w:w="1125"/>
        <w:gridCol w:w="5387"/>
        <w:gridCol w:w="638"/>
        <w:gridCol w:w="638"/>
      </w:tblGrid>
      <w:tr w14:paraId="7BE77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3CE2B920">
            <w:pPr>
              <w:keepNext w:val="0"/>
              <w:keepLines w:val="0"/>
              <w:widowControl/>
              <w:suppressLineNumbers w:val="0"/>
              <w:jc w:val="center"/>
              <w:textAlignment w:val="center"/>
              <w:rPr>
                <w:rFonts w:hint="eastAsia" w:ascii="宋体" w:hAnsi="宋体" w:eastAsia="宋体" w:cs="宋体"/>
                <w:b/>
                <w:bCs w:val="0"/>
                <w:i w:val="0"/>
                <w:iCs w:val="0"/>
                <w:color w:val="000000"/>
                <w:sz w:val="21"/>
                <w:szCs w:val="21"/>
                <w:u w:val="none"/>
              </w:rPr>
            </w:pPr>
            <w:r>
              <w:rPr>
                <w:rFonts w:hint="eastAsia" w:ascii="宋体" w:hAnsi="宋体" w:eastAsia="宋体" w:cs="宋体"/>
                <w:b/>
                <w:bCs w:val="0"/>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56890E">
            <w:pPr>
              <w:keepNext w:val="0"/>
              <w:keepLines w:val="0"/>
              <w:widowControl/>
              <w:suppressLineNumbers w:val="0"/>
              <w:jc w:val="center"/>
              <w:textAlignment w:val="center"/>
              <w:rPr>
                <w:rFonts w:hint="eastAsia" w:ascii="宋体" w:hAnsi="宋体" w:eastAsia="宋体" w:cs="宋体"/>
                <w:b/>
                <w:bCs w:val="0"/>
                <w:i w:val="0"/>
                <w:iCs w:val="0"/>
                <w:color w:val="000000"/>
                <w:sz w:val="21"/>
                <w:szCs w:val="21"/>
                <w:u w:val="none"/>
              </w:rPr>
            </w:pPr>
            <w:r>
              <w:rPr>
                <w:rFonts w:hint="eastAsia" w:ascii="宋体" w:hAnsi="宋体" w:eastAsia="宋体" w:cs="宋体"/>
                <w:b/>
                <w:bCs w:val="0"/>
                <w:i w:val="0"/>
                <w:iCs w:val="0"/>
                <w:color w:val="000000"/>
                <w:kern w:val="0"/>
                <w:sz w:val="21"/>
                <w:szCs w:val="21"/>
                <w:u w:val="none"/>
                <w:lang w:val="en-US" w:eastAsia="zh-CN" w:bidi="ar"/>
              </w:rPr>
              <w:t>建设内容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E1B0FD">
            <w:pPr>
              <w:keepNext w:val="0"/>
              <w:keepLines w:val="0"/>
              <w:widowControl/>
              <w:suppressLineNumbers w:val="0"/>
              <w:jc w:val="center"/>
              <w:textAlignment w:val="center"/>
              <w:rPr>
                <w:rFonts w:hint="eastAsia" w:ascii="宋体" w:hAnsi="宋体" w:eastAsia="宋体" w:cs="宋体"/>
                <w:b/>
                <w:bCs w:val="0"/>
                <w:i w:val="0"/>
                <w:iCs w:val="0"/>
                <w:color w:val="000000"/>
                <w:sz w:val="21"/>
                <w:szCs w:val="21"/>
                <w:u w:val="none"/>
              </w:rPr>
            </w:pPr>
            <w:r>
              <w:rPr>
                <w:rFonts w:hint="eastAsia" w:ascii="宋体" w:hAnsi="宋体" w:eastAsia="宋体" w:cs="宋体"/>
                <w:b/>
                <w:bCs w:val="0"/>
                <w:i w:val="0"/>
                <w:iCs w:val="0"/>
                <w:color w:val="000000"/>
                <w:kern w:val="0"/>
                <w:sz w:val="21"/>
                <w:szCs w:val="21"/>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3E5E9F">
            <w:pPr>
              <w:keepNext w:val="0"/>
              <w:keepLines w:val="0"/>
              <w:widowControl/>
              <w:suppressLineNumbers w:val="0"/>
              <w:jc w:val="center"/>
              <w:textAlignment w:val="center"/>
              <w:rPr>
                <w:rFonts w:hint="eastAsia" w:ascii="宋体" w:hAnsi="宋体" w:eastAsia="宋体" w:cs="宋体"/>
                <w:b/>
                <w:bCs w:val="0"/>
                <w:i w:val="0"/>
                <w:iCs w:val="0"/>
                <w:color w:val="000000"/>
                <w:sz w:val="21"/>
                <w:szCs w:val="21"/>
                <w:u w:val="none"/>
              </w:rPr>
            </w:pPr>
            <w:r>
              <w:rPr>
                <w:rFonts w:hint="eastAsia" w:ascii="宋体" w:hAnsi="宋体" w:eastAsia="宋体" w:cs="宋体"/>
                <w:b/>
                <w:bCs w:val="0"/>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785893">
            <w:pPr>
              <w:keepNext w:val="0"/>
              <w:keepLines w:val="0"/>
              <w:widowControl/>
              <w:suppressLineNumbers w:val="0"/>
              <w:jc w:val="center"/>
              <w:textAlignment w:val="center"/>
              <w:rPr>
                <w:rFonts w:hint="eastAsia" w:ascii="宋体" w:hAnsi="宋体" w:eastAsia="宋体" w:cs="宋体"/>
                <w:b/>
                <w:bCs w:val="0"/>
                <w:i w:val="0"/>
                <w:iCs w:val="0"/>
                <w:color w:val="000000"/>
                <w:sz w:val="21"/>
                <w:szCs w:val="21"/>
                <w:u w:val="none"/>
              </w:rPr>
            </w:pPr>
            <w:r>
              <w:rPr>
                <w:rFonts w:hint="eastAsia" w:ascii="宋体" w:hAnsi="宋体" w:eastAsia="宋体" w:cs="宋体"/>
                <w:b/>
                <w:bCs w:val="0"/>
                <w:i w:val="0"/>
                <w:iCs w:val="0"/>
                <w:color w:val="000000"/>
                <w:kern w:val="0"/>
                <w:sz w:val="21"/>
                <w:szCs w:val="21"/>
                <w:u w:val="none"/>
                <w:lang w:val="en-US" w:eastAsia="zh-CN" w:bidi="ar"/>
              </w:rPr>
              <w:t>单位</w:t>
            </w:r>
          </w:p>
        </w:tc>
      </w:tr>
      <w:tr w14:paraId="389B0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20EB87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726A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网络专线</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A0DC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用来传输网络视频线路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7A28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397E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条</w:t>
            </w:r>
          </w:p>
        </w:tc>
      </w:tr>
      <w:tr w14:paraId="6EC60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6"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70FF3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2EB8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FC9C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核心具备 400 万 - 500 万像素（2560×1440-2688×1520）分辨率，传感器尺寸≥1/1.9 英寸，帧率 25-30fps 以保证动态画面流畅，支持 H.265 + 编码技术可节省 50% 带宽与存储。光学与夜视方面配备 20-30 倍光学变焦，红外补光距离 50-150 米，可选星光级全彩夜视功能，宽动态范围≥120dB 以应对逆光场景。智能功能包含 AI 人形 / 车辆分类检测、区域入侵报警，可选移动目标自动追踪及音频拾音 / 双向对讲功能。传输与存储支持 POE 供电（802.3af 标准），兼容 ONVIF 协议便于多设备对接，可接入最大 1TB Micro SD 卡进行本地存储，同时兼容 NVR/NAS 存储设备。环境适配达到 IP66-IP68 防护等级（室外建议 IP68），工作温度范围 - 40℃~70℃，防雷等级≥TVS 6000V 以满足户外及复杂环境需求。</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D36D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B917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1B357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0A1EA1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3ECCA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视频服务器+储存</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5D1B0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超聚变2288HV52288HV62288HV7 2U【机架式服务器】数据库虚拟化深度学习超融合主机 V6|1颗银牌4309Y 8核2.8G|单电 32G960G+3*8TSATA|双口千兆</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EDFD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BB6E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bl>
    <w:p w14:paraId="0B3A631C">
      <w:pPr>
        <w:numPr>
          <w:ilvl w:val="0"/>
          <w:numId w:val="0"/>
        </w:numPr>
        <w:ind w:leftChars="0"/>
        <w:rPr>
          <w:rFonts w:hint="eastAsia" w:ascii="宋体" w:hAnsi="宋体" w:eastAsia="宋体" w:cs="宋体"/>
          <w:sz w:val="21"/>
          <w:szCs w:val="21"/>
          <w:lang w:val="en-US" w:eastAsia="zh-CN"/>
        </w:rPr>
      </w:pPr>
    </w:p>
    <w:p w14:paraId="7B18CC1D">
      <w:pPr>
        <w:spacing w:line="360" w:lineRule="auto"/>
        <w:ind w:firstLine="422" w:firstLineChars="200"/>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四、项目实施要求</w:t>
      </w:r>
    </w:p>
    <w:p w14:paraId="64353657">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1、项目服务需求</w:t>
      </w:r>
    </w:p>
    <w:p w14:paraId="719218C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应用软件系统建设：完成“临湘建筑垃圾信息化监管平台”开发，涵盖基础信息管理、核准备案、运输态势监控、电子联单管理、装修垃圾管理、统计分析、建筑垃圾GIS监管、移动办公应用、违规管理及系统对接等模块，实现建筑垃圾“产、运、消、利”全流程信息化监管。</w:t>
      </w:r>
    </w:p>
    <w:p w14:paraId="215480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（2）数据资源建设：完成建筑垃圾基础数据与业务数据的处理、建库，包括源头信息、运输企业、处置场所、核准备案、电子联单、车辆监控、围栏管理、装修垃圾等专题数据库，为平台运行提供数据支撑。</w:t>
      </w:r>
    </w:p>
    <w:p w14:paraId="3CB2982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（3）基础设施建设：采购并安装11个视频监控点、11条网络专线及视频存储服务器，完成设备调试与平台集成，满足实时监控需求。</w:t>
      </w:r>
    </w:p>
    <w:p w14:paraId="5F4878F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（4）系统对接：实现与临湘市综合管理服务平台、岳阳市建筑垃圾管理平台、省厅运管服平台及“一网通办”平台的数据对接与业务协同，确保信息互联互通。</w:t>
      </w:r>
    </w:p>
    <w:p w14:paraId="074E01A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（5）配套服务：向招标方提供本项目未加密的全部完整源代码、可供直接安装的安装程序，及所需的技术文档、操作培训及后续技术支持。</w:t>
      </w:r>
    </w:p>
    <w:p w14:paraId="5336C881">
      <w:pPr>
        <w:spacing w:line="360" w:lineRule="auto"/>
        <w:ind w:firstLine="422"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b/>
          <w:bCs/>
          <w:sz w:val="21"/>
          <w:szCs w:val="21"/>
          <w:lang w:val="en-US" w:eastAsia="zh-CN"/>
        </w:rPr>
        <w:t>2、服务期限：</w:t>
      </w:r>
      <w:r>
        <w:rPr>
          <w:rFonts w:hint="eastAsia" w:ascii="宋体" w:hAnsi="宋体" w:eastAsia="宋体" w:cs="宋体"/>
          <w:sz w:val="21"/>
          <w:szCs w:val="21"/>
          <w:lang w:val="en-US" w:eastAsia="zh-CN"/>
        </w:rPr>
        <w:t>合同签订后</w:t>
      </w:r>
      <w:r>
        <w:rPr>
          <w:rFonts w:hint="eastAsia" w:ascii="宋体" w:hAnsi="宋体" w:eastAsia="宋体" w:cs="宋体"/>
          <w:color w:val="000000"/>
          <w:sz w:val="21"/>
          <w:szCs w:val="21"/>
          <w:highlight w:val="none"/>
          <w:lang w:val="en-US" w:eastAsia="zh-CN"/>
        </w:rPr>
        <w:t>3个月内完成系统开发、部署、试运行并组织验收。</w:t>
      </w:r>
    </w:p>
    <w:p w14:paraId="451B5C6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color w:val="000000"/>
          <w:sz w:val="21"/>
          <w:szCs w:val="21"/>
          <w:highlight w:val="none"/>
          <w:lang w:val="en-US" w:eastAsia="zh-CN"/>
        </w:rPr>
        <w:t>3、质保期</w:t>
      </w:r>
      <w:r>
        <w:rPr>
          <w:rFonts w:hint="eastAsia" w:ascii="宋体" w:hAnsi="宋体" w:eastAsia="宋体" w:cs="宋体"/>
          <w:color w:val="000000"/>
          <w:sz w:val="21"/>
          <w:szCs w:val="21"/>
          <w:highlight w:val="none"/>
          <w:lang w:val="en-US" w:eastAsia="zh-CN"/>
        </w:rPr>
        <w:t>：项目验收合格后提供3年免费质保</w:t>
      </w:r>
      <w:r>
        <w:rPr>
          <w:rFonts w:hint="eastAsia" w:ascii="宋体" w:hAnsi="宋体" w:eastAsia="宋体" w:cs="宋体"/>
          <w:sz w:val="21"/>
          <w:szCs w:val="21"/>
          <w:lang w:val="en-US" w:eastAsia="zh-CN"/>
        </w:rPr>
        <w:t>服务。</w:t>
      </w:r>
    </w:p>
    <w:p w14:paraId="5ABCE055">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4、后期维护要求</w:t>
      </w:r>
    </w:p>
    <w:p w14:paraId="5F4CF4B5">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（1）质保期内提供7×24小时技术支持，一般故障4小时内响应，重大故障2小时内到达现场解决。</w:t>
      </w:r>
    </w:p>
    <w:p w14:paraId="30067744">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（2）免费提供系统故障修复、软件补丁升级、数据备份恢复等服务，确保平台稳定运行。</w:t>
      </w:r>
    </w:p>
    <w:p w14:paraId="43F0A69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bCs/>
          <w:color w:val="0000FF"/>
          <w:kern w:val="2"/>
          <w:sz w:val="21"/>
          <w:szCs w:val="21"/>
          <w:highlight w:val="none"/>
          <w:lang w:val="en-US" w:eastAsia="zh-CN" w:bidi="ar-SA"/>
        </w:rPr>
      </w:pPr>
      <w:r>
        <w:rPr>
          <w:rFonts w:hint="eastAsia" w:ascii="宋体" w:hAnsi="宋体" w:eastAsia="宋体" w:cs="宋体"/>
          <w:sz w:val="21"/>
          <w:szCs w:val="21"/>
          <w:lang w:val="en-US" w:eastAsia="zh-CN"/>
        </w:rPr>
        <w:t xml:space="preserve">（3）质保期满后，可协商签订有偿维护协议，持续提供技术支持和系统优化服务。  </w:t>
      </w:r>
    </w:p>
    <w:p w14:paraId="3E6CD152">
      <w:pPr>
        <w:pageBreakBefore w:val="0"/>
        <w:widowControl w:val="0"/>
        <w:kinsoku/>
        <w:wordWrap/>
        <w:overflowPunct/>
        <w:topLinePunct w:val="0"/>
        <w:autoSpaceDE/>
        <w:autoSpaceDN/>
        <w:bidi w:val="0"/>
        <w:adjustRightInd/>
        <w:snapToGrid/>
        <w:spacing w:line="360" w:lineRule="auto"/>
        <w:ind w:left="0" w:leftChars="0" w:firstLine="632" w:firstLineChars="300"/>
        <w:textAlignment w:val="auto"/>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bCs/>
          <w:color w:val="000000"/>
          <w:sz w:val="21"/>
          <w:szCs w:val="21"/>
          <w:highlight w:val="none"/>
        </w:rPr>
        <w:t>对于上述项目要求，</w:t>
      </w:r>
      <w:r>
        <w:rPr>
          <w:rFonts w:hint="eastAsia" w:ascii="宋体" w:hAnsi="宋体" w:eastAsia="宋体" w:cs="宋体"/>
          <w:b/>
          <w:bCs/>
          <w:color w:val="000000"/>
          <w:sz w:val="21"/>
          <w:szCs w:val="21"/>
          <w:highlight w:val="none"/>
          <w:lang w:val="en-US" w:eastAsia="zh-CN"/>
        </w:rPr>
        <w:t>供应商</w:t>
      </w:r>
      <w:r>
        <w:rPr>
          <w:rFonts w:hint="eastAsia" w:ascii="宋体" w:hAnsi="宋体" w:eastAsia="宋体" w:cs="宋体"/>
          <w:b/>
          <w:bCs/>
          <w:color w:val="000000"/>
          <w:sz w:val="21"/>
          <w:szCs w:val="21"/>
          <w:highlight w:val="none"/>
        </w:rPr>
        <w:t>应在</w:t>
      </w:r>
      <w:r>
        <w:rPr>
          <w:rFonts w:hint="eastAsia" w:ascii="宋体" w:hAnsi="宋体" w:eastAsia="宋体" w:cs="宋体"/>
          <w:b/>
          <w:bCs/>
          <w:color w:val="000000"/>
          <w:sz w:val="21"/>
          <w:szCs w:val="21"/>
          <w:highlight w:val="none"/>
          <w:lang w:val="en-US" w:eastAsia="zh-CN"/>
        </w:rPr>
        <w:t>响应</w:t>
      </w:r>
      <w:r>
        <w:rPr>
          <w:rFonts w:hint="eastAsia" w:ascii="宋体" w:hAnsi="宋体" w:eastAsia="宋体" w:cs="宋体"/>
          <w:b/>
          <w:bCs/>
          <w:color w:val="000000"/>
          <w:sz w:val="21"/>
          <w:szCs w:val="21"/>
          <w:highlight w:val="none"/>
        </w:rPr>
        <w:t>文件中进行回应，作出承诺及说明。</w:t>
      </w:r>
    </w:p>
    <w:p w14:paraId="482B361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left"/>
        <w:textAlignment w:val="auto"/>
        <w:rPr>
          <w:rFonts w:hint="eastAsia" w:ascii="Times New Roman" w:hAnsi="Times New Roman" w:eastAsia="宋体" w:cs="Times New Roman"/>
          <w:color w:val="000000"/>
          <w:spacing w:val="0"/>
          <w:w w:val="100"/>
          <w:position w:val="0"/>
        </w:rPr>
      </w:pPr>
    </w:p>
    <w:p w14:paraId="4455718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697579"/>
    <w:multiLevelType w:val="singleLevel"/>
    <w:tmpl w:val="C869757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693EE3"/>
    <w:rsid w:val="74693E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next w:val="1"/>
    <w:qFormat/>
    <w:uiPriority w:val="0"/>
    <w:pPr>
      <w:keepNext/>
      <w:widowControl w:val="0"/>
      <w:jc w:val="center"/>
      <w:outlineLvl w:val="0"/>
    </w:pPr>
    <w:rPr>
      <w:rFonts w:ascii="Times New Roman" w:hAnsi="Times New Roman" w:eastAsia="黑体" w:cs="Times New Roman"/>
      <w:b/>
      <w:bCs/>
      <w:kern w:val="2"/>
      <w:sz w:val="32"/>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itle"/>
    <w:next w:val="1"/>
    <w:qFormat/>
    <w:uiPriority w:val="0"/>
    <w:pPr>
      <w:widowControl w:val="0"/>
      <w:spacing w:before="240" w:after="60"/>
      <w:jc w:val="center"/>
      <w:outlineLvl w:val="0"/>
    </w:pPr>
    <w:rPr>
      <w:rFonts w:ascii="Cambria" w:hAnsi="Cambria" w:eastAsia="宋体" w:cs="Times New Roman"/>
      <w:b/>
      <w:kern w:val="2"/>
      <w:sz w:val="32"/>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2026-03-18T06:26:00Z</dcterms:created>
  <dc:creator>Administrator</dc:creator>
  <cp:lastModifiedBy>Administrator</cp:lastModifiedBy>
  <dcterms:modified xsi:type="dcterms:W3CDTF">2026-03-18T06:27:12Z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95731AFEE63048F696047EBFF88BA8A2_11</vt:lpwstr>
  </property>
  <property fmtid="{D5CDD505-2E9C-101B-9397-08002B2CF9AE}" pid="4" name="KSOTemplateDocerSaveRecord">
    <vt:lpwstr>eyJoZGlkIjoiOWJkNmZlZjkyZTU4YTA3YzJjYjIyNzZjNTZiMTY1NjMiLCJ1c2VySWQiOiIyNzgxNjMwIn0=</vt:lpwstr>
  </property>
</Properties>
</file>