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441900003-2024-01356</w:t>
      </w:r>
    </w:p>
    <w:p>
      <w:pPr>
        <w:pStyle w:val="null3"/>
        <w:jc w:val="center"/>
        <w:outlineLvl w:val="3"/>
      </w:pPr>
      <w:r>
        <w:rPr>
          <w:sz w:val="24"/>
          <w:b/>
        </w:rPr>
        <w:t>采购项目编号：</w:t>
      </w:r>
      <w:r>
        <w:rPr>
          <w:sz w:val="24"/>
          <w:b/>
        </w:rPr>
        <w:t>441900003-2024-01356</w:t>
      </w:r>
    </w:p>
    <w:p>
      <w:pPr>
        <w:pStyle w:val="null3"/>
        <w:jc w:val="center"/>
        <w:outlineLvl w:val="3"/>
      </w:pPr>
      <w:r>
        <w:rPr>
          <w:sz w:val="24"/>
          <w:b/>
        </w:rPr>
        <w:t>项目名称：</w:t>
      </w:r>
      <w:r>
        <w:rPr>
          <w:sz w:val="24"/>
          <w:b/>
        </w:rPr>
        <w:t>东莞市公安局交通警察支队南城大队采购交通违法车辆拖车、停车保管服务</w:t>
      </w:r>
    </w:p>
    <w:p>
      <w:pPr>
        <w:pStyle w:val="null3"/>
        <w:jc w:val="center"/>
        <w:outlineLvl w:val="3"/>
      </w:pPr>
      <w:r>
        <w:rPr>
          <w:sz w:val="24"/>
          <w:b/>
        </w:rPr>
        <w:t>采购人：</w:t>
      </w:r>
      <w:r>
        <w:rPr>
          <w:sz w:val="24"/>
          <w:b/>
        </w:rPr>
        <w:t>东莞市公安局交通警察支队南城大队</w:t>
      </w:r>
    </w:p>
    <w:p>
      <w:pPr>
        <w:pStyle w:val="null3"/>
        <w:jc w:val="center"/>
        <w:outlineLvl w:val="3"/>
      </w:pPr>
      <w:r>
        <w:rPr>
          <w:sz w:val="24"/>
          <w:b/>
        </w:rPr>
        <w:t>采购代理机构：</w:t>
      </w:r>
      <w:r>
        <w:rPr>
          <w:sz w:val="24"/>
          <w:b/>
        </w:rPr>
        <w:t>广东正德招标有限公司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广东正德招标有限公司</w:t>
      </w:r>
      <w:r>
        <w:rPr/>
        <w:t>受</w:t>
      </w:r>
      <w:r>
        <w:rPr/>
        <w:t>东莞市公安局交通警察支队南城大队</w:t>
      </w:r>
      <w:r>
        <w:rPr/>
        <w:t>的委托，采用</w:t>
      </w:r>
      <w:r>
        <w:rPr/>
        <w:t>公开招标</w:t>
      </w:r>
      <w:r>
        <w:rPr/>
        <w:t>方式组织采购</w:t>
      </w:r>
      <w:r>
        <w:rPr/>
        <w:t>东莞市公安局交通警察支队南城大队采购交通违法车辆拖车、停车保管服务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东莞市公安局交通警察支队南城大队采购交通违法车辆拖车、停车保管服务</w:t>
      </w:r>
    </w:p>
    <w:p>
      <w:pPr>
        <w:pStyle w:val="null3"/>
        <w:ind w:firstLine="480"/>
      </w:pPr>
      <w:r>
        <w:rPr/>
        <w:t>采购计划编号：</w:t>
      </w:r>
      <w:r>
        <w:rPr/>
        <w:t>441900003-2024-01356</w:t>
      </w:r>
    </w:p>
    <w:p>
      <w:pPr>
        <w:pStyle w:val="null3"/>
        <w:ind w:firstLine="480"/>
      </w:pPr>
      <w:r>
        <w:rPr/>
        <w:t>采购项目编号：</w:t>
      </w:r>
      <w:r>
        <w:rPr/>
        <w:t>441900003-2024-01356</w:t>
      </w:r>
    </w:p>
    <w:p>
      <w:pPr>
        <w:pStyle w:val="null3"/>
        <w:ind w:firstLine="480"/>
      </w:pPr>
      <w:r>
        <w:rPr/>
        <w:t>采购方式：</w:t>
      </w:r>
      <w:r>
        <w:rPr/>
        <w:t>公开招标</w:t>
      </w:r>
    </w:p>
    <w:p>
      <w:pPr>
        <w:pStyle w:val="null3"/>
        <w:ind w:firstLine="480"/>
      </w:pPr>
      <w:r>
        <w:rPr/>
        <w:t>预算金额：</w:t>
      </w:r>
      <w:r>
        <w:rPr/>
        <w:t>5,521,200.00</w:t>
      </w:r>
      <w:r>
        <w:rPr/>
        <w:t>元</w:t>
      </w:r>
    </w:p>
    <w:p>
      <w:pPr>
        <w:pStyle w:val="null3"/>
        <w:outlineLvl w:val="3"/>
      </w:pPr>
      <w:r>
        <w:rPr>
          <w:sz w:val="24"/>
          <w:b/>
        </w:rPr>
        <w:t>2.项目内容及需求情况（采购项目技术规格、参数及要求）</w:t>
      </w:r>
    </w:p>
    <w:p>
      <w:pPr>
        <w:pStyle w:val="null3"/>
      </w:pPr>
      <w:r>
        <w:rPr/>
        <w:t>采购包1(东莞市公安局交通警察支队南城大队采购交通违法车辆拖车、停车保管服务):</w:t>
      </w:r>
    </w:p>
    <w:p>
      <w:pPr>
        <w:pStyle w:val="null3"/>
      </w:pPr>
      <w:r>
        <w:rPr/>
        <w:t>采购包预算金额：5,521,200.00元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东莞市公安局交通警察支队南城大队采购交通违法车辆拖车、停车保管服务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合同履行期限：自合同签订生效之日起两年。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提供投标截止日前6个月内任意1个月依法缴纳税收和社会保障资金的相关材料（或提供资格条件承诺函）。如依法免税或不需要缴纳社会保障资金的，提供相应证明材料。</w:t>
      </w:r>
    </w:p>
    <w:p>
      <w:pPr>
        <w:pStyle w:val="null3"/>
      </w:pPr>
      <w:r>
        <w:rPr/>
        <w:t>3）具有良好的商业信誉和健全的财务会计制度：供应商必须具有良好的商业信誉和健全的财务会计制度（提供2023年度财务状况报告或基本开户行出具的资信证明）（或提供资格条件承诺函）。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采购包1（东莞市公安局交通警察支队南城大队采购交通违法车辆拖车、停车保管服务）：</w:t>
      </w:r>
      <w:r>
        <w:rPr/>
        <w:t>参与的供应商（联合体）服务全部由符合政策要求的中小企业承接。本项目属于整包专门面向中小企业采购的项目，中小企业须符合本项目采购标的对应行业（本项目采购标的所属行业为：交通运输业）的政策划分标准。监狱企业、残疾人福利单位视同小型、微型企业。注：（1）中小企业须提供《中小企业声明函》（见投标文件格式）；（2）残疾人福利性单位须提供《残疾人福利性单位声明函》（见投标文件格式）；（3）监狱企业须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采购包1（东莞市公安局交通警察支队南城大队采购交通违法车辆拖车、停车保管服务）：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东莞市公安局交通警察支队南城大队</w:t>
      </w:r>
    </w:p>
    <w:p>
      <w:pPr>
        <w:pStyle w:val="null3"/>
        <w:ind w:firstLine="480"/>
      </w:pPr>
      <w:r>
        <w:rPr/>
        <w:t xml:space="preserve"> 地址：</w:t>
      </w:r>
      <w:r>
        <w:rPr/>
        <w:t>东莞市南城街道新基沽网235号</w:t>
      </w:r>
    </w:p>
    <w:p>
      <w:pPr>
        <w:pStyle w:val="null3"/>
        <w:ind w:firstLine="480"/>
      </w:pPr>
      <w:r>
        <w:rPr/>
        <w:t xml:space="preserve"> 联系方式：</w:t>
      </w:r>
      <w:r>
        <w:rPr/>
        <w:t>0769-22400266</w:t>
      </w:r>
    </w:p>
    <w:p>
      <w:pPr>
        <w:pStyle w:val="null3"/>
        <w:outlineLvl w:val="3"/>
      </w:pPr>
      <w:r>
        <w:rPr>
          <w:sz w:val="24"/>
          <w:b/>
        </w:rPr>
        <w:t xml:space="preserve"> 2.采购代理机构信息</w:t>
      </w:r>
    </w:p>
    <w:p>
      <w:pPr>
        <w:pStyle w:val="null3"/>
        <w:ind w:firstLine="480"/>
      </w:pPr>
      <w:r>
        <w:rPr/>
        <w:t xml:space="preserve"> 名称：</w:t>
      </w:r>
      <w:r>
        <w:rPr/>
        <w:t>广东正德招标有限公司</w:t>
      </w:r>
    </w:p>
    <w:p>
      <w:pPr>
        <w:pStyle w:val="null3"/>
        <w:ind w:firstLine="480"/>
      </w:pPr>
      <w:r>
        <w:rPr/>
        <w:t xml:space="preserve"> 地址：</w:t>
      </w:r>
      <w:r>
        <w:rPr/>
        <w:t>东莞市南城街道西平社区下手新村一巷17号</w:t>
      </w:r>
    </w:p>
    <w:p>
      <w:pPr>
        <w:pStyle w:val="null3"/>
        <w:ind w:firstLine="480"/>
      </w:pPr>
      <w:r>
        <w:rPr/>
        <w:t xml:space="preserve"> 联系方式：</w:t>
      </w:r>
      <w:r>
        <w:rPr/>
        <w:t>0769-22682666</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0769-22682666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根据采购人的要求提供交通违法和交通事故车辆拖车、停车保管服务。</w:t>
      </w:r>
    </w:p>
    <w:p>
      <w:pPr>
        <w:pStyle w:val="null3"/>
      </w:pPr>
      <w:r>
        <w:rPr/>
        <w:t>采购包1（东莞市公安局交通警察支队南城大队采购交通违法车辆拖车、停车保管服务）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自合同签订生效之日起两年。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采购人按月支付费用给中标供应商，签订合同开始执行的第二个月15号前支付上一个月的费用，每月支付费用按合同总额（中标价）除以24个月所得金额支付（如因考核扣减费用，则以扣减后的费用支付）。因采购人使用的是财政资金，采购人在前款规定的付款时间为向政府采购支付部门提出办理财政支付申请手续的时间（不含财政支付部门及政府相关部门的审批时间），采购人在规定时间内提出支付申请手续后即视为采购人已经按期支付。如因财政部门审核进度问题而推迟支付时双方免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工作由采购人（或采购人指定的单位）和中标供应商共同进行。（二）在验收时，中标供应商应向采购人提供服务的相关资料，按采购人提出的方式验收。（三）由采购人对服务的质量和数量及其他进行检验。如发现质量和数量等任何一项与采购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其他，出现下列情况之一，终止合同，取消中标供应商服务资格，1、不按上级公安机关执法办案暂扣车辆管理规定进行管理，经二次整改后仍达不到要求。 2、中标供应商违反服务承诺或服务要求的，三次无正当理由拒绝响应的或三次响应后无法按时完成工作的。 3、如有关公安机关部门要求调整拖车、保管业务工作，本次确定的中标供应商服务资格即告终止。4、中标供应商违反有关法律法规规定。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包括包工、包料、包机械设备、包质量、包工期、包安全、包税金、油料费、维修费、路桥费、保管费、场地保险费、人员工资、员工保险等，以报价一次包干，结算时不作调整。报价包括国家规定的所有税费及与项目相关的所有费用。（2）投标人应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合同条款</w:t>
            </w:r>
          </w:p>
        </w:tc>
        <w:tc>
          <w:tcPr>
            <w:tcW w:type="dxa" w:w="2076"/>
          </w:tcPr>
          <w:p>
            <w:pPr>
              <w:pStyle w:val="null3"/>
              <w:jc w:val="left"/>
            </w:pPr>
            <w:r>
              <w:rPr/>
              <w:t>（1）投标人实质响应合同各条款；（2）采购文件未尽事宜，将在合同签订或项目执行过程中双方协商确定，投标人须无条件满足采购人的合理要求。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东莞市公安局交通警察支队南城大队采购交通违法车辆拖车、停车保管服务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5,521,200.00</w:t>
            </w:r>
          </w:p>
        </w:tc>
        <w:tc>
          <w:tcPr>
            <w:tcW w:type="dxa" w:w="933"/>
          </w:tcPr>
          <w:p>
            <w:pPr>
              <w:pStyle w:val="null3"/>
              <w:jc w:val="right"/>
            </w:pPr>
            <w:r>
              <w:rPr/>
              <w:t>5,521,200.00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东莞市公安局交通警察支队南城大队采购交通违法车辆拖车、停车保管服务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一、停车场要求</w:t>
            </w:r>
          </w:p>
          <w:p>
            <w:pPr>
              <w:pStyle w:val="null3"/>
              <w:ind w:firstLine="440"/>
              <w:jc w:val="left"/>
            </w:pPr>
            <w:r>
              <w:rPr>
                <w:sz w:val="22"/>
              </w:rPr>
              <w:t>★1</w:t>
            </w:r>
            <w:r>
              <w:rPr>
                <w:sz w:val="22"/>
              </w:rPr>
              <w:t>、根据采购单位的执法特点，投标人须对本项目拟设定的停车场面积不少于</w:t>
            </w:r>
            <w:r>
              <w:rPr>
                <w:sz w:val="22"/>
              </w:rPr>
              <w:t>8000</w:t>
            </w:r>
            <w:r>
              <w:rPr>
                <w:sz w:val="22"/>
              </w:rPr>
              <w:t>平方米（或不少于</w:t>
            </w:r>
            <w:r>
              <w:rPr>
                <w:sz w:val="22"/>
              </w:rPr>
              <w:t>12</w:t>
            </w:r>
            <w:r>
              <w:rPr>
                <w:sz w:val="22"/>
              </w:rPr>
              <w:t>亩），所提供的场地必须符合停车场的使用性质，且只能提供给采购人独立使用（投标人须提供单独承诺函加盖投标人公章）。</w:t>
            </w:r>
          </w:p>
          <w:p>
            <w:pPr>
              <w:pStyle w:val="null3"/>
              <w:ind w:firstLine="440"/>
              <w:jc w:val="left"/>
            </w:pPr>
            <w:r>
              <w:rPr>
                <w:sz w:val="22"/>
              </w:rPr>
              <w:t>★2</w:t>
            </w:r>
            <w:r>
              <w:rPr>
                <w:sz w:val="22"/>
              </w:rPr>
              <w:t>、根据采购单位的执法特点，投标人须提供的本项目停车场的位置在以东莞市公安局交通警察支队南城大队（东莞市南城街道新基沽网坊</w:t>
            </w:r>
            <w:r>
              <w:rPr>
                <w:sz w:val="22"/>
              </w:rPr>
              <w:t>235</w:t>
            </w:r>
            <w:r>
              <w:rPr>
                <w:sz w:val="22"/>
              </w:rPr>
              <w:t>号交警大队）为中心半径</w:t>
            </w:r>
            <w:r>
              <w:rPr>
                <w:sz w:val="22"/>
              </w:rPr>
              <w:t>10</w:t>
            </w:r>
            <w:r>
              <w:rPr>
                <w:sz w:val="22"/>
              </w:rPr>
              <w:t>公里内，或投标人承诺中标后一个月内在以东莞市公安局交通警察支队南城大队（东莞市南城街道新基沽网坊</w:t>
            </w:r>
            <w:r>
              <w:rPr>
                <w:sz w:val="22"/>
              </w:rPr>
              <w:t>235</w:t>
            </w:r>
            <w:r>
              <w:rPr>
                <w:sz w:val="22"/>
              </w:rPr>
              <w:t>号交警大队）为中心半径</w:t>
            </w:r>
            <w:r>
              <w:rPr>
                <w:sz w:val="22"/>
              </w:rPr>
              <w:t>10</w:t>
            </w:r>
            <w:r>
              <w:rPr>
                <w:sz w:val="22"/>
              </w:rPr>
              <w:t>公里内设定停车场。在本项目签订合同前提供停车场的场地产权证明或租赁合同证明材料。（投标人须提供单独承诺函加盖投标人公章）</w:t>
            </w:r>
          </w:p>
          <w:p>
            <w:pPr>
              <w:pStyle w:val="null3"/>
              <w:ind w:firstLine="440"/>
              <w:jc w:val="left"/>
            </w:pPr>
            <w:r>
              <w:rPr>
                <w:sz w:val="22"/>
              </w:rPr>
              <w:t>★3</w:t>
            </w:r>
            <w:r>
              <w:rPr>
                <w:sz w:val="22"/>
              </w:rPr>
              <w:t>、投标人须作出承诺：若投标人在本项目中标，将在合同签订后配合采购人无条件将东莞市公安局交通警察支队南城大队现在使用停车场内的事故车辆转移至中标供应商提供的停车场。转移车辆费用已包含在中标金额费用内，采购人不再另行结算。（投标人须提供单独承诺函加盖投标人公章）</w:t>
            </w:r>
          </w:p>
          <w:p>
            <w:pPr>
              <w:pStyle w:val="null3"/>
              <w:ind w:firstLine="440"/>
              <w:jc w:val="left"/>
            </w:pPr>
            <w:r>
              <w:rPr>
                <w:sz w:val="22"/>
              </w:rPr>
              <w:t>★4</w:t>
            </w:r>
            <w:r>
              <w:rPr>
                <w:sz w:val="22"/>
              </w:rPr>
              <w:t>、投标人须作出承诺：若投标人在本项目中标，在合同签订后为本项目使用的停车场购买场地财产安全险，每个停车位的理赔额不低于</w:t>
            </w:r>
            <w:r>
              <w:rPr>
                <w:sz w:val="22"/>
              </w:rPr>
              <w:t>20</w:t>
            </w:r>
            <w:r>
              <w:rPr>
                <w:sz w:val="22"/>
              </w:rPr>
              <w:t>万元。（投标人须提供单独承诺函加盖投标人公章）</w:t>
            </w:r>
          </w:p>
          <w:p>
            <w:pPr>
              <w:pStyle w:val="null3"/>
              <w:ind w:firstLine="440"/>
              <w:jc w:val="left"/>
            </w:pPr>
            <w:r>
              <w:rPr>
                <w:sz w:val="22"/>
              </w:rPr>
              <w:t>5</w:t>
            </w:r>
            <w:r>
              <w:rPr>
                <w:sz w:val="22"/>
              </w:rPr>
              <w:t>、投标人可在本项目开标日期前自行对东莞市公安局交通警察支队南城大队现在使用场地内的车辆数量进行实地考察并自行估算费用，其中风险投标人须自行承担。</w:t>
            </w:r>
          </w:p>
          <w:p>
            <w:pPr>
              <w:pStyle w:val="null3"/>
              <w:ind w:firstLine="440"/>
              <w:jc w:val="left"/>
            </w:pPr>
            <w:r>
              <w:rPr>
                <w:sz w:val="22"/>
              </w:rPr>
              <w:t>6</w:t>
            </w:r>
            <w:r>
              <w:rPr>
                <w:sz w:val="22"/>
              </w:rPr>
              <w:t>、停车场地面应该较平整，且已做好地基夯实工程，能够保障治超车辆出入、停放及正常的卸货作业。</w:t>
            </w:r>
          </w:p>
          <w:p>
            <w:pPr>
              <w:pStyle w:val="null3"/>
              <w:ind w:firstLine="440"/>
              <w:jc w:val="left"/>
            </w:pPr>
            <w:r>
              <w:rPr>
                <w:sz w:val="22"/>
              </w:rPr>
              <w:t>7</w:t>
            </w:r>
            <w:r>
              <w:rPr>
                <w:sz w:val="22"/>
              </w:rPr>
              <w:t>、停车场应配备完善的消防设备，确保场内办公场所、车辆及货物的消防安全。</w:t>
            </w:r>
          </w:p>
          <w:p>
            <w:pPr>
              <w:pStyle w:val="null3"/>
              <w:ind w:firstLine="440"/>
              <w:jc w:val="left"/>
            </w:pPr>
            <w:r>
              <w:rPr>
                <w:sz w:val="22"/>
              </w:rPr>
              <w:t>8</w:t>
            </w:r>
            <w:r>
              <w:rPr>
                <w:sz w:val="22"/>
              </w:rPr>
              <w:t>、停车场应建有围蔽、门卫室、工具存放室，全场无死角视频监控。</w:t>
            </w:r>
          </w:p>
          <w:p>
            <w:pPr>
              <w:pStyle w:val="null3"/>
              <w:ind w:firstLine="440"/>
              <w:jc w:val="left"/>
            </w:pPr>
            <w:r>
              <w:rPr>
                <w:sz w:val="22"/>
              </w:rPr>
              <w:t>9</w:t>
            </w:r>
            <w:r>
              <w:rPr>
                <w:sz w:val="22"/>
              </w:rPr>
              <w:t>、停车场应采取封闭式管理，具备一定的防盗功能。</w:t>
            </w:r>
          </w:p>
          <w:p>
            <w:pPr>
              <w:pStyle w:val="null3"/>
              <w:ind w:firstLine="440"/>
              <w:jc w:val="left"/>
            </w:pPr>
            <w:r>
              <w:rPr>
                <w:sz w:val="22"/>
              </w:rPr>
              <w:t>10</w:t>
            </w:r>
            <w:r>
              <w:rPr>
                <w:sz w:val="22"/>
              </w:rPr>
              <w:t>、停车场应配备照明设备，保证</w:t>
            </w:r>
            <w:r>
              <w:rPr>
                <w:sz w:val="22"/>
              </w:rPr>
              <w:t>24</w:t>
            </w:r>
            <w:r>
              <w:rPr>
                <w:sz w:val="22"/>
              </w:rPr>
              <w:t>小时能开展工作。</w:t>
            </w:r>
          </w:p>
          <w:p>
            <w:pPr>
              <w:pStyle w:val="null3"/>
              <w:ind w:firstLine="440"/>
              <w:jc w:val="left"/>
            </w:pPr>
            <w:r>
              <w:rPr>
                <w:sz w:val="22"/>
              </w:rPr>
              <w:t>11</w:t>
            </w:r>
            <w:r>
              <w:rPr>
                <w:sz w:val="22"/>
              </w:rPr>
              <w:t>、停车场应设有简易的办公场所。</w:t>
            </w:r>
          </w:p>
          <w:p>
            <w:pPr>
              <w:pStyle w:val="null3"/>
              <w:ind w:firstLine="440"/>
              <w:jc w:val="left"/>
            </w:pPr>
            <w:r>
              <w:rPr>
                <w:sz w:val="22"/>
              </w:rPr>
              <w:t>12</w:t>
            </w:r>
            <w:r>
              <w:rPr>
                <w:sz w:val="22"/>
              </w:rPr>
              <w:t>、停车场应配备固定地磅。</w:t>
            </w:r>
          </w:p>
          <w:p>
            <w:pPr>
              <w:pStyle w:val="null3"/>
              <w:ind w:firstLine="440"/>
              <w:jc w:val="left"/>
            </w:pPr>
            <w:r>
              <w:rPr>
                <w:sz w:val="22"/>
              </w:rPr>
              <w:t>13</w:t>
            </w:r>
            <w:r>
              <w:rPr>
                <w:sz w:val="22"/>
              </w:rPr>
              <w:t>、停车场应配备完善的办公设备设施。</w:t>
            </w:r>
          </w:p>
          <w:p>
            <w:pPr>
              <w:pStyle w:val="null3"/>
              <w:ind w:firstLine="440"/>
              <w:jc w:val="left"/>
            </w:pPr>
            <w:r>
              <w:rPr>
                <w:sz w:val="22"/>
              </w:rPr>
              <w:t>14</w:t>
            </w:r>
            <w:r>
              <w:rPr>
                <w:sz w:val="22"/>
              </w:rPr>
              <w:t>、停车场需要具备完善的放行制度，确保不发生</w:t>
            </w:r>
            <w:r>
              <w:rPr>
                <w:sz w:val="22"/>
              </w:rPr>
              <w:t>“</w:t>
            </w:r>
            <w:r>
              <w:rPr>
                <w:sz w:val="22"/>
              </w:rPr>
              <w:t>私自放车，放错车辆</w:t>
            </w:r>
            <w:r>
              <w:rPr>
                <w:sz w:val="22"/>
              </w:rPr>
              <w:t>”</w:t>
            </w:r>
            <w:r>
              <w:rPr>
                <w:sz w:val="22"/>
              </w:rPr>
              <w:t>等行为。</w:t>
            </w:r>
          </w:p>
        </w:tc>
      </w:tr>
      <w:tr>
        <w:tc>
          <w:tcPr>
            <w:tcW w:type="dxa" w:w="2076"/>
          </w:tcPr>
          <w:p/>
        </w:tc>
        <w:tc>
          <w:tcPr>
            <w:tcW w:type="dxa" w:w="415"/>
          </w:tcPr>
          <w:p>
            <w:pPr>
              <w:pStyle w:val="null3"/>
            </w:pPr>
            <w:r>
              <w:rPr/>
              <w:t>2</w:t>
            </w:r>
          </w:p>
        </w:tc>
        <w:tc>
          <w:tcPr>
            <w:tcW w:type="dxa" w:w="5814"/>
          </w:tcPr>
          <w:p>
            <w:pPr>
              <w:pStyle w:val="null3"/>
              <w:jc w:val="left"/>
            </w:pPr>
            <w:r>
              <w:rPr>
                <w:sz w:val="22"/>
                <w:b/>
              </w:rPr>
              <w:t>二、人员及设备要求</w:t>
            </w:r>
          </w:p>
          <w:p>
            <w:pPr>
              <w:pStyle w:val="null3"/>
              <w:ind w:firstLine="440"/>
              <w:jc w:val="left"/>
            </w:pPr>
            <w:r>
              <w:rPr>
                <w:sz w:val="22"/>
              </w:rPr>
              <w:t>1</w:t>
            </w:r>
            <w:r>
              <w:rPr>
                <w:sz w:val="22"/>
              </w:rPr>
              <w:t>、中标供应商须制定完善的管理制度，配备至少</w:t>
            </w:r>
            <w:r>
              <w:rPr>
                <w:sz w:val="22"/>
              </w:rPr>
              <w:t>6</w:t>
            </w:r>
            <w:r>
              <w:rPr>
                <w:sz w:val="22"/>
              </w:rPr>
              <w:t>名安保管理人员管理停车场。工作人员必须保持相对的稳定，不能频繁流动。工作人员任职前，需经过政治资格审查确保其无违法犯罪记录。中标供应商需制定经采购人审核过的人员考核管理制度，有违反相关规定及法规的，采购人有权要求更换人员，中标供应商需在</w:t>
            </w:r>
            <w:r>
              <w:rPr>
                <w:sz w:val="22"/>
              </w:rPr>
              <w:t>3</w:t>
            </w:r>
            <w:r>
              <w:rPr>
                <w:sz w:val="22"/>
              </w:rPr>
              <w:t>天内更换新的人员。所聘人员需符合劳动法相关要求，统一购买意外保险。</w:t>
            </w:r>
          </w:p>
          <w:p>
            <w:pPr>
              <w:pStyle w:val="null3"/>
              <w:ind w:firstLine="440"/>
              <w:jc w:val="left"/>
            </w:pPr>
            <w:r>
              <w:rPr>
                <w:sz w:val="22"/>
              </w:rPr>
              <w:t>2</w:t>
            </w:r>
            <w:r>
              <w:rPr>
                <w:sz w:val="22"/>
              </w:rPr>
              <w:t>、中标供应商须提供不少于</w:t>
            </w:r>
            <w:r>
              <w:rPr>
                <w:sz w:val="22"/>
              </w:rPr>
              <w:t>3</w:t>
            </w:r>
            <w:r>
              <w:rPr>
                <w:sz w:val="22"/>
              </w:rPr>
              <w:t>辆总质量</w:t>
            </w:r>
            <w:r>
              <w:rPr>
                <w:sz w:val="22"/>
              </w:rPr>
              <w:t>3</w:t>
            </w:r>
            <w:r>
              <w:rPr>
                <w:sz w:val="22"/>
              </w:rPr>
              <w:t>顿或以上的拖车（中型（或重型）专项作业车），且至少一辆拖车能够能拖吊总质量</w:t>
            </w:r>
            <w:r>
              <w:rPr>
                <w:sz w:val="22"/>
              </w:rPr>
              <w:t>8</w:t>
            </w:r>
            <w:r>
              <w:rPr>
                <w:sz w:val="22"/>
              </w:rPr>
              <w:t>吨或以上，拖车用于拖拽查扣的交通违法和交通事故车辆进入停车场，同时需要配备不少于</w:t>
            </w:r>
            <w:r>
              <w:rPr>
                <w:sz w:val="22"/>
              </w:rPr>
              <w:t>4</w:t>
            </w:r>
            <w:r>
              <w:rPr>
                <w:sz w:val="22"/>
              </w:rPr>
              <w:t>名与准驾车型相符的（具备</w:t>
            </w:r>
            <w:r>
              <w:rPr>
                <w:sz w:val="22"/>
              </w:rPr>
              <w:t>A2</w:t>
            </w:r>
            <w:r>
              <w:rPr>
                <w:sz w:val="22"/>
              </w:rPr>
              <w:t>或</w:t>
            </w:r>
            <w:r>
              <w:rPr>
                <w:sz w:val="22"/>
              </w:rPr>
              <w:t>A1</w:t>
            </w:r>
            <w:r>
              <w:rPr>
                <w:sz w:val="22"/>
              </w:rPr>
              <w:t>或</w:t>
            </w:r>
            <w:r>
              <w:rPr>
                <w:sz w:val="22"/>
              </w:rPr>
              <w:t>B2</w:t>
            </w:r>
            <w:r>
              <w:rPr>
                <w:sz w:val="22"/>
              </w:rPr>
              <w:t>驾驶证）司机人员。</w:t>
            </w:r>
          </w:p>
          <w:p>
            <w:pPr>
              <w:pStyle w:val="null3"/>
              <w:ind w:firstLine="440"/>
              <w:jc w:val="left"/>
            </w:pPr>
            <w:r>
              <w:rPr>
                <w:sz w:val="22"/>
              </w:rPr>
              <w:t>3</w:t>
            </w:r>
            <w:r>
              <w:rPr>
                <w:sz w:val="22"/>
              </w:rPr>
              <w:t>、如出现事故车辆重量较重，导致中标供应商配备的拖车无法拖吊走的，由中标供应商自行解决相关问题，可委派能够拖吊较重车辆的第三方服务，由此产生的费用由中标供应商承担。</w:t>
            </w:r>
          </w:p>
        </w:tc>
      </w:tr>
      <w:tr>
        <w:tc>
          <w:tcPr>
            <w:tcW w:type="dxa" w:w="2076"/>
          </w:tcPr>
          <w:p/>
        </w:tc>
        <w:tc>
          <w:tcPr>
            <w:tcW w:type="dxa" w:w="415"/>
          </w:tcPr>
          <w:p>
            <w:pPr>
              <w:pStyle w:val="null3"/>
            </w:pPr>
            <w:r>
              <w:rPr/>
              <w:t>3</w:t>
            </w:r>
          </w:p>
        </w:tc>
        <w:tc>
          <w:tcPr>
            <w:tcW w:type="dxa" w:w="5814"/>
          </w:tcPr>
          <w:p>
            <w:pPr>
              <w:pStyle w:val="null3"/>
              <w:jc w:val="left"/>
            </w:pPr>
            <w:r>
              <w:rPr>
                <w:sz w:val="22"/>
                <w:b/>
              </w:rPr>
              <w:t>三、服务要求</w:t>
            </w:r>
          </w:p>
          <w:p>
            <w:pPr>
              <w:pStyle w:val="null3"/>
              <w:ind w:firstLine="440"/>
              <w:jc w:val="left"/>
            </w:pPr>
            <w:r>
              <w:rPr>
                <w:sz w:val="22"/>
              </w:rPr>
              <w:t>1</w:t>
            </w:r>
            <w:r>
              <w:rPr>
                <w:sz w:val="22"/>
              </w:rPr>
              <w:t>、中标供应商须依法制订有关治安、消防、卫生、用电等方面的各项规章制度并负责监督实施。安排人员</w:t>
            </w:r>
            <w:r>
              <w:rPr>
                <w:sz w:val="22"/>
              </w:rPr>
              <w:t>24</w:t>
            </w:r>
            <w:r>
              <w:rPr>
                <w:sz w:val="22"/>
              </w:rPr>
              <w:t>小时值班，保证</w:t>
            </w:r>
            <w:r>
              <w:rPr>
                <w:sz w:val="22"/>
              </w:rPr>
              <w:t>24</w:t>
            </w:r>
            <w:r>
              <w:rPr>
                <w:sz w:val="22"/>
              </w:rPr>
              <w:t>小时全天候能够办理车辆进场交接和提取车辆的业务，并采取封闭式管理，做好车辆出入场登记。所有车辆、货物的进、出场必须按照采购人要求的程序交接，做好车辆、货物进出场的登记。</w:t>
            </w:r>
          </w:p>
          <w:p>
            <w:pPr>
              <w:pStyle w:val="null3"/>
              <w:ind w:firstLine="440"/>
              <w:jc w:val="left"/>
            </w:pPr>
            <w:r>
              <w:rPr>
                <w:sz w:val="22"/>
              </w:rPr>
              <w:t>2</w:t>
            </w:r>
            <w:r>
              <w:rPr>
                <w:sz w:val="22"/>
              </w:rPr>
              <w:t>、中标供应商的场地及相关配套设施和经营条件要求包括：建筑物（包括公共区域及租赁场地）及卸货、停车场地的监控（监控保存时间至少</w:t>
            </w:r>
            <w:r>
              <w:rPr>
                <w:sz w:val="22"/>
              </w:rPr>
              <w:t>6</w:t>
            </w:r>
            <w:r>
              <w:rPr>
                <w:sz w:val="22"/>
              </w:rPr>
              <w:t>个月或以上）、管理及维修保养；水、电、空调、电话、互联网、视频监控系统等设备设施、管道、线路及系统的配置、管理、维修及保养，并承担水电费、电话费及互联网年费。</w:t>
            </w:r>
          </w:p>
          <w:p>
            <w:pPr>
              <w:pStyle w:val="null3"/>
              <w:ind w:firstLine="440"/>
              <w:jc w:val="left"/>
            </w:pPr>
            <w:r>
              <w:rPr>
                <w:sz w:val="22"/>
              </w:rPr>
              <w:t>3</w:t>
            </w:r>
            <w:r>
              <w:rPr>
                <w:sz w:val="22"/>
              </w:rPr>
              <w:t>、场地必须按采购人要求划分功能区，把场地内明确划分为卸货区、停车区、办公区、休息区等，并挂指示牌；停车场地面应该较平整，且已做好地基夯实工程，保证入场车辆在场地内可正常行驶；定期修剪杂草，保持场地整齐清洁；配备照明设备，保证</w:t>
            </w:r>
            <w:r>
              <w:rPr>
                <w:sz w:val="22"/>
              </w:rPr>
              <w:t>24</w:t>
            </w:r>
            <w:r>
              <w:rPr>
                <w:sz w:val="22"/>
              </w:rPr>
              <w:t>小时能在场地内安全开展工作。</w:t>
            </w:r>
          </w:p>
          <w:p>
            <w:pPr>
              <w:pStyle w:val="null3"/>
              <w:ind w:firstLine="440"/>
              <w:jc w:val="left"/>
            </w:pPr>
            <w:r>
              <w:rPr>
                <w:sz w:val="22"/>
              </w:rPr>
              <w:t>4</w:t>
            </w:r>
            <w:r>
              <w:rPr>
                <w:sz w:val="22"/>
              </w:rPr>
              <w:t>、中标供应商须对采购人停放在车场内的车辆、货物及办公设备承担保管责任，并负责车场内的安全防范，保安管理并负责车场的公共安全；负责消防管理；负责内外各种通道、道路、停车场的管理。</w:t>
            </w:r>
          </w:p>
          <w:p>
            <w:pPr>
              <w:pStyle w:val="null3"/>
              <w:ind w:firstLine="440"/>
              <w:jc w:val="left"/>
            </w:pPr>
            <w:r>
              <w:rPr>
                <w:sz w:val="22"/>
              </w:rPr>
              <w:t>5</w:t>
            </w:r>
            <w:r>
              <w:rPr>
                <w:sz w:val="22"/>
              </w:rPr>
              <w:t>、暂扣违章车辆及物品丢失、损坏的，中标供应商与车辆物品所有人双方协商解决。如有遗失车辆、货物或办公设备，按遗失的车辆、货物或办公设备评估价值赔偿给物主，及须承担所有因物品丢失或损坏等发生的一切直接或间接的责任。中标供应商不得私自放行暂扣车辆，如未经采购人同意私自放行，将承担全部的法律责任。</w:t>
            </w:r>
          </w:p>
          <w:p>
            <w:pPr>
              <w:pStyle w:val="null3"/>
              <w:ind w:firstLine="440"/>
              <w:jc w:val="left"/>
            </w:pPr>
            <w:r>
              <w:rPr>
                <w:sz w:val="22"/>
              </w:rPr>
              <w:t>6</w:t>
            </w:r>
            <w:r>
              <w:rPr>
                <w:sz w:val="22"/>
              </w:rPr>
              <w:t>、中标供应商应对车场进行商业管理，维护并改善车场的整体形象，包括：对车场的规划和控制、功能区域的划分、车场经营的管理及服务质量管理；车场调研；公共关系协调；纠纷调解；人员培训。</w:t>
            </w:r>
          </w:p>
          <w:p>
            <w:pPr>
              <w:pStyle w:val="null3"/>
              <w:ind w:firstLine="440"/>
              <w:jc w:val="left"/>
            </w:pPr>
            <w:r>
              <w:rPr>
                <w:sz w:val="22"/>
              </w:rPr>
              <w:t>7</w:t>
            </w:r>
            <w:r>
              <w:rPr>
                <w:sz w:val="22"/>
              </w:rPr>
              <w:t>、中标供应商出租的停车场属于违章车辆及暂扣物品专用停车场，未经采购人同意，中标供应商不得同时停放其他车辆和保管其他物品。</w:t>
            </w:r>
          </w:p>
          <w:p>
            <w:pPr>
              <w:pStyle w:val="null3"/>
              <w:ind w:firstLine="440"/>
              <w:jc w:val="left"/>
            </w:pPr>
            <w:r>
              <w:rPr>
                <w:sz w:val="22"/>
              </w:rPr>
              <w:t>8</w:t>
            </w:r>
            <w:r>
              <w:rPr>
                <w:sz w:val="22"/>
              </w:rPr>
              <w:t>、暂扣物品需列表登记造册，签发相应放行条。</w:t>
            </w:r>
          </w:p>
          <w:p>
            <w:pPr>
              <w:pStyle w:val="null3"/>
              <w:ind w:firstLine="440"/>
              <w:jc w:val="left"/>
            </w:pPr>
            <w:r>
              <w:rPr>
                <w:sz w:val="22"/>
              </w:rPr>
              <w:t>9</w:t>
            </w:r>
            <w:r>
              <w:rPr>
                <w:sz w:val="22"/>
              </w:rPr>
              <w:t>、在采购人打印放行通知书前，中标供应商不得收取或变相收取暂扣车辆所有人任何车辆保管费用。</w:t>
            </w:r>
          </w:p>
          <w:p>
            <w:pPr>
              <w:pStyle w:val="null3"/>
              <w:ind w:firstLine="440"/>
              <w:jc w:val="left"/>
            </w:pPr>
            <w:r>
              <w:rPr>
                <w:sz w:val="22"/>
              </w:rPr>
              <w:t>10</w:t>
            </w:r>
            <w:r>
              <w:rPr>
                <w:sz w:val="22"/>
              </w:rPr>
              <w:t>、所有暂扣车辆、货物的进出场必须要按照东莞市公安局交通警察支队南城大队要求的程序交接和放行。同时需要做好进场车辆和物品的登记和检查。</w:t>
            </w:r>
          </w:p>
          <w:p>
            <w:pPr>
              <w:pStyle w:val="null3"/>
              <w:ind w:firstLine="440"/>
              <w:jc w:val="left"/>
            </w:pPr>
            <w:r>
              <w:rPr>
                <w:sz w:val="22"/>
              </w:rPr>
              <w:t>11</w:t>
            </w:r>
            <w:r>
              <w:rPr>
                <w:sz w:val="22"/>
              </w:rPr>
              <w:t>、中标供应商需提供全天</w:t>
            </w:r>
            <w:r>
              <w:rPr>
                <w:sz w:val="22"/>
              </w:rPr>
              <w:t>24</w:t>
            </w:r>
            <w:r>
              <w:rPr>
                <w:sz w:val="22"/>
              </w:rPr>
              <w:t>小时拖车服务。中标供应商接到采购人发出的服务指令起计，在</w:t>
            </w:r>
            <w:r>
              <w:rPr>
                <w:sz w:val="22"/>
              </w:rPr>
              <w:t>30</w:t>
            </w:r>
            <w:r>
              <w:rPr>
                <w:sz w:val="22"/>
              </w:rPr>
              <w:t>分钟内到达现场，及时完成拖车服务，在拖车途中造成的车辆损坏由中标供应商负责。中标供应商须根据东莞市公安局交通警察支队南城大队提出的要求，做好相应的安排。</w:t>
            </w:r>
          </w:p>
          <w:p>
            <w:pPr>
              <w:pStyle w:val="null3"/>
              <w:ind w:firstLine="440"/>
              <w:jc w:val="left"/>
            </w:pPr>
            <w:r>
              <w:rPr>
                <w:sz w:val="22"/>
              </w:rPr>
              <w:t>12</w:t>
            </w:r>
            <w:r>
              <w:rPr>
                <w:sz w:val="22"/>
              </w:rPr>
              <w:t>、在举行重大活动、执行安保工作等采购人任务中，中标供应商需要按采购人的要求提供拖、吊车保障服务，采购人不再单独支付费用。在服务过程中也可能会出现突发事件、遇到恶劣天气、特殊或紧急情况，中标供应商应为本项目提供应急保障应对措施及处理。</w:t>
            </w:r>
          </w:p>
          <w:p>
            <w:pPr>
              <w:pStyle w:val="null3"/>
              <w:ind w:firstLine="440"/>
              <w:jc w:val="left"/>
            </w:pPr>
            <w:r>
              <w:rPr>
                <w:sz w:val="22"/>
              </w:rPr>
              <w:t>13</w:t>
            </w:r>
            <w:r>
              <w:rPr>
                <w:sz w:val="22"/>
              </w:rPr>
              <w:t>、服务期内，中标供应商对提供服务的车辆进行维修保养、年检等，在原服务车辆不能按时到场服务的情况下，中标供应商须提供同车型、同吨位的备用车辆（具有合格、完备证照）替代服务。</w:t>
            </w:r>
          </w:p>
          <w:p>
            <w:pPr>
              <w:pStyle w:val="null3"/>
              <w:ind w:firstLine="440"/>
              <w:jc w:val="left"/>
            </w:pPr>
            <w:r>
              <w:rPr>
                <w:sz w:val="22"/>
              </w:rPr>
              <w:t>14</w:t>
            </w:r>
            <w:r>
              <w:rPr>
                <w:sz w:val="22"/>
              </w:rPr>
              <w:t>、中标供应商应具有完善的文档资料管理流程，采购人将不定期对中标供应商的作业情况及台帐登记情况进行检查。</w:t>
            </w:r>
          </w:p>
          <w:p>
            <w:pPr>
              <w:pStyle w:val="null3"/>
              <w:ind w:firstLine="440"/>
              <w:jc w:val="left"/>
            </w:pPr>
            <w:r>
              <w:rPr>
                <w:sz w:val="22"/>
              </w:rPr>
              <w:t>15</w:t>
            </w:r>
            <w:r>
              <w:rPr>
                <w:sz w:val="22"/>
              </w:rPr>
              <w:t>、除有双方明确约定外，不得干涉采购人的正常的行动。</w:t>
            </w:r>
          </w:p>
          <w:p>
            <w:pPr>
              <w:pStyle w:val="null3"/>
              <w:ind w:firstLine="440"/>
              <w:jc w:val="left"/>
            </w:pPr>
            <w:r>
              <w:rPr>
                <w:sz w:val="22"/>
              </w:rPr>
              <w:t>16</w:t>
            </w:r>
            <w:r>
              <w:rPr>
                <w:sz w:val="22"/>
              </w:rPr>
              <w:t>、中标供应商应为所有作业人员提供安全作业所需的一切设备，确保作业人员人身安全，并要求作业人员按相关规定做好安全防范措施下作业。中标供应商在整个作业期间含上下班期间，若发生作业人员意外伤残及财物或其它损失的，无论何种原因所致，中标供应商承担所有负责。</w:t>
            </w:r>
          </w:p>
          <w:p>
            <w:pPr>
              <w:pStyle w:val="null3"/>
              <w:ind w:firstLine="440"/>
              <w:jc w:val="left"/>
            </w:pPr>
            <w:r>
              <w:rPr>
                <w:sz w:val="22"/>
              </w:rPr>
              <w:t>17</w:t>
            </w:r>
            <w:r>
              <w:rPr>
                <w:sz w:val="22"/>
              </w:rPr>
              <w:t>、中标供应商应与采购人共同制定每月服务质量考核评分制度，并按考核等级得分支付相应费用。</w:t>
            </w:r>
          </w:p>
        </w:tc>
      </w:tr>
      <w:tr>
        <w:tc>
          <w:tcPr>
            <w:tcW w:type="dxa" w:w="2076"/>
          </w:tcPr>
          <w:p/>
        </w:tc>
        <w:tc>
          <w:tcPr>
            <w:tcW w:type="dxa" w:w="415"/>
          </w:tcPr>
          <w:p>
            <w:pPr>
              <w:pStyle w:val="null3"/>
            </w:pPr>
            <w:r>
              <w:rPr/>
              <w:t>4</w:t>
            </w:r>
          </w:p>
        </w:tc>
        <w:tc>
          <w:tcPr>
            <w:tcW w:type="dxa" w:w="5814"/>
          </w:tcPr>
          <w:p>
            <w:pPr>
              <w:pStyle w:val="null3"/>
              <w:jc w:val="both"/>
            </w:pPr>
            <w:r>
              <w:rPr>
                <w:sz w:val="22"/>
                <w:b/>
              </w:rPr>
              <w:t>四、附件</w:t>
            </w:r>
          </w:p>
          <w:p>
            <w:pPr>
              <w:pStyle w:val="null3"/>
              <w:jc w:val="center"/>
            </w:pPr>
            <w:r>
              <w:rPr>
                <w:sz w:val="22"/>
                <w:b/>
              </w:rPr>
              <w:t>月度考核表（拟定）</w:t>
            </w:r>
          </w:p>
          <w:p>
            <w:pPr>
              <w:pStyle w:val="null3"/>
              <w:jc w:val="both"/>
            </w:pPr>
            <w:r>
              <w:rPr>
                <w:sz w:val="22"/>
              </w:rPr>
              <w:t>注：如采购人另有要求需进行调整，则以实际调整后为准。</w:t>
            </w:r>
          </w:p>
          <w:tbl>
            <w:tblPr>
              <w:tblBorders>
                <w:top w:val="none" w:color="000000" w:sz="4"/>
                <w:left w:val="none" w:color="000000" w:sz="4"/>
                <w:bottom w:val="none" w:color="000000" w:sz="4"/>
                <w:right w:val="none" w:color="000000" w:sz="4"/>
                <w:insideH w:val="none"/>
                <w:insideV w:val="none"/>
              </w:tblBorders>
            </w:tblPr>
            <w:tblGrid>
              <w:gridCol w:w="923"/>
              <w:gridCol w:w="923"/>
              <w:gridCol w:w="923"/>
              <w:gridCol w:w="1212"/>
              <w:gridCol w:w="1097"/>
              <w:gridCol w:w="519"/>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月度考核表（满分</w:t>
                  </w:r>
                  <w:r>
                    <w:rPr>
                      <w:sz w:val="22"/>
                    </w:rPr>
                    <w:t>100</w:t>
                  </w:r>
                  <w:r>
                    <w:rPr>
                      <w:sz w:val="22"/>
                    </w:rPr>
                    <w:t>分）</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考核单位：</w:t>
                  </w:r>
                  <w:r>
                    <w:rPr>
                      <w:sz w:val="21"/>
                    </w:rPr>
                    <w:t xml:space="preserve">                           </w:t>
                  </w:r>
                  <w:r>
                    <w:rPr>
                      <w:sz w:val="22"/>
                    </w:rPr>
                    <w:t>被考核单位：</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序号</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指标分类</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指标名称</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评价标准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评价</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得分</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服务人员情况</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人员配备情况</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停车场管理人员储备是否充分，是否按要求在岗在位。</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人员业务能力</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停车场管理人员在相关业务处置上是否规范，业务水平是否能胜任工作，是否遵守规章制度。</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场地运转情况</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场地基本情况</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场地是否平整，场地是否提供采购人独立使用，相关构筑物是否完好</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场地消防设施</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场地消防设施运转是否正常</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场地电子监控设备、照明设施等</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场地电子监控设备（至少保存</w:t>
                  </w:r>
                  <w:r>
                    <w:rPr>
                      <w:sz w:val="22"/>
                    </w:rPr>
                    <w:t>6</w:t>
                  </w:r>
                  <w:r>
                    <w:rPr>
                      <w:sz w:val="22"/>
                    </w:rPr>
                    <w:t>个月或以上）、照明设施等是否正常、是否能确保夜间正常开展业务工作</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拖车服务质量</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反应速度</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作业车辆是否</w:t>
                  </w:r>
                  <w:r>
                    <w:rPr>
                      <w:sz w:val="22"/>
                    </w:rPr>
                    <w:t>30</w:t>
                  </w:r>
                  <w:r>
                    <w:rPr>
                      <w:sz w:val="22"/>
                    </w:rPr>
                    <w:t>分钟内到达作业现场，每迟到一次扣</w:t>
                  </w:r>
                  <w:r>
                    <w:rPr>
                      <w:sz w:val="22"/>
                    </w:rPr>
                    <w:t>1</w:t>
                  </w:r>
                  <w:r>
                    <w:rPr>
                      <w:sz w:val="22"/>
                    </w:rPr>
                    <w:t>分（不可抗力导致的情况除外）</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此项满分</w:t>
                  </w:r>
                  <w:r>
                    <w:rPr>
                      <w:sz w:val="22"/>
                    </w:rPr>
                    <w:t>10</w:t>
                  </w:r>
                  <w:r>
                    <w:rPr>
                      <w:sz w:val="22"/>
                    </w:rPr>
                    <w:t>分，每迟到一次扣</w:t>
                  </w:r>
                  <w:r>
                    <w:rPr>
                      <w:sz w:val="22"/>
                    </w:rPr>
                    <w:t>1</w:t>
                  </w:r>
                  <w:r>
                    <w:rPr>
                      <w:sz w:val="22"/>
                    </w:rPr>
                    <w:t>分，扣分不设下限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作业质量</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服务方在作业现场是否能做到高质量作业；工作人员行为举止是否规范。</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配套设备数量、质量</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配套设备数量是否齐全，配套设备运转是否正常</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有关车辆保管、处置情况</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有关车辆数量</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涉案、查扣及事故车辆数量是否出现异常减少</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此项满分</w:t>
                  </w:r>
                  <w:r>
                    <w:rPr>
                      <w:sz w:val="22"/>
                    </w:rPr>
                    <w:t>15</w:t>
                  </w:r>
                  <w:r>
                    <w:rPr>
                      <w:sz w:val="22"/>
                    </w:rPr>
                    <w:t>分，</w:t>
                  </w:r>
                  <w:r>
                    <w:rPr>
                      <w:sz w:val="22"/>
                    </w:rPr>
                    <w:t>每少一辆车辆扣</w:t>
                  </w:r>
                  <w:r>
                    <w:rPr>
                      <w:sz w:val="22"/>
                    </w:rPr>
                    <w:t>15</w:t>
                  </w:r>
                  <w:r>
                    <w:rPr>
                      <w:sz w:val="22"/>
                    </w:rPr>
                    <w:t>分，扣分不设下限。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有关车辆保管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涉案、查扣及事故车辆车况是否出现异常变化，车辆外表、零件是否出现缺损（不可抗力导致的情况除外）</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10</w:t>
                  </w:r>
                  <w:r>
                    <w:rPr>
                      <w:sz w:val="22"/>
                    </w:rPr>
                    <w:t>分）</w:t>
                  </w:r>
                </w:p>
                <w:p>
                  <w:pPr>
                    <w:pStyle w:val="null3"/>
                    <w:jc w:val="both"/>
                  </w:pPr>
                  <w:r>
                    <w:rPr>
                      <w:sz w:val="22"/>
                    </w:rPr>
                    <w:t>□</w:t>
                  </w:r>
                  <w:r>
                    <w:rPr>
                      <w:sz w:val="22"/>
                    </w:rPr>
                    <w:t>良好（</w:t>
                  </w:r>
                  <w:r>
                    <w:rPr>
                      <w:sz w:val="22"/>
                    </w:rPr>
                    <w:t>7</w:t>
                  </w:r>
                  <w:r>
                    <w:rPr>
                      <w:sz w:val="22"/>
                    </w:rPr>
                    <w:t>分）</w:t>
                  </w:r>
                </w:p>
                <w:p>
                  <w:pPr>
                    <w:pStyle w:val="null3"/>
                    <w:jc w:val="both"/>
                  </w:pPr>
                  <w:r>
                    <w:rPr>
                      <w:sz w:val="22"/>
                    </w:rPr>
                    <w:t>□</w:t>
                  </w:r>
                  <w:r>
                    <w:rPr>
                      <w:sz w:val="22"/>
                    </w:rPr>
                    <w:t>一般（</w:t>
                  </w:r>
                  <w:r>
                    <w:rPr>
                      <w:sz w:val="22"/>
                    </w:rPr>
                    <w:t>3</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vMerge/>
                  <w:tcBorders>
                    <w:top w:val="none" w:color="000000" w:sz="4"/>
                    <w:left w:val="singl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有关车辆处置</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服务方是否及时配合大队进行涉案、查扣及事故车辆处置工作</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有关收费情况</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有关收费问题</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是否不按规定乱收车主费用</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此项满分</w:t>
                  </w:r>
                  <w:r>
                    <w:rPr>
                      <w:sz w:val="22"/>
                    </w:rPr>
                    <w:t>15</w:t>
                  </w:r>
                  <w:r>
                    <w:rPr>
                      <w:sz w:val="22"/>
                    </w:rPr>
                    <w:t>分，</w:t>
                  </w:r>
                  <w:r>
                    <w:rPr>
                      <w:sz w:val="22"/>
                    </w:rPr>
                    <w:t>每发现一次扣</w:t>
                  </w:r>
                  <w:r>
                    <w:rPr>
                      <w:sz w:val="22"/>
                    </w:rPr>
                    <w:t>15</w:t>
                  </w:r>
                  <w:r>
                    <w:rPr>
                      <w:sz w:val="22"/>
                    </w:rPr>
                    <w:t>分，扣分不设下限。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184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巡检情况</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是否按执法部门规定时间、次数、要求进行协助，包括如遇包括针对台风、暴雨等天气影响、突击查处行动等。</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184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地磅服务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2"/>
                    </w:rPr>
                    <w:t>是否按规定时间、要求进行服务。</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优秀（</w:t>
                  </w:r>
                  <w:r>
                    <w:rPr>
                      <w:sz w:val="22"/>
                    </w:rPr>
                    <w:t>5</w:t>
                  </w:r>
                  <w:r>
                    <w:rPr>
                      <w:sz w:val="22"/>
                    </w:rPr>
                    <w:t>分）</w:t>
                  </w:r>
                </w:p>
                <w:p>
                  <w:pPr>
                    <w:pStyle w:val="null3"/>
                    <w:jc w:val="both"/>
                  </w:pPr>
                  <w:r>
                    <w:rPr>
                      <w:sz w:val="22"/>
                    </w:rPr>
                    <w:t>□</w:t>
                  </w:r>
                  <w:r>
                    <w:rPr>
                      <w:sz w:val="22"/>
                    </w:rPr>
                    <w:t>良好（</w:t>
                  </w:r>
                  <w:r>
                    <w:rPr>
                      <w:sz w:val="22"/>
                    </w:rPr>
                    <w:t>3</w:t>
                  </w:r>
                  <w:r>
                    <w:rPr>
                      <w:sz w:val="22"/>
                    </w:rPr>
                    <w:t>分）</w:t>
                  </w:r>
                </w:p>
                <w:p>
                  <w:pPr>
                    <w:pStyle w:val="null3"/>
                    <w:jc w:val="both"/>
                  </w:pPr>
                  <w:r>
                    <w:rPr>
                      <w:sz w:val="22"/>
                    </w:rPr>
                    <w:t>□</w:t>
                  </w:r>
                  <w:r>
                    <w:rPr>
                      <w:sz w:val="22"/>
                    </w:rPr>
                    <w:t>一般（</w:t>
                  </w:r>
                  <w:r>
                    <w:rPr>
                      <w:sz w:val="22"/>
                    </w:rPr>
                    <w:t>1</w:t>
                  </w:r>
                  <w:r>
                    <w:rPr>
                      <w:sz w:val="22"/>
                    </w:rPr>
                    <w:t>分）</w:t>
                  </w:r>
                </w:p>
                <w:p>
                  <w:pPr>
                    <w:pStyle w:val="null3"/>
                    <w:jc w:val="both"/>
                  </w:pPr>
                  <w:r>
                    <w:rPr>
                      <w:sz w:val="22"/>
                    </w:rPr>
                    <w:t>□</w:t>
                  </w:r>
                  <w:r>
                    <w:rPr>
                      <w:sz w:val="22"/>
                    </w:rPr>
                    <w:t>差（</w:t>
                  </w:r>
                  <w:r>
                    <w:rPr>
                      <w:sz w:val="22"/>
                    </w:rPr>
                    <w:t>0</w:t>
                  </w:r>
                  <w:r>
                    <w:rPr>
                      <w:sz w:val="22"/>
                    </w:rPr>
                    <w:t>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184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其他需要说明的情况</w:t>
                  </w:r>
                </w:p>
              </w:tc>
              <w:tc>
                <w:tcPr>
                  <w:tcW w:type="dxa" w:w="230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按合同规定本月应付服务费：</w:t>
                  </w:r>
                  <w:r>
                    <w:rPr>
                      <w:sz w:val="21"/>
                    </w:rPr>
                    <w:t xml:space="preserve">    </w:t>
                  </w:r>
                  <w:r>
                    <w:rPr>
                      <w:sz w:val="22"/>
                    </w:rPr>
                    <w:t>元；考评应扣服务费：</w:t>
                  </w:r>
                  <w:r>
                    <w:rPr>
                      <w:sz w:val="21"/>
                    </w:rPr>
                    <w:t xml:space="preserve">    </w:t>
                  </w:r>
                  <w:r>
                    <w:rPr>
                      <w:sz w:val="22"/>
                    </w:rPr>
                    <w:t>元；本月实付服务费：</w:t>
                  </w:r>
                  <w:r>
                    <w:rPr>
                      <w:sz w:val="21"/>
                    </w:rPr>
                    <w:t xml:space="preserve">   </w:t>
                  </w:r>
                  <w:r>
                    <w:rPr>
                      <w:sz w:val="22"/>
                    </w:rPr>
                    <w:t>元。</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考评人员签名：</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考评时段：</w:t>
                  </w:r>
                  <w:r>
                    <w:rPr>
                      <w:sz w:val="22"/>
                    </w:rPr>
                    <w:t xml:space="preserve">20  </w:t>
                  </w:r>
                  <w:r>
                    <w:rPr>
                      <w:sz w:val="22"/>
                    </w:rPr>
                    <w:t>年</w:t>
                  </w:r>
                  <w:r>
                    <w:rPr>
                      <w:sz w:val="21"/>
                    </w:rPr>
                    <w:t xml:space="preserve">  </w:t>
                  </w:r>
                  <w:r>
                    <w:rPr>
                      <w:sz w:val="22"/>
                    </w:rPr>
                    <w:t>月</w:t>
                  </w:r>
                  <w:r>
                    <w:rPr>
                      <w:sz w:val="21"/>
                    </w:rPr>
                    <w:t xml:space="preserve">  </w:t>
                  </w:r>
                  <w:r>
                    <w:rPr>
                      <w:sz w:val="22"/>
                    </w:rPr>
                    <w:t>日至</w:t>
                  </w:r>
                  <w:r>
                    <w:rPr>
                      <w:sz w:val="22"/>
                    </w:rPr>
                    <w:t xml:space="preserve">20  </w:t>
                  </w:r>
                  <w:r>
                    <w:rPr>
                      <w:sz w:val="22"/>
                    </w:rPr>
                    <w:t>年</w:t>
                  </w:r>
                  <w:r>
                    <w:rPr>
                      <w:sz w:val="21"/>
                    </w:rPr>
                    <w:t xml:space="preserve">  </w:t>
                  </w:r>
                  <w:r>
                    <w:rPr>
                      <w:sz w:val="22"/>
                    </w:rPr>
                    <w:t>月</w:t>
                  </w:r>
                  <w:r>
                    <w:rPr>
                      <w:sz w:val="21"/>
                    </w:rPr>
                    <w:t xml:space="preserve">  </w:t>
                  </w:r>
                  <w:r>
                    <w:rPr>
                      <w:sz w:val="22"/>
                    </w:rPr>
                    <w:t>日</w:t>
                  </w:r>
                </w:p>
                <w:p>
                  <w:pPr>
                    <w:pStyle w:val="null3"/>
                    <w:jc w:val="both"/>
                  </w:pPr>
                  <w:r>
                    <w:rPr>
                      <w:sz w:val="22"/>
                    </w:rPr>
                    <w:t>考评日期：</w:t>
                  </w:r>
                  <w:r>
                    <w:rPr>
                      <w:sz w:val="22"/>
                    </w:rPr>
                    <w:t xml:space="preserve">20  </w:t>
                  </w:r>
                  <w:r>
                    <w:rPr>
                      <w:sz w:val="22"/>
                    </w:rPr>
                    <w:t>年</w:t>
                  </w:r>
                  <w:r>
                    <w:rPr>
                      <w:sz w:val="21"/>
                    </w:rPr>
                    <w:t xml:space="preserve">  </w:t>
                  </w:r>
                  <w:r>
                    <w:rPr>
                      <w:sz w:val="22"/>
                    </w:rPr>
                    <w:t>月</w:t>
                  </w:r>
                  <w:r>
                    <w:rPr>
                      <w:sz w:val="21"/>
                    </w:rPr>
                    <w:t xml:space="preserve">  </w:t>
                  </w:r>
                  <w:r>
                    <w:rPr>
                      <w:sz w:val="22"/>
                    </w:rPr>
                    <w:t>日</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说明：</w:t>
                  </w:r>
                </w:p>
                <w:p>
                  <w:pPr>
                    <w:pStyle w:val="null3"/>
                    <w:jc w:val="both"/>
                  </w:pPr>
                  <w:r>
                    <w:rPr>
                      <w:sz w:val="22"/>
                    </w:rPr>
                    <w:t>①</w:t>
                  </w:r>
                  <w:r>
                    <w:rPr>
                      <w:sz w:val="22"/>
                    </w:rPr>
                    <w:t>考核表为每月服务完成后填写；</w:t>
                  </w:r>
                </w:p>
                <w:p>
                  <w:pPr>
                    <w:pStyle w:val="null3"/>
                    <w:jc w:val="both"/>
                  </w:pPr>
                  <w:r>
                    <w:rPr>
                      <w:sz w:val="22"/>
                    </w:rPr>
                    <w:t>②</w:t>
                  </w:r>
                  <w:r>
                    <w:rPr>
                      <w:sz w:val="22"/>
                    </w:rPr>
                    <w:t>考核总分</w:t>
                  </w:r>
                  <w:r>
                    <w:rPr>
                      <w:sz w:val="22"/>
                    </w:rPr>
                    <w:t>90</w:t>
                  </w:r>
                  <w:r>
                    <w:rPr>
                      <w:sz w:val="22"/>
                    </w:rPr>
                    <w:t>分（含）以上，全额支付当月服务费。若考核总分＜</w:t>
                  </w:r>
                  <w:r>
                    <w:rPr>
                      <w:sz w:val="22"/>
                    </w:rPr>
                    <w:t>90</w:t>
                  </w:r>
                  <w:r>
                    <w:rPr>
                      <w:sz w:val="22"/>
                    </w:rPr>
                    <w:t>分，该期按照每低于</w:t>
                  </w:r>
                  <w:r>
                    <w:rPr>
                      <w:sz w:val="22"/>
                    </w:rPr>
                    <w:t>1</w:t>
                  </w:r>
                  <w:r>
                    <w:rPr>
                      <w:sz w:val="22"/>
                    </w:rPr>
                    <w:t>分扣减当月服务费总额的</w:t>
                  </w:r>
                  <w:r>
                    <w:rPr>
                      <w:sz w:val="22"/>
                    </w:rPr>
                    <w:t>0.3%</w:t>
                  </w:r>
                  <w:r>
                    <w:rPr>
                      <w:sz w:val="22"/>
                    </w:rPr>
                    <w:t>违约金后的费用支付；</w:t>
                  </w:r>
                </w:p>
                <w:p>
                  <w:pPr>
                    <w:pStyle w:val="null3"/>
                    <w:jc w:val="both"/>
                  </w:pPr>
                  <w:r>
                    <w:rPr>
                      <w:sz w:val="22"/>
                    </w:rPr>
                    <w:t>③</w:t>
                  </w:r>
                  <w:r>
                    <w:rPr>
                      <w:sz w:val="22"/>
                    </w:rPr>
                    <w:t>考核总分</w:t>
                  </w:r>
                  <w:r>
                    <w:rPr>
                      <w:sz w:val="22"/>
                    </w:rPr>
                    <w:t>≤85</w:t>
                  </w:r>
                  <w:r>
                    <w:rPr>
                      <w:sz w:val="22"/>
                    </w:rPr>
                    <w:t>分，采购人将书面下达限期整改通知书；</w:t>
                  </w:r>
                </w:p>
                <w:p>
                  <w:pPr>
                    <w:pStyle w:val="null3"/>
                    <w:jc w:val="both"/>
                  </w:pPr>
                  <w:r>
                    <w:rPr>
                      <w:sz w:val="22"/>
                    </w:rPr>
                    <w:t>④</w:t>
                  </w:r>
                  <w:r>
                    <w:rPr>
                      <w:sz w:val="22"/>
                    </w:rPr>
                    <w:t>一年内有</w:t>
                  </w:r>
                  <w:r>
                    <w:rPr>
                      <w:sz w:val="22"/>
                    </w:rPr>
                    <w:t>3</w:t>
                  </w:r>
                  <w:r>
                    <w:rPr>
                      <w:sz w:val="22"/>
                    </w:rPr>
                    <w:t>次考核总分</w:t>
                  </w:r>
                  <w:r>
                    <w:rPr>
                      <w:sz w:val="22"/>
                    </w:rPr>
                    <w:t>≤85</w:t>
                  </w:r>
                  <w:r>
                    <w:rPr>
                      <w:sz w:val="22"/>
                    </w:rPr>
                    <w:t>分，采购人有权无条件终止合同。并按合同条款执行违约责任与赔偿损失</w:t>
                  </w:r>
                  <w:r>
                    <w:rPr>
                      <w:sz w:val="22"/>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1.采购代理机构：本项目是指广东正德招标有限公司，负责整个采购活动的组织，依法负责编制和发布招标文件，对招标文件拥有最终的解释权，不以任何身份出任评标委员会成员。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东莞市公安局交通警察支队南城大队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采购机构代理服务收费标准：中标服务费参照国家计委[计价格[2002]1980号]文和国家发改委[发改价格[2011]534号]文及相关规定收取，按差额定率累进法计算，以中标金额作为收费的计算依据，按服务类计算。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广东正德招标有限公司</w:t>
      </w:r>
      <w:r>
        <w:rPr/>
        <w:t>代收。具体操作要求详见</w:t>
      </w:r>
      <w:r>
        <w:rPr/>
        <w:t>广东正德招标有限公司</w:t>
      </w:r>
      <w:r>
        <w:rPr/>
        <w:t>有关指引，递交事宜请自行咨询</w:t>
      </w:r>
      <w:r>
        <w:rPr/>
        <w:t>广东正德招标有限公司</w:t>
      </w:r>
      <w:r>
        <w:rPr/>
        <w:t>；请各投标人在投标文件递交截止时间前按须知前附表规定的金额递交至</w:t>
      </w:r>
      <w:r>
        <w:rPr/>
        <w:t>广东正德招标有限公司</w:t>
      </w:r>
      <w:r>
        <w:rPr/>
        <w:t>，到账情况以开标时</w:t>
      </w:r>
      <w:r>
        <w:rPr/>
        <w:t>广东正德招标有限公司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0769-22682666</w:t>
      </w:r>
    </w:p>
    <w:p>
      <w:pPr>
        <w:pStyle w:val="null3"/>
        <w:ind w:firstLine="480"/>
      </w:pPr>
      <w:r>
        <w:rPr/>
        <w:t>传真：</w:t>
      </w:r>
      <w:r>
        <w:rPr/>
        <w:t>-</w:t>
      </w:r>
    </w:p>
    <w:p>
      <w:pPr>
        <w:pStyle w:val="null3"/>
        <w:ind w:firstLine="480"/>
      </w:pPr>
      <w:r>
        <w:rPr/>
        <w:t>邮箱：</w:t>
      </w:r>
      <w:r>
        <w:rPr/>
        <w:t>zdbidding@163.com</w:t>
      </w:r>
    </w:p>
    <w:p>
      <w:pPr>
        <w:pStyle w:val="null3"/>
        <w:ind w:firstLine="480"/>
      </w:pPr>
      <w:r>
        <w:rPr/>
        <w:t>地址：</w:t>
      </w:r>
      <w:r>
        <w:rPr/>
        <w:t>东莞市南城街道西平社区下手新村一巷17号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公安局交通警察支队南城大队采购交通违法车辆拖车、停车保管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广东正德招标有限公司</w:t>
      </w:r>
      <w:r>
        <w:rPr/>
        <w:t>统一对外发布。</w:t>
      </w:r>
    </w:p>
    <w:p>
      <w:pPr>
        <w:pStyle w:val="null3"/>
        <w:ind w:firstLine="480"/>
      </w:pPr>
      <w:r>
        <w:rPr/>
        <w:t>（2）对</w:t>
      </w:r>
      <w:r>
        <w:rPr/>
        <w:t>广东正德招标有限公司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采购包1（东莞市公安局交通警察支队南城大队采购交通违法车辆拖车、停车保管服务）：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采购包1（东莞市公安局交通警察支队南城大队采购交通违法车辆拖车、停车保管服务）：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项目属于整包专门面向中小企业采购的项目，中小企业须符合本项目采购标的对应行业（本项目采购标的所属行业为：交通运输业）的政策划分标准。监狱企业、残疾人福利单位视同小型、微型企业。注：（1）中小企业须提供《中小企业声明函》（见投标文件格式）；（2）残疾人福利性单位须提供《残疾人福利性单位声明函》（见投标文件格式）；（3）监狱企业须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采购包1（东莞市公安局交通警察支队南城大队采购交通违法车辆拖车、停车保管服务）：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投标报价符合招标文件报价要求为固定唯一价且不超过招标文件规定的预算金额。</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采购包1(东莞市公安局交通警察支队南城大队采购交通违法车辆拖车、停车保管服务):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r>
              <w:rPr/>
              <w:t>，（等次分值选择：</w:t>
            </w:r>
            <w:r>
              <w:rPr/>
              <w:t>0.0;</w:t>
            </w:r>
            <w:r>
              <w:rPr/>
              <w:t>2.0;</w:t>
            </w:r>
            <w:r>
              <w:rPr/>
              <w:t>5.0;</w:t>
            </w:r>
            <w:r>
              <w:rPr/>
              <w:t>10.0;</w:t>
            </w:r>
            <w:r>
              <w:rPr/>
              <w:t>15.0;</w:t>
            </w:r>
            <w:r>
              <w:rPr/>
              <w:t>）</w:t>
            </w:r>
          </w:p>
        </w:tc>
        <w:tc>
          <w:tcPr>
            <w:tcW w:type="dxa" w:w="5076"/>
          </w:tcPr>
          <w:p>
            <w:pPr>
              <w:pStyle w:val="null3"/>
              <w:jc w:val="left"/>
            </w:pPr>
            <w:r>
              <w:rPr/>
              <w:t>根据投标人针对本项目提供的总体服务方案（包括但不限于停车场日常管理、安保及人员调配安排、车辆进场交接和出场手续）进行综合评审： （1）停车场日常管理计划详细完整，安保及人员调配安排科学合理，车辆进场交接和出场手续步骤清晰明确，可行性强，得15分； （2）停车场日常管理计划较详细完整，安保及人员调配安排较科学合理，车辆进场交接和出场手续步骤较清晰明确，可行性较强，得10分； （3）停车场日常管理计划详细完整性一般，安保及人员调配安排基本合理，车辆进场交接和出场手续步骤基本完整，可行性一般，得5分； （4）停车场日常管理计划不完整，安保及人员调配安排不合理，车辆进场交接和出场手续步骤不完整，得2分； （5）未提供相关方案的，得0分。</w:t>
            </w:r>
          </w:p>
        </w:tc>
      </w:tr>
      <w:tr>
        <w:tc>
          <w:tcPr>
            <w:tcW w:type="dxa" w:w="922"/>
            <w:gridSpan w:val="2"/>
            <w:vMerge/>
          </w:tcPr>
          <w:p/>
        </w:tc>
        <w:tc>
          <w:tcPr>
            <w:tcW w:type="dxa" w:w="2307"/>
          </w:tcPr>
          <w:p>
            <w:pPr>
              <w:pStyle w:val="null3"/>
              <w:jc w:val="left"/>
            </w:pPr>
            <w:r>
              <w:rPr/>
              <w:t>服务质量保证措施 (15.0分)</w:t>
            </w:r>
            <w:r>
              <w:rPr/>
              <w:t>，（等次分值选择：</w:t>
            </w:r>
            <w:r>
              <w:rPr/>
              <w:t>0.0;</w:t>
            </w:r>
            <w:r>
              <w:rPr/>
              <w:t>2.0;</w:t>
            </w:r>
            <w:r>
              <w:rPr/>
              <w:t>5.0;</w:t>
            </w:r>
            <w:r>
              <w:rPr/>
              <w:t>10.0;</w:t>
            </w:r>
            <w:r>
              <w:rPr/>
              <w:t>15.0;</w:t>
            </w:r>
            <w:r>
              <w:rPr/>
              <w:t>）</w:t>
            </w:r>
          </w:p>
        </w:tc>
        <w:tc>
          <w:tcPr>
            <w:tcW w:type="dxa" w:w="5076"/>
          </w:tcPr>
          <w:p>
            <w:pPr>
              <w:pStyle w:val="null3"/>
              <w:jc w:val="left"/>
            </w:pPr>
            <w:r>
              <w:rPr/>
              <w:t>根据投标人针对本项目提供的服务质量保证措施（包括但不限于停车保管、拖车服务、过磅服务、质量保证目标）进行综合评审： （1）有详细的针对本项目的停车保管、拖车服务、过磅服务的方案描述，专业技术能力强，并对质量保证目标明确完整，得15分； （2）有较详细的针对本项目的停车保管、拖车服务、过磅服务的方案描述，专业技术能力较强，并对质量保证目标较明确完整，得10分； （3）针对本项目的停车保管、拖车服务、过磅服务的方案描述详细程度一般，专业技术能力一般，并对质量保证目标基本明确，得5分； （4）对停车保管、拖车服务、过磅服务的方案描述简单，专业技术能力较差，并对质量保证目标不明确，得2分； （5）未提供相关方案的，得0分。</w:t>
            </w:r>
          </w:p>
        </w:tc>
      </w:tr>
      <w:tr>
        <w:tc>
          <w:tcPr>
            <w:tcW w:type="dxa" w:w="922"/>
            <w:gridSpan w:val="2"/>
            <w:vMerge/>
          </w:tcPr>
          <w:p/>
        </w:tc>
        <w:tc>
          <w:tcPr>
            <w:tcW w:type="dxa" w:w="2307"/>
          </w:tcPr>
          <w:p>
            <w:pPr>
              <w:pStyle w:val="null3"/>
              <w:jc w:val="left"/>
            </w:pPr>
            <w:r>
              <w:rPr/>
              <w:t>制度建立及档案管理方案 (15.0分)</w:t>
            </w:r>
            <w:r>
              <w:rPr/>
              <w:t>，（等次分值选择：</w:t>
            </w:r>
            <w:r>
              <w:rPr/>
              <w:t>0.0;</w:t>
            </w:r>
            <w:r>
              <w:rPr/>
              <w:t>2.0;</w:t>
            </w:r>
            <w:r>
              <w:rPr/>
              <w:t>5.0;</w:t>
            </w:r>
            <w:r>
              <w:rPr/>
              <w:t>10.0;</w:t>
            </w:r>
            <w:r>
              <w:rPr/>
              <w:t>15.0;</w:t>
            </w:r>
            <w:r>
              <w:rPr/>
              <w:t>）</w:t>
            </w:r>
          </w:p>
        </w:tc>
        <w:tc>
          <w:tcPr>
            <w:tcW w:type="dxa" w:w="5076"/>
          </w:tcPr>
          <w:p>
            <w:pPr>
              <w:pStyle w:val="null3"/>
              <w:jc w:val="left"/>
            </w:pPr>
            <w:r>
              <w:rPr/>
              <w:t>根据投标人针对本项目提供的制度建立及档案管理方案（包括但不限于内部管理制度、消防安全制度、安全防范制度、场地区域划分、拖车停车文档资料管理）进行综合评审： （1）内部管理制度、消防安全制度、安全防范制度描述具体完善，场地区域划分合理明确，拖车停车文档资料管理方案流程详细具体合理，得15分； （2）内部管理制度、消防安全制度、安全防范制度描述较具体完善，场地区域划分较合理明确，拖车停车文档资料管理方案流程较详细合理，得10分； （3）内部管理制度、消防安全制度、安全防范制度描述详细程度一般，场地区域划分基本合理，拖车停车文档资料管理方案流程基本合理，得5分； （4）内部管理制度、消防安全制度、安全防范制度描述简单，场地区域划分不合理，拖车停车文档资料管理方案流程不合理，得2分； （5）未提供相关方案的，得0分。</w:t>
            </w:r>
          </w:p>
        </w:tc>
      </w:tr>
      <w:tr>
        <w:tc>
          <w:tcPr>
            <w:tcW w:type="dxa" w:w="922"/>
            <w:gridSpan w:val="2"/>
            <w:vMerge/>
          </w:tcPr>
          <w:p/>
        </w:tc>
        <w:tc>
          <w:tcPr>
            <w:tcW w:type="dxa" w:w="2307"/>
          </w:tcPr>
          <w:p>
            <w:pPr>
              <w:pStyle w:val="null3"/>
              <w:jc w:val="left"/>
            </w:pPr>
            <w:r>
              <w:rPr/>
              <w:t>应急保障方案 (10.0分)</w:t>
            </w:r>
            <w:r>
              <w:rPr/>
              <w:t>，（等次分值选择：</w:t>
            </w:r>
            <w:r>
              <w:rPr/>
              <w:t>0.0;</w:t>
            </w:r>
            <w:r>
              <w:rPr/>
              <w:t>1.0;</w:t>
            </w:r>
            <w:r>
              <w:rPr/>
              <w:t>3.0;</w:t>
            </w:r>
            <w:r>
              <w:rPr/>
              <w:t>6.0;</w:t>
            </w:r>
            <w:r>
              <w:rPr/>
              <w:t>10.0;</w:t>
            </w:r>
            <w:r>
              <w:rPr/>
              <w:t>）</w:t>
            </w:r>
          </w:p>
        </w:tc>
        <w:tc>
          <w:tcPr>
            <w:tcW w:type="dxa" w:w="5076"/>
          </w:tcPr>
          <w:p>
            <w:pPr>
              <w:pStyle w:val="null3"/>
              <w:jc w:val="left"/>
            </w:pPr>
            <w:r>
              <w:rPr/>
              <w:t>根据投标人针对本项目提供针对可能会出现的重大活动、执行安保工作、突发事件、遇到恶劣天气、特殊或紧急情况提供的应急保障应对措施、处理方案（包括不限于人员调配、车辆设备调配、操作流程、保障措施）等进行综合评审： （1）方案考虑深入严谨，应对措施科学合理，可行性强，各项处理方案流程详细具体合理，并能根据项目需求及实际情况提出合理可行的建议的，得10分； （2）方案考虑较深入，应对措施较合理，可行性较强，各项处理方案流程较详细合理的，得6分； （3）方案不够全面具体，应对措施基本具备，各项处理方案流程简单的，得3分； （4）方案不完整，应对措施较差，各项处理方案流可行性差的，得1分； （5）未提供相关方案的，得0分。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配备车辆情况 (9.0分)</w:t>
            </w:r>
          </w:p>
        </w:tc>
        <w:tc>
          <w:tcPr>
            <w:tcW w:type="dxa" w:w="5076"/>
          </w:tcPr>
          <w:p>
            <w:pPr>
              <w:pStyle w:val="null3"/>
              <w:jc w:val="left"/>
            </w:pPr>
            <w:r>
              <w:rPr/>
              <w:t>根据投标人拟投入本项目的总质量3吨或以上的中型（或重型）专项作业车的，每提供一辆得3分，最高得9分。 （自有车辆须同时提供①车辆登记证复印件或车辆行驶证复印件（所有人须为投标人）、②购置发票复印件，并加盖投标人公章；租赁车辆须同时提供①车辆登记证复印件或车辆行驶证复印件、②以投标人名义签订并在有效期内的租赁合同复印件，并加盖投标人公章。如为联合体投标的，联合体任意一方提供的作业车证明资料均予以认可，计入得分。）</w:t>
            </w:r>
          </w:p>
        </w:tc>
      </w:tr>
      <w:tr>
        <w:tc>
          <w:tcPr>
            <w:tcW w:type="dxa" w:w="922"/>
            <w:gridSpan w:val="2"/>
            <w:vMerge/>
          </w:tcPr>
          <w:p/>
        </w:tc>
        <w:tc>
          <w:tcPr>
            <w:tcW w:type="dxa" w:w="2307"/>
          </w:tcPr>
          <w:p>
            <w:pPr>
              <w:pStyle w:val="null3"/>
              <w:jc w:val="left"/>
            </w:pPr>
            <w:r>
              <w:rPr/>
              <w:t>配备地磅情况 (8.0分)</w:t>
            </w:r>
          </w:p>
        </w:tc>
        <w:tc>
          <w:tcPr>
            <w:tcW w:type="dxa" w:w="5076"/>
          </w:tcPr>
          <w:p>
            <w:pPr>
              <w:pStyle w:val="null3"/>
              <w:jc w:val="left"/>
            </w:pPr>
            <w:r>
              <w:rPr/>
              <w:t>根据投标人拟投入本项目的固定地磅情况进行评分： （1）投标人配备80吨（不含）以下的固定地磅的，得2分； （2）投标人配备80吨（含）至100吨（不含）的固定地磅的，得5分； （3）投标人配备100吨（含）或以上的固定地磅的，得8分； 最高得8分。 （须提供由法定计量检定机构出具的检定证书复印件加盖投标人公章，如为联合体投标的，联合体任意一方提供的检定证书均予以认可，计入得分。）</w:t>
            </w:r>
          </w:p>
        </w:tc>
      </w:tr>
      <w:tr>
        <w:tc>
          <w:tcPr>
            <w:tcW w:type="dxa" w:w="922"/>
            <w:gridSpan w:val="2"/>
            <w:vMerge/>
          </w:tcPr>
          <w:p/>
        </w:tc>
        <w:tc>
          <w:tcPr>
            <w:tcW w:type="dxa" w:w="2307"/>
          </w:tcPr>
          <w:p>
            <w:pPr>
              <w:pStyle w:val="null3"/>
              <w:jc w:val="left"/>
            </w:pPr>
            <w:r>
              <w:rPr/>
              <w:t>项目业绩 (18.0分)</w:t>
            </w:r>
          </w:p>
        </w:tc>
        <w:tc>
          <w:tcPr>
            <w:tcW w:type="dxa" w:w="5076"/>
          </w:tcPr>
          <w:p>
            <w:pPr>
              <w:pStyle w:val="null3"/>
              <w:jc w:val="left"/>
            </w:pPr>
            <w:r>
              <w:rPr/>
              <w:t>投标人具有已完成或正在实施的拖车服务类或停车保管服务类同类业绩的，每提供一个符合要求的业绩得2分，最高得18分。 （每个业绩合同不可重复计算，须提供合同复印件加盖投标人公章，如为联合体投标的，联合体任意一方提供的业绩均予以认可，计入得分。）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1"/>
          <w:b/>
        </w:rPr>
        <w:t>广东省政府采购</w:t>
      </w:r>
    </w:p>
    <w:p>
      <w:pPr>
        <w:pStyle w:val="null3"/>
        <w:jc w:val="both"/>
      </w:pPr>
      <w:r>
        <w:rPr>
          <w:sz w:val="21"/>
        </w:rPr>
        <w:t xml:space="preserve"> </w:t>
      </w:r>
    </w:p>
    <w:p>
      <w:pPr>
        <w:pStyle w:val="null3"/>
        <w:jc w:val="center"/>
      </w:pPr>
      <w:r>
        <w:rPr>
          <w:sz w:val="21"/>
          <w:b/>
        </w:rPr>
        <w:t>合　同　书</w:t>
      </w:r>
    </w:p>
    <w:p>
      <w:pPr>
        <w:pStyle w:val="null3"/>
        <w:jc w:val="center"/>
      </w:pPr>
      <w:r>
        <w:br/>
      </w:r>
      <w:r>
        <w:br/>
      </w:r>
      <w:r>
        <w:br/>
      </w:r>
      <w:r>
        <w:br/>
      </w:r>
      <w:r>
        <w:br/>
      </w:r>
      <w:r>
        <w:br/>
      </w:r>
      <w:r>
        <w:br/>
      </w:r>
      <w:r>
        <w:br/>
      </w:r>
      <w:r>
        <w:rPr>
          <w:sz w:val="21"/>
        </w:rPr>
        <w:t xml:space="preserve">  </w:t>
      </w:r>
    </w:p>
    <w:p>
      <w:pPr>
        <w:pStyle w:val="null3"/>
        <w:jc w:val="center"/>
      </w:pPr>
      <w:r>
        <w:rPr>
          <w:sz w:val="28"/>
          <w:color w:val="222222"/>
        </w:rPr>
        <w:t>采购计划编号：</w:t>
      </w:r>
      <w:r>
        <w:rPr>
          <w:sz w:val="21"/>
          <w:u w:val="single"/>
        </w:rPr>
        <w:t xml:space="preserve">                         </w:t>
      </w:r>
    </w:p>
    <w:p>
      <w:pPr>
        <w:pStyle w:val="null3"/>
        <w:jc w:val="both"/>
      </w:pPr>
      <w:r>
        <w:rPr>
          <w:sz w:val="21"/>
        </w:rPr>
        <w:t xml:space="preserve"> </w:t>
      </w:r>
    </w:p>
    <w:p>
      <w:pPr>
        <w:pStyle w:val="null3"/>
        <w:jc w:val="center"/>
      </w:pPr>
      <w:r>
        <w:rPr>
          <w:sz w:val="28"/>
          <w:color w:val="222222"/>
        </w:rPr>
        <w:t>项目编号：</w:t>
      </w:r>
      <w:r>
        <w:rPr>
          <w:sz w:val="21"/>
          <w:u w:val="single"/>
        </w:rPr>
        <w:t xml:space="preserve">                             </w:t>
      </w:r>
    </w:p>
    <w:p>
      <w:pPr>
        <w:pStyle w:val="null3"/>
        <w:jc w:val="both"/>
      </w:pPr>
      <w:r>
        <w:rPr>
          <w:sz w:val="21"/>
        </w:rPr>
        <w:t xml:space="preserve"> </w:t>
      </w:r>
    </w:p>
    <w:p>
      <w:pPr>
        <w:pStyle w:val="null3"/>
        <w:jc w:val="center"/>
      </w:pPr>
      <w:r>
        <w:rPr>
          <w:sz w:val="28"/>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br/>
      </w:r>
      <w:r>
        <w:rPr>
          <w:sz w:val="21"/>
        </w:rPr>
        <w:t xml:space="preserve">  </w:t>
      </w:r>
    </w:p>
    <w:p>
      <w:pPr>
        <w:pStyle w:val="null3"/>
      </w:pPr>
      <w:r>
        <w:rPr>
          <w:sz w:val="22"/>
        </w:rPr>
        <w:t>甲方：</w:t>
      </w:r>
    </w:p>
    <w:p>
      <w:pPr>
        <w:pStyle w:val="null3"/>
        <w:jc w:val="both"/>
      </w:pPr>
      <w:r>
        <w:rPr>
          <w:sz w:val="22"/>
        </w:rPr>
        <w:t>乙方：</w:t>
      </w:r>
      <w:r>
        <w:rPr>
          <w:sz w:val="22"/>
        </w:rPr>
        <w:t>“</w:t>
      </w:r>
      <w:r>
        <w:rPr>
          <w:sz w:val="21"/>
          <w:u w:val="single"/>
        </w:rPr>
        <w:t xml:space="preserve">                         </w:t>
      </w:r>
      <w:r>
        <w:rPr>
          <w:sz w:val="22"/>
        </w:rPr>
        <w:t>”</w:t>
      </w:r>
      <w:r>
        <w:rPr>
          <w:sz w:val="22"/>
        </w:rPr>
        <w:t>为中标供应商</w:t>
      </w:r>
    </w:p>
    <w:p>
      <w:pPr>
        <w:pStyle w:val="null3"/>
        <w:jc w:val="both"/>
      </w:pPr>
      <w:r>
        <w:rPr>
          <w:sz w:val="22"/>
        </w:rPr>
        <w:t>受甲方委托，</w:t>
      </w:r>
      <w:r>
        <w:rPr>
          <w:sz w:val="22"/>
          <w:u w:val="single"/>
        </w:rPr>
        <w:t xml:space="preserve">           (</w:t>
      </w:r>
      <w:r>
        <w:rPr>
          <w:sz w:val="22"/>
          <w:u w:val="single"/>
        </w:rPr>
        <w:t>采购代理机构</w:t>
      </w:r>
      <w:r>
        <w:rPr>
          <w:sz w:val="22"/>
          <w:u w:val="single"/>
        </w:rPr>
        <w:t>)</w:t>
      </w:r>
      <w:r>
        <w:rPr>
          <w:sz w:val="22"/>
        </w:rPr>
        <w:t>组织对</w:t>
      </w:r>
      <w:r>
        <w:rPr>
          <w:sz w:val="21"/>
          <w:u w:val="single"/>
        </w:rPr>
        <w:t xml:space="preserve">         </w:t>
      </w:r>
      <w:r>
        <w:rPr>
          <w:sz w:val="22"/>
          <w:u w:val="single"/>
        </w:rPr>
        <w:t>东莞市公安局交通警察支队南城大队采购交通违法车辆拖车、停车保管服务</w:t>
      </w:r>
      <w:r>
        <w:rPr>
          <w:sz w:val="22"/>
        </w:rPr>
        <w:t>采购项目（项目编号为</w:t>
      </w:r>
      <w:r>
        <w:rPr>
          <w:sz w:val="21"/>
          <w:u w:val="single"/>
        </w:rPr>
        <w:t xml:space="preserve">            </w:t>
      </w:r>
      <w:r>
        <w:rPr>
          <w:sz w:val="22"/>
        </w:rPr>
        <w:t>）进行采购，于</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日通过公开招标，经评标委员会评定乙方</w:t>
      </w:r>
      <w:r>
        <w:rPr>
          <w:sz w:val="21"/>
          <w:u w:val="single"/>
        </w:rPr>
        <w:t xml:space="preserve">                       </w:t>
      </w:r>
      <w:r>
        <w:rPr>
          <w:sz w:val="22"/>
        </w:rPr>
        <w:t>为中标供应商。为了保护甲、乙双方合法权益，根据《中华人民共和国政府采购法》及其实施条例、《中华人民共和国民法典》，在平等自愿的基础上，按照下面的条款和条件，签署本合同。</w:t>
      </w:r>
    </w:p>
    <w:p>
      <w:pPr>
        <w:pStyle w:val="null3"/>
        <w:ind w:firstLine="442"/>
        <w:jc w:val="both"/>
      </w:pPr>
      <w:r>
        <w:rPr>
          <w:sz w:val="22"/>
          <w:b/>
        </w:rPr>
        <w:t>第一条合同项目</w:t>
      </w:r>
    </w:p>
    <w:p>
      <w:pPr>
        <w:pStyle w:val="null3"/>
        <w:ind w:firstLine="440"/>
        <w:jc w:val="both"/>
      </w:pPr>
      <w:r>
        <w:rPr>
          <w:sz w:val="22"/>
        </w:rPr>
        <w:t>1</w:t>
      </w:r>
      <w:r>
        <w:rPr>
          <w:sz w:val="22"/>
        </w:rPr>
        <w:t>、项目名称：</w:t>
      </w:r>
      <w:r>
        <w:rPr>
          <w:sz w:val="21"/>
          <w:u w:val="single"/>
        </w:rPr>
        <w:t xml:space="preserve">                              </w:t>
      </w:r>
      <w:r>
        <w:rPr>
          <w:sz w:val="22"/>
        </w:rPr>
        <w:t>；</w:t>
      </w:r>
    </w:p>
    <w:p>
      <w:pPr>
        <w:pStyle w:val="null3"/>
        <w:ind w:firstLine="440"/>
        <w:jc w:val="both"/>
      </w:pPr>
      <w:r>
        <w:rPr>
          <w:sz w:val="22"/>
        </w:rPr>
        <w:t>2</w:t>
      </w:r>
      <w:r>
        <w:rPr>
          <w:sz w:val="22"/>
        </w:rPr>
        <w:t>、项目编号：</w:t>
      </w:r>
      <w:r>
        <w:rPr>
          <w:sz w:val="21"/>
          <w:u w:val="single"/>
        </w:rPr>
        <w:t xml:space="preserve">                   </w:t>
      </w:r>
      <w:r>
        <w:rPr>
          <w:sz w:val="22"/>
        </w:rPr>
        <w:t>。</w:t>
      </w:r>
    </w:p>
    <w:p>
      <w:pPr>
        <w:pStyle w:val="null3"/>
        <w:ind w:firstLine="442"/>
        <w:jc w:val="both"/>
      </w:pPr>
      <w:r>
        <w:rPr>
          <w:sz w:val="22"/>
          <w:b/>
        </w:rPr>
        <w:t>第二条合同组成</w:t>
      </w:r>
    </w:p>
    <w:p>
      <w:pPr>
        <w:pStyle w:val="null3"/>
        <w:ind w:firstLine="440"/>
        <w:jc w:val="both"/>
      </w:pPr>
      <w:r>
        <w:rPr>
          <w:sz w:val="22"/>
        </w:rPr>
        <w:t>1</w:t>
      </w:r>
      <w:r>
        <w:rPr>
          <w:sz w:val="22"/>
        </w:rPr>
        <w:t>、合同文件组成内容包括：本合同书</w:t>
      </w:r>
      <w:r>
        <w:rPr>
          <w:sz w:val="22"/>
        </w:rPr>
        <w:t>、中标通知书、投标文件（含澄清内容）、招标文件（含招标文件澄清通知）等。</w:t>
      </w:r>
    </w:p>
    <w:p>
      <w:pPr>
        <w:pStyle w:val="null3"/>
        <w:ind w:firstLine="442"/>
        <w:jc w:val="both"/>
      </w:pPr>
      <w:r>
        <w:rPr>
          <w:sz w:val="22"/>
          <w:b/>
        </w:rPr>
        <w:t>第三条服务内容、标准及要求</w:t>
      </w:r>
    </w:p>
    <w:p>
      <w:pPr>
        <w:pStyle w:val="null3"/>
        <w:ind w:firstLine="440"/>
        <w:jc w:val="left"/>
      </w:pPr>
      <w:r>
        <w:rPr>
          <w:sz w:val="22"/>
        </w:rPr>
        <w:t>1</w:t>
      </w:r>
      <w:r>
        <w:rPr>
          <w:sz w:val="22"/>
        </w:rPr>
        <w:t>、服务内容：</w:t>
      </w:r>
      <w:r>
        <w:rPr>
          <w:sz w:val="21"/>
          <w:u w:val="single"/>
        </w:rPr>
        <w:t xml:space="preserve">                                            </w:t>
      </w:r>
      <w:r>
        <w:rPr>
          <w:sz w:val="22"/>
          <w:u w:val="single"/>
        </w:rPr>
        <w:t>。</w:t>
      </w:r>
    </w:p>
    <w:p>
      <w:pPr>
        <w:pStyle w:val="null3"/>
        <w:ind w:firstLine="440"/>
        <w:jc w:val="left"/>
      </w:pPr>
      <w:r>
        <w:rPr>
          <w:sz w:val="22"/>
        </w:rPr>
        <w:t>2</w:t>
      </w:r>
      <w:r>
        <w:rPr>
          <w:sz w:val="22"/>
        </w:rPr>
        <w:t>、服务标准：</w:t>
      </w:r>
      <w:r>
        <w:rPr>
          <w:sz w:val="21"/>
          <w:u w:val="single"/>
        </w:rPr>
        <w:t xml:space="preserve">                                            </w:t>
      </w:r>
      <w:r>
        <w:rPr>
          <w:sz w:val="22"/>
          <w:u w:val="single"/>
        </w:rPr>
        <w:t>。</w:t>
      </w:r>
    </w:p>
    <w:p>
      <w:pPr>
        <w:pStyle w:val="null3"/>
        <w:ind w:firstLine="440"/>
        <w:jc w:val="left"/>
      </w:pPr>
      <w:r>
        <w:rPr>
          <w:sz w:val="22"/>
        </w:rPr>
        <w:t>3</w:t>
      </w:r>
      <w:r>
        <w:rPr>
          <w:sz w:val="22"/>
        </w:rPr>
        <w:t>、服务要求：</w:t>
      </w:r>
      <w:r>
        <w:rPr>
          <w:sz w:val="21"/>
          <w:u w:val="single"/>
        </w:rPr>
        <w:t xml:space="preserve">                                            </w:t>
      </w:r>
      <w:r>
        <w:rPr>
          <w:sz w:val="22"/>
          <w:u w:val="single"/>
        </w:rPr>
        <w:t>。</w:t>
      </w:r>
    </w:p>
    <w:p>
      <w:pPr>
        <w:pStyle w:val="null3"/>
        <w:ind w:firstLine="440"/>
        <w:jc w:val="left"/>
      </w:pPr>
      <w:r>
        <w:rPr>
          <w:sz w:val="22"/>
        </w:rPr>
        <w:t>4</w:t>
      </w:r>
      <w:r>
        <w:rPr>
          <w:sz w:val="22"/>
        </w:rPr>
        <w:t>、具体服务内容服务标准及要求以招标文件用户需求书及乙方投标文件承诺条款及方案为准。</w:t>
      </w:r>
    </w:p>
    <w:p>
      <w:pPr>
        <w:pStyle w:val="null3"/>
        <w:ind w:firstLine="442"/>
        <w:jc w:val="both"/>
      </w:pPr>
      <w:r>
        <w:rPr>
          <w:sz w:val="22"/>
          <w:b/>
        </w:rPr>
        <w:t>第四条价格</w:t>
      </w:r>
    </w:p>
    <w:p>
      <w:pPr>
        <w:pStyle w:val="null3"/>
        <w:ind w:firstLine="440"/>
        <w:jc w:val="both"/>
      </w:pPr>
      <w:r>
        <w:rPr>
          <w:sz w:val="22"/>
        </w:rPr>
        <w:t>1</w:t>
      </w:r>
      <w:r>
        <w:rPr>
          <w:sz w:val="22"/>
        </w:rPr>
        <w:t>、合同总价：（人民币）大写</w:t>
      </w:r>
      <w:r>
        <w:rPr>
          <w:sz w:val="21"/>
          <w:u w:val="single"/>
        </w:rPr>
        <w:t xml:space="preserve">                        </w:t>
      </w:r>
      <w:r>
        <w:rPr>
          <w:sz w:val="22"/>
        </w:rPr>
        <w:t>（</w:t>
      </w:r>
      <w:r>
        <w:rPr>
          <w:sz w:val="22"/>
        </w:rPr>
        <w:t>¥</w:t>
      </w:r>
      <w:r>
        <w:rPr>
          <w:sz w:val="21"/>
          <w:u w:val="single"/>
        </w:rPr>
        <w:t xml:space="preserve">               </w:t>
      </w:r>
      <w:r>
        <w:rPr>
          <w:sz w:val="22"/>
        </w:rPr>
        <w:t>）</w:t>
      </w:r>
    </w:p>
    <w:p>
      <w:pPr>
        <w:pStyle w:val="null3"/>
        <w:ind w:firstLine="418"/>
        <w:jc w:val="both"/>
      </w:pPr>
      <w:r>
        <w:rPr>
          <w:sz w:val="22"/>
        </w:rPr>
        <w:t>2</w:t>
      </w:r>
      <w:r>
        <w:rPr>
          <w:sz w:val="22"/>
        </w:rPr>
        <w:t>、合同总价包含：应包括包工、包料、包机械设备、包质量、包工期、包安全、包税金、油料费、维修费、路桥费、保管费、场地保险费、人员工资、员工保险等，以报价一次包干，结算时不作调整。报价包括国家规定的所有税费及与项目相关的所有费用。以人民币为结算单位。</w:t>
      </w:r>
    </w:p>
    <w:p>
      <w:pPr>
        <w:pStyle w:val="null3"/>
        <w:ind w:firstLine="418"/>
        <w:jc w:val="both"/>
      </w:pPr>
      <w:r>
        <w:rPr>
          <w:sz w:val="22"/>
        </w:rPr>
        <w:t>3</w:t>
      </w:r>
      <w:r>
        <w:rPr>
          <w:sz w:val="22"/>
        </w:rPr>
        <w:t>、本合同价为固定不变价。</w:t>
      </w:r>
    </w:p>
    <w:p>
      <w:pPr>
        <w:pStyle w:val="null3"/>
        <w:ind w:firstLine="442"/>
        <w:jc w:val="both"/>
      </w:pPr>
      <w:r>
        <w:rPr>
          <w:sz w:val="22"/>
          <w:b/>
        </w:rPr>
        <w:t>第五条服务期限及地点</w:t>
      </w:r>
    </w:p>
    <w:p>
      <w:pPr>
        <w:pStyle w:val="null3"/>
        <w:ind w:firstLine="519"/>
        <w:jc w:val="both"/>
      </w:pPr>
      <w:r>
        <w:rPr>
          <w:sz w:val="22"/>
        </w:rPr>
        <w:t>1</w:t>
      </w:r>
      <w:r>
        <w:rPr>
          <w:sz w:val="22"/>
        </w:rPr>
        <w:t>、服务期：</w:t>
      </w:r>
      <w:r>
        <w:rPr>
          <w:sz w:val="21"/>
          <w:u w:val="single"/>
        </w:rPr>
        <w:t xml:space="preserve">  </w:t>
      </w:r>
      <w:r>
        <w:rPr>
          <w:sz w:val="22"/>
        </w:rPr>
        <w:t>年，合同生效之日</w:t>
      </w:r>
      <w:r>
        <w:rPr>
          <w:sz w:val="22"/>
          <w:u w:val="single"/>
        </w:rPr>
        <w:t>自</w:t>
      </w:r>
      <w:r>
        <w:rPr>
          <w:sz w:val="21"/>
          <w:u w:val="single"/>
        </w:rPr>
        <w:t xml:space="preserve">       </w:t>
      </w:r>
      <w:r>
        <w:rPr>
          <w:sz w:val="22"/>
          <w:u w:val="single"/>
        </w:rPr>
        <w:t>年</w:t>
      </w:r>
      <w:r>
        <w:rPr>
          <w:sz w:val="21"/>
          <w:u w:val="single"/>
        </w:rPr>
        <w:t xml:space="preserve">  </w:t>
      </w:r>
      <w:r>
        <w:rPr>
          <w:sz w:val="22"/>
          <w:u w:val="single"/>
        </w:rPr>
        <w:t>月</w:t>
      </w:r>
      <w:r>
        <w:rPr>
          <w:sz w:val="21"/>
          <w:u w:val="single"/>
        </w:rPr>
        <w:t xml:space="preserve">  </w:t>
      </w:r>
      <w:r>
        <w:rPr>
          <w:sz w:val="22"/>
          <w:u w:val="single"/>
        </w:rPr>
        <w:t>日至</w:t>
      </w:r>
      <w:r>
        <w:rPr>
          <w:sz w:val="21"/>
          <w:u w:val="single"/>
        </w:rPr>
        <w:t xml:space="preserve">     </w:t>
      </w:r>
      <w:r>
        <w:rPr>
          <w:sz w:val="22"/>
          <w:u w:val="single"/>
        </w:rPr>
        <w:t>年</w:t>
      </w:r>
      <w:r>
        <w:rPr>
          <w:sz w:val="21"/>
          <w:u w:val="single"/>
        </w:rPr>
        <w:t xml:space="preserve">  </w:t>
      </w:r>
      <w:r>
        <w:rPr>
          <w:sz w:val="22"/>
          <w:u w:val="single"/>
        </w:rPr>
        <w:t>月</w:t>
      </w:r>
      <w:r>
        <w:rPr>
          <w:sz w:val="21"/>
          <w:u w:val="single"/>
        </w:rPr>
        <w:t xml:space="preserve">  </w:t>
      </w:r>
      <w:r>
        <w:rPr>
          <w:sz w:val="22"/>
          <w:u w:val="single"/>
        </w:rPr>
        <w:t>日止</w:t>
      </w:r>
      <w:r>
        <w:rPr>
          <w:sz w:val="22"/>
        </w:rPr>
        <w:t>。</w:t>
      </w:r>
    </w:p>
    <w:p>
      <w:pPr>
        <w:pStyle w:val="null3"/>
        <w:ind w:firstLine="519"/>
        <w:jc w:val="both"/>
      </w:pPr>
      <w:r>
        <w:rPr>
          <w:sz w:val="22"/>
        </w:rPr>
        <w:t>2</w:t>
      </w:r>
      <w:r>
        <w:rPr>
          <w:sz w:val="22"/>
        </w:rPr>
        <w:t>、服务地点：</w:t>
      </w:r>
      <w:r>
        <w:rPr>
          <w:sz w:val="21"/>
          <w:u w:val="single"/>
        </w:rPr>
        <w:t xml:space="preserve">              </w:t>
      </w:r>
      <w:r>
        <w:rPr>
          <w:sz w:val="22"/>
        </w:rPr>
        <w:t>或甲方指定地点。</w:t>
      </w:r>
    </w:p>
    <w:p>
      <w:pPr>
        <w:pStyle w:val="null3"/>
        <w:ind w:firstLine="442"/>
        <w:jc w:val="both"/>
      </w:pPr>
      <w:r>
        <w:rPr>
          <w:sz w:val="22"/>
          <w:b/>
        </w:rPr>
        <w:t>第六条付款方式</w:t>
      </w:r>
    </w:p>
    <w:p>
      <w:pPr>
        <w:pStyle w:val="null3"/>
        <w:ind w:firstLine="480"/>
        <w:jc w:val="both"/>
      </w:pPr>
      <w:r>
        <w:rPr>
          <w:sz w:val="22"/>
        </w:rPr>
        <w:t>本合同的付款方式为：甲方按月支付费用给乙方，签订合同开始执行的第二个月</w:t>
      </w:r>
      <w:r>
        <w:rPr>
          <w:sz w:val="22"/>
        </w:rPr>
        <w:t>15</w:t>
      </w:r>
      <w:r>
        <w:rPr>
          <w:sz w:val="22"/>
        </w:rPr>
        <w:t>号前支付上一个月的费用，每月支付费用按合同总额（中标价）除以</w:t>
      </w:r>
      <w:r>
        <w:rPr>
          <w:sz w:val="22"/>
        </w:rPr>
        <w:t>24</w:t>
      </w:r>
      <w:r>
        <w:rPr>
          <w:sz w:val="22"/>
        </w:rPr>
        <w:t>个月所得金额支付（如因考核扣减费用，则以扣减后的费用支付）。因甲方使用的是财政资金，甲方在前款规定的付款时间为向政府采购支付部门提出办理财政支付申请手续的时间（不含财政支付部门及政府相关部门的审批时间），甲方在规定时间内提出支付申请手续后即视为甲方已经按期支付。如因财政部门审核进度问题而推迟支付时双方免责。</w:t>
      </w:r>
    </w:p>
    <w:p>
      <w:pPr>
        <w:pStyle w:val="null3"/>
        <w:ind w:firstLine="442"/>
        <w:jc w:val="both"/>
      </w:pPr>
      <w:r>
        <w:rPr>
          <w:sz w:val="22"/>
          <w:b/>
        </w:rPr>
        <w:t>第七条验收方式</w:t>
      </w:r>
    </w:p>
    <w:p>
      <w:pPr>
        <w:pStyle w:val="null3"/>
        <w:ind w:firstLine="480"/>
        <w:jc w:val="both"/>
      </w:pPr>
      <w:r>
        <w:rPr>
          <w:sz w:val="22"/>
        </w:rPr>
        <w:t>1</w:t>
      </w:r>
      <w:r>
        <w:rPr>
          <w:sz w:val="22"/>
        </w:rPr>
        <w:t>、验收工作由甲方（或甲方指定的单位）和乙方共同进行。</w:t>
      </w:r>
    </w:p>
    <w:p>
      <w:pPr>
        <w:pStyle w:val="null3"/>
        <w:ind w:firstLine="480"/>
        <w:jc w:val="both"/>
      </w:pPr>
      <w:r>
        <w:rPr>
          <w:sz w:val="22"/>
        </w:rPr>
        <w:t>2</w:t>
      </w:r>
      <w:r>
        <w:rPr>
          <w:sz w:val="22"/>
        </w:rPr>
        <w:t>、在验收时，乙方应向甲方提供服务的相关资料，按甲方提出的方式验收。</w:t>
      </w:r>
    </w:p>
    <w:p>
      <w:pPr>
        <w:pStyle w:val="null3"/>
        <w:ind w:firstLine="480"/>
        <w:jc w:val="both"/>
      </w:pPr>
      <w:r>
        <w:rPr>
          <w:sz w:val="22"/>
        </w:rPr>
        <w:t>3</w:t>
      </w:r>
      <w:r>
        <w:rPr>
          <w:sz w:val="22"/>
        </w:rPr>
        <w:t>、由甲方对服务的质量和数量及其他进行检验。如发现质量和数量等任何一项与采购要求规定不符，甲方有权拒绝接受。</w:t>
      </w:r>
    </w:p>
    <w:p>
      <w:pPr>
        <w:pStyle w:val="null3"/>
        <w:ind w:firstLine="442"/>
        <w:jc w:val="both"/>
      </w:pPr>
      <w:r>
        <w:rPr>
          <w:sz w:val="22"/>
          <w:b/>
        </w:rPr>
        <w:t>第八条税和关税</w:t>
      </w:r>
    </w:p>
    <w:p>
      <w:pPr>
        <w:pStyle w:val="null3"/>
        <w:ind w:firstLine="480"/>
        <w:jc w:val="both"/>
      </w:pPr>
      <w:r>
        <w:rPr>
          <w:sz w:val="22"/>
        </w:rPr>
        <w:t>1</w:t>
      </w:r>
      <w:r>
        <w:rPr>
          <w:sz w:val="22"/>
        </w:rPr>
        <w:t>、中国政府根据现行税法对甲方征收的与本合同有关的一切税费均应由甲方承担。</w:t>
      </w:r>
    </w:p>
    <w:p>
      <w:pPr>
        <w:pStyle w:val="null3"/>
        <w:ind w:firstLine="480"/>
        <w:jc w:val="both"/>
      </w:pPr>
      <w:r>
        <w:rPr>
          <w:sz w:val="22"/>
        </w:rPr>
        <w:t>2</w:t>
      </w:r>
      <w:r>
        <w:rPr>
          <w:sz w:val="22"/>
        </w:rPr>
        <w:t>、中国政府根据现行税法规定对乙方或其雇员征收的与本合同有关的一切税费应由乙方承担。</w:t>
      </w:r>
    </w:p>
    <w:p>
      <w:pPr>
        <w:pStyle w:val="null3"/>
        <w:ind w:firstLine="480"/>
        <w:jc w:val="both"/>
      </w:pPr>
      <w:r>
        <w:rPr>
          <w:sz w:val="22"/>
        </w:rPr>
        <w:t>3</w:t>
      </w:r>
      <w:r>
        <w:rPr>
          <w:sz w:val="22"/>
        </w:rPr>
        <w:t>、在中国境外发生的与本合同执行有关的一切税费均应由乙方承担。</w:t>
      </w:r>
    </w:p>
    <w:p>
      <w:pPr>
        <w:pStyle w:val="null3"/>
        <w:ind w:firstLine="442"/>
        <w:jc w:val="both"/>
      </w:pPr>
      <w:r>
        <w:rPr>
          <w:sz w:val="22"/>
          <w:b/>
        </w:rPr>
        <w:t>第九条其它约定</w:t>
      </w:r>
    </w:p>
    <w:p>
      <w:pPr>
        <w:pStyle w:val="null3"/>
        <w:ind w:firstLine="440"/>
        <w:jc w:val="both"/>
      </w:pPr>
      <w:r>
        <w:rPr>
          <w:sz w:val="22"/>
        </w:rPr>
        <w:t>1</w:t>
      </w:r>
      <w:r>
        <w:rPr>
          <w:sz w:val="22"/>
        </w:rPr>
        <w:t>、严禁转包，未经甲方书面同意不得分包。</w:t>
      </w:r>
    </w:p>
    <w:p>
      <w:pPr>
        <w:pStyle w:val="null3"/>
        <w:ind w:firstLine="440"/>
        <w:jc w:val="both"/>
      </w:pPr>
      <w:r>
        <w:rPr>
          <w:sz w:val="22"/>
        </w:rPr>
        <w:t>2</w:t>
      </w:r>
      <w:r>
        <w:rPr>
          <w:sz w:val="22"/>
        </w:rPr>
        <w:t>、乙方全部工作人员，须符合东莞市政府用工标准要求。</w:t>
      </w:r>
    </w:p>
    <w:p>
      <w:pPr>
        <w:pStyle w:val="null3"/>
        <w:ind w:firstLine="440"/>
        <w:jc w:val="both"/>
      </w:pPr>
      <w:r>
        <w:rPr>
          <w:sz w:val="22"/>
        </w:rPr>
        <w:t>3</w:t>
      </w:r>
      <w:r>
        <w:rPr>
          <w:sz w:val="22"/>
        </w:rPr>
        <w:t>、乙方服务人员进行服务期间的过失或故意行为，造成甲方经济损失的，由乙方负责赔偿。</w:t>
      </w:r>
    </w:p>
    <w:p>
      <w:pPr>
        <w:pStyle w:val="null3"/>
        <w:ind w:firstLine="440"/>
        <w:jc w:val="both"/>
      </w:pPr>
      <w:r>
        <w:rPr>
          <w:sz w:val="22"/>
        </w:rPr>
        <w:t>4</w:t>
      </w:r>
      <w:r>
        <w:rPr>
          <w:sz w:val="22"/>
        </w:rPr>
        <w:t>、服务人员的劳动关系隶属乙方，乙方负责服务人员的工资、节假日和超时加班补助费、社会保险、住宿、伙食等。</w:t>
      </w:r>
    </w:p>
    <w:p>
      <w:pPr>
        <w:pStyle w:val="null3"/>
        <w:ind w:firstLine="440"/>
        <w:jc w:val="both"/>
      </w:pPr>
      <w:r>
        <w:rPr>
          <w:sz w:val="22"/>
        </w:rPr>
        <w:t>5</w:t>
      </w:r>
      <w:r>
        <w:rPr>
          <w:sz w:val="22"/>
        </w:rPr>
        <w:t>、乙方负责本项目服务人员购买因意外身故或伤残和因意外事故住院治疗保险，并负责办理一切保险赔偿手续。</w:t>
      </w:r>
    </w:p>
    <w:p>
      <w:pPr>
        <w:pStyle w:val="null3"/>
        <w:ind w:firstLine="442"/>
        <w:jc w:val="both"/>
      </w:pPr>
      <w:r>
        <w:rPr>
          <w:sz w:val="22"/>
          <w:b/>
        </w:rPr>
        <w:t>第十条违约责任</w:t>
      </w:r>
    </w:p>
    <w:p>
      <w:pPr>
        <w:pStyle w:val="null3"/>
        <w:ind w:firstLine="440"/>
        <w:jc w:val="both"/>
      </w:pPr>
      <w:r>
        <w:rPr>
          <w:sz w:val="22"/>
        </w:rPr>
        <w:t>1</w:t>
      </w:r>
      <w:r>
        <w:rPr>
          <w:sz w:val="22"/>
        </w:rPr>
        <w:t>、合同双方任何一方不履行合同条款或不按合同约定履行条款的其它情况，均属违约，由违约方承担违约责任，赔偿因其违约造成的损失，并支付合同价款总额</w:t>
      </w:r>
      <w:r>
        <w:rPr>
          <w:sz w:val="21"/>
          <w:u w:val="single"/>
        </w:rPr>
        <w:t xml:space="preserve">   </w:t>
      </w:r>
      <w:r>
        <w:rPr>
          <w:sz w:val="22"/>
        </w:rPr>
        <w:t>%</w:t>
      </w:r>
      <w:r>
        <w:rPr>
          <w:sz w:val="22"/>
        </w:rPr>
        <w:t>的违约金。</w:t>
      </w:r>
    </w:p>
    <w:p>
      <w:pPr>
        <w:pStyle w:val="null3"/>
        <w:ind w:firstLine="440"/>
        <w:jc w:val="both"/>
      </w:pPr>
      <w:r>
        <w:rPr>
          <w:sz w:val="22"/>
        </w:rPr>
        <w:t>2</w:t>
      </w:r>
      <w:r>
        <w:rPr>
          <w:sz w:val="22"/>
        </w:rPr>
        <w:t>、由于乙方的原因，导致双方签订的合同终止，乙方因此而遭受的损失，将由乙方独立承担，甲方对此不负任何责任，也不作任何赔偿。</w:t>
      </w:r>
    </w:p>
    <w:p>
      <w:pPr>
        <w:pStyle w:val="null3"/>
        <w:ind w:firstLine="440"/>
        <w:jc w:val="both"/>
      </w:pPr>
      <w:r>
        <w:rPr>
          <w:sz w:val="22"/>
        </w:rPr>
        <w:t>3</w:t>
      </w:r>
      <w:r>
        <w:rPr>
          <w:sz w:val="22"/>
        </w:rPr>
        <w:t>、出现下列情况之一，终止合同，取消乙方服务资格：（</w:t>
      </w:r>
      <w:r>
        <w:rPr>
          <w:sz w:val="22"/>
        </w:rPr>
        <w:t>1</w:t>
      </w:r>
      <w:r>
        <w:rPr>
          <w:sz w:val="22"/>
        </w:rPr>
        <w:t>）不按上级公安机关执法办案暂扣车辆管理规定进行管理，经二次整改后仍达不到要求。（</w:t>
      </w:r>
      <w:r>
        <w:rPr>
          <w:sz w:val="22"/>
        </w:rPr>
        <w:t>2</w:t>
      </w:r>
      <w:r>
        <w:rPr>
          <w:sz w:val="22"/>
        </w:rPr>
        <w:t>）乙方违反服务承诺或服务要求的，三次无正当理由拒绝响应的或三次响应后无法按时完成工作的。（</w:t>
      </w:r>
      <w:r>
        <w:rPr>
          <w:sz w:val="22"/>
        </w:rPr>
        <w:t>3</w:t>
      </w:r>
      <w:r>
        <w:rPr>
          <w:sz w:val="22"/>
        </w:rPr>
        <w:t>）如有关公安机关部门要求调整拖车、保管业务工作，本次确定的乙方服务资格即告终止。（</w:t>
      </w:r>
      <w:r>
        <w:rPr>
          <w:sz w:val="22"/>
        </w:rPr>
        <w:t>4</w:t>
      </w:r>
      <w:r>
        <w:rPr>
          <w:sz w:val="22"/>
        </w:rPr>
        <w:t>）乙方违反有关法律法规规定。</w:t>
      </w:r>
    </w:p>
    <w:p>
      <w:pPr>
        <w:pStyle w:val="null3"/>
        <w:ind w:firstLine="442"/>
        <w:jc w:val="both"/>
      </w:pPr>
      <w:r>
        <w:rPr>
          <w:sz w:val="22"/>
          <w:b/>
        </w:rPr>
        <w:t>第十一条争议的解决</w:t>
      </w:r>
    </w:p>
    <w:p>
      <w:pPr>
        <w:pStyle w:val="null3"/>
        <w:ind w:firstLine="440"/>
        <w:jc w:val="both"/>
      </w:pPr>
      <w:r>
        <w:rPr>
          <w:sz w:val="22"/>
        </w:rPr>
        <w:t>1</w:t>
      </w:r>
      <w:r>
        <w:rPr>
          <w:sz w:val="22"/>
        </w:rPr>
        <w:t>、凡与本合同有关而引起的一切争议，甲乙双方应首先通过友好协商解决，如经协商后仍不能达成协议时，任何一方可以向法院提出诉讼。</w:t>
      </w:r>
    </w:p>
    <w:p>
      <w:pPr>
        <w:pStyle w:val="null3"/>
        <w:ind w:firstLine="440"/>
        <w:jc w:val="both"/>
      </w:pPr>
      <w:r>
        <w:rPr>
          <w:sz w:val="22"/>
        </w:rPr>
        <w:t>2</w:t>
      </w:r>
      <w:r>
        <w:rPr>
          <w:sz w:val="22"/>
        </w:rPr>
        <w:t>、本合同发生的诉讼管辖地为东莞市有管辖权的法院。</w:t>
      </w:r>
    </w:p>
    <w:p>
      <w:pPr>
        <w:pStyle w:val="null3"/>
        <w:ind w:firstLine="440"/>
        <w:jc w:val="both"/>
      </w:pPr>
      <w:r>
        <w:rPr>
          <w:sz w:val="22"/>
        </w:rPr>
        <w:t>3</w:t>
      </w:r>
      <w:r>
        <w:rPr>
          <w:sz w:val="22"/>
        </w:rPr>
        <w:t>、在进行法院审理期间，除提交法院审理的事项外，合同其他部分仍继续履行。</w:t>
      </w:r>
    </w:p>
    <w:p>
      <w:pPr>
        <w:pStyle w:val="null3"/>
        <w:ind w:firstLine="440"/>
        <w:jc w:val="both"/>
      </w:pPr>
      <w:r>
        <w:rPr>
          <w:sz w:val="22"/>
        </w:rPr>
        <w:t>4</w:t>
      </w:r>
      <w:r>
        <w:rPr>
          <w:sz w:val="22"/>
        </w:rPr>
        <w:t>、本合同按照中华人民共和国的法律进行解释。</w:t>
      </w:r>
    </w:p>
    <w:p>
      <w:pPr>
        <w:pStyle w:val="null3"/>
        <w:ind w:firstLine="442"/>
        <w:jc w:val="both"/>
      </w:pPr>
      <w:r>
        <w:rPr>
          <w:sz w:val="22"/>
          <w:b/>
        </w:rPr>
        <w:t>第十二条合同生效</w:t>
      </w:r>
    </w:p>
    <w:p>
      <w:pPr>
        <w:pStyle w:val="null3"/>
        <w:ind w:firstLine="440"/>
        <w:jc w:val="both"/>
      </w:pPr>
      <w:r>
        <w:rPr>
          <w:sz w:val="22"/>
        </w:rPr>
        <w:t>1</w:t>
      </w:r>
      <w:r>
        <w:rPr>
          <w:sz w:val="22"/>
        </w:rPr>
        <w:t>、本合同由双方法定代表人或委托代理人签字盖章后立即生效，具有同等法律效力，合同有效期随服务期结束而自然终止。</w:t>
      </w:r>
    </w:p>
    <w:p>
      <w:pPr>
        <w:pStyle w:val="null3"/>
        <w:ind w:firstLine="440"/>
        <w:jc w:val="both"/>
      </w:pPr>
      <w:r>
        <w:rPr>
          <w:sz w:val="22"/>
        </w:rPr>
        <w:t>2</w:t>
      </w:r>
      <w:r>
        <w:rPr>
          <w:sz w:val="22"/>
        </w:rPr>
        <w:t>、本合同一式</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份，采购代理机构</w:t>
      </w:r>
      <w:r>
        <w:rPr>
          <w:sz w:val="22"/>
          <w:u w:val="single"/>
        </w:rPr>
        <w:t>壹</w:t>
      </w:r>
      <w:r>
        <w:rPr>
          <w:sz w:val="22"/>
        </w:rPr>
        <w:t>份（须在合同签订之日起</w:t>
      </w:r>
      <w:r>
        <w:rPr>
          <w:sz w:val="22"/>
        </w:rPr>
        <w:t>3</w:t>
      </w:r>
      <w:r>
        <w:rPr>
          <w:sz w:val="22"/>
        </w:rPr>
        <w:t>个工作日内递交）。</w:t>
      </w:r>
    </w:p>
    <w:p>
      <w:pPr>
        <w:pStyle w:val="null3"/>
        <w:ind w:firstLine="442"/>
        <w:jc w:val="both"/>
      </w:pPr>
      <w:r>
        <w:rPr>
          <w:sz w:val="22"/>
          <w:b/>
        </w:rPr>
        <w:t>第十三条其它</w:t>
      </w:r>
    </w:p>
    <w:p>
      <w:pPr>
        <w:pStyle w:val="null3"/>
        <w:ind w:firstLine="418"/>
        <w:jc w:val="both"/>
      </w:pPr>
      <w:r>
        <w:rPr>
          <w:sz w:val="22"/>
        </w:rPr>
        <w:t>1</w:t>
      </w:r>
      <w:r>
        <w:rPr>
          <w:sz w:val="22"/>
        </w:rPr>
        <w:t>、本合同未尽事宜，双方可签订补充合同，补充合同与所有附件均为合同的有效组成部分，与本合同具有同等法律效力。</w:t>
      </w:r>
    </w:p>
    <w:p>
      <w:pPr>
        <w:pStyle w:val="null3"/>
        <w:ind w:firstLine="418"/>
        <w:jc w:val="both"/>
      </w:pPr>
      <w:r>
        <w:rPr>
          <w:sz w:val="22"/>
        </w:rPr>
        <w:t>2</w:t>
      </w:r>
      <w:r>
        <w:rPr>
          <w:sz w:val="22"/>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40"/>
        <w:jc w:val="both"/>
      </w:pPr>
      <w:r>
        <w:rPr>
          <w:sz w:val="22"/>
        </w:rPr>
        <w:t>3</w:t>
      </w:r>
      <w:r>
        <w:rPr>
          <w:sz w:val="22"/>
        </w:rPr>
        <w:t>、本合同合计</w:t>
      </w:r>
      <w:r>
        <w:rPr>
          <w:sz w:val="21"/>
          <w:u w:val="single"/>
        </w:rPr>
        <w:t xml:space="preserve">   </w:t>
      </w:r>
      <w:r>
        <w:rPr>
          <w:sz w:val="22"/>
        </w:rPr>
        <w:t>页</w:t>
      </w:r>
      <w:r>
        <w:rPr>
          <w:sz w:val="22"/>
        </w:rPr>
        <w:t>A4</w:t>
      </w:r>
      <w:r>
        <w:rPr>
          <w:sz w:val="22"/>
        </w:rPr>
        <w:t>纸张，缺页之合同为无效合同。</w:t>
      </w:r>
    </w:p>
    <w:p>
      <w:pPr>
        <w:pStyle w:val="null3"/>
        <w:ind w:firstLine="440"/>
        <w:jc w:val="both"/>
      </w:pPr>
      <w:r>
        <w:rPr>
          <w:sz w:val="22"/>
        </w:rPr>
        <w:t>甲方（盖章）：</w:t>
      </w:r>
      <w:r>
        <w:rPr>
          <w:sz w:val="21"/>
        </w:rPr>
        <w:t xml:space="preserve">                     </w:t>
      </w:r>
      <w:r>
        <w:rPr>
          <w:sz w:val="22"/>
        </w:rPr>
        <w:t>乙方（盖章）：</w:t>
      </w:r>
    </w:p>
    <w:p>
      <w:pPr>
        <w:pStyle w:val="null3"/>
        <w:jc w:val="both"/>
      </w:pPr>
      <w:r>
        <w:rPr>
          <w:sz w:val="22"/>
        </w:rPr>
        <w:t>法定代表</w:t>
      </w:r>
      <w:r>
        <w:rPr>
          <w:sz w:val="22"/>
        </w:rPr>
        <w:t>(</w:t>
      </w:r>
      <w:r>
        <w:rPr>
          <w:sz w:val="22"/>
        </w:rPr>
        <w:t>签字</w:t>
      </w:r>
      <w:r>
        <w:rPr>
          <w:sz w:val="22"/>
        </w:rPr>
        <w:t>)</w:t>
      </w:r>
      <w:r>
        <w:rPr>
          <w:sz w:val="22"/>
        </w:rPr>
        <w:t>：</w:t>
      </w:r>
      <w:r>
        <w:rPr>
          <w:sz w:val="21"/>
        </w:rPr>
        <w:t xml:space="preserve">                   </w:t>
      </w:r>
      <w:r>
        <w:rPr>
          <w:sz w:val="22"/>
        </w:rPr>
        <w:t>法定代表</w:t>
      </w:r>
      <w:r>
        <w:rPr>
          <w:sz w:val="22"/>
        </w:rPr>
        <w:t>(</w:t>
      </w:r>
      <w:r>
        <w:rPr>
          <w:sz w:val="22"/>
        </w:rPr>
        <w:t>签字</w:t>
      </w:r>
      <w:r>
        <w:rPr>
          <w:sz w:val="22"/>
        </w:rPr>
        <w:t>)</w:t>
      </w:r>
      <w:r>
        <w:rPr>
          <w:sz w:val="22"/>
        </w:rPr>
        <w:t>：</w:t>
      </w:r>
    </w:p>
    <w:p>
      <w:pPr>
        <w:pStyle w:val="null3"/>
        <w:jc w:val="both"/>
      </w:pPr>
      <w:r>
        <w:rPr>
          <w:sz w:val="22"/>
        </w:rPr>
        <w:t>地址：</w:t>
      </w:r>
      <w:r>
        <w:rPr>
          <w:sz w:val="21"/>
        </w:rPr>
        <w:t xml:space="preserve">                                  </w:t>
      </w:r>
      <w:r>
        <w:rPr>
          <w:sz w:val="22"/>
        </w:rPr>
        <w:t>地址：</w:t>
      </w:r>
    </w:p>
    <w:p>
      <w:pPr>
        <w:pStyle w:val="null3"/>
        <w:jc w:val="both"/>
      </w:pPr>
      <w:r>
        <w:rPr>
          <w:sz w:val="22"/>
        </w:rPr>
        <w:t>电话：</w:t>
      </w:r>
      <w:r>
        <w:rPr>
          <w:sz w:val="21"/>
        </w:rPr>
        <w:t xml:space="preserve">                                 </w:t>
      </w:r>
      <w:r>
        <w:rPr>
          <w:sz w:val="22"/>
        </w:rPr>
        <w:t>电话：</w:t>
      </w:r>
    </w:p>
    <w:p>
      <w:pPr>
        <w:pStyle w:val="null3"/>
        <w:jc w:val="both"/>
      </w:pPr>
      <w:r>
        <w:rPr>
          <w:sz w:val="22"/>
        </w:rPr>
        <w:t>传真：</w:t>
      </w:r>
      <w:r>
        <w:rPr>
          <w:sz w:val="21"/>
        </w:rPr>
        <w:t xml:space="preserve">                                 </w:t>
      </w:r>
      <w:r>
        <w:rPr>
          <w:sz w:val="22"/>
        </w:rPr>
        <w:t>传真：</w:t>
      </w:r>
    </w:p>
    <w:p>
      <w:pPr>
        <w:pStyle w:val="null3"/>
        <w:jc w:val="both"/>
      </w:pPr>
      <w:r>
        <w:rPr>
          <w:sz w:val="22"/>
        </w:rPr>
        <w:t>开户银行：</w:t>
      </w:r>
      <w:r>
        <w:rPr>
          <w:sz w:val="21"/>
        </w:rPr>
        <w:t xml:space="preserve">                         </w:t>
      </w:r>
      <w:r>
        <w:rPr>
          <w:sz w:val="22"/>
        </w:rPr>
        <w:t>开户银行：</w:t>
      </w:r>
    </w:p>
    <w:p>
      <w:pPr>
        <w:pStyle w:val="null3"/>
        <w:jc w:val="both"/>
      </w:pPr>
      <w:r>
        <w:rPr>
          <w:sz w:val="22"/>
        </w:rPr>
        <w:t>账号：</w:t>
      </w:r>
      <w:r>
        <w:rPr>
          <w:sz w:val="21"/>
        </w:rPr>
        <w:t xml:space="preserve">                                </w:t>
      </w:r>
      <w:r>
        <w:rPr>
          <w:sz w:val="22"/>
        </w:rPr>
        <w:t>账号：</w:t>
      </w:r>
    </w:p>
    <w:p>
      <w:pPr>
        <w:pStyle w:val="null3"/>
        <w:jc w:val="both"/>
      </w:pPr>
      <w:r>
        <w:rPr>
          <w:sz w:val="22"/>
        </w:rPr>
        <w:t>签约时间：</w:t>
      </w:r>
    </w:p>
    <w:p>
      <w:pPr>
        <w:pStyle w:val="null3"/>
        <w:jc w:val="both"/>
      </w:pPr>
      <w:r>
        <w:rPr>
          <w:sz w:val="22"/>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441900003-2024-01356</w:t>
      </w:r>
    </w:p>
    <w:p>
      <w:pPr>
        <w:pStyle w:val="null3"/>
        <w:jc w:val="center"/>
        <w:outlineLvl w:val="3"/>
      </w:pPr>
      <w:r>
        <w:rPr>
          <w:sz w:val="24"/>
          <w:b/>
        </w:rPr>
        <w:t>采购项目编号：</w:t>
      </w:r>
      <w:r>
        <w:rPr>
          <w:sz w:val="24"/>
          <w:b/>
        </w:rPr>
        <w:t>441900003-2024-01356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广东正德招标有限公司</w:t>
      </w:r>
    </w:p>
    <w:p>
      <w:pPr>
        <w:pStyle w:val="null3"/>
        <w:ind w:firstLine="480"/>
      </w:pPr>
      <w:r>
        <w:rPr/>
        <w:t xml:space="preserve"> 你方组织的</w:t>
      </w:r>
      <w:r>
        <w:rPr>
          <w:u w:val="single"/>
        </w:rPr>
        <w:t>“</w:t>
      </w:r>
      <w:r>
        <w:rPr>
          <w:u w:val="single"/>
        </w:rPr>
        <w:t>东莞市公安局交通警察支队南城大队采购交通违法车辆拖车、停车保管服务</w:t>
      </w:r>
      <w:r>
        <w:rPr>
          <w:u w:val="single"/>
        </w:rPr>
        <w:t>”</w:t>
      </w:r>
      <w:r>
        <w:rPr/>
        <w:t>项目的招标[采购项目编号为：</w:t>
      </w:r>
      <w:r>
        <w:rPr>
          <w:u w:val="single"/>
        </w:rPr>
        <w:t>441900003-2024-01356</w:t>
      </w:r>
      <w:r>
        <w:rPr/>
        <w:t>]，我方愿参与投标。</w:t>
      </w:r>
    </w:p>
    <w:p>
      <w:pPr>
        <w:pStyle w:val="null3"/>
        <w:ind w:firstLine="480"/>
      </w:pPr>
      <w:r>
        <w:rPr/>
        <w:t>我方确认收到贵方提供的</w:t>
      </w:r>
      <w:r>
        <w:rPr>
          <w:u w:val="single"/>
        </w:rPr>
        <w:t>“</w:t>
      </w:r>
      <w:r>
        <w:rPr>
          <w:u w:val="single"/>
        </w:rPr>
        <w:t>东莞市公安局交通警察支队南城大队采购交通违法车辆拖车、停车保管服务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广东正德招标有限公司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东莞市公安局交通警察支队南城大队采购交通违法车辆拖车、停车保管服务</w:t>
      </w:r>
      <w:r>
        <w:rPr/>
        <w:t>”项目采购[采购项目编号为</w:t>
      </w:r>
      <w:r>
        <w:rPr/>
        <w:t>441900003-2024-01356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东莞市公安局交通警察支队南城大队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广东正德招标有限公司</w:t>
      </w:r>
    </w:p>
    <w:p>
      <w:pPr>
        <w:pStyle w:val="null3"/>
        <w:ind w:firstLine="480"/>
      </w:pPr>
      <w:r>
        <w:rPr/>
        <w:t xml:space="preserve"> 如果我方在贵采购代理机构组织的</w:t>
      </w:r>
      <w:r>
        <w:rPr/>
        <w:t>东莞市公安局交通警察支队南城大队采购交通违法车辆拖车、停车保管服务</w:t>
      </w:r>
      <w:r>
        <w:rPr/>
        <w:t>招标中获中标（采购项目编号：</w:t>
      </w:r>
      <w:r>
        <w:rPr/>
        <w:t>441900003-2024-01356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广东正德招标有限公司</w:t>
      </w:r>
    </w:p>
    <w:p>
      <w:pPr>
        <w:pStyle w:val="null3"/>
        <w:ind w:firstLine="480"/>
      </w:pPr>
      <w:r>
        <w:rPr/>
        <w:t>我单位已登记并准备参与“</w:t>
      </w:r>
      <w:r>
        <w:rPr/>
        <w:t>东莞市公安局交通警察支队南城大队采购交通违法车辆拖车、停车保管服务</w:t>
      </w:r>
      <w:r>
        <w:rPr/>
        <w:t>”项目（采购项目编号：</w:t>
      </w:r>
      <w:r>
        <w:rPr/>
        <w:t>441900003-2024-01356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