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DBCF6">
      <w:pPr>
        <w:spacing w:after="156"/>
        <w:jc w:val="center"/>
        <w:rPr>
          <w:rFonts w:hint="eastAsia"/>
          <w:sz w:val="40"/>
          <w:szCs w:val="48"/>
          <w:highlight w:val="none"/>
        </w:rPr>
      </w:pPr>
    </w:p>
    <w:p w14:paraId="3436F6C5">
      <w:pPr>
        <w:ind w:firstLine="480"/>
        <w:rPr>
          <w:rFonts w:hint="eastAsia"/>
          <w:highlight w:val="none"/>
        </w:rPr>
      </w:pPr>
    </w:p>
    <w:p w14:paraId="3BA5AF65">
      <w:pPr>
        <w:ind w:firstLine="480"/>
        <w:rPr>
          <w:rFonts w:hint="eastAsia"/>
          <w:highlight w:val="none"/>
        </w:rPr>
      </w:pPr>
    </w:p>
    <w:p w14:paraId="5E4688A3">
      <w:pPr>
        <w:ind w:firstLine="482"/>
        <w:rPr>
          <w:rFonts w:hint="eastAsia"/>
          <w:highlight w:val="none"/>
        </w:rPr>
      </w:pPr>
      <w:r>
        <w:rPr>
          <w:b/>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268605</wp:posOffset>
                </wp:positionV>
                <wp:extent cx="5213350" cy="635"/>
                <wp:effectExtent l="0" t="28575" r="6350" b="46990"/>
                <wp:wrapNone/>
                <wp:docPr id="50" name="直线 5"/>
                <wp:cNvGraphicFramePr/>
                <a:graphic xmlns:a="http://schemas.openxmlformats.org/drawingml/2006/main">
                  <a:graphicData uri="http://schemas.microsoft.com/office/word/2010/wordprocessingShape">
                    <wps:wsp>
                      <wps:cNvCnPr>
                        <a:cxnSpLocks noChangeShapeType="1"/>
                      </wps:cNvCnPr>
                      <wps:spPr bwMode="auto">
                        <a:xfrm flipV="1">
                          <a:off x="0" y="0"/>
                          <a:ext cx="5213350" cy="635"/>
                        </a:xfrm>
                        <a:prstGeom prst="line">
                          <a:avLst/>
                        </a:prstGeom>
                        <a:noFill/>
                        <a:ln w="57150" cmpd="thickThin">
                          <a:solidFill>
                            <a:srgbClr val="000000"/>
                          </a:solidFill>
                          <a:round/>
                        </a:ln>
                      </wps:spPr>
                      <wps:bodyPr/>
                    </wps:wsp>
                  </a:graphicData>
                </a:graphic>
                <wp14:sizeRelH relativeFrom="margin">
                  <wp14:pctWidth>100000</wp14:pctWidth>
                </wp14:sizeRelH>
                <wp14:sizeRelV relativeFrom="page">
                  <wp14:pctHeight>0</wp14:pctHeight>
                </wp14:sizeRelV>
              </wp:anchor>
            </w:drawing>
          </mc:Choice>
          <mc:Fallback>
            <w:pict>
              <v:line id="直线 5" o:spid="_x0000_s1026" o:spt="20" style="position:absolute;left:0pt;flip:y;margin-left:0pt;margin-top:21.15pt;height:0.05pt;width:410.5pt;z-index:251659264;mso-width-relative:margin;mso-height-relative:page;mso-width-percent:1000;" filled="f" stroked="t" coordsize="21600,21600" o:gfxdata="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WGV2tUA&#10;AAAGAQAADwAAAAAAAAABACAAAAAiAAAAZHJzL2Rvd25yZXYueG1sUEsBAhQAFAAAAAgAh07iQI1+&#10;zZ/pAQAAwAMAAA4AAAAAAAAAAQAgAAAAJAEAAGRycy9lMm9Eb2MueG1sUEsFBgAAAAAGAAYAWQEA&#10;AH8FAAAAAA==&#10;">
                <v:fill on="f" focussize="0,0"/>
                <v:stroke weight="4.5pt" color="#000000" linestyle="thickThin" joinstyle="round"/>
                <v:imagedata o:title=""/>
                <o:lock v:ext="edit" aspectratio="f"/>
              </v:line>
            </w:pict>
          </mc:Fallback>
        </mc:AlternateContent>
      </w:r>
    </w:p>
    <w:p w14:paraId="52F4B1FA">
      <w:pPr>
        <w:pStyle w:val="111"/>
        <w:ind w:firstLine="883"/>
        <w:rPr>
          <w:rFonts w:hint="eastAsia"/>
          <w:highlight w:val="none"/>
        </w:rPr>
      </w:pPr>
    </w:p>
    <w:p w14:paraId="105C98B8">
      <w:pPr>
        <w:pStyle w:val="111"/>
        <w:ind w:firstLine="883"/>
        <w:rPr>
          <w:rFonts w:hint="eastAsia"/>
          <w:szCs w:val="44"/>
          <w:highlight w:val="none"/>
        </w:rPr>
      </w:pPr>
      <w:bookmarkStart w:id="0" w:name="_Toc29594"/>
      <w:bookmarkStart w:id="1" w:name="_Toc7627"/>
      <w:bookmarkStart w:id="2" w:name="_Toc31202"/>
      <w:bookmarkStart w:id="3" w:name="_Toc8853"/>
      <w:bookmarkStart w:id="4" w:name="_Toc3700"/>
      <w:bookmarkStart w:id="5" w:name="_Toc23654"/>
      <w:r>
        <w:rPr>
          <w:rFonts w:hint="eastAsia"/>
          <w:szCs w:val="44"/>
          <w:highlight w:val="none"/>
        </w:rPr>
        <w:t>汕头市政府网站集约化运维</w:t>
      </w:r>
      <w:bookmarkStart w:id="448" w:name="_GoBack"/>
      <w:bookmarkEnd w:id="448"/>
      <w:r>
        <w:rPr>
          <w:rFonts w:hint="eastAsia"/>
          <w:szCs w:val="44"/>
          <w:highlight w:val="none"/>
        </w:rPr>
        <w:t>和监测</w:t>
      </w:r>
    </w:p>
    <w:p w14:paraId="4B5B769A">
      <w:pPr>
        <w:pStyle w:val="111"/>
        <w:ind w:firstLine="883"/>
        <w:rPr>
          <w:rFonts w:hint="eastAsia" w:ascii="黑体" w:hAnsi="黑体"/>
          <w:b w:val="0"/>
          <w:sz w:val="72"/>
          <w:szCs w:val="72"/>
          <w:highlight w:val="none"/>
        </w:rPr>
      </w:pPr>
      <w:r>
        <w:rPr>
          <w:rFonts w:hint="eastAsia"/>
          <w:szCs w:val="44"/>
          <w:highlight w:val="none"/>
        </w:rPr>
        <w:t>（2026年）项目采购需求书</w:t>
      </w:r>
      <w:bookmarkEnd w:id="0"/>
      <w:bookmarkEnd w:id="1"/>
      <w:bookmarkEnd w:id="2"/>
      <w:bookmarkEnd w:id="3"/>
      <w:bookmarkEnd w:id="4"/>
      <w:bookmarkEnd w:id="5"/>
    </w:p>
    <w:p w14:paraId="0EE1CEC9">
      <w:pPr>
        <w:ind w:firstLine="480"/>
        <w:rPr>
          <w:rFonts w:hint="eastAsia"/>
          <w:highlight w:val="none"/>
        </w:rPr>
      </w:pPr>
    </w:p>
    <w:p w14:paraId="07C6AA86">
      <w:pPr>
        <w:ind w:firstLine="480"/>
        <w:rPr>
          <w:rFonts w:hint="eastAsia"/>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-18415</wp:posOffset>
                </wp:positionV>
                <wp:extent cx="5213350" cy="635"/>
                <wp:effectExtent l="0" t="28575" r="6350" b="46990"/>
                <wp:wrapNone/>
                <wp:docPr id="49" name="直线 4"/>
                <wp:cNvGraphicFramePr/>
                <a:graphic xmlns:a="http://schemas.openxmlformats.org/drawingml/2006/main">
                  <a:graphicData uri="http://schemas.microsoft.com/office/word/2010/wordprocessingShape">
                    <wps:wsp>
                      <wps:cNvCnPr>
                        <a:cxnSpLocks noChangeShapeType="1"/>
                      </wps:cNvCnPr>
                      <wps:spPr bwMode="auto">
                        <a:xfrm flipV="1">
                          <a:off x="0" y="0"/>
                          <a:ext cx="5213350" cy="635"/>
                        </a:xfrm>
                        <a:prstGeom prst="line">
                          <a:avLst/>
                        </a:prstGeom>
                        <a:noFill/>
                        <a:ln w="57150" cmpd="thickThin">
                          <a:solidFill>
                            <a:srgbClr val="000000"/>
                          </a:solidFill>
                          <a:round/>
                        </a:ln>
                      </wps:spPr>
                      <wps:bodyPr/>
                    </wps:wsp>
                  </a:graphicData>
                </a:graphic>
                <wp14:sizeRelH relativeFrom="margin">
                  <wp14:pctWidth>100000</wp14:pctWidth>
                </wp14:sizeRelH>
                <wp14:sizeRelV relativeFrom="page">
                  <wp14:pctHeight>0</wp14:pctHeight>
                </wp14:sizeRelV>
              </wp:anchor>
            </w:drawing>
          </mc:Choice>
          <mc:Fallback>
            <w:pict>
              <v:line id="直线 4" o:spid="_x0000_s1026" o:spt="20" style="position:absolute;left:0pt;flip:y;margin-left:0pt;margin-top:-1.45pt;height:0.05pt;width:410.5pt;z-index:251660288;mso-width-relative:margin;mso-height-relative:page;mso-width-percent:1000;" filled="f" stroked="t" coordsize="21600,21600" o:gfxdata="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wgP7xdQA&#10;AAAGAQAADwAAAAAAAAABACAAAAAiAAAAZHJzL2Rvd25yZXYueG1sUEsBAhQAFAAAAAgAh07iQNut&#10;l4TqAQAAwAMAAA4AAAAAAAAAAQAgAAAAIwEAAGRycy9lMm9Eb2MueG1sUEsFBgAAAAAGAAYAWQEA&#10;AH8FAAAAAA==&#10;">
                <v:fill on="f" focussize="0,0"/>
                <v:stroke weight="4.5pt" color="#000000" linestyle="thickThin" joinstyle="round"/>
                <v:imagedata o:title=""/>
                <o:lock v:ext="edit" aspectratio="f"/>
              </v:line>
            </w:pict>
          </mc:Fallback>
        </mc:AlternateContent>
      </w:r>
    </w:p>
    <w:p w14:paraId="6B887E50">
      <w:pPr>
        <w:ind w:firstLine="480"/>
        <w:rPr>
          <w:rFonts w:hint="eastAsia"/>
          <w:highlight w:val="none"/>
        </w:rPr>
      </w:pPr>
    </w:p>
    <w:p w14:paraId="6E62C6A2">
      <w:pPr>
        <w:pStyle w:val="27"/>
        <w:ind w:left="480" w:firstLine="480"/>
        <w:rPr>
          <w:rFonts w:hint="eastAsia"/>
          <w:highlight w:val="none"/>
        </w:rPr>
      </w:pPr>
    </w:p>
    <w:p w14:paraId="5E6B338E">
      <w:pPr>
        <w:ind w:firstLine="480"/>
        <w:rPr>
          <w:rFonts w:hint="eastAsia"/>
          <w:highlight w:val="none"/>
        </w:rPr>
      </w:pPr>
    </w:p>
    <w:p w14:paraId="51A5AE6B">
      <w:pPr>
        <w:pStyle w:val="27"/>
        <w:ind w:left="480" w:firstLine="480"/>
        <w:rPr>
          <w:rFonts w:hint="eastAsia"/>
          <w:highlight w:val="none"/>
        </w:rPr>
      </w:pPr>
    </w:p>
    <w:p w14:paraId="5C2124EC">
      <w:pPr>
        <w:ind w:firstLine="480"/>
        <w:rPr>
          <w:rFonts w:hint="eastAsia"/>
          <w:highlight w:val="none"/>
        </w:rPr>
      </w:pPr>
    </w:p>
    <w:p w14:paraId="7E925AB5">
      <w:pPr>
        <w:pStyle w:val="27"/>
        <w:ind w:left="480" w:firstLine="480"/>
        <w:rPr>
          <w:rFonts w:hint="eastAsia"/>
          <w:highlight w:val="none"/>
        </w:rPr>
      </w:pPr>
    </w:p>
    <w:p w14:paraId="4FAEBDF3">
      <w:pPr>
        <w:pStyle w:val="112"/>
        <w:jc w:val="left"/>
        <w:rPr>
          <w:rFonts w:hint="eastAsia"/>
          <w:highlight w:val="none"/>
          <w:lang w:val="en-GB"/>
        </w:rPr>
      </w:pPr>
    </w:p>
    <w:p w14:paraId="7DB9F834">
      <w:pPr>
        <w:pStyle w:val="112"/>
        <w:jc w:val="left"/>
        <w:rPr>
          <w:rFonts w:hint="eastAsia"/>
          <w:highlight w:val="none"/>
        </w:rPr>
      </w:pPr>
    </w:p>
    <w:p w14:paraId="6273D66E">
      <w:pPr>
        <w:pStyle w:val="112"/>
        <w:ind w:firstLine="0" w:firstLineChars="0"/>
        <w:jc w:val="left"/>
        <w:rPr>
          <w:rFonts w:hint="eastAsia"/>
          <w:highlight w:val="none"/>
        </w:rPr>
      </w:pPr>
    </w:p>
    <w:p w14:paraId="10F61766">
      <w:pPr>
        <w:pStyle w:val="113"/>
        <w:ind w:left="0" w:leftChars="0"/>
        <w:jc w:val="center"/>
        <w:rPr>
          <w:rFonts w:hint="eastAsia" w:ascii="黑体" w:hAnsi="黑体" w:eastAsia="黑体"/>
          <w:kern w:val="2"/>
          <w:sz w:val="32"/>
          <w:highlight w:val="none"/>
        </w:rPr>
      </w:pPr>
    </w:p>
    <w:p w14:paraId="4BEC6AF0">
      <w:pPr>
        <w:pStyle w:val="113"/>
        <w:ind w:left="0" w:leftChars="0"/>
        <w:jc w:val="center"/>
        <w:rPr>
          <w:kern w:val="2"/>
          <w:sz w:val="32"/>
          <w:highlight w:val="none"/>
        </w:rPr>
      </w:pPr>
    </w:p>
    <w:p w14:paraId="47CF4C95">
      <w:pPr>
        <w:pStyle w:val="113"/>
        <w:ind w:left="0" w:leftChars="0"/>
        <w:jc w:val="center"/>
        <w:rPr>
          <w:kern w:val="2"/>
          <w:sz w:val="32"/>
          <w:highlight w:val="none"/>
        </w:rPr>
      </w:pPr>
    </w:p>
    <w:p w14:paraId="76B9D055">
      <w:pPr>
        <w:pStyle w:val="113"/>
        <w:ind w:left="0" w:leftChars="0"/>
        <w:jc w:val="center"/>
        <w:rPr>
          <w:kern w:val="2"/>
          <w:sz w:val="32"/>
          <w:highlight w:val="none"/>
        </w:rPr>
      </w:pPr>
    </w:p>
    <w:p w14:paraId="517A55C6">
      <w:pPr>
        <w:jc w:val="left"/>
        <w:rPr>
          <w:rFonts w:hint="eastAsia"/>
          <w:sz w:val="40"/>
          <w:szCs w:val="48"/>
          <w:highlight w:val="none"/>
        </w:rPr>
        <w:sectPr>
          <w:footerReference r:id="rId7" w:type="first"/>
          <w:footerReference r:id="rId5" w:type="default"/>
          <w:footerReference r:id="rId6" w:type="even"/>
          <w:pgSz w:w="11906" w:h="16838"/>
          <w:pgMar w:top="1440" w:right="1800" w:bottom="1440" w:left="1800" w:header="851" w:footer="992" w:gutter="0"/>
          <w:pgNumType w:start="1"/>
          <w:cols w:space="425" w:num="1"/>
          <w:docGrid w:type="lines" w:linePitch="312" w:charSpace="0"/>
        </w:sectPr>
      </w:pPr>
    </w:p>
    <w:p w14:paraId="5D39615F">
      <w:pPr>
        <w:jc w:val="left"/>
        <w:rPr>
          <w:rFonts w:hint="eastAsia"/>
          <w:sz w:val="40"/>
          <w:szCs w:val="48"/>
          <w:highlight w:val="none"/>
        </w:rPr>
      </w:pPr>
    </w:p>
    <w:sdt>
      <w:sdtPr>
        <w:rPr>
          <w:sz w:val="21"/>
          <w:highlight w:val="none"/>
        </w:rPr>
        <w:id w:val="147470844"/>
        <w15:color w:val="DBDBDB"/>
        <w:docPartObj>
          <w:docPartGallery w:val="Table of Contents"/>
          <w:docPartUnique/>
        </w:docPartObj>
      </w:sdtPr>
      <w:sdtEndPr>
        <w:rPr>
          <w:rFonts w:hint="eastAsia"/>
          <w:sz w:val="24"/>
          <w:highlight w:val="none"/>
        </w:rPr>
      </w:sdtEndPr>
      <w:sdtContent>
        <w:p w14:paraId="7D596E8C">
          <w:pPr>
            <w:spacing w:line="240" w:lineRule="auto"/>
            <w:ind w:firstLine="420"/>
            <w:jc w:val="center"/>
            <w:rPr>
              <w:rFonts w:hint="eastAsia"/>
              <w:szCs w:val="24"/>
              <w:highlight w:val="none"/>
            </w:rPr>
          </w:pPr>
          <w:r>
            <w:rPr>
              <w:szCs w:val="24"/>
              <w:highlight w:val="none"/>
            </w:rPr>
            <w:t>目录</w:t>
          </w:r>
        </w:p>
        <w:p w14:paraId="22FBB9D4">
          <w:pPr>
            <w:pStyle w:val="24"/>
            <w:tabs>
              <w:tab w:val="right" w:leader="dot" w:pos="8306"/>
            </w:tabs>
          </w:pPr>
          <w:r>
            <w:rPr>
              <w:rFonts w:hint="eastAsia"/>
              <w:highlight w:val="none"/>
            </w:rPr>
            <w:fldChar w:fldCharType="begin"/>
          </w:r>
          <w:r>
            <w:rPr>
              <w:rFonts w:hint="eastAsia"/>
              <w:highlight w:val="none"/>
            </w:rPr>
            <w:instrText xml:space="preserve">TOC \o "1-3"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_Toc29476 </w:instrText>
          </w:r>
          <w:r>
            <w:rPr>
              <w:rFonts w:hint="eastAsia"/>
              <w:highlight w:val="none"/>
            </w:rPr>
            <w:fldChar w:fldCharType="separate"/>
          </w:r>
          <w:r>
            <w:rPr>
              <w:rFonts w:hint="eastAsia" w:ascii="宋体" w:hAnsi="宋体" w:eastAsia="宋体"/>
            </w:rPr>
            <w:t xml:space="preserve">第一章 </w:t>
          </w:r>
          <w:r>
            <w:rPr>
              <w:rFonts w:hint="eastAsia"/>
              <w:highlight w:val="none"/>
            </w:rPr>
            <w:t>项目概述</w:t>
          </w:r>
          <w:r>
            <w:tab/>
          </w:r>
          <w:r>
            <w:fldChar w:fldCharType="begin"/>
          </w:r>
          <w:r>
            <w:instrText xml:space="preserve"> PAGEREF _Toc29476 \h </w:instrText>
          </w:r>
          <w:r>
            <w:fldChar w:fldCharType="separate"/>
          </w:r>
          <w:r>
            <w:t>1</w:t>
          </w:r>
          <w:r>
            <w:fldChar w:fldCharType="end"/>
          </w:r>
          <w:r>
            <w:rPr>
              <w:rFonts w:hint="eastAsia"/>
              <w:highlight w:val="none"/>
            </w:rPr>
            <w:fldChar w:fldCharType="end"/>
          </w:r>
        </w:p>
        <w:p w14:paraId="7875CF8D">
          <w:pPr>
            <w:pStyle w:val="27"/>
            <w:tabs>
              <w:tab w:val="right" w:leader="dot" w:pos="8306"/>
            </w:tabs>
          </w:pPr>
          <w:r>
            <w:rPr>
              <w:rFonts w:hint="eastAsia"/>
              <w:highlight w:val="none"/>
            </w:rPr>
            <w:fldChar w:fldCharType="begin"/>
          </w:r>
          <w:r>
            <w:rPr>
              <w:rFonts w:hint="eastAsia"/>
              <w:highlight w:val="none"/>
            </w:rPr>
            <w:instrText xml:space="preserve"> HYPERLINK \l _Toc9057 </w:instrText>
          </w:r>
          <w:r>
            <w:rPr>
              <w:rFonts w:hint="eastAsia"/>
              <w:highlight w:val="none"/>
            </w:rPr>
            <w:fldChar w:fldCharType="separate"/>
          </w:r>
          <w:r>
            <w:rPr>
              <w:rFonts w:hint="eastAsia" w:ascii="宋体" w:hAnsi="宋体" w:eastAsia="宋体"/>
            </w:rPr>
            <w:t xml:space="preserve">1.1. </w:t>
          </w:r>
          <w:r>
            <w:rPr>
              <w:rFonts w:hint="eastAsia"/>
              <w:highlight w:val="none"/>
            </w:rPr>
            <w:t>项目背景</w:t>
          </w:r>
          <w:r>
            <w:tab/>
          </w:r>
          <w:r>
            <w:fldChar w:fldCharType="begin"/>
          </w:r>
          <w:r>
            <w:instrText xml:space="preserve"> PAGEREF _Toc9057 \h </w:instrText>
          </w:r>
          <w:r>
            <w:fldChar w:fldCharType="separate"/>
          </w:r>
          <w:r>
            <w:t>1</w:t>
          </w:r>
          <w:r>
            <w:fldChar w:fldCharType="end"/>
          </w:r>
          <w:r>
            <w:rPr>
              <w:rFonts w:hint="eastAsia"/>
              <w:highlight w:val="none"/>
            </w:rPr>
            <w:fldChar w:fldCharType="end"/>
          </w:r>
        </w:p>
        <w:p w14:paraId="22D13078">
          <w:pPr>
            <w:pStyle w:val="27"/>
            <w:tabs>
              <w:tab w:val="right" w:leader="dot" w:pos="8306"/>
            </w:tabs>
          </w:pPr>
          <w:r>
            <w:rPr>
              <w:rFonts w:hint="eastAsia"/>
              <w:highlight w:val="none"/>
            </w:rPr>
            <w:fldChar w:fldCharType="begin"/>
          </w:r>
          <w:r>
            <w:rPr>
              <w:rFonts w:hint="eastAsia"/>
              <w:highlight w:val="none"/>
            </w:rPr>
            <w:instrText xml:space="preserve"> HYPERLINK \l _Toc30206 </w:instrText>
          </w:r>
          <w:r>
            <w:rPr>
              <w:rFonts w:hint="eastAsia"/>
              <w:highlight w:val="none"/>
            </w:rPr>
            <w:fldChar w:fldCharType="separate"/>
          </w:r>
          <w:r>
            <w:rPr>
              <w:rFonts w:hint="eastAsia" w:ascii="宋体" w:hAnsi="宋体" w:eastAsia="宋体"/>
            </w:rPr>
            <w:t xml:space="preserve">1.2. </w:t>
          </w:r>
          <w:r>
            <w:rPr>
              <w:rFonts w:hint="eastAsia"/>
              <w:highlight w:val="none"/>
            </w:rPr>
            <w:t>项目现状</w:t>
          </w:r>
          <w:r>
            <w:tab/>
          </w:r>
          <w:r>
            <w:fldChar w:fldCharType="begin"/>
          </w:r>
          <w:r>
            <w:instrText xml:space="preserve"> PAGEREF _Toc30206 \h </w:instrText>
          </w:r>
          <w:r>
            <w:fldChar w:fldCharType="separate"/>
          </w:r>
          <w:r>
            <w:t>1</w:t>
          </w:r>
          <w:r>
            <w:fldChar w:fldCharType="end"/>
          </w:r>
          <w:r>
            <w:rPr>
              <w:rFonts w:hint="eastAsia"/>
              <w:highlight w:val="none"/>
            </w:rPr>
            <w:fldChar w:fldCharType="end"/>
          </w:r>
        </w:p>
        <w:p w14:paraId="17087A92">
          <w:pPr>
            <w:pStyle w:val="27"/>
            <w:tabs>
              <w:tab w:val="right" w:leader="dot" w:pos="8306"/>
            </w:tabs>
          </w:pPr>
          <w:r>
            <w:rPr>
              <w:rFonts w:hint="eastAsia"/>
              <w:highlight w:val="none"/>
            </w:rPr>
            <w:fldChar w:fldCharType="begin"/>
          </w:r>
          <w:r>
            <w:rPr>
              <w:rFonts w:hint="eastAsia"/>
              <w:highlight w:val="none"/>
            </w:rPr>
            <w:instrText xml:space="preserve"> HYPERLINK \l _Toc24663 </w:instrText>
          </w:r>
          <w:r>
            <w:rPr>
              <w:rFonts w:hint="eastAsia"/>
              <w:highlight w:val="none"/>
            </w:rPr>
            <w:fldChar w:fldCharType="separate"/>
          </w:r>
          <w:r>
            <w:rPr>
              <w:rFonts w:hint="eastAsia" w:ascii="宋体" w:hAnsi="宋体" w:eastAsia="宋体"/>
            </w:rPr>
            <w:t xml:space="preserve">1.3. </w:t>
          </w:r>
          <w:r>
            <w:rPr>
              <w:rFonts w:hint="eastAsia"/>
              <w:highlight w:val="none"/>
            </w:rPr>
            <w:t>项目内容</w:t>
          </w:r>
          <w:r>
            <w:tab/>
          </w:r>
          <w:r>
            <w:fldChar w:fldCharType="begin"/>
          </w:r>
          <w:r>
            <w:instrText xml:space="preserve"> PAGEREF _Toc24663 \h </w:instrText>
          </w:r>
          <w:r>
            <w:fldChar w:fldCharType="separate"/>
          </w:r>
          <w:r>
            <w:t>1</w:t>
          </w:r>
          <w:r>
            <w:fldChar w:fldCharType="end"/>
          </w:r>
          <w:r>
            <w:rPr>
              <w:rFonts w:hint="eastAsia"/>
              <w:highlight w:val="none"/>
            </w:rPr>
            <w:fldChar w:fldCharType="end"/>
          </w:r>
        </w:p>
        <w:p w14:paraId="171ADF5E">
          <w:pPr>
            <w:pStyle w:val="27"/>
            <w:tabs>
              <w:tab w:val="right" w:leader="dot" w:pos="8306"/>
            </w:tabs>
          </w:pPr>
          <w:r>
            <w:rPr>
              <w:rFonts w:hint="eastAsia"/>
              <w:highlight w:val="none"/>
            </w:rPr>
            <w:fldChar w:fldCharType="begin"/>
          </w:r>
          <w:r>
            <w:rPr>
              <w:rFonts w:hint="eastAsia"/>
              <w:highlight w:val="none"/>
            </w:rPr>
            <w:instrText xml:space="preserve"> HYPERLINK \l _Toc5677 </w:instrText>
          </w:r>
          <w:r>
            <w:rPr>
              <w:rFonts w:hint="eastAsia"/>
              <w:highlight w:val="none"/>
            </w:rPr>
            <w:fldChar w:fldCharType="separate"/>
          </w:r>
          <w:r>
            <w:rPr>
              <w:rFonts w:hint="eastAsia" w:ascii="宋体" w:hAnsi="宋体" w:eastAsia="宋体"/>
            </w:rPr>
            <w:t xml:space="preserve">1.4. </w:t>
          </w:r>
          <w:r>
            <w:rPr>
              <w:rFonts w:hint="eastAsia"/>
              <w:highlight w:val="none"/>
            </w:rPr>
            <w:t>项目目标</w:t>
          </w:r>
          <w:r>
            <w:tab/>
          </w:r>
          <w:r>
            <w:fldChar w:fldCharType="begin"/>
          </w:r>
          <w:r>
            <w:instrText xml:space="preserve"> PAGEREF _Toc5677 \h </w:instrText>
          </w:r>
          <w:r>
            <w:fldChar w:fldCharType="separate"/>
          </w:r>
          <w:r>
            <w:t>2</w:t>
          </w:r>
          <w:r>
            <w:fldChar w:fldCharType="end"/>
          </w:r>
          <w:r>
            <w:rPr>
              <w:rFonts w:hint="eastAsia"/>
              <w:highlight w:val="none"/>
            </w:rPr>
            <w:fldChar w:fldCharType="end"/>
          </w:r>
        </w:p>
        <w:p w14:paraId="25259344">
          <w:pPr>
            <w:pStyle w:val="27"/>
            <w:tabs>
              <w:tab w:val="right" w:leader="dot" w:pos="8306"/>
            </w:tabs>
          </w:pPr>
          <w:r>
            <w:rPr>
              <w:rFonts w:hint="eastAsia"/>
              <w:highlight w:val="none"/>
            </w:rPr>
            <w:fldChar w:fldCharType="begin"/>
          </w:r>
          <w:r>
            <w:rPr>
              <w:rFonts w:hint="eastAsia"/>
              <w:highlight w:val="none"/>
            </w:rPr>
            <w:instrText xml:space="preserve"> HYPERLINK \l _Toc955 </w:instrText>
          </w:r>
          <w:r>
            <w:rPr>
              <w:rFonts w:hint="eastAsia"/>
              <w:highlight w:val="none"/>
            </w:rPr>
            <w:fldChar w:fldCharType="separate"/>
          </w:r>
          <w:r>
            <w:rPr>
              <w:rFonts w:hint="eastAsia" w:ascii="宋体" w:hAnsi="宋体" w:eastAsia="宋体"/>
            </w:rPr>
            <w:t xml:space="preserve">1.5. </w:t>
          </w:r>
          <w:r>
            <w:rPr>
              <w:rFonts w:hint="eastAsia"/>
              <w:highlight w:val="none"/>
            </w:rPr>
            <w:t>服务周期</w:t>
          </w:r>
          <w:r>
            <w:tab/>
          </w:r>
          <w:r>
            <w:fldChar w:fldCharType="begin"/>
          </w:r>
          <w:r>
            <w:instrText xml:space="preserve"> PAGEREF _Toc955 \h </w:instrText>
          </w:r>
          <w:r>
            <w:fldChar w:fldCharType="separate"/>
          </w:r>
          <w:r>
            <w:t>3</w:t>
          </w:r>
          <w:r>
            <w:fldChar w:fldCharType="end"/>
          </w:r>
          <w:r>
            <w:rPr>
              <w:rFonts w:hint="eastAsia"/>
              <w:highlight w:val="none"/>
            </w:rPr>
            <w:fldChar w:fldCharType="end"/>
          </w:r>
        </w:p>
        <w:p w14:paraId="4EC983AB">
          <w:pPr>
            <w:pStyle w:val="27"/>
            <w:tabs>
              <w:tab w:val="right" w:leader="dot" w:pos="8306"/>
            </w:tabs>
          </w:pPr>
          <w:r>
            <w:rPr>
              <w:rFonts w:hint="eastAsia"/>
              <w:highlight w:val="none"/>
            </w:rPr>
            <w:fldChar w:fldCharType="begin"/>
          </w:r>
          <w:r>
            <w:rPr>
              <w:rFonts w:hint="eastAsia"/>
              <w:highlight w:val="none"/>
            </w:rPr>
            <w:instrText xml:space="preserve"> HYPERLINK \l _Toc1229 </w:instrText>
          </w:r>
          <w:r>
            <w:rPr>
              <w:rFonts w:hint="eastAsia"/>
              <w:highlight w:val="none"/>
            </w:rPr>
            <w:fldChar w:fldCharType="separate"/>
          </w:r>
          <w:r>
            <w:rPr>
              <w:rFonts w:hint="eastAsia" w:ascii="宋体" w:hAnsi="宋体" w:eastAsia="宋体"/>
            </w:rPr>
            <w:t xml:space="preserve">1.6. </w:t>
          </w:r>
          <w:r>
            <w:rPr>
              <w:rFonts w:hint="eastAsia"/>
              <w:highlight w:val="none"/>
            </w:rPr>
            <w:t>项目最高限价</w:t>
          </w:r>
          <w:r>
            <w:tab/>
          </w:r>
          <w:r>
            <w:fldChar w:fldCharType="begin"/>
          </w:r>
          <w:r>
            <w:instrText xml:space="preserve"> PAGEREF _Toc1229 \h </w:instrText>
          </w:r>
          <w:r>
            <w:fldChar w:fldCharType="separate"/>
          </w:r>
          <w:r>
            <w:t>3</w:t>
          </w:r>
          <w:r>
            <w:fldChar w:fldCharType="end"/>
          </w:r>
          <w:r>
            <w:rPr>
              <w:rFonts w:hint="eastAsia"/>
              <w:highlight w:val="none"/>
            </w:rPr>
            <w:fldChar w:fldCharType="end"/>
          </w:r>
        </w:p>
        <w:p w14:paraId="434A0448">
          <w:pPr>
            <w:pStyle w:val="24"/>
            <w:tabs>
              <w:tab w:val="right" w:leader="dot" w:pos="8306"/>
            </w:tabs>
          </w:pPr>
          <w:r>
            <w:rPr>
              <w:rFonts w:hint="eastAsia"/>
              <w:highlight w:val="none"/>
            </w:rPr>
            <w:fldChar w:fldCharType="begin"/>
          </w:r>
          <w:r>
            <w:rPr>
              <w:rFonts w:hint="eastAsia"/>
              <w:highlight w:val="none"/>
            </w:rPr>
            <w:instrText xml:space="preserve"> HYPERLINK \l _Toc32656 </w:instrText>
          </w:r>
          <w:r>
            <w:rPr>
              <w:rFonts w:hint="eastAsia"/>
              <w:highlight w:val="none"/>
            </w:rPr>
            <w:fldChar w:fldCharType="separate"/>
          </w:r>
          <w:r>
            <w:rPr>
              <w:rFonts w:hint="eastAsia" w:ascii="宋体" w:hAnsi="宋体" w:eastAsia="宋体"/>
            </w:rPr>
            <w:t xml:space="preserve">第二章 </w:t>
          </w:r>
          <w:r>
            <w:rPr>
              <w:rFonts w:hint="eastAsia"/>
              <w:highlight w:val="none"/>
            </w:rPr>
            <w:t>服务内容和要求</w:t>
          </w:r>
          <w:r>
            <w:tab/>
          </w:r>
          <w:r>
            <w:fldChar w:fldCharType="begin"/>
          </w:r>
          <w:r>
            <w:instrText xml:space="preserve"> PAGEREF _Toc32656 \h </w:instrText>
          </w:r>
          <w:r>
            <w:fldChar w:fldCharType="separate"/>
          </w:r>
          <w:r>
            <w:t>4</w:t>
          </w:r>
          <w:r>
            <w:fldChar w:fldCharType="end"/>
          </w:r>
          <w:r>
            <w:rPr>
              <w:rFonts w:hint="eastAsia"/>
              <w:highlight w:val="none"/>
            </w:rPr>
            <w:fldChar w:fldCharType="end"/>
          </w:r>
        </w:p>
        <w:p w14:paraId="66A3D8D8">
          <w:pPr>
            <w:pStyle w:val="27"/>
            <w:tabs>
              <w:tab w:val="right" w:leader="dot" w:pos="8306"/>
            </w:tabs>
          </w:pPr>
          <w:r>
            <w:rPr>
              <w:rFonts w:hint="eastAsia"/>
              <w:highlight w:val="none"/>
            </w:rPr>
            <w:fldChar w:fldCharType="begin"/>
          </w:r>
          <w:r>
            <w:rPr>
              <w:rFonts w:hint="eastAsia"/>
              <w:highlight w:val="none"/>
            </w:rPr>
            <w:instrText xml:space="preserve"> HYPERLINK \l _Toc17358 </w:instrText>
          </w:r>
          <w:r>
            <w:rPr>
              <w:rFonts w:hint="eastAsia"/>
              <w:highlight w:val="none"/>
            </w:rPr>
            <w:fldChar w:fldCharType="separate"/>
          </w:r>
          <w:r>
            <w:rPr>
              <w:rFonts w:hint="eastAsia" w:ascii="宋体" w:hAnsi="宋体" w:eastAsia="宋体"/>
            </w:rPr>
            <w:t xml:space="preserve">2.1. </w:t>
          </w:r>
          <w:r>
            <w:rPr>
              <w:rFonts w:hint="eastAsia"/>
              <w:highlight w:val="none"/>
            </w:rPr>
            <w:t>集约化平台运维服务</w:t>
          </w:r>
          <w:r>
            <w:tab/>
          </w:r>
          <w:r>
            <w:fldChar w:fldCharType="begin"/>
          </w:r>
          <w:r>
            <w:instrText xml:space="preserve"> PAGEREF _Toc17358 \h </w:instrText>
          </w:r>
          <w:r>
            <w:fldChar w:fldCharType="separate"/>
          </w:r>
          <w:r>
            <w:t>4</w:t>
          </w:r>
          <w:r>
            <w:fldChar w:fldCharType="end"/>
          </w:r>
          <w:r>
            <w:rPr>
              <w:rFonts w:hint="eastAsia"/>
              <w:highlight w:val="none"/>
            </w:rPr>
            <w:fldChar w:fldCharType="end"/>
          </w:r>
        </w:p>
        <w:p w14:paraId="3C6AD0B6">
          <w:pPr>
            <w:pStyle w:val="19"/>
            <w:tabs>
              <w:tab w:val="right" w:leader="dot" w:pos="8306"/>
            </w:tabs>
          </w:pPr>
          <w:r>
            <w:rPr>
              <w:rFonts w:hint="eastAsia"/>
              <w:highlight w:val="none"/>
            </w:rPr>
            <w:fldChar w:fldCharType="begin"/>
          </w:r>
          <w:r>
            <w:rPr>
              <w:rFonts w:hint="eastAsia"/>
              <w:highlight w:val="none"/>
            </w:rPr>
            <w:instrText xml:space="preserve"> HYPERLINK \l _Toc3637 </w:instrText>
          </w:r>
          <w:r>
            <w:rPr>
              <w:rFonts w:hint="eastAsia"/>
              <w:highlight w:val="none"/>
            </w:rPr>
            <w:fldChar w:fldCharType="separate"/>
          </w:r>
          <w:r>
            <w:rPr>
              <w:rFonts w:hint="eastAsia" w:ascii="宋体" w:hAnsi="宋体" w:eastAsia="宋体"/>
            </w:rPr>
            <w:t xml:space="preserve">2.1.1. </w:t>
          </w:r>
          <w:r>
            <w:rPr>
              <w:rFonts w:hint="eastAsia"/>
              <w:highlight w:val="none"/>
            </w:rPr>
            <w:t>服务内容</w:t>
          </w:r>
          <w:r>
            <w:tab/>
          </w:r>
          <w:r>
            <w:fldChar w:fldCharType="begin"/>
          </w:r>
          <w:r>
            <w:instrText xml:space="preserve"> PAGEREF _Toc3637 \h </w:instrText>
          </w:r>
          <w:r>
            <w:fldChar w:fldCharType="separate"/>
          </w:r>
          <w:r>
            <w:t>4</w:t>
          </w:r>
          <w:r>
            <w:fldChar w:fldCharType="end"/>
          </w:r>
          <w:r>
            <w:rPr>
              <w:rFonts w:hint="eastAsia"/>
              <w:highlight w:val="none"/>
            </w:rPr>
            <w:fldChar w:fldCharType="end"/>
          </w:r>
        </w:p>
        <w:p w14:paraId="4509490E">
          <w:pPr>
            <w:pStyle w:val="19"/>
            <w:tabs>
              <w:tab w:val="right" w:leader="dot" w:pos="8306"/>
            </w:tabs>
          </w:pPr>
          <w:r>
            <w:rPr>
              <w:rFonts w:hint="eastAsia"/>
              <w:highlight w:val="none"/>
            </w:rPr>
            <w:fldChar w:fldCharType="begin"/>
          </w:r>
          <w:r>
            <w:rPr>
              <w:rFonts w:hint="eastAsia"/>
              <w:highlight w:val="none"/>
            </w:rPr>
            <w:instrText xml:space="preserve"> HYPERLINK \l _Toc2959 </w:instrText>
          </w:r>
          <w:r>
            <w:rPr>
              <w:rFonts w:hint="eastAsia"/>
              <w:highlight w:val="none"/>
            </w:rPr>
            <w:fldChar w:fldCharType="separate"/>
          </w:r>
          <w:r>
            <w:rPr>
              <w:rFonts w:hint="eastAsia" w:ascii="宋体" w:hAnsi="宋体" w:eastAsia="宋体"/>
            </w:rPr>
            <w:t xml:space="preserve">2.1.2. </w:t>
          </w:r>
          <w:r>
            <w:rPr>
              <w:rFonts w:hint="eastAsia"/>
              <w:highlight w:val="none"/>
            </w:rPr>
            <w:t>服务要求</w:t>
          </w:r>
          <w:r>
            <w:tab/>
          </w:r>
          <w:r>
            <w:fldChar w:fldCharType="begin"/>
          </w:r>
          <w:r>
            <w:instrText xml:space="preserve"> PAGEREF _Toc2959 \h </w:instrText>
          </w:r>
          <w:r>
            <w:fldChar w:fldCharType="separate"/>
          </w:r>
          <w:r>
            <w:t>13</w:t>
          </w:r>
          <w:r>
            <w:fldChar w:fldCharType="end"/>
          </w:r>
          <w:r>
            <w:rPr>
              <w:rFonts w:hint="eastAsia"/>
              <w:highlight w:val="none"/>
            </w:rPr>
            <w:fldChar w:fldCharType="end"/>
          </w:r>
        </w:p>
        <w:p w14:paraId="24CFE1EB">
          <w:pPr>
            <w:pStyle w:val="27"/>
            <w:tabs>
              <w:tab w:val="right" w:leader="dot" w:pos="8306"/>
            </w:tabs>
          </w:pPr>
          <w:r>
            <w:rPr>
              <w:rFonts w:hint="eastAsia"/>
              <w:highlight w:val="none"/>
            </w:rPr>
            <w:fldChar w:fldCharType="begin"/>
          </w:r>
          <w:r>
            <w:rPr>
              <w:rFonts w:hint="eastAsia"/>
              <w:highlight w:val="none"/>
            </w:rPr>
            <w:instrText xml:space="preserve"> HYPERLINK \l _Toc22526 </w:instrText>
          </w:r>
          <w:r>
            <w:rPr>
              <w:rFonts w:hint="eastAsia"/>
              <w:highlight w:val="none"/>
            </w:rPr>
            <w:fldChar w:fldCharType="separate"/>
          </w:r>
          <w:r>
            <w:rPr>
              <w:rFonts w:hint="eastAsia" w:ascii="宋体" w:hAnsi="宋体" w:eastAsia="宋体"/>
            </w:rPr>
            <w:t xml:space="preserve">2.2. </w:t>
          </w:r>
          <w:r>
            <w:rPr>
              <w:rFonts w:hint="eastAsia"/>
              <w:highlight w:val="none"/>
            </w:rPr>
            <w:t>适老化无障碍维护服务</w:t>
          </w:r>
          <w:r>
            <w:tab/>
          </w:r>
          <w:r>
            <w:fldChar w:fldCharType="begin"/>
          </w:r>
          <w:r>
            <w:instrText xml:space="preserve"> PAGEREF _Toc22526 \h </w:instrText>
          </w:r>
          <w:r>
            <w:fldChar w:fldCharType="separate"/>
          </w:r>
          <w:r>
            <w:t>15</w:t>
          </w:r>
          <w:r>
            <w:fldChar w:fldCharType="end"/>
          </w:r>
          <w:r>
            <w:rPr>
              <w:rFonts w:hint="eastAsia"/>
              <w:highlight w:val="none"/>
            </w:rPr>
            <w:fldChar w:fldCharType="end"/>
          </w:r>
        </w:p>
        <w:p w14:paraId="2E683CD6">
          <w:pPr>
            <w:pStyle w:val="19"/>
            <w:tabs>
              <w:tab w:val="right" w:leader="dot" w:pos="8306"/>
            </w:tabs>
          </w:pPr>
          <w:r>
            <w:rPr>
              <w:rFonts w:hint="eastAsia"/>
              <w:highlight w:val="none"/>
            </w:rPr>
            <w:fldChar w:fldCharType="begin"/>
          </w:r>
          <w:r>
            <w:rPr>
              <w:rFonts w:hint="eastAsia"/>
              <w:highlight w:val="none"/>
            </w:rPr>
            <w:instrText xml:space="preserve"> HYPERLINK \l _Toc22186 </w:instrText>
          </w:r>
          <w:r>
            <w:rPr>
              <w:rFonts w:hint="eastAsia"/>
              <w:highlight w:val="none"/>
            </w:rPr>
            <w:fldChar w:fldCharType="separate"/>
          </w:r>
          <w:r>
            <w:rPr>
              <w:rFonts w:hint="eastAsia" w:ascii="宋体" w:hAnsi="宋体" w:eastAsia="宋体"/>
            </w:rPr>
            <w:t xml:space="preserve">2.2.1. </w:t>
          </w:r>
          <w:r>
            <w:rPr>
              <w:rFonts w:hint="eastAsia"/>
              <w:highlight w:val="none"/>
            </w:rPr>
            <w:t>服务内容</w:t>
          </w:r>
          <w:r>
            <w:tab/>
          </w:r>
          <w:r>
            <w:fldChar w:fldCharType="begin"/>
          </w:r>
          <w:r>
            <w:instrText xml:space="preserve"> PAGEREF _Toc22186 \h </w:instrText>
          </w:r>
          <w:r>
            <w:fldChar w:fldCharType="separate"/>
          </w:r>
          <w:r>
            <w:t>15</w:t>
          </w:r>
          <w:r>
            <w:fldChar w:fldCharType="end"/>
          </w:r>
          <w:r>
            <w:rPr>
              <w:rFonts w:hint="eastAsia"/>
              <w:highlight w:val="none"/>
            </w:rPr>
            <w:fldChar w:fldCharType="end"/>
          </w:r>
        </w:p>
        <w:p w14:paraId="72C60A66">
          <w:pPr>
            <w:pStyle w:val="19"/>
            <w:tabs>
              <w:tab w:val="right" w:leader="dot" w:pos="8306"/>
            </w:tabs>
          </w:pPr>
          <w:r>
            <w:rPr>
              <w:rFonts w:hint="eastAsia"/>
              <w:highlight w:val="none"/>
            </w:rPr>
            <w:fldChar w:fldCharType="begin"/>
          </w:r>
          <w:r>
            <w:rPr>
              <w:rFonts w:hint="eastAsia"/>
              <w:highlight w:val="none"/>
            </w:rPr>
            <w:instrText xml:space="preserve"> HYPERLINK \l _Toc23152 </w:instrText>
          </w:r>
          <w:r>
            <w:rPr>
              <w:rFonts w:hint="eastAsia"/>
              <w:highlight w:val="none"/>
            </w:rPr>
            <w:fldChar w:fldCharType="separate"/>
          </w:r>
          <w:r>
            <w:rPr>
              <w:rFonts w:hint="eastAsia" w:ascii="宋体" w:hAnsi="宋体" w:eastAsia="宋体"/>
            </w:rPr>
            <w:t xml:space="preserve">2.2.2. </w:t>
          </w:r>
          <w:r>
            <w:rPr>
              <w:rFonts w:hint="eastAsia"/>
              <w:highlight w:val="none"/>
            </w:rPr>
            <w:t>服务要求</w:t>
          </w:r>
          <w:r>
            <w:tab/>
          </w:r>
          <w:r>
            <w:fldChar w:fldCharType="begin"/>
          </w:r>
          <w:r>
            <w:instrText xml:space="preserve"> PAGEREF _Toc23152 \h </w:instrText>
          </w:r>
          <w:r>
            <w:fldChar w:fldCharType="separate"/>
          </w:r>
          <w:r>
            <w:t>17</w:t>
          </w:r>
          <w:r>
            <w:fldChar w:fldCharType="end"/>
          </w:r>
          <w:r>
            <w:rPr>
              <w:rFonts w:hint="eastAsia"/>
              <w:highlight w:val="none"/>
            </w:rPr>
            <w:fldChar w:fldCharType="end"/>
          </w:r>
        </w:p>
        <w:p w14:paraId="6B002820">
          <w:pPr>
            <w:pStyle w:val="27"/>
            <w:tabs>
              <w:tab w:val="right" w:leader="dot" w:pos="8306"/>
            </w:tabs>
          </w:pPr>
          <w:r>
            <w:rPr>
              <w:rFonts w:hint="eastAsia"/>
              <w:highlight w:val="none"/>
            </w:rPr>
            <w:fldChar w:fldCharType="begin"/>
          </w:r>
          <w:r>
            <w:rPr>
              <w:rFonts w:hint="eastAsia"/>
              <w:highlight w:val="none"/>
            </w:rPr>
            <w:instrText xml:space="preserve"> HYPERLINK \l _Toc3246 </w:instrText>
          </w:r>
          <w:r>
            <w:rPr>
              <w:rFonts w:hint="eastAsia"/>
              <w:highlight w:val="none"/>
            </w:rPr>
            <w:fldChar w:fldCharType="separate"/>
          </w:r>
          <w:r>
            <w:rPr>
              <w:rFonts w:hint="eastAsia" w:ascii="宋体" w:hAnsi="宋体" w:eastAsia="宋体"/>
            </w:rPr>
            <w:t xml:space="preserve">2.3. </w:t>
          </w:r>
          <w:r>
            <w:rPr>
              <w:rFonts w:hint="eastAsia"/>
              <w:highlight w:val="none"/>
            </w:rPr>
            <w:t>网站及新媒体监测服务</w:t>
          </w:r>
          <w:r>
            <w:tab/>
          </w:r>
          <w:r>
            <w:fldChar w:fldCharType="begin"/>
          </w:r>
          <w:r>
            <w:instrText xml:space="preserve"> PAGEREF _Toc3246 \h </w:instrText>
          </w:r>
          <w:r>
            <w:fldChar w:fldCharType="separate"/>
          </w:r>
          <w:r>
            <w:t>17</w:t>
          </w:r>
          <w:r>
            <w:fldChar w:fldCharType="end"/>
          </w:r>
          <w:r>
            <w:rPr>
              <w:rFonts w:hint="eastAsia"/>
              <w:highlight w:val="none"/>
            </w:rPr>
            <w:fldChar w:fldCharType="end"/>
          </w:r>
        </w:p>
        <w:p w14:paraId="73AE5930">
          <w:pPr>
            <w:pStyle w:val="19"/>
            <w:tabs>
              <w:tab w:val="right" w:leader="dot" w:pos="8306"/>
            </w:tabs>
          </w:pPr>
          <w:r>
            <w:rPr>
              <w:rFonts w:hint="eastAsia"/>
              <w:highlight w:val="none"/>
            </w:rPr>
            <w:fldChar w:fldCharType="begin"/>
          </w:r>
          <w:r>
            <w:rPr>
              <w:rFonts w:hint="eastAsia"/>
              <w:highlight w:val="none"/>
            </w:rPr>
            <w:instrText xml:space="preserve"> HYPERLINK \l _Toc18035 </w:instrText>
          </w:r>
          <w:r>
            <w:rPr>
              <w:rFonts w:hint="eastAsia"/>
              <w:highlight w:val="none"/>
            </w:rPr>
            <w:fldChar w:fldCharType="separate"/>
          </w:r>
          <w:r>
            <w:rPr>
              <w:rFonts w:hint="eastAsia" w:ascii="宋体" w:hAnsi="宋体" w:eastAsia="宋体"/>
            </w:rPr>
            <w:t xml:space="preserve">2.3.1. </w:t>
          </w:r>
          <w:r>
            <w:rPr>
              <w:rFonts w:hint="eastAsia"/>
              <w:highlight w:val="none"/>
            </w:rPr>
            <w:t>服务内容</w:t>
          </w:r>
          <w:r>
            <w:tab/>
          </w:r>
          <w:r>
            <w:fldChar w:fldCharType="begin"/>
          </w:r>
          <w:r>
            <w:instrText xml:space="preserve"> PAGEREF _Toc18035 \h </w:instrText>
          </w:r>
          <w:r>
            <w:fldChar w:fldCharType="separate"/>
          </w:r>
          <w:r>
            <w:t>17</w:t>
          </w:r>
          <w:r>
            <w:fldChar w:fldCharType="end"/>
          </w:r>
          <w:r>
            <w:rPr>
              <w:rFonts w:hint="eastAsia"/>
              <w:highlight w:val="none"/>
            </w:rPr>
            <w:fldChar w:fldCharType="end"/>
          </w:r>
        </w:p>
        <w:p w14:paraId="684DBEDF">
          <w:pPr>
            <w:pStyle w:val="19"/>
            <w:tabs>
              <w:tab w:val="right" w:leader="dot" w:pos="8306"/>
            </w:tabs>
          </w:pPr>
          <w:r>
            <w:rPr>
              <w:rFonts w:hint="eastAsia"/>
              <w:highlight w:val="none"/>
            </w:rPr>
            <w:fldChar w:fldCharType="begin"/>
          </w:r>
          <w:r>
            <w:rPr>
              <w:rFonts w:hint="eastAsia"/>
              <w:highlight w:val="none"/>
            </w:rPr>
            <w:instrText xml:space="preserve"> HYPERLINK \l _Toc19482 </w:instrText>
          </w:r>
          <w:r>
            <w:rPr>
              <w:rFonts w:hint="eastAsia"/>
              <w:highlight w:val="none"/>
            </w:rPr>
            <w:fldChar w:fldCharType="separate"/>
          </w:r>
          <w:r>
            <w:rPr>
              <w:rFonts w:hint="eastAsia" w:ascii="宋体" w:hAnsi="宋体" w:eastAsia="宋体"/>
            </w:rPr>
            <w:t xml:space="preserve">2.3.2. </w:t>
          </w:r>
          <w:r>
            <w:rPr>
              <w:rFonts w:hint="eastAsia"/>
              <w:highlight w:val="none"/>
            </w:rPr>
            <w:t>服务范围</w:t>
          </w:r>
          <w:r>
            <w:tab/>
          </w:r>
          <w:r>
            <w:fldChar w:fldCharType="begin"/>
          </w:r>
          <w:r>
            <w:instrText xml:space="preserve"> PAGEREF _Toc19482 \h </w:instrText>
          </w:r>
          <w:r>
            <w:fldChar w:fldCharType="separate"/>
          </w:r>
          <w:r>
            <w:t>18</w:t>
          </w:r>
          <w:r>
            <w:fldChar w:fldCharType="end"/>
          </w:r>
          <w:r>
            <w:rPr>
              <w:rFonts w:hint="eastAsia"/>
              <w:highlight w:val="none"/>
            </w:rPr>
            <w:fldChar w:fldCharType="end"/>
          </w:r>
        </w:p>
        <w:p w14:paraId="2FE949D6">
          <w:pPr>
            <w:pStyle w:val="19"/>
            <w:tabs>
              <w:tab w:val="right" w:leader="dot" w:pos="8306"/>
            </w:tabs>
          </w:pPr>
          <w:r>
            <w:rPr>
              <w:rFonts w:hint="eastAsia"/>
              <w:highlight w:val="none"/>
            </w:rPr>
            <w:fldChar w:fldCharType="begin"/>
          </w:r>
          <w:r>
            <w:rPr>
              <w:rFonts w:hint="eastAsia"/>
              <w:highlight w:val="none"/>
            </w:rPr>
            <w:instrText xml:space="preserve"> HYPERLINK \l _Toc29941 </w:instrText>
          </w:r>
          <w:r>
            <w:rPr>
              <w:rFonts w:hint="eastAsia"/>
              <w:highlight w:val="none"/>
            </w:rPr>
            <w:fldChar w:fldCharType="separate"/>
          </w:r>
          <w:r>
            <w:rPr>
              <w:rFonts w:hint="eastAsia" w:ascii="宋体" w:hAnsi="宋体" w:eastAsia="宋体"/>
            </w:rPr>
            <w:t xml:space="preserve">2.3.3. </w:t>
          </w:r>
          <w:r>
            <w:rPr>
              <w:rFonts w:hint="eastAsia"/>
              <w:highlight w:val="none"/>
            </w:rPr>
            <w:t>监测指标</w:t>
          </w:r>
          <w:r>
            <w:tab/>
          </w:r>
          <w:r>
            <w:fldChar w:fldCharType="begin"/>
          </w:r>
          <w:r>
            <w:instrText xml:space="preserve"> PAGEREF _Toc29941 \h </w:instrText>
          </w:r>
          <w:r>
            <w:fldChar w:fldCharType="separate"/>
          </w:r>
          <w:r>
            <w:t>25</w:t>
          </w:r>
          <w:r>
            <w:fldChar w:fldCharType="end"/>
          </w:r>
          <w:r>
            <w:rPr>
              <w:rFonts w:hint="eastAsia"/>
              <w:highlight w:val="none"/>
            </w:rPr>
            <w:fldChar w:fldCharType="end"/>
          </w:r>
        </w:p>
        <w:p w14:paraId="6309DB7C">
          <w:pPr>
            <w:pStyle w:val="19"/>
            <w:tabs>
              <w:tab w:val="right" w:leader="dot" w:pos="8306"/>
            </w:tabs>
          </w:pPr>
          <w:r>
            <w:rPr>
              <w:rFonts w:hint="eastAsia"/>
              <w:highlight w:val="none"/>
            </w:rPr>
            <w:fldChar w:fldCharType="begin"/>
          </w:r>
          <w:r>
            <w:rPr>
              <w:rFonts w:hint="eastAsia"/>
              <w:highlight w:val="none"/>
            </w:rPr>
            <w:instrText xml:space="preserve"> HYPERLINK \l _Toc5344 </w:instrText>
          </w:r>
          <w:r>
            <w:rPr>
              <w:rFonts w:hint="eastAsia"/>
              <w:highlight w:val="none"/>
            </w:rPr>
            <w:fldChar w:fldCharType="separate"/>
          </w:r>
          <w:r>
            <w:rPr>
              <w:rFonts w:hint="eastAsia" w:ascii="宋体" w:hAnsi="宋体" w:eastAsia="宋体"/>
            </w:rPr>
            <w:t xml:space="preserve">2.3.4. </w:t>
          </w:r>
          <w:r>
            <w:rPr>
              <w:rFonts w:hint="eastAsia"/>
              <w:highlight w:val="none"/>
            </w:rPr>
            <w:t>服务要求</w:t>
          </w:r>
          <w:r>
            <w:tab/>
          </w:r>
          <w:r>
            <w:fldChar w:fldCharType="begin"/>
          </w:r>
          <w:r>
            <w:instrText xml:space="preserve"> PAGEREF _Toc5344 \h </w:instrText>
          </w:r>
          <w:r>
            <w:fldChar w:fldCharType="separate"/>
          </w:r>
          <w:r>
            <w:t>26</w:t>
          </w:r>
          <w:r>
            <w:fldChar w:fldCharType="end"/>
          </w:r>
          <w:r>
            <w:rPr>
              <w:rFonts w:hint="eastAsia"/>
              <w:highlight w:val="none"/>
            </w:rPr>
            <w:fldChar w:fldCharType="end"/>
          </w:r>
        </w:p>
        <w:p w14:paraId="410007CC">
          <w:pPr>
            <w:pStyle w:val="27"/>
            <w:tabs>
              <w:tab w:val="right" w:leader="dot" w:pos="8306"/>
            </w:tabs>
          </w:pPr>
          <w:r>
            <w:rPr>
              <w:rFonts w:hint="eastAsia"/>
              <w:highlight w:val="none"/>
            </w:rPr>
            <w:fldChar w:fldCharType="begin"/>
          </w:r>
          <w:r>
            <w:rPr>
              <w:rFonts w:hint="eastAsia"/>
              <w:highlight w:val="none"/>
            </w:rPr>
            <w:instrText xml:space="preserve"> HYPERLINK \l _Toc19929 </w:instrText>
          </w:r>
          <w:r>
            <w:rPr>
              <w:rFonts w:hint="eastAsia"/>
              <w:highlight w:val="none"/>
            </w:rPr>
            <w:fldChar w:fldCharType="separate"/>
          </w:r>
          <w:r>
            <w:rPr>
              <w:rFonts w:hint="eastAsia" w:ascii="宋体" w:hAnsi="宋体" w:eastAsia="宋体"/>
            </w:rPr>
            <w:t xml:space="preserve">2.4. </w:t>
          </w:r>
          <w:r>
            <w:rPr>
              <w:rFonts w:hint="eastAsia"/>
              <w:highlight w:val="none"/>
            </w:rPr>
            <w:t>绩效评估要求</w:t>
          </w:r>
          <w:r>
            <w:tab/>
          </w:r>
          <w:r>
            <w:fldChar w:fldCharType="begin"/>
          </w:r>
          <w:r>
            <w:instrText xml:space="preserve"> PAGEREF _Toc19929 \h </w:instrText>
          </w:r>
          <w:r>
            <w:fldChar w:fldCharType="separate"/>
          </w:r>
          <w:r>
            <w:t>27</w:t>
          </w:r>
          <w:r>
            <w:fldChar w:fldCharType="end"/>
          </w:r>
          <w:r>
            <w:rPr>
              <w:rFonts w:hint="eastAsia"/>
              <w:highlight w:val="none"/>
            </w:rPr>
            <w:fldChar w:fldCharType="end"/>
          </w:r>
        </w:p>
        <w:p w14:paraId="3EDAFB71">
          <w:pPr>
            <w:pStyle w:val="27"/>
            <w:tabs>
              <w:tab w:val="right" w:leader="dot" w:pos="8306"/>
            </w:tabs>
          </w:pPr>
          <w:r>
            <w:rPr>
              <w:rFonts w:hint="eastAsia"/>
              <w:highlight w:val="none"/>
            </w:rPr>
            <w:fldChar w:fldCharType="begin"/>
          </w:r>
          <w:r>
            <w:rPr>
              <w:rFonts w:hint="eastAsia"/>
              <w:highlight w:val="none"/>
            </w:rPr>
            <w:instrText xml:space="preserve"> HYPERLINK \l _Toc24621 </w:instrText>
          </w:r>
          <w:r>
            <w:rPr>
              <w:rFonts w:hint="eastAsia"/>
              <w:highlight w:val="none"/>
            </w:rPr>
            <w:fldChar w:fldCharType="separate"/>
          </w:r>
          <w:r>
            <w:rPr>
              <w:rFonts w:hint="eastAsia" w:ascii="宋体" w:hAnsi="宋体" w:eastAsia="宋体"/>
            </w:rPr>
            <w:t xml:space="preserve">2.5. </w:t>
          </w:r>
          <w:r>
            <w:rPr>
              <w:rFonts w:hint="eastAsia"/>
              <w:highlight w:val="none"/>
            </w:rPr>
            <w:t>其他要求</w:t>
          </w:r>
          <w:r>
            <w:tab/>
          </w:r>
          <w:r>
            <w:fldChar w:fldCharType="begin"/>
          </w:r>
          <w:r>
            <w:instrText xml:space="preserve"> PAGEREF _Toc24621 \h </w:instrText>
          </w:r>
          <w:r>
            <w:fldChar w:fldCharType="separate"/>
          </w:r>
          <w:r>
            <w:t>28</w:t>
          </w:r>
          <w:r>
            <w:fldChar w:fldCharType="end"/>
          </w:r>
          <w:r>
            <w:rPr>
              <w:rFonts w:hint="eastAsia"/>
              <w:highlight w:val="none"/>
            </w:rPr>
            <w:fldChar w:fldCharType="end"/>
          </w:r>
        </w:p>
        <w:p w14:paraId="24A22043">
          <w:pPr>
            <w:pStyle w:val="19"/>
            <w:tabs>
              <w:tab w:val="right" w:leader="dot" w:pos="8306"/>
            </w:tabs>
          </w:pPr>
          <w:r>
            <w:rPr>
              <w:rFonts w:hint="eastAsia"/>
              <w:highlight w:val="none"/>
            </w:rPr>
            <w:fldChar w:fldCharType="begin"/>
          </w:r>
          <w:r>
            <w:rPr>
              <w:rFonts w:hint="eastAsia"/>
              <w:highlight w:val="none"/>
            </w:rPr>
            <w:instrText xml:space="preserve"> HYPERLINK \l _Toc6950 </w:instrText>
          </w:r>
          <w:r>
            <w:rPr>
              <w:rFonts w:hint="eastAsia"/>
              <w:highlight w:val="none"/>
            </w:rPr>
            <w:fldChar w:fldCharType="separate"/>
          </w:r>
          <w:r>
            <w:rPr>
              <w:rFonts w:hint="eastAsia" w:ascii="宋体" w:hAnsi="宋体" w:eastAsia="宋体"/>
            </w:rPr>
            <w:t xml:space="preserve">2.5.1. </w:t>
          </w:r>
          <w:r>
            <w:rPr>
              <w:rFonts w:hint="eastAsia"/>
              <w:highlight w:val="none"/>
            </w:rPr>
            <w:t>安全等级保护要求</w:t>
          </w:r>
          <w:r>
            <w:tab/>
          </w:r>
          <w:r>
            <w:fldChar w:fldCharType="begin"/>
          </w:r>
          <w:r>
            <w:instrText xml:space="preserve"> PAGEREF _Toc6950 \h </w:instrText>
          </w:r>
          <w:r>
            <w:fldChar w:fldCharType="separate"/>
          </w:r>
          <w:r>
            <w:t>28</w:t>
          </w:r>
          <w:r>
            <w:fldChar w:fldCharType="end"/>
          </w:r>
          <w:r>
            <w:rPr>
              <w:rFonts w:hint="eastAsia"/>
              <w:highlight w:val="none"/>
            </w:rPr>
            <w:fldChar w:fldCharType="end"/>
          </w:r>
        </w:p>
        <w:p w14:paraId="01785A31">
          <w:pPr>
            <w:pStyle w:val="19"/>
            <w:tabs>
              <w:tab w:val="right" w:leader="dot" w:pos="8306"/>
            </w:tabs>
          </w:pPr>
          <w:r>
            <w:rPr>
              <w:rFonts w:hint="eastAsia"/>
              <w:highlight w:val="none"/>
            </w:rPr>
            <w:fldChar w:fldCharType="begin"/>
          </w:r>
          <w:r>
            <w:rPr>
              <w:rFonts w:hint="eastAsia"/>
              <w:highlight w:val="none"/>
            </w:rPr>
            <w:instrText xml:space="preserve"> HYPERLINK \l _Toc22350 </w:instrText>
          </w:r>
          <w:r>
            <w:rPr>
              <w:rFonts w:hint="eastAsia"/>
              <w:highlight w:val="none"/>
            </w:rPr>
            <w:fldChar w:fldCharType="separate"/>
          </w:r>
          <w:r>
            <w:rPr>
              <w:rFonts w:hint="eastAsia" w:ascii="宋体" w:hAnsi="宋体" w:eastAsia="宋体"/>
            </w:rPr>
            <w:t xml:space="preserve">2.5.2. </w:t>
          </w:r>
          <w:r>
            <w:rPr>
              <w:rFonts w:hint="eastAsia"/>
              <w:highlight w:val="none"/>
            </w:rPr>
            <w:t>采购要求</w:t>
          </w:r>
          <w:r>
            <w:tab/>
          </w:r>
          <w:r>
            <w:fldChar w:fldCharType="begin"/>
          </w:r>
          <w:r>
            <w:instrText xml:space="preserve"> PAGEREF _Toc22350 \h </w:instrText>
          </w:r>
          <w:r>
            <w:fldChar w:fldCharType="separate"/>
          </w:r>
          <w:r>
            <w:t>28</w:t>
          </w:r>
          <w:r>
            <w:fldChar w:fldCharType="end"/>
          </w:r>
          <w:r>
            <w:rPr>
              <w:rFonts w:hint="eastAsia"/>
              <w:highlight w:val="none"/>
            </w:rPr>
            <w:fldChar w:fldCharType="end"/>
          </w:r>
        </w:p>
        <w:p w14:paraId="3C4846CF">
          <w:pPr>
            <w:pStyle w:val="19"/>
            <w:tabs>
              <w:tab w:val="right" w:leader="dot" w:pos="8306"/>
            </w:tabs>
          </w:pPr>
          <w:r>
            <w:rPr>
              <w:rFonts w:hint="eastAsia"/>
              <w:highlight w:val="none"/>
            </w:rPr>
            <w:fldChar w:fldCharType="begin"/>
          </w:r>
          <w:r>
            <w:rPr>
              <w:rFonts w:hint="eastAsia"/>
              <w:highlight w:val="none"/>
            </w:rPr>
            <w:instrText xml:space="preserve"> HYPERLINK \l _Toc21193 </w:instrText>
          </w:r>
          <w:r>
            <w:rPr>
              <w:rFonts w:hint="eastAsia"/>
              <w:highlight w:val="none"/>
            </w:rPr>
            <w:fldChar w:fldCharType="separate"/>
          </w:r>
          <w:r>
            <w:rPr>
              <w:rFonts w:hint="eastAsia" w:ascii="宋体" w:hAnsi="宋体" w:eastAsia="宋体"/>
            </w:rPr>
            <w:t xml:space="preserve">2.5.3. </w:t>
          </w:r>
          <w:r>
            <w:rPr>
              <w:rFonts w:hint="eastAsia"/>
              <w:highlight w:val="none"/>
            </w:rPr>
            <w:t>管理要求</w:t>
          </w:r>
          <w:r>
            <w:tab/>
          </w:r>
          <w:r>
            <w:fldChar w:fldCharType="begin"/>
          </w:r>
          <w:r>
            <w:instrText xml:space="preserve"> PAGEREF _Toc21193 \h </w:instrText>
          </w:r>
          <w:r>
            <w:fldChar w:fldCharType="separate"/>
          </w:r>
          <w:r>
            <w:t>29</w:t>
          </w:r>
          <w:r>
            <w:fldChar w:fldCharType="end"/>
          </w:r>
          <w:r>
            <w:rPr>
              <w:rFonts w:hint="eastAsia"/>
              <w:highlight w:val="none"/>
            </w:rPr>
            <w:fldChar w:fldCharType="end"/>
          </w:r>
        </w:p>
        <w:p w14:paraId="0B51A996">
          <w:pPr>
            <w:pStyle w:val="19"/>
            <w:tabs>
              <w:tab w:val="right" w:leader="dot" w:pos="8306"/>
            </w:tabs>
          </w:pPr>
          <w:r>
            <w:rPr>
              <w:rFonts w:hint="eastAsia"/>
              <w:highlight w:val="none"/>
            </w:rPr>
            <w:fldChar w:fldCharType="begin"/>
          </w:r>
          <w:r>
            <w:rPr>
              <w:rFonts w:hint="eastAsia"/>
              <w:highlight w:val="none"/>
            </w:rPr>
            <w:instrText xml:space="preserve"> HYPERLINK \l _Toc10989 </w:instrText>
          </w:r>
          <w:r>
            <w:rPr>
              <w:rFonts w:hint="eastAsia"/>
              <w:highlight w:val="none"/>
            </w:rPr>
            <w:fldChar w:fldCharType="separate"/>
          </w:r>
          <w:r>
            <w:rPr>
              <w:rFonts w:hint="eastAsia" w:ascii="宋体" w:hAnsi="宋体" w:eastAsia="宋体"/>
            </w:rPr>
            <w:t xml:space="preserve">2.5.4. </w:t>
          </w:r>
          <w:r>
            <w:rPr>
              <w:rFonts w:hint="eastAsia"/>
              <w:highlight w:val="none"/>
            </w:rPr>
            <w:t>服务团队要求</w:t>
          </w:r>
          <w:r>
            <w:tab/>
          </w:r>
          <w:r>
            <w:fldChar w:fldCharType="begin"/>
          </w:r>
          <w:r>
            <w:instrText xml:space="preserve"> PAGEREF _Toc10989 \h </w:instrText>
          </w:r>
          <w:r>
            <w:fldChar w:fldCharType="separate"/>
          </w:r>
          <w:r>
            <w:t>34</w:t>
          </w:r>
          <w:r>
            <w:fldChar w:fldCharType="end"/>
          </w:r>
          <w:r>
            <w:rPr>
              <w:rFonts w:hint="eastAsia"/>
              <w:highlight w:val="none"/>
            </w:rPr>
            <w:fldChar w:fldCharType="end"/>
          </w:r>
        </w:p>
        <w:p w14:paraId="37C3EDAE">
          <w:pPr>
            <w:pStyle w:val="19"/>
            <w:tabs>
              <w:tab w:val="right" w:leader="dot" w:pos="8306"/>
            </w:tabs>
          </w:pPr>
          <w:r>
            <w:rPr>
              <w:rFonts w:hint="eastAsia"/>
              <w:highlight w:val="none"/>
            </w:rPr>
            <w:fldChar w:fldCharType="begin"/>
          </w:r>
          <w:r>
            <w:rPr>
              <w:rFonts w:hint="eastAsia"/>
              <w:highlight w:val="none"/>
            </w:rPr>
            <w:instrText xml:space="preserve"> HYPERLINK \l _Toc29557 </w:instrText>
          </w:r>
          <w:r>
            <w:rPr>
              <w:rFonts w:hint="eastAsia"/>
              <w:highlight w:val="none"/>
            </w:rPr>
            <w:fldChar w:fldCharType="separate"/>
          </w:r>
          <w:r>
            <w:rPr>
              <w:rFonts w:hint="eastAsia" w:ascii="宋体" w:hAnsi="宋体" w:eastAsia="宋体"/>
            </w:rPr>
            <w:t xml:space="preserve">2.5.5. </w:t>
          </w:r>
          <w:r>
            <w:rPr>
              <w:rFonts w:hint="eastAsia"/>
              <w:highlight w:val="none"/>
            </w:rPr>
            <w:t>功能测试要求</w:t>
          </w:r>
          <w:r>
            <w:tab/>
          </w:r>
          <w:r>
            <w:fldChar w:fldCharType="begin"/>
          </w:r>
          <w:r>
            <w:instrText xml:space="preserve"> PAGEREF _Toc29557 \h </w:instrText>
          </w:r>
          <w:r>
            <w:fldChar w:fldCharType="separate"/>
          </w:r>
          <w:r>
            <w:t>36</w:t>
          </w:r>
          <w:r>
            <w:fldChar w:fldCharType="end"/>
          </w:r>
          <w:r>
            <w:rPr>
              <w:rFonts w:hint="eastAsia"/>
              <w:highlight w:val="none"/>
            </w:rPr>
            <w:fldChar w:fldCharType="end"/>
          </w:r>
        </w:p>
        <w:p w14:paraId="5C57B022">
          <w:pPr>
            <w:pStyle w:val="19"/>
            <w:tabs>
              <w:tab w:val="right" w:leader="dot" w:pos="8306"/>
            </w:tabs>
          </w:pPr>
          <w:r>
            <w:rPr>
              <w:rFonts w:hint="eastAsia"/>
              <w:highlight w:val="none"/>
            </w:rPr>
            <w:fldChar w:fldCharType="begin"/>
          </w:r>
          <w:r>
            <w:rPr>
              <w:rFonts w:hint="eastAsia"/>
              <w:highlight w:val="none"/>
            </w:rPr>
            <w:instrText xml:space="preserve"> HYPERLINK \l _Toc21750 </w:instrText>
          </w:r>
          <w:r>
            <w:rPr>
              <w:rFonts w:hint="eastAsia"/>
              <w:highlight w:val="none"/>
            </w:rPr>
            <w:fldChar w:fldCharType="separate"/>
          </w:r>
          <w:r>
            <w:rPr>
              <w:rFonts w:hint="eastAsia" w:ascii="宋体" w:hAnsi="宋体" w:eastAsia="宋体"/>
            </w:rPr>
            <w:t xml:space="preserve">2.5.6. </w:t>
          </w:r>
          <w:r>
            <w:rPr>
              <w:rFonts w:hint="eastAsia"/>
              <w:highlight w:val="none"/>
            </w:rPr>
            <w:t>文档管理要求</w:t>
          </w:r>
          <w:r>
            <w:tab/>
          </w:r>
          <w:r>
            <w:fldChar w:fldCharType="begin"/>
          </w:r>
          <w:r>
            <w:instrText xml:space="preserve"> PAGEREF _Toc21750 \h </w:instrText>
          </w:r>
          <w:r>
            <w:fldChar w:fldCharType="separate"/>
          </w:r>
          <w:r>
            <w:t>36</w:t>
          </w:r>
          <w:r>
            <w:fldChar w:fldCharType="end"/>
          </w:r>
          <w:r>
            <w:rPr>
              <w:rFonts w:hint="eastAsia"/>
              <w:highlight w:val="none"/>
            </w:rPr>
            <w:fldChar w:fldCharType="end"/>
          </w:r>
        </w:p>
        <w:p w14:paraId="1BCFAC2E">
          <w:pPr>
            <w:pStyle w:val="19"/>
            <w:tabs>
              <w:tab w:val="right" w:leader="dot" w:pos="8306"/>
            </w:tabs>
          </w:pPr>
          <w:r>
            <w:rPr>
              <w:rFonts w:hint="eastAsia"/>
              <w:highlight w:val="none"/>
            </w:rPr>
            <w:fldChar w:fldCharType="begin"/>
          </w:r>
          <w:r>
            <w:rPr>
              <w:rFonts w:hint="eastAsia"/>
              <w:highlight w:val="none"/>
            </w:rPr>
            <w:instrText xml:space="preserve"> HYPERLINK \l _Toc13658 </w:instrText>
          </w:r>
          <w:r>
            <w:rPr>
              <w:rFonts w:hint="eastAsia"/>
              <w:highlight w:val="none"/>
            </w:rPr>
            <w:fldChar w:fldCharType="separate"/>
          </w:r>
          <w:r>
            <w:rPr>
              <w:rFonts w:hint="eastAsia" w:ascii="宋体" w:hAnsi="宋体" w:eastAsia="宋体"/>
            </w:rPr>
            <w:t xml:space="preserve">2.5.7. </w:t>
          </w:r>
          <w:r>
            <w:rPr>
              <w:rFonts w:hint="eastAsia"/>
              <w:highlight w:val="none"/>
            </w:rPr>
            <w:t>项目培训要求</w:t>
          </w:r>
          <w:r>
            <w:tab/>
          </w:r>
          <w:r>
            <w:fldChar w:fldCharType="begin"/>
          </w:r>
          <w:r>
            <w:instrText xml:space="preserve"> PAGEREF _Toc13658 \h </w:instrText>
          </w:r>
          <w:r>
            <w:fldChar w:fldCharType="separate"/>
          </w:r>
          <w:r>
            <w:t>37</w:t>
          </w:r>
          <w:r>
            <w:fldChar w:fldCharType="end"/>
          </w:r>
          <w:r>
            <w:rPr>
              <w:rFonts w:hint="eastAsia"/>
              <w:highlight w:val="none"/>
            </w:rPr>
            <w:fldChar w:fldCharType="end"/>
          </w:r>
        </w:p>
        <w:p w14:paraId="2520F652">
          <w:pPr>
            <w:pStyle w:val="27"/>
            <w:tabs>
              <w:tab w:val="right" w:leader="dot" w:pos="8306"/>
            </w:tabs>
          </w:pPr>
          <w:r>
            <w:rPr>
              <w:rFonts w:hint="eastAsia"/>
              <w:highlight w:val="none"/>
            </w:rPr>
            <w:fldChar w:fldCharType="begin"/>
          </w:r>
          <w:r>
            <w:rPr>
              <w:rFonts w:hint="eastAsia"/>
              <w:highlight w:val="none"/>
            </w:rPr>
            <w:instrText xml:space="preserve"> HYPERLINK \l _Toc8932 </w:instrText>
          </w:r>
          <w:r>
            <w:rPr>
              <w:rFonts w:hint="eastAsia"/>
              <w:highlight w:val="none"/>
            </w:rPr>
            <w:fldChar w:fldCharType="separate"/>
          </w:r>
          <w:r>
            <w:rPr>
              <w:rFonts w:hint="eastAsia" w:ascii="宋体" w:hAnsi="宋体" w:eastAsia="宋体"/>
            </w:rPr>
            <w:t xml:space="preserve">2.6. </w:t>
          </w:r>
          <w:r>
            <w:rPr>
              <w:rFonts w:hint="eastAsia"/>
              <w:highlight w:val="none"/>
            </w:rPr>
            <w:t>服务分项限价</w:t>
          </w:r>
          <w:r>
            <w:tab/>
          </w:r>
          <w:r>
            <w:fldChar w:fldCharType="begin"/>
          </w:r>
          <w:r>
            <w:instrText xml:space="preserve"> PAGEREF _Toc8932 \h </w:instrText>
          </w:r>
          <w:r>
            <w:fldChar w:fldCharType="separate"/>
          </w:r>
          <w:r>
            <w:t>38</w:t>
          </w:r>
          <w:r>
            <w:fldChar w:fldCharType="end"/>
          </w:r>
          <w:r>
            <w:rPr>
              <w:rFonts w:hint="eastAsia"/>
              <w:highlight w:val="none"/>
            </w:rPr>
            <w:fldChar w:fldCharType="end"/>
          </w:r>
        </w:p>
        <w:p w14:paraId="0C42A1CE">
          <w:pPr>
            <w:pStyle w:val="24"/>
            <w:tabs>
              <w:tab w:val="right" w:leader="dot" w:pos="8306"/>
            </w:tabs>
          </w:pPr>
          <w:r>
            <w:rPr>
              <w:rFonts w:hint="eastAsia"/>
              <w:highlight w:val="none"/>
            </w:rPr>
            <w:fldChar w:fldCharType="begin"/>
          </w:r>
          <w:r>
            <w:rPr>
              <w:rFonts w:hint="eastAsia"/>
              <w:highlight w:val="none"/>
            </w:rPr>
            <w:instrText xml:space="preserve"> HYPERLINK \l _Toc5587 </w:instrText>
          </w:r>
          <w:r>
            <w:rPr>
              <w:rFonts w:hint="eastAsia"/>
              <w:highlight w:val="none"/>
            </w:rPr>
            <w:fldChar w:fldCharType="separate"/>
          </w:r>
          <w:r>
            <w:rPr>
              <w:rFonts w:hint="eastAsia" w:ascii="宋体" w:hAnsi="宋体" w:eastAsia="宋体"/>
            </w:rPr>
            <w:t xml:space="preserve">第三章 </w:t>
          </w:r>
          <w:r>
            <w:rPr>
              <w:rFonts w:hint="eastAsia"/>
              <w:highlight w:val="none"/>
            </w:rPr>
            <w:t>验收要求</w:t>
          </w:r>
          <w:r>
            <w:tab/>
          </w:r>
          <w:r>
            <w:fldChar w:fldCharType="begin"/>
          </w:r>
          <w:r>
            <w:instrText xml:space="preserve"> PAGEREF _Toc5587 \h </w:instrText>
          </w:r>
          <w:r>
            <w:fldChar w:fldCharType="separate"/>
          </w:r>
          <w:r>
            <w:t>39</w:t>
          </w:r>
          <w:r>
            <w:fldChar w:fldCharType="end"/>
          </w:r>
          <w:r>
            <w:rPr>
              <w:rFonts w:hint="eastAsia"/>
              <w:highlight w:val="none"/>
            </w:rPr>
            <w:fldChar w:fldCharType="end"/>
          </w:r>
        </w:p>
        <w:p w14:paraId="5B8DCAF7">
          <w:pPr>
            <w:pStyle w:val="27"/>
            <w:tabs>
              <w:tab w:val="right" w:leader="dot" w:pos="8306"/>
            </w:tabs>
          </w:pPr>
          <w:r>
            <w:rPr>
              <w:rFonts w:hint="eastAsia"/>
              <w:highlight w:val="none"/>
            </w:rPr>
            <w:fldChar w:fldCharType="begin"/>
          </w:r>
          <w:r>
            <w:rPr>
              <w:rFonts w:hint="eastAsia"/>
              <w:highlight w:val="none"/>
            </w:rPr>
            <w:instrText xml:space="preserve"> HYPERLINK \l _Toc4942 </w:instrText>
          </w:r>
          <w:r>
            <w:rPr>
              <w:rFonts w:hint="eastAsia"/>
              <w:highlight w:val="none"/>
            </w:rPr>
            <w:fldChar w:fldCharType="separate"/>
          </w:r>
          <w:r>
            <w:rPr>
              <w:rFonts w:hint="eastAsia" w:ascii="宋体" w:hAnsi="宋体" w:eastAsia="宋体"/>
            </w:rPr>
            <w:t xml:space="preserve">3.1. </w:t>
          </w:r>
          <w:r>
            <w:rPr>
              <w:rFonts w:hint="eastAsia"/>
              <w:highlight w:val="none"/>
            </w:rPr>
            <w:t>验收条件</w:t>
          </w:r>
          <w:r>
            <w:tab/>
          </w:r>
          <w:r>
            <w:fldChar w:fldCharType="begin"/>
          </w:r>
          <w:r>
            <w:instrText xml:space="preserve"> PAGEREF _Toc4942 \h </w:instrText>
          </w:r>
          <w:r>
            <w:fldChar w:fldCharType="separate"/>
          </w:r>
          <w:r>
            <w:t>39</w:t>
          </w:r>
          <w:r>
            <w:fldChar w:fldCharType="end"/>
          </w:r>
          <w:r>
            <w:rPr>
              <w:rFonts w:hint="eastAsia"/>
              <w:highlight w:val="none"/>
            </w:rPr>
            <w:fldChar w:fldCharType="end"/>
          </w:r>
        </w:p>
        <w:p w14:paraId="36311A56">
          <w:pPr>
            <w:pStyle w:val="27"/>
            <w:tabs>
              <w:tab w:val="right" w:leader="dot" w:pos="8306"/>
            </w:tabs>
          </w:pPr>
          <w:r>
            <w:rPr>
              <w:rFonts w:hint="eastAsia"/>
              <w:highlight w:val="none"/>
            </w:rPr>
            <w:fldChar w:fldCharType="begin"/>
          </w:r>
          <w:r>
            <w:rPr>
              <w:rFonts w:hint="eastAsia"/>
              <w:highlight w:val="none"/>
            </w:rPr>
            <w:instrText xml:space="preserve"> HYPERLINK \l _Toc15671 </w:instrText>
          </w:r>
          <w:r>
            <w:rPr>
              <w:rFonts w:hint="eastAsia"/>
              <w:highlight w:val="none"/>
            </w:rPr>
            <w:fldChar w:fldCharType="separate"/>
          </w:r>
          <w:r>
            <w:rPr>
              <w:rFonts w:hint="eastAsia" w:ascii="宋体" w:hAnsi="宋体" w:eastAsia="宋体"/>
            </w:rPr>
            <w:t xml:space="preserve">3.2. </w:t>
          </w:r>
          <w:r>
            <w:rPr>
              <w:rFonts w:hint="eastAsia"/>
              <w:highlight w:val="none"/>
            </w:rPr>
            <w:t>验收内容</w:t>
          </w:r>
          <w:r>
            <w:tab/>
          </w:r>
          <w:r>
            <w:fldChar w:fldCharType="begin"/>
          </w:r>
          <w:r>
            <w:instrText xml:space="preserve"> PAGEREF _Toc15671 \h </w:instrText>
          </w:r>
          <w:r>
            <w:fldChar w:fldCharType="separate"/>
          </w:r>
          <w:r>
            <w:t>39</w:t>
          </w:r>
          <w:r>
            <w:fldChar w:fldCharType="end"/>
          </w:r>
          <w:r>
            <w:rPr>
              <w:rFonts w:hint="eastAsia"/>
              <w:highlight w:val="none"/>
            </w:rPr>
            <w:fldChar w:fldCharType="end"/>
          </w:r>
        </w:p>
        <w:p w14:paraId="49DA3DEA">
          <w:pPr>
            <w:pStyle w:val="27"/>
            <w:tabs>
              <w:tab w:val="right" w:leader="dot" w:pos="8306"/>
            </w:tabs>
          </w:pPr>
          <w:r>
            <w:rPr>
              <w:rFonts w:hint="eastAsia"/>
              <w:highlight w:val="none"/>
            </w:rPr>
            <w:fldChar w:fldCharType="begin"/>
          </w:r>
          <w:r>
            <w:rPr>
              <w:rFonts w:hint="eastAsia"/>
              <w:highlight w:val="none"/>
            </w:rPr>
            <w:instrText xml:space="preserve"> HYPERLINK \l _Toc10463 </w:instrText>
          </w:r>
          <w:r>
            <w:rPr>
              <w:rFonts w:hint="eastAsia"/>
              <w:highlight w:val="none"/>
            </w:rPr>
            <w:fldChar w:fldCharType="separate"/>
          </w:r>
          <w:r>
            <w:rPr>
              <w:rFonts w:hint="eastAsia" w:ascii="宋体" w:hAnsi="宋体" w:eastAsia="宋体"/>
            </w:rPr>
            <w:t xml:space="preserve">3.3. </w:t>
          </w:r>
          <w:r>
            <w:rPr>
              <w:rFonts w:hint="eastAsia"/>
              <w:highlight w:val="none"/>
            </w:rPr>
            <w:t>服务验收标准</w:t>
          </w:r>
          <w:r>
            <w:tab/>
          </w:r>
          <w:r>
            <w:fldChar w:fldCharType="begin"/>
          </w:r>
          <w:r>
            <w:instrText xml:space="preserve"> PAGEREF _Toc10463 \h </w:instrText>
          </w:r>
          <w:r>
            <w:fldChar w:fldCharType="separate"/>
          </w:r>
          <w:r>
            <w:t>39</w:t>
          </w:r>
          <w:r>
            <w:fldChar w:fldCharType="end"/>
          </w:r>
          <w:r>
            <w:rPr>
              <w:rFonts w:hint="eastAsia"/>
              <w:highlight w:val="none"/>
            </w:rPr>
            <w:fldChar w:fldCharType="end"/>
          </w:r>
        </w:p>
        <w:p w14:paraId="0C4A6466">
          <w:pPr>
            <w:pStyle w:val="27"/>
            <w:tabs>
              <w:tab w:val="right" w:leader="dot" w:pos="8306"/>
            </w:tabs>
          </w:pPr>
          <w:r>
            <w:rPr>
              <w:rFonts w:hint="eastAsia"/>
              <w:highlight w:val="none"/>
            </w:rPr>
            <w:fldChar w:fldCharType="begin"/>
          </w:r>
          <w:r>
            <w:rPr>
              <w:rFonts w:hint="eastAsia"/>
              <w:highlight w:val="none"/>
            </w:rPr>
            <w:instrText xml:space="preserve"> HYPERLINK \l _Toc30827 </w:instrText>
          </w:r>
          <w:r>
            <w:rPr>
              <w:rFonts w:hint="eastAsia"/>
              <w:highlight w:val="none"/>
            </w:rPr>
            <w:fldChar w:fldCharType="separate"/>
          </w:r>
          <w:r>
            <w:rPr>
              <w:rFonts w:hint="eastAsia" w:ascii="宋体" w:hAnsi="宋体" w:eastAsia="宋体"/>
            </w:rPr>
            <w:t xml:space="preserve">3.4. </w:t>
          </w:r>
          <w:r>
            <w:rPr>
              <w:rFonts w:hint="eastAsia"/>
              <w:highlight w:val="none"/>
            </w:rPr>
            <w:t>验收程序</w:t>
          </w:r>
          <w:r>
            <w:tab/>
          </w:r>
          <w:r>
            <w:fldChar w:fldCharType="begin"/>
          </w:r>
          <w:r>
            <w:instrText xml:space="preserve"> PAGEREF _Toc30827 \h </w:instrText>
          </w:r>
          <w:r>
            <w:fldChar w:fldCharType="separate"/>
          </w:r>
          <w:r>
            <w:t>40</w:t>
          </w:r>
          <w:r>
            <w:fldChar w:fldCharType="end"/>
          </w:r>
          <w:r>
            <w:rPr>
              <w:rFonts w:hint="eastAsia"/>
              <w:highlight w:val="none"/>
            </w:rPr>
            <w:fldChar w:fldCharType="end"/>
          </w:r>
        </w:p>
        <w:p w14:paraId="0820C5F3">
          <w:pPr>
            <w:pStyle w:val="27"/>
            <w:tabs>
              <w:tab w:val="right" w:leader="dot" w:pos="8306"/>
            </w:tabs>
          </w:pPr>
          <w:r>
            <w:rPr>
              <w:rFonts w:hint="eastAsia"/>
              <w:highlight w:val="none"/>
            </w:rPr>
            <w:fldChar w:fldCharType="begin"/>
          </w:r>
          <w:r>
            <w:rPr>
              <w:rFonts w:hint="eastAsia"/>
              <w:highlight w:val="none"/>
            </w:rPr>
            <w:instrText xml:space="preserve"> HYPERLINK \l _Toc242 </w:instrText>
          </w:r>
          <w:r>
            <w:rPr>
              <w:rFonts w:hint="eastAsia"/>
              <w:highlight w:val="none"/>
            </w:rPr>
            <w:fldChar w:fldCharType="separate"/>
          </w:r>
          <w:r>
            <w:rPr>
              <w:rFonts w:hint="eastAsia" w:ascii="宋体" w:hAnsi="宋体" w:eastAsia="宋体"/>
            </w:rPr>
            <w:t xml:space="preserve">3.5. </w:t>
          </w:r>
          <w:r>
            <w:rPr>
              <w:rFonts w:hint="eastAsia"/>
              <w:highlight w:val="none"/>
            </w:rPr>
            <w:t>成果交付</w:t>
          </w:r>
          <w:r>
            <w:tab/>
          </w:r>
          <w:r>
            <w:fldChar w:fldCharType="begin"/>
          </w:r>
          <w:r>
            <w:instrText xml:space="preserve"> PAGEREF _Toc242 \h </w:instrText>
          </w:r>
          <w:r>
            <w:fldChar w:fldCharType="separate"/>
          </w:r>
          <w:r>
            <w:t>40</w:t>
          </w:r>
          <w:r>
            <w:fldChar w:fldCharType="end"/>
          </w:r>
          <w:r>
            <w:rPr>
              <w:rFonts w:hint="eastAsia"/>
              <w:highlight w:val="none"/>
            </w:rPr>
            <w:fldChar w:fldCharType="end"/>
          </w:r>
        </w:p>
        <w:p w14:paraId="0488EC8E">
          <w:pPr>
            <w:pStyle w:val="24"/>
            <w:tabs>
              <w:tab w:val="right" w:leader="dot" w:pos="8306"/>
            </w:tabs>
          </w:pPr>
          <w:r>
            <w:rPr>
              <w:rFonts w:hint="eastAsia"/>
              <w:highlight w:val="none"/>
            </w:rPr>
            <w:fldChar w:fldCharType="begin"/>
          </w:r>
          <w:r>
            <w:rPr>
              <w:rFonts w:hint="eastAsia"/>
              <w:highlight w:val="none"/>
            </w:rPr>
            <w:instrText xml:space="preserve"> HYPERLINK \l _Toc5265 </w:instrText>
          </w:r>
          <w:r>
            <w:rPr>
              <w:rFonts w:hint="eastAsia"/>
              <w:highlight w:val="none"/>
            </w:rPr>
            <w:fldChar w:fldCharType="separate"/>
          </w:r>
          <w:r>
            <w:rPr>
              <w:rFonts w:hint="eastAsia" w:ascii="宋体" w:hAnsi="宋体" w:eastAsia="宋体"/>
            </w:rPr>
            <w:t xml:space="preserve">第四章 </w:t>
          </w:r>
          <w:r>
            <w:rPr>
              <w:rFonts w:hint="eastAsia"/>
              <w:highlight w:val="none"/>
            </w:rPr>
            <w:t>服务考核要求</w:t>
          </w:r>
          <w:r>
            <w:tab/>
          </w:r>
          <w:r>
            <w:fldChar w:fldCharType="begin"/>
          </w:r>
          <w:r>
            <w:instrText xml:space="preserve"> PAGEREF _Toc5265 \h </w:instrText>
          </w:r>
          <w:r>
            <w:fldChar w:fldCharType="separate"/>
          </w:r>
          <w:r>
            <w:t>42</w:t>
          </w:r>
          <w:r>
            <w:fldChar w:fldCharType="end"/>
          </w:r>
          <w:r>
            <w:rPr>
              <w:rFonts w:hint="eastAsia"/>
              <w:highlight w:val="none"/>
            </w:rPr>
            <w:fldChar w:fldCharType="end"/>
          </w:r>
        </w:p>
        <w:p w14:paraId="2D05DB6C">
          <w:pPr>
            <w:pStyle w:val="27"/>
            <w:tabs>
              <w:tab w:val="right" w:leader="dot" w:pos="8306"/>
            </w:tabs>
          </w:pPr>
          <w:r>
            <w:rPr>
              <w:rFonts w:hint="eastAsia"/>
              <w:highlight w:val="none"/>
            </w:rPr>
            <w:fldChar w:fldCharType="begin"/>
          </w:r>
          <w:r>
            <w:rPr>
              <w:rFonts w:hint="eastAsia"/>
              <w:highlight w:val="none"/>
            </w:rPr>
            <w:instrText xml:space="preserve"> HYPERLINK \l _Toc4319 </w:instrText>
          </w:r>
          <w:r>
            <w:rPr>
              <w:rFonts w:hint="eastAsia"/>
              <w:highlight w:val="none"/>
            </w:rPr>
            <w:fldChar w:fldCharType="separate"/>
          </w:r>
          <w:r>
            <w:rPr>
              <w:rFonts w:hint="eastAsia" w:ascii="宋体" w:hAnsi="宋体" w:eastAsia="宋体"/>
            </w:rPr>
            <w:t xml:space="preserve">4.1. </w:t>
          </w:r>
          <w:r>
            <w:rPr>
              <w:rFonts w:hint="eastAsia"/>
              <w:highlight w:val="none"/>
            </w:rPr>
            <w:t>服务考核标准要求与考核内容</w:t>
          </w:r>
          <w:r>
            <w:tab/>
          </w:r>
          <w:r>
            <w:fldChar w:fldCharType="begin"/>
          </w:r>
          <w:r>
            <w:instrText xml:space="preserve"> PAGEREF _Toc4319 \h </w:instrText>
          </w:r>
          <w:r>
            <w:fldChar w:fldCharType="separate"/>
          </w:r>
          <w:r>
            <w:t>42</w:t>
          </w:r>
          <w:r>
            <w:fldChar w:fldCharType="end"/>
          </w:r>
          <w:r>
            <w:rPr>
              <w:rFonts w:hint="eastAsia"/>
              <w:highlight w:val="none"/>
            </w:rPr>
            <w:fldChar w:fldCharType="end"/>
          </w:r>
        </w:p>
        <w:p w14:paraId="1C4B2E35">
          <w:pPr>
            <w:pStyle w:val="27"/>
            <w:tabs>
              <w:tab w:val="right" w:leader="dot" w:pos="8306"/>
            </w:tabs>
          </w:pPr>
          <w:r>
            <w:rPr>
              <w:rFonts w:hint="eastAsia"/>
              <w:highlight w:val="none"/>
            </w:rPr>
            <w:fldChar w:fldCharType="begin"/>
          </w:r>
          <w:r>
            <w:rPr>
              <w:rFonts w:hint="eastAsia"/>
              <w:highlight w:val="none"/>
            </w:rPr>
            <w:instrText xml:space="preserve"> HYPERLINK \l _Toc2467 </w:instrText>
          </w:r>
          <w:r>
            <w:rPr>
              <w:rFonts w:hint="eastAsia"/>
              <w:highlight w:val="none"/>
            </w:rPr>
            <w:fldChar w:fldCharType="separate"/>
          </w:r>
          <w:r>
            <w:rPr>
              <w:rFonts w:hint="eastAsia" w:ascii="宋体" w:hAnsi="宋体" w:eastAsia="宋体"/>
            </w:rPr>
            <w:t xml:space="preserve">4.2. </w:t>
          </w:r>
          <w:r>
            <w:rPr>
              <w:rFonts w:hint="eastAsia"/>
              <w:highlight w:val="none"/>
            </w:rPr>
            <w:t>服务考核处理办法</w:t>
          </w:r>
          <w:r>
            <w:tab/>
          </w:r>
          <w:r>
            <w:fldChar w:fldCharType="begin"/>
          </w:r>
          <w:r>
            <w:instrText xml:space="preserve"> PAGEREF _Toc2467 \h </w:instrText>
          </w:r>
          <w:r>
            <w:fldChar w:fldCharType="separate"/>
          </w:r>
          <w:r>
            <w:t>43</w:t>
          </w:r>
          <w:r>
            <w:fldChar w:fldCharType="end"/>
          </w:r>
          <w:r>
            <w:rPr>
              <w:rFonts w:hint="eastAsia"/>
              <w:highlight w:val="none"/>
            </w:rPr>
            <w:fldChar w:fldCharType="end"/>
          </w:r>
        </w:p>
        <w:p w14:paraId="2F35D83E">
          <w:pPr>
            <w:ind w:firstLine="480"/>
            <w:rPr>
              <w:rFonts w:hint="eastAsia"/>
              <w:highlight w:val="none"/>
            </w:rPr>
          </w:pPr>
          <w:r>
            <w:rPr>
              <w:rFonts w:hint="eastAsia"/>
              <w:highlight w:val="none"/>
            </w:rPr>
            <w:fldChar w:fldCharType="end"/>
          </w:r>
        </w:p>
      </w:sdtContent>
    </w:sdt>
    <w:p w14:paraId="3FB58B6E">
      <w:pPr>
        <w:pStyle w:val="27"/>
        <w:ind w:left="480" w:firstLine="480"/>
        <w:rPr>
          <w:rFonts w:hint="eastAsia"/>
          <w:highlight w:val="none"/>
        </w:rPr>
        <w:sectPr>
          <w:footerReference r:id="rId8" w:type="default"/>
          <w:pgSz w:w="11906" w:h="16838"/>
          <w:pgMar w:top="1440" w:right="1800" w:bottom="1440" w:left="1800" w:header="851" w:footer="992" w:gutter="0"/>
          <w:pgNumType w:fmt="upperRoman" w:start="1"/>
          <w:cols w:space="425" w:num="1"/>
          <w:docGrid w:type="lines" w:linePitch="312" w:charSpace="0"/>
        </w:sectPr>
      </w:pPr>
    </w:p>
    <w:p w14:paraId="32B2CAB0">
      <w:pPr>
        <w:pStyle w:val="3"/>
        <w:spacing w:before="156"/>
        <w:rPr>
          <w:rFonts w:hint="eastAsia"/>
          <w:highlight w:val="none"/>
        </w:rPr>
      </w:pPr>
      <w:bookmarkStart w:id="6" w:name="_Toc5523"/>
      <w:bookmarkStart w:id="7" w:name="_Toc3660"/>
      <w:bookmarkStart w:id="8" w:name="_Toc29476"/>
      <w:bookmarkStart w:id="9" w:name="_Toc14801"/>
      <w:bookmarkStart w:id="10" w:name="_Toc20735"/>
      <w:bookmarkStart w:id="11" w:name="_Toc12090"/>
      <w:bookmarkStart w:id="12" w:name="_Toc233795171"/>
      <w:bookmarkStart w:id="13" w:name="_Toc11701"/>
      <w:bookmarkStart w:id="14" w:name="_Toc13058"/>
      <w:bookmarkStart w:id="15" w:name="_Toc23080"/>
      <w:bookmarkStart w:id="16" w:name="_Toc16184"/>
      <w:bookmarkStart w:id="17" w:name="_Toc32344"/>
      <w:bookmarkStart w:id="18" w:name="_Toc20620"/>
      <w:r>
        <w:rPr>
          <w:rFonts w:hint="eastAsia"/>
          <w:highlight w:val="none"/>
        </w:rPr>
        <w:t>项目概述</w:t>
      </w:r>
      <w:bookmarkEnd w:id="6"/>
      <w:bookmarkEnd w:id="7"/>
      <w:bookmarkEnd w:id="8"/>
      <w:bookmarkEnd w:id="9"/>
      <w:bookmarkEnd w:id="10"/>
      <w:bookmarkEnd w:id="11"/>
      <w:bookmarkEnd w:id="12"/>
      <w:bookmarkEnd w:id="13"/>
      <w:bookmarkEnd w:id="14"/>
      <w:bookmarkEnd w:id="15"/>
      <w:bookmarkEnd w:id="16"/>
      <w:bookmarkEnd w:id="17"/>
      <w:bookmarkEnd w:id="18"/>
    </w:p>
    <w:p w14:paraId="10167F9B">
      <w:pPr>
        <w:pStyle w:val="4"/>
        <w:spacing w:after="156"/>
        <w:rPr>
          <w:rFonts w:hint="eastAsia"/>
          <w:highlight w:val="none"/>
        </w:rPr>
      </w:pPr>
      <w:bookmarkStart w:id="19" w:name="_Toc9057"/>
      <w:bookmarkStart w:id="20" w:name="_Toc19428"/>
      <w:bookmarkStart w:id="21" w:name="_Toc17624"/>
      <w:bookmarkStart w:id="22" w:name="_Toc12682"/>
      <w:bookmarkStart w:id="23" w:name="_Toc4157"/>
      <w:bookmarkStart w:id="24" w:name="_Toc233795172"/>
      <w:bookmarkStart w:id="25" w:name="_Toc11049"/>
      <w:bookmarkStart w:id="26" w:name="_Toc30900"/>
      <w:bookmarkStart w:id="27" w:name="_Toc29240"/>
      <w:bookmarkStart w:id="28" w:name="_Toc3906"/>
      <w:bookmarkStart w:id="29" w:name="_Toc6490"/>
      <w:bookmarkStart w:id="30" w:name="_Toc11074"/>
      <w:bookmarkStart w:id="31" w:name="_Toc4753"/>
      <w:r>
        <w:rPr>
          <w:rFonts w:hint="eastAsia"/>
          <w:highlight w:val="none"/>
        </w:rPr>
        <w:t>项目背景</w:t>
      </w:r>
      <w:bookmarkEnd w:id="19"/>
      <w:bookmarkEnd w:id="20"/>
      <w:bookmarkEnd w:id="21"/>
      <w:bookmarkEnd w:id="22"/>
      <w:bookmarkEnd w:id="23"/>
      <w:bookmarkEnd w:id="24"/>
      <w:bookmarkEnd w:id="25"/>
      <w:bookmarkEnd w:id="26"/>
      <w:bookmarkEnd w:id="27"/>
      <w:bookmarkEnd w:id="28"/>
      <w:bookmarkEnd w:id="29"/>
      <w:bookmarkEnd w:id="30"/>
      <w:bookmarkEnd w:id="31"/>
    </w:p>
    <w:p w14:paraId="4A2A2397">
      <w:pPr>
        <w:pStyle w:val="32"/>
        <w:ind w:firstLine="480"/>
        <w:rPr>
          <w:rFonts w:hint="eastAsia"/>
          <w:highlight w:val="none"/>
        </w:rPr>
      </w:pPr>
      <w:r>
        <w:rPr>
          <w:rFonts w:hint="eastAsia"/>
          <w:highlight w:val="none"/>
        </w:rPr>
        <w:t>为贯彻落实《广东省人民政府办公厅关于印发〈地级以上市政府网站集约化工作方案〉的通知》（粤办函〔2019〕2号）要求，进一步推进全市政府网站集约化建设工作，按照省“数字政府”改革建设部署，汕头市各级政府网站于2019年12月底迁移至广东省政府网站集约化平台汕头分平台，与汕头市党群网站集约化平台构成汕头市政府网站集约化平台。其中，省政府网站集约化平台汕头分平台承载着市级政府和7个区县政府网站、40个市级政府部门频道，汕头市党群网站集约化平台承载着12个重要机构网站（下称“党群网站”），平台部署于我市数字政府政务云平台，依托政务云安全资源构建了相应的安全防护体系。</w:t>
      </w:r>
    </w:p>
    <w:p w14:paraId="4DA4403B">
      <w:pPr>
        <w:pStyle w:val="32"/>
        <w:ind w:firstLine="480"/>
        <w:rPr>
          <w:rFonts w:hint="eastAsia"/>
          <w:highlight w:val="none"/>
        </w:rPr>
      </w:pPr>
      <w:r>
        <w:rPr>
          <w:rFonts w:hint="eastAsia"/>
          <w:highlight w:val="none"/>
        </w:rPr>
        <w:t>在此背景下，为贯彻落实国家和省关于政府网站与政务新媒体建设管理的系列政策要求，提升平台稳定性、安全性和运维管理水平，切实推动政务信息资源共享，实现政府网站资源优化融合、平台整合安全、数据互认共享、管理统筹规范、服务便捷高效，保障全市政府网站与政务新媒体持续稳定运行，现开展汕头市政府网站集约化运维和监测（2026年）项目，通过采购专业的技术服务，进一步夯实平台基础公共服务能力，满足政策层面对政府网站与政务新媒体高质量发展的要求，提升政府公信力和互联网影响力。</w:t>
      </w:r>
    </w:p>
    <w:p w14:paraId="3140F23F">
      <w:pPr>
        <w:pStyle w:val="32"/>
        <w:ind w:firstLine="480"/>
        <w:rPr>
          <w:rFonts w:hint="eastAsia"/>
          <w:highlight w:val="none"/>
        </w:rPr>
      </w:pPr>
    </w:p>
    <w:p w14:paraId="239A3A6C">
      <w:pPr>
        <w:pStyle w:val="4"/>
        <w:spacing w:after="156"/>
        <w:rPr>
          <w:rFonts w:hint="eastAsia"/>
          <w:highlight w:val="none"/>
        </w:rPr>
      </w:pPr>
      <w:bookmarkStart w:id="32" w:name="_Toc7257"/>
      <w:bookmarkStart w:id="33" w:name="_Toc23344"/>
      <w:bookmarkStart w:id="34" w:name="_Toc29552"/>
      <w:bookmarkStart w:id="35" w:name="_Toc15457"/>
      <w:bookmarkStart w:id="36" w:name="_Toc30206"/>
      <w:bookmarkStart w:id="37" w:name="_Toc24395"/>
      <w:bookmarkStart w:id="38" w:name="_Toc32422"/>
      <w:bookmarkStart w:id="39" w:name="_Toc7708"/>
      <w:bookmarkStart w:id="40" w:name="_Toc20098"/>
      <w:bookmarkStart w:id="41" w:name="_Toc233795173"/>
      <w:bookmarkStart w:id="42" w:name="_Toc19072"/>
      <w:bookmarkStart w:id="43" w:name="_Toc2540"/>
      <w:bookmarkStart w:id="44" w:name="_Toc4158"/>
      <w:r>
        <w:rPr>
          <w:rFonts w:hint="eastAsia"/>
          <w:highlight w:val="none"/>
        </w:rPr>
        <w:t>项目现状</w:t>
      </w:r>
      <w:bookmarkEnd w:id="32"/>
      <w:bookmarkEnd w:id="33"/>
      <w:bookmarkEnd w:id="34"/>
      <w:bookmarkEnd w:id="35"/>
      <w:bookmarkEnd w:id="36"/>
      <w:bookmarkEnd w:id="37"/>
      <w:bookmarkEnd w:id="38"/>
      <w:bookmarkEnd w:id="39"/>
      <w:bookmarkEnd w:id="40"/>
      <w:bookmarkEnd w:id="41"/>
      <w:bookmarkEnd w:id="42"/>
      <w:bookmarkEnd w:id="43"/>
      <w:bookmarkEnd w:id="44"/>
    </w:p>
    <w:p w14:paraId="2184B5AA">
      <w:pPr>
        <w:pStyle w:val="32"/>
        <w:ind w:firstLine="480"/>
        <w:rPr>
          <w:rFonts w:hint="eastAsia"/>
          <w:highlight w:val="none"/>
        </w:rPr>
      </w:pPr>
      <w:r>
        <w:rPr>
          <w:rFonts w:hint="eastAsia"/>
          <w:highlight w:val="none"/>
        </w:rPr>
        <w:t>2026年5月，汕头市政府网站集约化平台及全市政府网站、政务新媒体的运维监测服务到期。结合省府办公厅日常监测检查情况，全省部分政府网站存在信息更新不及时、内容审核不严、外链不良、互动回应差等问题，政务新媒体也存在内容更新滞后、互动功能失效等情况，汕头市虽总体情况良好，但仍需强化管理，提升服务质效。</w:t>
      </w:r>
    </w:p>
    <w:p w14:paraId="5882B49A">
      <w:pPr>
        <w:pStyle w:val="4"/>
        <w:spacing w:after="156"/>
        <w:rPr>
          <w:rFonts w:hint="eastAsia"/>
          <w:highlight w:val="none"/>
        </w:rPr>
      </w:pPr>
      <w:bookmarkStart w:id="45" w:name="_Toc22270"/>
      <w:bookmarkStart w:id="46" w:name="_Toc3397"/>
      <w:bookmarkStart w:id="47" w:name="_Toc26207"/>
      <w:bookmarkStart w:id="48" w:name="_Toc30820"/>
      <w:bookmarkStart w:id="49" w:name="_Toc8926"/>
      <w:bookmarkStart w:id="50" w:name="_Toc233795174"/>
      <w:bookmarkStart w:id="51" w:name="_Toc12703"/>
      <w:bookmarkStart w:id="52" w:name="_Toc8169"/>
      <w:bookmarkStart w:id="53" w:name="_Toc2902"/>
      <w:bookmarkStart w:id="54" w:name="_Toc14006"/>
      <w:bookmarkStart w:id="55" w:name="_Toc24215"/>
      <w:bookmarkStart w:id="56" w:name="_Toc21065"/>
      <w:bookmarkStart w:id="57" w:name="_Toc24663"/>
      <w:r>
        <w:rPr>
          <w:rFonts w:hint="eastAsia"/>
          <w:highlight w:val="none"/>
        </w:rPr>
        <w:t>项目内容</w:t>
      </w:r>
      <w:bookmarkEnd w:id="45"/>
      <w:bookmarkEnd w:id="46"/>
      <w:bookmarkEnd w:id="47"/>
      <w:bookmarkEnd w:id="48"/>
      <w:bookmarkEnd w:id="49"/>
      <w:bookmarkEnd w:id="50"/>
      <w:bookmarkEnd w:id="51"/>
      <w:bookmarkEnd w:id="52"/>
      <w:bookmarkEnd w:id="53"/>
      <w:bookmarkEnd w:id="54"/>
      <w:bookmarkEnd w:id="55"/>
      <w:bookmarkEnd w:id="56"/>
      <w:bookmarkEnd w:id="57"/>
    </w:p>
    <w:p w14:paraId="7E4EA854">
      <w:pPr>
        <w:pStyle w:val="32"/>
        <w:ind w:firstLine="480"/>
        <w:rPr>
          <w:rFonts w:hint="eastAsia"/>
          <w:highlight w:val="none"/>
        </w:rPr>
      </w:pPr>
      <w:r>
        <w:rPr>
          <w:rFonts w:hint="eastAsia"/>
          <w:highlight w:val="none"/>
        </w:rPr>
        <w:t>本项目主要包括3项服务，服务范围及内容如下：</w:t>
      </w:r>
    </w:p>
    <w:p w14:paraId="47983CC7">
      <w:pPr>
        <w:pStyle w:val="32"/>
        <w:numPr>
          <w:ilvl w:val="0"/>
          <w:numId w:val="7"/>
        </w:numPr>
        <w:ind w:firstLineChars="0"/>
        <w:rPr>
          <w:rFonts w:hint="eastAsia"/>
          <w:b/>
          <w:bCs/>
          <w:highlight w:val="none"/>
        </w:rPr>
      </w:pPr>
      <w:r>
        <w:rPr>
          <w:rFonts w:hint="eastAsia"/>
          <w:b/>
          <w:bCs/>
          <w:highlight w:val="none"/>
        </w:rPr>
        <w:t>集约化平台运维服务</w:t>
      </w:r>
    </w:p>
    <w:p w14:paraId="7BFC625E">
      <w:pPr>
        <w:pStyle w:val="32"/>
        <w:ind w:firstLine="480"/>
        <w:rPr>
          <w:rFonts w:hint="eastAsia"/>
          <w:highlight w:val="none"/>
        </w:rPr>
      </w:pPr>
      <w:r>
        <w:rPr>
          <w:rFonts w:hint="eastAsia"/>
          <w:highlight w:val="none"/>
        </w:rPr>
        <w:t>（1）服务范围：省政府网站集约化平台汕头分平台、党群网站集约化平台及上述平台部署的市政府门户网站、市级部门频道及党群网站。</w:t>
      </w:r>
    </w:p>
    <w:p w14:paraId="05544AEF">
      <w:pPr>
        <w:pStyle w:val="32"/>
        <w:ind w:firstLine="480"/>
        <w:rPr>
          <w:rFonts w:hint="eastAsia"/>
          <w:highlight w:val="none"/>
        </w:rPr>
      </w:pPr>
      <w:r>
        <w:rPr>
          <w:rFonts w:hint="eastAsia"/>
          <w:highlight w:val="none"/>
        </w:rPr>
        <w:t>（2）服务内容：包含省政府网站集约化平台汕头分平台运维、党群网站集约化平台运维、网站运维服务、人员驻场服务、域名及SSL证书采购等。</w:t>
      </w:r>
    </w:p>
    <w:p w14:paraId="5E51EF88">
      <w:pPr>
        <w:pStyle w:val="32"/>
        <w:numPr>
          <w:ilvl w:val="0"/>
          <w:numId w:val="7"/>
        </w:numPr>
        <w:ind w:firstLineChars="0"/>
        <w:rPr>
          <w:rFonts w:hint="eastAsia"/>
          <w:b/>
          <w:bCs/>
          <w:highlight w:val="none"/>
        </w:rPr>
      </w:pPr>
      <w:r>
        <w:rPr>
          <w:rFonts w:hint="eastAsia"/>
          <w:b/>
          <w:bCs/>
          <w:highlight w:val="none"/>
        </w:rPr>
        <w:t>适老化无障碍维护服务</w:t>
      </w:r>
    </w:p>
    <w:p w14:paraId="19FE74FB">
      <w:pPr>
        <w:pStyle w:val="32"/>
        <w:ind w:firstLine="480"/>
        <w:rPr>
          <w:rFonts w:hint="eastAsia"/>
          <w:highlight w:val="none"/>
        </w:rPr>
      </w:pPr>
      <w:r>
        <w:rPr>
          <w:rFonts w:hint="eastAsia"/>
          <w:highlight w:val="none"/>
        </w:rPr>
        <w:t>（1）服务范围：市政府门户网站和40个市直部门频道。</w:t>
      </w:r>
    </w:p>
    <w:p w14:paraId="6028A273">
      <w:pPr>
        <w:pStyle w:val="32"/>
        <w:ind w:firstLine="480"/>
        <w:rPr>
          <w:rFonts w:hint="eastAsia"/>
          <w:highlight w:val="none"/>
        </w:rPr>
      </w:pPr>
      <w:r>
        <w:rPr>
          <w:rFonts w:hint="eastAsia"/>
          <w:highlight w:val="none"/>
        </w:rPr>
        <w:t>（2）服务内容：开展日常巡检、技术支持与故障处理服务。</w:t>
      </w:r>
    </w:p>
    <w:p w14:paraId="44325EA9">
      <w:pPr>
        <w:pStyle w:val="32"/>
        <w:numPr>
          <w:ilvl w:val="0"/>
          <w:numId w:val="7"/>
        </w:numPr>
        <w:ind w:firstLineChars="0"/>
        <w:rPr>
          <w:rFonts w:hint="eastAsia"/>
          <w:b/>
          <w:bCs/>
          <w:highlight w:val="none"/>
        </w:rPr>
      </w:pPr>
      <w:r>
        <w:rPr>
          <w:rFonts w:hint="eastAsia"/>
          <w:b/>
          <w:bCs/>
          <w:highlight w:val="none"/>
        </w:rPr>
        <w:t>网站及新媒体监测服务</w:t>
      </w:r>
    </w:p>
    <w:p w14:paraId="4DA364FE">
      <w:pPr>
        <w:pStyle w:val="32"/>
        <w:ind w:firstLine="480"/>
        <w:rPr>
          <w:rFonts w:hint="eastAsia"/>
          <w:highlight w:val="none"/>
        </w:rPr>
      </w:pPr>
      <w:r>
        <w:rPr>
          <w:rFonts w:hint="eastAsia"/>
          <w:highlight w:val="none"/>
        </w:rPr>
        <w:t>（1）服务范围：全市50个政府网站（含频道）；全市110个政务新媒体账号（涵盖多个互联网平台）。</w:t>
      </w:r>
    </w:p>
    <w:p w14:paraId="532BAE11">
      <w:pPr>
        <w:pStyle w:val="32"/>
        <w:ind w:firstLine="480"/>
        <w:rPr>
          <w:rFonts w:hint="eastAsia"/>
          <w:highlight w:val="none"/>
        </w:rPr>
      </w:pPr>
      <w:r>
        <w:rPr>
          <w:rFonts w:hint="eastAsia"/>
          <w:highlight w:val="none"/>
        </w:rPr>
        <w:t>（2）服务内容：政府网站监测服务、政务新媒体监测服务及网站内容安全监测服务。</w:t>
      </w:r>
    </w:p>
    <w:p w14:paraId="6A4F0872">
      <w:pPr>
        <w:pStyle w:val="4"/>
        <w:spacing w:after="156"/>
        <w:rPr>
          <w:rFonts w:hint="eastAsia"/>
          <w:highlight w:val="none"/>
        </w:rPr>
      </w:pPr>
      <w:bookmarkStart w:id="58" w:name="_Toc4615"/>
      <w:bookmarkStart w:id="59" w:name="_Toc12776"/>
      <w:bookmarkStart w:id="60" w:name="_Toc7960"/>
      <w:bookmarkStart w:id="61" w:name="_Toc10358"/>
      <w:bookmarkStart w:id="62" w:name="_Toc21805"/>
      <w:bookmarkStart w:id="63" w:name="_Toc19430"/>
      <w:bookmarkStart w:id="64" w:name="_Toc233795175"/>
      <w:bookmarkStart w:id="65" w:name="_Toc1297"/>
      <w:bookmarkStart w:id="66" w:name="_Toc20612"/>
      <w:bookmarkStart w:id="67" w:name="_Toc7389"/>
      <w:bookmarkStart w:id="68" w:name="_Toc11713"/>
      <w:bookmarkStart w:id="69" w:name="_Toc9237"/>
      <w:bookmarkStart w:id="70" w:name="_Toc5677"/>
      <w:r>
        <w:rPr>
          <w:rFonts w:hint="eastAsia"/>
          <w:highlight w:val="none"/>
        </w:rPr>
        <w:t>项目目标</w:t>
      </w:r>
      <w:bookmarkEnd w:id="58"/>
      <w:bookmarkEnd w:id="59"/>
      <w:bookmarkEnd w:id="60"/>
      <w:bookmarkEnd w:id="61"/>
      <w:bookmarkEnd w:id="62"/>
      <w:bookmarkEnd w:id="63"/>
      <w:bookmarkEnd w:id="64"/>
      <w:bookmarkEnd w:id="65"/>
      <w:bookmarkEnd w:id="66"/>
      <w:bookmarkEnd w:id="67"/>
      <w:bookmarkEnd w:id="68"/>
      <w:bookmarkEnd w:id="69"/>
      <w:bookmarkEnd w:id="70"/>
    </w:p>
    <w:p w14:paraId="1934ADE7">
      <w:pPr>
        <w:pStyle w:val="32"/>
        <w:ind w:firstLine="480"/>
        <w:rPr>
          <w:rFonts w:hint="eastAsia"/>
          <w:highlight w:val="none"/>
        </w:rPr>
      </w:pPr>
      <w:r>
        <w:rPr>
          <w:rFonts w:hint="eastAsia"/>
          <w:highlight w:val="none"/>
        </w:rPr>
        <w:t>本项目围绕</w:t>
      </w:r>
      <w:r>
        <w:rPr>
          <w:highlight w:val="none"/>
        </w:rPr>
        <w:t>广东省政府网站集约化平台汕头分平台</w:t>
      </w:r>
      <w:r>
        <w:rPr>
          <w:rFonts w:hint="eastAsia"/>
          <w:highlight w:val="none"/>
        </w:rPr>
        <w:t>、市党群网站集约化平台、市政府门户网站、部门频道、党群网站及政务新媒体账号的运行管理需求，通过采购专业化运维和监测服务，持续提升政府网站与政务新媒体运行保障能力、内容管理能力、安全防护能力和服务支撑能力，保障全市政府网站与政务新媒体安全稳定、规范有序、高效运行。</w:t>
      </w:r>
    </w:p>
    <w:p w14:paraId="324B48EC">
      <w:pPr>
        <w:pStyle w:val="32"/>
        <w:ind w:firstLine="480"/>
        <w:rPr>
          <w:rFonts w:hint="eastAsia"/>
          <w:highlight w:val="none"/>
        </w:rPr>
      </w:pPr>
      <w:r>
        <w:rPr>
          <w:rFonts w:hint="eastAsia"/>
          <w:highlight w:val="none"/>
        </w:rPr>
        <w:t>一是保障集约化平台和政府网站稳定运行。围绕省政府网站集约化平台汕头分平台、党群网站集约化平台、市政府门户网站、政府部门频道及党群网站，建立常态化巡检、故障响应、性能评估、安全整改、应急演练和技术咨询机制，及时发现并处置平台运行异常和潜在风险；同步做好页面巡检、版面维护、栏目调整、专题专栏维护、图文素材维护、错链死链整改等工作，保障平台运行连续可靠、网站展示规范统一、功能入口正常可用。</w:t>
      </w:r>
    </w:p>
    <w:p w14:paraId="0D3943B4">
      <w:pPr>
        <w:pStyle w:val="32"/>
        <w:ind w:firstLine="480"/>
        <w:rPr>
          <w:rFonts w:hint="eastAsia"/>
          <w:highlight w:val="none"/>
        </w:rPr>
      </w:pPr>
      <w:r>
        <w:rPr>
          <w:rFonts w:hint="eastAsia"/>
          <w:highlight w:val="none"/>
        </w:rPr>
        <w:t>二是提升政府网站公共服务和适老化无障碍保障能力。围绕政府网站信息发布、政务公开、办事服务引导和互动交流等功能定位，持续优化网站页面展示、栏目结构和服务入口，提升企业群众访问体验。面向市政府门户网站及部门频道，开展适老化和无障碍应用功能巡检、问题处理和技术支持，保障相关服务组件稳定可用，推动政府网站更好满足老年人、残障人士等群体获取政务信息和网上服务的需求。</w:t>
      </w:r>
    </w:p>
    <w:p w14:paraId="68E70C2E">
      <w:pPr>
        <w:pStyle w:val="32"/>
        <w:ind w:firstLine="480"/>
        <w:rPr>
          <w:rFonts w:hint="eastAsia"/>
          <w:highlight w:val="none"/>
        </w:rPr>
      </w:pPr>
      <w:r>
        <w:rPr>
          <w:rFonts w:hint="eastAsia"/>
          <w:highlight w:val="none"/>
        </w:rPr>
        <w:t>三是强化政府网站和政务新媒体监测整改闭环。按照国家和省关于政府网站与政务新媒体检查监管有关要求，对政府网站、政务新媒体账号及网站内容安全开展常态化监测，重点发现信息更新不及时、栏目维护不到位、互动回应不规范、链接异常、内容安全风险等问题。通过驻场服务、监测报告、问题台账、整改复核、资料归档等机制，推动问题发现、反馈、整改、复核和汇总形成闭环管理，提升全市政府网站和政务新媒体运维监测工作的规范化、精细化和可追溯水平。</w:t>
      </w:r>
    </w:p>
    <w:p w14:paraId="02CB3EF8">
      <w:pPr>
        <w:pStyle w:val="4"/>
        <w:spacing w:after="156"/>
        <w:rPr>
          <w:rFonts w:hint="eastAsia"/>
          <w:highlight w:val="none"/>
        </w:rPr>
      </w:pPr>
      <w:bookmarkStart w:id="71" w:name="_Toc10608"/>
      <w:bookmarkStart w:id="72" w:name="_Toc6139"/>
      <w:bookmarkStart w:id="73" w:name="_Toc22766"/>
      <w:bookmarkStart w:id="74" w:name="_Toc14123"/>
      <w:bookmarkStart w:id="75" w:name="_Toc25365"/>
      <w:bookmarkStart w:id="76" w:name="_Toc22294"/>
      <w:bookmarkStart w:id="77" w:name="_Toc233795176"/>
      <w:bookmarkStart w:id="78" w:name="_Toc12231"/>
      <w:bookmarkStart w:id="79" w:name="_Toc16421"/>
      <w:bookmarkStart w:id="80" w:name="_Toc27085"/>
      <w:bookmarkStart w:id="81" w:name="_Toc31235"/>
      <w:bookmarkStart w:id="82" w:name="_Toc13666"/>
      <w:bookmarkStart w:id="83" w:name="_Toc8136"/>
      <w:bookmarkStart w:id="84" w:name="_Toc955"/>
      <w:r>
        <w:rPr>
          <w:rFonts w:hint="eastAsia"/>
          <w:highlight w:val="none"/>
        </w:rPr>
        <w:t>服务周期</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4A3B660B">
      <w:pPr>
        <w:pStyle w:val="32"/>
        <w:ind w:firstLine="480"/>
        <w:rPr>
          <w:rFonts w:hint="eastAsia"/>
          <w:highlight w:val="none"/>
        </w:rPr>
      </w:pPr>
      <w:r>
        <w:rPr>
          <w:rFonts w:hint="eastAsia"/>
          <w:highlight w:val="none"/>
        </w:rPr>
        <w:t>中标人在签订项目合同后需在10个日历日内达成以下</w:t>
      </w:r>
      <w:r>
        <w:rPr>
          <w:rFonts w:hint="eastAsia"/>
          <w:highlight w:val="none"/>
          <w:u w:val="single"/>
        </w:rPr>
        <w:t>（1）（2）</w:t>
      </w:r>
      <w:r>
        <w:rPr>
          <w:rFonts w:hint="eastAsia"/>
          <w:highlight w:val="none"/>
        </w:rPr>
        <w:t>服务启动条件并经采购人书面确认，以采购人确认的服务启动时间为服务起始时间，服务期为12个月；本项目配套采购的域名及SSL证书授权服务周期为自采购之日起36个月。</w:t>
      </w:r>
    </w:p>
    <w:p w14:paraId="63C68572">
      <w:pPr>
        <w:pStyle w:val="32"/>
        <w:ind w:firstLine="480"/>
        <w:rPr>
          <w:rFonts w:hint="eastAsia"/>
          <w:highlight w:val="none"/>
        </w:rPr>
      </w:pPr>
      <w:r>
        <w:rPr>
          <w:rFonts w:hint="eastAsia"/>
          <w:highlight w:val="none"/>
        </w:rPr>
        <w:t>（1）完成项目服务团队组建及人员备案，明确团队角色及分工；</w:t>
      </w:r>
    </w:p>
    <w:p w14:paraId="51FA41E7">
      <w:pPr>
        <w:pStyle w:val="32"/>
        <w:ind w:firstLine="480"/>
        <w:rPr>
          <w:rFonts w:hint="eastAsia"/>
          <w:highlight w:val="none"/>
        </w:rPr>
      </w:pPr>
      <w:r>
        <w:rPr>
          <w:rFonts w:hint="eastAsia"/>
          <w:highlight w:val="none"/>
        </w:rPr>
        <w:t>（2）提供运维运营服务实施方案。</w:t>
      </w:r>
    </w:p>
    <w:p w14:paraId="08BF0C72">
      <w:pPr>
        <w:pStyle w:val="4"/>
        <w:spacing w:after="156"/>
        <w:rPr>
          <w:rFonts w:hint="eastAsia"/>
          <w:highlight w:val="none"/>
        </w:rPr>
      </w:pPr>
      <w:bookmarkStart w:id="85" w:name="_Toc23801"/>
      <w:bookmarkStart w:id="86" w:name="_Toc233795177"/>
      <w:bookmarkStart w:id="87" w:name="_Toc16885"/>
      <w:bookmarkStart w:id="88" w:name="_Toc18431"/>
      <w:bookmarkStart w:id="89" w:name="_Toc11443"/>
      <w:bookmarkStart w:id="90" w:name="_Toc16936"/>
      <w:bookmarkStart w:id="91" w:name="_Toc19476"/>
      <w:bookmarkStart w:id="92" w:name="_Toc23341"/>
      <w:bookmarkStart w:id="93" w:name="_Toc21767"/>
      <w:bookmarkStart w:id="94" w:name="_Toc20050"/>
      <w:bookmarkStart w:id="95" w:name="_Toc13351"/>
      <w:bookmarkStart w:id="96" w:name="_Toc30614"/>
      <w:bookmarkStart w:id="97" w:name="_Toc1229"/>
      <w:r>
        <w:rPr>
          <w:rFonts w:hint="eastAsia"/>
          <w:highlight w:val="none"/>
        </w:rPr>
        <w:t>项目最高限价</w:t>
      </w:r>
      <w:bookmarkEnd w:id="85"/>
      <w:bookmarkEnd w:id="86"/>
      <w:bookmarkEnd w:id="87"/>
      <w:bookmarkEnd w:id="88"/>
      <w:bookmarkEnd w:id="89"/>
      <w:bookmarkEnd w:id="90"/>
      <w:bookmarkEnd w:id="91"/>
      <w:bookmarkEnd w:id="92"/>
      <w:bookmarkEnd w:id="93"/>
      <w:bookmarkEnd w:id="94"/>
      <w:bookmarkEnd w:id="95"/>
      <w:bookmarkEnd w:id="96"/>
      <w:bookmarkEnd w:id="97"/>
    </w:p>
    <w:p w14:paraId="244D1681">
      <w:pPr>
        <w:pStyle w:val="32"/>
        <w:ind w:firstLine="480"/>
        <w:rPr>
          <w:rFonts w:hint="eastAsia"/>
          <w:highlight w:val="none"/>
        </w:rPr>
      </w:pPr>
      <w:r>
        <w:rPr>
          <w:rFonts w:hint="eastAsia"/>
          <w:highlight w:val="none"/>
        </w:rPr>
        <w:t>本项目最高限价金额为人民币</w:t>
      </w:r>
      <w:r>
        <w:rPr>
          <w:highlight w:val="none"/>
        </w:rPr>
        <w:t>1,259,160.00</w:t>
      </w:r>
      <w:r>
        <w:rPr>
          <w:rFonts w:hint="eastAsia"/>
          <w:highlight w:val="none"/>
        </w:rPr>
        <w:t>元。</w:t>
      </w:r>
    </w:p>
    <w:p w14:paraId="3C652955">
      <w:pPr>
        <w:pStyle w:val="3"/>
        <w:spacing w:before="156"/>
        <w:rPr>
          <w:rFonts w:hint="eastAsia"/>
          <w:highlight w:val="none"/>
        </w:rPr>
      </w:pPr>
      <w:bookmarkStart w:id="98" w:name="_Toc7167"/>
      <w:bookmarkStart w:id="99" w:name="_Toc21164"/>
      <w:bookmarkStart w:id="100" w:name="_Toc17666"/>
      <w:bookmarkStart w:id="101" w:name="_Toc18504"/>
      <w:bookmarkStart w:id="102" w:name="_Toc42"/>
      <w:bookmarkStart w:id="103" w:name="_Toc10806"/>
      <w:bookmarkStart w:id="104" w:name="_Toc25775"/>
      <w:bookmarkStart w:id="105" w:name="_Toc31169"/>
      <w:bookmarkStart w:id="106" w:name="_Toc233795178"/>
      <w:bookmarkStart w:id="107" w:name="_Toc5500"/>
      <w:bookmarkStart w:id="108" w:name="_Toc5527"/>
      <w:bookmarkStart w:id="109" w:name="_Toc29220"/>
      <w:bookmarkStart w:id="110" w:name="_Toc32656"/>
      <w:r>
        <w:rPr>
          <w:rFonts w:hint="eastAsia"/>
          <w:highlight w:val="none"/>
        </w:rPr>
        <w:t>服务内容和要求</w:t>
      </w:r>
      <w:bookmarkEnd w:id="98"/>
      <w:bookmarkEnd w:id="99"/>
      <w:bookmarkEnd w:id="100"/>
      <w:bookmarkEnd w:id="101"/>
      <w:bookmarkEnd w:id="102"/>
      <w:bookmarkEnd w:id="103"/>
      <w:bookmarkEnd w:id="104"/>
      <w:bookmarkEnd w:id="105"/>
      <w:bookmarkEnd w:id="106"/>
      <w:bookmarkEnd w:id="107"/>
      <w:bookmarkEnd w:id="108"/>
      <w:bookmarkEnd w:id="109"/>
      <w:bookmarkEnd w:id="110"/>
    </w:p>
    <w:p w14:paraId="0FEF6CE3">
      <w:pPr>
        <w:ind w:firstLine="480"/>
        <w:rPr>
          <w:rFonts w:hint="eastAsia"/>
          <w:highlight w:val="none"/>
        </w:rPr>
      </w:pPr>
      <w:r>
        <w:rPr>
          <w:rFonts w:hint="eastAsia"/>
          <w:highlight w:val="none"/>
        </w:rPr>
        <w:t xml:space="preserve">“★”号条款为实质性条款，若有任何一条负偏离或不满足则导致投标无效。 </w:t>
      </w:r>
    </w:p>
    <w:p w14:paraId="4305A1FE">
      <w:pPr>
        <w:pStyle w:val="4"/>
        <w:spacing w:after="156"/>
        <w:rPr>
          <w:rFonts w:hint="eastAsia"/>
          <w:highlight w:val="none"/>
        </w:rPr>
      </w:pPr>
      <w:bookmarkStart w:id="111" w:name="_Toc31459"/>
      <w:bookmarkStart w:id="112" w:name="_Toc233795179"/>
      <w:bookmarkStart w:id="113" w:name="_Toc16238"/>
      <w:bookmarkStart w:id="114" w:name="_Toc15674"/>
      <w:bookmarkStart w:id="115" w:name="_Toc17358"/>
      <w:bookmarkStart w:id="116" w:name="_Toc6779"/>
      <w:bookmarkStart w:id="117" w:name="_Toc1158"/>
      <w:bookmarkStart w:id="118" w:name="_Toc29654"/>
      <w:r>
        <w:rPr>
          <w:rFonts w:hint="eastAsia"/>
          <w:highlight w:val="none"/>
        </w:rPr>
        <w:t>集约化平台运维服务</w:t>
      </w:r>
      <w:bookmarkEnd w:id="111"/>
      <w:bookmarkEnd w:id="112"/>
      <w:bookmarkEnd w:id="113"/>
      <w:bookmarkEnd w:id="114"/>
      <w:bookmarkEnd w:id="115"/>
    </w:p>
    <w:p w14:paraId="4A245E1F">
      <w:pPr>
        <w:pStyle w:val="5"/>
        <w:rPr>
          <w:rFonts w:hint="eastAsia"/>
          <w:highlight w:val="none"/>
        </w:rPr>
      </w:pPr>
      <w:bookmarkStart w:id="119" w:name="_Toc22870"/>
      <w:bookmarkStart w:id="120" w:name="_Toc21913"/>
      <w:bookmarkStart w:id="121" w:name="_Toc15635"/>
      <w:bookmarkStart w:id="122" w:name="_Toc233795180"/>
      <w:bookmarkStart w:id="123" w:name="_Toc3637"/>
      <w:r>
        <w:rPr>
          <w:rFonts w:hint="eastAsia"/>
          <w:highlight w:val="none"/>
        </w:rPr>
        <w:t>服务内容</w:t>
      </w:r>
      <w:bookmarkEnd w:id="119"/>
      <w:bookmarkEnd w:id="120"/>
      <w:bookmarkEnd w:id="121"/>
      <w:bookmarkEnd w:id="122"/>
      <w:bookmarkEnd w:id="123"/>
    </w:p>
    <w:p w14:paraId="703BA4B9">
      <w:pPr>
        <w:pStyle w:val="6"/>
        <w:rPr>
          <w:rFonts w:hint="eastAsia"/>
          <w:highlight w:val="none"/>
        </w:rPr>
      </w:pPr>
      <w:r>
        <w:rPr>
          <w:rFonts w:hint="eastAsia"/>
          <w:highlight w:val="none"/>
        </w:rPr>
        <w:t>省政府网站集约化平台汕头分平台运维</w:t>
      </w:r>
    </w:p>
    <w:p w14:paraId="3B2B48C4">
      <w:pPr>
        <w:pStyle w:val="7"/>
        <w:rPr>
          <w:rFonts w:hint="eastAsia"/>
          <w:highlight w:val="none"/>
        </w:rPr>
      </w:pPr>
      <w:r>
        <w:rPr>
          <w:rFonts w:hint="eastAsia"/>
          <w:highlight w:val="none"/>
        </w:rPr>
        <w:t>日常巡检维护和故障处置</w:t>
      </w:r>
    </w:p>
    <w:p w14:paraId="06934EEA">
      <w:pPr>
        <w:ind w:firstLine="480"/>
        <w:rPr>
          <w:rFonts w:hint="eastAsia"/>
          <w:highlight w:val="none"/>
        </w:rPr>
      </w:pPr>
      <w:r>
        <w:rPr>
          <w:rFonts w:hint="eastAsia"/>
          <w:highlight w:val="none"/>
        </w:rPr>
        <w:t>（1）网站集约化平台汕头分平台服务器巡检</w:t>
      </w:r>
    </w:p>
    <w:p w14:paraId="5C4713F7">
      <w:pPr>
        <w:ind w:firstLine="480"/>
        <w:rPr>
          <w:rFonts w:hint="eastAsia"/>
          <w:highlight w:val="none"/>
        </w:rPr>
      </w:pPr>
      <w:r>
        <w:rPr>
          <w:rFonts w:hint="eastAsia"/>
          <w:highlight w:val="none"/>
        </w:rPr>
        <w:t>对网站集约化平台汕头分平台云主机及相关应用运行环境提供日常巡检保障服务，重点检查云主机运行状态、资源使用情况、磁盘空间、资源配额、异常告警、数据库服务、Web服务、防火墙、日志写入、业务流程和数据同步等情况，及时发现运行异常和潜在风险，提出处理建议，并形成巡检记录和月度巡检报告。当巡检过程发现异常问题，由专业技术人员介入研判问题及异常处理。</w:t>
      </w:r>
    </w:p>
    <w:p w14:paraId="2DD5C3F9">
      <w:pPr>
        <w:ind w:firstLine="480"/>
        <w:rPr>
          <w:rFonts w:hint="eastAsia"/>
          <w:highlight w:val="none"/>
        </w:rPr>
      </w:pPr>
      <w:r>
        <w:rPr>
          <w:rFonts w:hint="eastAsia"/>
          <w:highlight w:val="none"/>
        </w:rPr>
        <w:t>（2）网站集约化平台配套应用软件巡检和维护</w:t>
      </w:r>
    </w:p>
    <w:p w14:paraId="7CCBE7BE">
      <w:pPr>
        <w:ind w:firstLine="480"/>
        <w:rPr>
          <w:rFonts w:hint="eastAsia"/>
          <w:highlight w:val="none"/>
        </w:rPr>
      </w:pPr>
      <w:r>
        <w:rPr>
          <w:rFonts w:hint="eastAsia"/>
          <w:highlight w:val="none"/>
        </w:rPr>
        <w:t>重点对平台各类核心配套应用软件开展巡检及常态化维护，具体包括信息公开类、互动交流类、解读回应类等各类应用软件，涵盖网站内容管理、信息公开、直播访谈、征集调查等系统或功能应用，全面检查应用服务运行状态、接口调用状态、模块可用性等内容；配合省平台完成应用软件版本升级或补丁更新；保障所有配套应用软件运行正确、稳定、高效，满足平台日常运维及用户使用需求。当巡检过程发现异常问题或需平台升级更新，由专业技术人员介入研判问题及异常处理。</w:t>
      </w:r>
    </w:p>
    <w:p w14:paraId="35865E62">
      <w:pPr>
        <w:ind w:firstLine="480"/>
        <w:rPr>
          <w:rFonts w:hint="eastAsia"/>
          <w:highlight w:val="none"/>
        </w:rPr>
      </w:pPr>
      <w:r>
        <w:rPr>
          <w:rFonts w:hint="eastAsia"/>
          <w:highlight w:val="none"/>
        </w:rPr>
        <w:t>（3）性能调优评估</w:t>
      </w:r>
    </w:p>
    <w:p w14:paraId="7EDFA0E7">
      <w:pPr>
        <w:ind w:firstLine="480"/>
        <w:rPr>
          <w:rFonts w:hint="eastAsia"/>
          <w:highlight w:val="none"/>
        </w:rPr>
      </w:pPr>
      <w:r>
        <w:rPr>
          <w:rFonts w:hint="eastAsia"/>
          <w:highlight w:val="none"/>
        </w:rPr>
        <w:t>①对云资源和应用系统提供性能调优建议，以保证系统性能不断改进并运行在最佳状态。每季度提供一次评估，并出具相应的评估报告。</w:t>
      </w:r>
    </w:p>
    <w:p w14:paraId="642CACCF">
      <w:pPr>
        <w:ind w:firstLine="480"/>
        <w:rPr>
          <w:rFonts w:hint="eastAsia"/>
          <w:highlight w:val="none"/>
        </w:rPr>
      </w:pPr>
      <w:r>
        <w:rPr>
          <w:rFonts w:hint="eastAsia"/>
          <w:highlight w:val="none"/>
        </w:rPr>
        <w:t>②当系统出现访问缓慢等性能问题时，由专业技术人员介入协查优化。</w:t>
      </w:r>
    </w:p>
    <w:p w14:paraId="20EE7ACF">
      <w:pPr>
        <w:ind w:firstLine="480"/>
        <w:rPr>
          <w:rFonts w:hint="eastAsia"/>
          <w:highlight w:val="none"/>
        </w:rPr>
      </w:pPr>
      <w:r>
        <w:rPr>
          <w:rFonts w:hint="eastAsia"/>
          <w:highlight w:val="none"/>
        </w:rPr>
        <w:t>（4）网站集约化平台汕头分平台核心应用软件故障处理</w:t>
      </w:r>
    </w:p>
    <w:p w14:paraId="77EA2978">
      <w:pPr>
        <w:ind w:firstLine="480"/>
        <w:rPr>
          <w:rFonts w:hint="eastAsia"/>
          <w:highlight w:val="none"/>
        </w:rPr>
      </w:pPr>
      <w:r>
        <w:rPr>
          <w:rFonts w:hint="eastAsia"/>
          <w:highlight w:val="none"/>
        </w:rPr>
        <w:t>落实故障处理流程，快速定位故障原因，严格按照故障等级时限要求完成故障处置，故障处理完毕后开展原因复盘并出具故障报告，确保日常故障处理规范、科学、高效。</w:t>
      </w:r>
    </w:p>
    <w:p w14:paraId="6D45CB5D">
      <w:pPr>
        <w:ind w:firstLine="480"/>
        <w:rPr>
          <w:rFonts w:hint="eastAsia"/>
          <w:highlight w:val="none"/>
        </w:rPr>
      </w:pPr>
      <w:r>
        <w:rPr>
          <w:rFonts w:hint="eastAsia"/>
          <w:highlight w:val="none"/>
        </w:rPr>
        <w:t>（5）数据备份与恢复</w:t>
      </w:r>
    </w:p>
    <w:p w14:paraId="2997A8D8">
      <w:pPr>
        <w:ind w:firstLine="480"/>
        <w:rPr>
          <w:rFonts w:hint="eastAsia"/>
          <w:highlight w:val="none"/>
        </w:rPr>
      </w:pPr>
      <w:r>
        <w:rPr>
          <w:rFonts w:hint="eastAsia"/>
          <w:highlight w:val="none"/>
        </w:rPr>
        <w:t>协助建设单位做好集约化平台汕头分平台数据备份工作，掌握集约化平台汕头分平台各应用系统涉及的数据备份情况；发现数据异常时做好数据恢复，确保数据安全。</w:t>
      </w:r>
    </w:p>
    <w:p w14:paraId="3A353C43">
      <w:pPr>
        <w:ind w:firstLine="480"/>
        <w:rPr>
          <w:rFonts w:hint="eastAsia"/>
          <w:highlight w:val="none"/>
        </w:rPr>
      </w:pPr>
      <w:r>
        <w:rPr>
          <w:rFonts w:hint="eastAsia"/>
          <w:highlight w:val="none"/>
        </w:rPr>
        <w:t>（6）技术咨询服务</w:t>
      </w:r>
    </w:p>
    <w:p w14:paraId="2755AF5B">
      <w:pPr>
        <w:ind w:firstLine="480"/>
        <w:rPr>
          <w:rFonts w:hint="eastAsia"/>
          <w:highlight w:val="none"/>
        </w:rPr>
      </w:pPr>
      <w:r>
        <w:rPr>
          <w:rFonts w:hint="eastAsia"/>
          <w:highlight w:val="none"/>
        </w:rPr>
        <w:t>①对市级用户提出的省政府网站集约化平台相关技术咨询和疑问及时给予解答，保障用户快速解决问题。</w:t>
      </w:r>
    </w:p>
    <w:p w14:paraId="1D3507CF">
      <w:pPr>
        <w:ind w:firstLine="480"/>
        <w:rPr>
          <w:rFonts w:hint="eastAsia"/>
          <w:highlight w:val="none"/>
        </w:rPr>
      </w:pPr>
      <w:r>
        <w:rPr>
          <w:rFonts w:hint="eastAsia"/>
          <w:highlight w:val="none"/>
        </w:rPr>
        <w:t>②为省政府网站集约化平台汕头分平台管理者、市级各政府网站所属单位提供平台各类技术协助服务，按需统计平台运行数据并提供专项技术协助支撑。涉及应用程序、数据库、接口调用等事项，由专业技术人员提供技术支撑。</w:t>
      </w:r>
    </w:p>
    <w:p w14:paraId="16794A32">
      <w:pPr>
        <w:ind w:firstLine="480"/>
        <w:rPr>
          <w:rFonts w:hint="eastAsia"/>
          <w:highlight w:val="none"/>
        </w:rPr>
      </w:pPr>
      <w:r>
        <w:rPr>
          <w:rFonts w:hint="eastAsia"/>
          <w:highlight w:val="none"/>
        </w:rPr>
        <w:t>③协助建设单位管理平台应用配置信息，负责系统安装设置手册、日常巡检规范手册等技术文档编写、更新与常态化维护，持续优化完善各类技术资料。针对部分须由专业技术人员调整的配置，由技术人员进行支撑。</w:t>
      </w:r>
    </w:p>
    <w:p w14:paraId="46202A45">
      <w:pPr>
        <w:ind w:firstLine="480"/>
        <w:rPr>
          <w:rFonts w:hint="eastAsia"/>
          <w:highlight w:val="none"/>
        </w:rPr>
      </w:pPr>
      <w:r>
        <w:rPr>
          <w:rFonts w:hint="eastAsia"/>
          <w:highlight w:val="none"/>
        </w:rPr>
        <w:t>④协助建设单位梳理省政府网站集约化平台汕头分平台的日常运维管理要求，围绕网站巡检、内容检查、安全监测、故障响应、问题整改、重保保障、应急处置和运维报告等内容形成相关制度或规范，完善平台运维体系。</w:t>
      </w:r>
    </w:p>
    <w:p w14:paraId="5B026531">
      <w:pPr>
        <w:pStyle w:val="7"/>
        <w:rPr>
          <w:rFonts w:hint="eastAsia"/>
          <w:highlight w:val="none"/>
        </w:rPr>
      </w:pPr>
      <w:r>
        <w:rPr>
          <w:rFonts w:hint="eastAsia"/>
          <w:highlight w:val="none"/>
        </w:rPr>
        <w:t>安全整改服务</w:t>
      </w:r>
    </w:p>
    <w:p w14:paraId="05F0F7A0">
      <w:pPr>
        <w:ind w:firstLine="480"/>
        <w:rPr>
          <w:rFonts w:hint="eastAsia"/>
          <w:highlight w:val="none"/>
        </w:rPr>
      </w:pPr>
      <w:r>
        <w:rPr>
          <w:rFonts w:hint="eastAsia"/>
          <w:highlight w:val="none"/>
        </w:rPr>
        <w:t>（1）安全问题评估及整改</w:t>
      </w:r>
    </w:p>
    <w:p w14:paraId="08585B0B">
      <w:pPr>
        <w:ind w:firstLine="480"/>
        <w:rPr>
          <w:rFonts w:hint="eastAsia"/>
          <w:highlight w:val="none"/>
        </w:rPr>
      </w:pPr>
      <w:r>
        <w:rPr>
          <w:rFonts w:hint="eastAsia"/>
          <w:highlight w:val="none"/>
        </w:rPr>
        <w:t>①及时响应建设单位、上级部门、网信部门、公安部门、信息化主管部门及省平台运维单位等单位发布的安全漏洞通报、安全风险提示和整改要求，结合政府网站实际部署环境，对涉及主机、应用、配置、账号权限等方面的问题进行影响范围核查和安全风险评估。对确认存在安全隐患的，协助制定整改措施并开展漏洞修复、配置加固、权限核查、日志留存、整改反馈和复测验证等工作。</w:t>
      </w:r>
    </w:p>
    <w:p w14:paraId="40A96507">
      <w:pPr>
        <w:ind w:firstLine="480"/>
        <w:rPr>
          <w:rFonts w:hint="eastAsia"/>
          <w:highlight w:val="none"/>
        </w:rPr>
      </w:pPr>
      <w:r>
        <w:rPr>
          <w:rFonts w:hint="eastAsia"/>
          <w:highlight w:val="none"/>
        </w:rPr>
        <w:t>②配合建设单位做好相关单位组织的攻防演练、专项检查及重要保障期间的安全排查、安全防范和应急处置，形成漏洞评估记录、整改处置记录和复测验证结果，确保安全问题闭环管理、过程可追溯。</w:t>
      </w:r>
    </w:p>
    <w:p w14:paraId="3D958194">
      <w:pPr>
        <w:ind w:firstLine="480"/>
        <w:rPr>
          <w:rFonts w:hint="eastAsia"/>
          <w:highlight w:val="none"/>
        </w:rPr>
      </w:pPr>
      <w:r>
        <w:rPr>
          <w:rFonts w:hint="eastAsia"/>
          <w:highlight w:val="none"/>
        </w:rPr>
        <w:t>④针对部分安全问题需要安全技术人员介入的，提供远程技术支撑服务，包括系统安全异常分析排查、安全整改技术配合等工作。</w:t>
      </w:r>
    </w:p>
    <w:p w14:paraId="2B98E1E9">
      <w:pPr>
        <w:pStyle w:val="7"/>
        <w:rPr>
          <w:rFonts w:hint="eastAsia"/>
          <w:highlight w:val="none"/>
        </w:rPr>
      </w:pPr>
      <w:r>
        <w:rPr>
          <w:rFonts w:hint="eastAsia"/>
          <w:highlight w:val="none"/>
        </w:rPr>
        <w:t>应急保障服务</w:t>
      </w:r>
    </w:p>
    <w:p w14:paraId="231F64A3">
      <w:pPr>
        <w:ind w:firstLine="480"/>
        <w:rPr>
          <w:rFonts w:hint="eastAsia"/>
          <w:highlight w:val="none"/>
        </w:rPr>
      </w:pPr>
      <w:r>
        <w:rPr>
          <w:rFonts w:hint="eastAsia"/>
          <w:highlight w:val="none"/>
        </w:rPr>
        <w:t>（1）应急预案及演练</w:t>
      </w:r>
    </w:p>
    <w:p w14:paraId="06649583">
      <w:pPr>
        <w:ind w:firstLine="480"/>
        <w:rPr>
          <w:rFonts w:hint="eastAsia"/>
          <w:highlight w:val="none"/>
        </w:rPr>
      </w:pPr>
      <w:r>
        <w:rPr>
          <w:rFonts w:hint="eastAsia"/>
          <w:highlight w:val="none"/>
        </w:rPr>
        <w:t>协助完善网站集约化平台整体应急事件处置预案，涵盖系统宕机、网络中断、数据异常、页面篡改、访问故障等各类突发场景；预案定稿完成后开展常态化修订维护，确保预案贴合实际、长效可用。同步每半年组织开展不少于一次应急实战演练，统筹完成演练方案编制、现场实操组织、隐患问题排查、演练复盘总结及整改优化等全流程工作，全面提升平台突发故障快速处置能力。</w:t>
      </w:r>
    </w:p>
    <w:p w14:paraId="5BC88354">
      <w:pPr>
        <w:pStyle w:val="6"/>
        <w:rPr>
          <w:rFonts w:hint="eastAsia"/>
          <w:highlight w:val="none"/>
        </w:rPr>
      </w:pPr>
      <w:r>
        <w:rPr>
          <w:rFonts w:hint="eastAsia"/>
          <w:highlight w:val="none"/>
        </w:rPr>
        <w:t>党群网站集约化平台运维</w:t>
      </w:r>
    </w:p>
    <w:p w14:paraId="366304F5">
      <w:pPr>
        <w:pStyle w:val="7"/>
        <w:rPr>
          <w:rFonts w:hint="eastAsia"/>
          <w:highlight w:val="none"/>
        </w:rPr>
      </w:pPr>
      <w:r>
        <w:rPr>
          <w:rFonts w:hint="eastAsia"/>
          <w:highlight w:val="none"/>
        </w:rPr>
        <w:t>日常巡检服务</w:t>
      </w:r>
    </w:p>
    <w:p w14:paraId="0FC203DF">
      <w:pPr>
        <w:ind w:firstLine="480"/>
        <w:rPr>
          <w:rFonts w:hint="eastAsia"/>
          <w:highlight w:val="none"/>
        </w:rPr>
      </w:pPr>
      <w:r>
        <w:rPr>
          <w:rFonts w:hint="eastAsia"/>
          <w:highlight w:val="none"/>
        </w:rPr>
        <w:t>（1）服务器巡检服务</w:t>
      </w:r>
    </w:p>
    <w:p w14:paraId="211B45D3">
      <w:pPr>
        <w:ind w:firstLine="480"/>
        <w:rPr>
          <w:rFonts w:hint="eastAsia"/>
          <w:highlight w:val="none"/>
        </w:rPr>
      </w:pPr>
      <w:r>
        <w:rPr>
          <w:rFonts w:hint="eastAsia"/>
          <w:highlight w:val="none"/>
        </w:rPr>
        <w:t>对党群网站集约化平台云主机及相关应用运行环境提供日常巡检保障服务，重点检查云主机运行状态、资源使用情况、磁盘空间、资源配额、异常告警、数据库服务、Web服务、防火墙、日志写入、业务流程和数据同步等情况，及时发现运行异常和潜在风险，提出处理建议，并形成巡检记录和月度巡检报告。当巡检过程发现异常问题，由专业技术人员介入研判问题及异常处理。</w:t>
      </w:r>
    </w:p>
    <w:p w14:paraId="2E5271E4">
      <w:pPr>
        <w:ind w:firstLine="480"/>
        <w:rPr>
          <w:rFonts w:hint="eastAsia"/>
          <w:highlight w:val="none"/>
        </w:rPr>
      </w:pPr>
      <w:r>
        <w:rPr>
          <w:rFonts w:hint="eastAsia"/>
          <w:highlight w:val="none"/>
        </w:rPr>
        <w:t>（2）应用软件巡检和维护</w:t>
      </w:r>
    </w:p>
    <w:p w14:paraId="2BE8012F">
      <w:pPr>
        <w:ind w:firstLine="480"/>
        <w:rPr>
          <w:rFonts w:hint="eastAsia"/>
          <w:highlight w:val="none"/>
        </w:rPr>
      </w:pPr>
      <w:r>
        <w:rPr>
          <w:rFonts w:hint="eastAsia"/>
          <w:highlight w:val="none"/>
        </w:rPr>
        <w:t>对党群网站集约化平台应用软件进行日常巡检与维护，定时开展例行巡检，全面检查应用服务运行状态、接口调用状态、模块可用性等内容，及时排查软件运行隐患，保障所有应用软件运行正确、稳定、高效，满足平台日常运维及用户使用需求。当巡检过程发现异常问题，由专业技术人员介入研判问题及异常处理。</w:t>
      </w:r>
    </w:p>
    <w:p w14:paraId="7E823B3E">
      <w:pPr>
        <w:pStyle w:val="7"/>
        <w:rPr>
          <w:rFonts w:hint="eastAsia"/>
          <w:highlight w:val="none"/>
        </w:rPr>
      </w:pPr>
      <w:r>
        <w:rPr>
          <w:rFonts w:hint="eastAsia"/>
          <w:highlight w:val="none"/>
        </w:rPr>
        <w:t>故障处理服务</w:t>
      </w:r>
    </w:p>
    <w:p w14:paraId="6527AB30">
      <w:pPr>
        <w:ind w:firstLine="480"/>
        <w:rPr>
          <w:rFonts w:hint="eastAsia"/>
          <w:highlight w:val="none"/>
        </w:rPr>
      </w:pPr>
      <w:r>
        <w:rPr>
          <w:rFonts w:hint="eastAsia"/>
          <w:highlight w:val="none"/>
        </w:rPr>
        <w:t>及时处理党群网站集约化平台及应用系统的运行故障并出具故障报告，制定切实可行的常见故障处理方案，对紧急故障做到7×24小时响应，保障平台及应用系统稳定运行。</w:t>
      </w:r>
    </w:p>
    <w:p w14:paraId="3DDF3F68">
      <w:pPr>
        <w:pStyle w:val="7"/>
        <w:rPr>
          <w:rFonts w:hint="eastAsia"/>
          <w:highlight w:val="none"/>
        </w:rPr>
      </w:pPr>
      <w:r>
        <w:rPr>
          <w:rFonts w:hint="eastAsia"/>
          <w:highlight w:val="none"/>
        </w:rPr>
        <w:t>安全整改服务</w:t>
      </w:r>
    </w:p>
    <w:p w14:paraId="389052FF">
      <w:pPr>
        <w:ind w:firstLine="480"/>
        <w:rPr>
          <w:rFonts w:hint="eastAsia"/>
          <w:highlight w:val="none"/>
        </w:rPr>
      </w:pPr>
      <w:r>
        <w:rPr>
          <w:rFonts w:hint="eastAsia"/>
          <w:highlight w:val="none"/>
        </w:rPr>
        <w:t>常态化协助党群平台运行的网站开展主机及应用层安全整改工作，同时配合做好相关单位组织的攻防演练期间系统的安全防范工作等。针对部分安全问题需要安全技术人员介入的，提供远程技术支撑服务，包括系统安全异常分析排查、安全整改技术配合等工作。</w:t>
      </w:r>
    </w:p>
    <w:p w14:paraId="13CCCECA">
      <w:pPr>
        <w:pStyle w:val="7"/>
        <w:rPr>
          <w:rFonts w:hint="eastAsia"/>
          <w:highlight w:val="none"/>
        </w:rPr>
      </w:pPr>
      <w:r>
        <w:rPr>
          <w:rFonts w:hint="eastAsia"/>
          <w:highlight w:val="none"/>
        </w:rPr>
        <w:t>平台更新完善服务</w:t>
      </w:r>
    </w:p>
    <w:p w14:paraId="3325E02B">
      <w:pPr>
        <w:ind w:firstLine="480"/>
        <w:rPr>
          <w:rFonts w:hint="eastAsia"/>
          <w:highlight w:val="none"/>
        </w:rPr>
      </w:pPr>
      <w:r>
        <w:rPr>
          <w:rFonts w:hint="eastAsia"/>
          <w:highlight w:val="none"/>
        </w:rPr>
        <w:t>为党群网站集约化平台提供应用软件的版本升级与补丁更新，提供平台优化改造建议。</w:t>
      </w:r>
    </w:p>
    <w:p w14:paraId="4F15A1B8">
      <w:pPr>
        <w:pStyle w:val="7"/>
        <w:rPr>
          <w:rFonts w:hint="eastAsia"/>
          <w:highlight w:val="none"/>
        </w:rPr>
      </w:pPr>
      <w:r>
        <w:rPr>
          <w:rFonts w:hint="eastAsia"/>
          <w:highlight w:val="none"/>
        </w:rPr>
        <w:t>数据备份与恢复</w:t>
      </w:r>
    </w:p>
    <w:p w14:paraId="0BE9F05B">
      <w:pPr>
        <w:ind w:firstLine="480"/>
        <w:rPr>
          <w:rFonts w:hint="eastAsia"/>
          <w:highlight w:val="none"/>
        </w:rPr>
      </w:pPr>
      <w:r>
        <w:rPr>
          <w:rFonts w:hint="eastAsia"/>
          <w:highlight w:val="none"/>
        </w:rPr>
        <w:t>协助建设单位做好党群网站集约化平台数据备份工作，掌握党群网站集约化平台各应用系统涉及的数据备份情况；发现数据异常时做好数据恢复，确保数据安全。</w:t>
      </w:r>
    </w:p>
    <w:p w14:paraId="28B684BD">
      <w:pPr>
        <w:pStyle w:val="7"/>
        <w:rPr>
          <w:rFonts w:hint="eastAsia"/>
          <w:highlight w:val="none"/>
        </w:rPr>
      </w:pPr>
      <w:r>
        <w:rPr>
          <w:rFonts w:hint="eastAsia"/>
          <w:highlight w:val="none"/>
        </w:rPr>
        <w:t>技术咨询服务</w:t>
      </w:r>
    </w:p>
    <w:p w14:paraId="7D0F0A8B">
      <w:pPr>
        <w:ind w:firstLine="480"/>
        <w:rPr>
          <w:rFonts w:hint="eastAsia"/>
          <w:highlight w:val="none"/>
        </w:rPr>
      </w:pPr>
      <w:r>
        <w:rPr>
          <w:rFonts w:hint="eastAsia"/>
          <w:highlight w:val="none"/>
        </w:rPr>
        <w:t>①对用户提出的党群平台相关技术咨询和疑问及时给予解答，保障用户快速解决问题。</w:t>
      </w:r>
    </w:p>
    <w:p w14:paraId="45146610">
      <w:pPr>
        <w:ind w:firstLine="480"/>
        <w:rPr>
          <w:rFonts w:hint="eastAsia"/>
          <w:highlight w:val="none"/>
        </w:rPr>
      </w:pPr>
      <w:r>
        <w:rPr>
          <w:rFonts w:hint="eastAsia"/>
          <w:highlight w:val="none"/>
        </w:rPr>
        <w:t>②为党群平台管理者、各网站所属单位提供平台各类技术协助服务，按需统计平台运行数据并提供专项技术协助支撑服务。涉及应用程序、数据库、接口调用等事项，由专业技术人员提供技术支撑。</w:t>
      </w:r>
    </w:p>
    <w:p w14:paraId="3A9C5F7C">
      <w:pPr>
        <w:ind w:firstLine="480"/>
        <w:rPr>
          <w:rFonts w:hint="eastAsia"/>
          <w:highlight w:val="none"/>
        </w:rPr>
      </w:pPr>
      <w:r>
        <w:rPr>
          <w:rFonts w:hint="eastAsia"/>
          <w:highlight w:val="none"/>
        </w:rPr>
        <w:t>③协助建设单位管理平台应用配置信息，负责系统安装设置手册、日常巡检规范手册等技术文档编写、更新与常态化维护，持续优化完善各类技术资料。针对部分须由专业技术人员调整的配置，由技术人员进行技术支撑。</w:t>
      </w:r>
    </w:p>
    <w:p w14:paraId="1C07F290">
      <w:pPr>
        <w:ind w:firstLine="480"/>
        <w:rPr>
          <w:rFonts w:hint="eastAsia"/>
          <w:highlight w:val="none"/>
        </w:rPr>
      </w:pPr>
      <w:r>
        <w:rPr>
          <w:rFonts w:hint="eastAsia"/>
          <w:highlight w:val="none"/>
        </w:rPr>
        <w:t>④在省政府网站集约化平台汕头分平台运维机制基础上，结合党群网站集约化平台的网站类型、管理对象、栏目维护特点、后台操作方式和安全整改要求，开展机制适配、流程细化和独立台账建设，完善平台运维体系。</w:t>
      </w:r>
    </w:p>
    <w:p w14:paraId="77F141F8">
      <w:pPr>
        <w:pStyle w:val="7"/>
        <w:rPr>
          <w:rFonts w:hint="eastAsia"/>
          <w:highlight w:val="none"/>
        </w:rPr>
      </w:pPr>
      <w:r>
        <w:rPr>
          <w:rFonts w:hint="eastAsia"/>
          <w:highlight w:val="none"/>
        </w:rPr>
        <w:t>应急预案及演练</w:t>
      </w:r>
    </w:p>
    <w:p w14:paraId="7D7CC81E">
      <w:pPr>
        <w:ind w:firstLine="480"/>
        <w:rPr>
          <w:rFonts w:hint="eastAsia"/>
          <w:highlight w:val="none"/>
        </w:rPr>
      </w:pPr>
      <w:r>
        <w:rPr>
          <w:rFonts w:hint="eastAsia"/>
          <w:highlight w:val="none"/>
        </w:rPr>
        <w:t>协助完善安全应急响应预案，明确应急处置流程和责任分工，发生安全事件时迅速启动应急响应。同步每半年组织开展不少于一次应急实战演练，统筹完成演练方案编制、现场实操组织、隐患问题排查、演练复盘总结及整改优化等全流程工作，全面提升平台突发故障快速处置能力。</w:t>
      </w:r>
    </w:p>
    <w:p w14:paraId="37161F02">
      <w:pPr>
        <w:pStyle w:val="6"/>
        <w:rPr>
          <w:rFonts w:hint="eastAsia"/>
          <w:highlight w:val="none"/>
        </w:rPr>
      </w:pPr>
      <w:r>
        <w:rPr>
          <w:rFonts w:hint="eastAsia"/>
          <w:highlight w:val="none"/>
        </w:rPr>
        <w:t>网站运维服务</w:t>
      </w:r>
    </w:p>
    <w:p w14:paraId="66B07028">
      <w:pPr>
        <w:pStyle w:val="7"/>
        <w:rPr>
          <w:rFonts w:hint="eastAsia"/>
          <w:highlight w:val="none"/>
        </w:rPr>
      </w:pPr>
      <w:r>
        <w:rPr>
          <w:rFonts w:hint="eastAsia"/>
          <w:highlight w:val="none"/>
        </w:rPr>
        <w:t>市政府门户网站维护</w:t>
      </w:r>
    </w:p>
    <w:p w14:paraId="19CBA5F8">
      <w:pPr>
        <w:ind w:firstLine="480"/>
        <w:rPr>
          <w:rFonts w:hint="eastAsia"/>
          <w:highlight w:val="none"/>
        </w:rPr>
      </w:pPr>
      <w:r>
        <w:rPr>
          <w:rFonts w:hint="eastAsia"/>
          <w:highlight w:val="none"/>
        </w:rPr>
        <w:t>（1）市政府门户网站日常巡检服务</w:t>
      </w:r>
    </w:p>
    <w:p w14:paraId="34AAE31A">
      <w:pPr>
        <w:ind w:firstLine="480"/>
        <w:rPr>
          <w:rFonts w:hint="eastAsia"/>
          <w:highlight w:val="none"/>
        </w:rPr>
      </w:pPr>
      <w:r>
        <w:rPr>
          <w:rFonts w:hint="eastAsia"/>
          <w:highlight w:val="none"/>
        </w:rPr>
        <w:t>采用自动化工具+人工监测对市政府门户网站（含简体版、繁体版、英文版、移动版等多个版本）页面进行常态化巡检，主要包括：</w:t>
      </w:r>
    </w:p>
    <w:p w14:paraId="1AD72547">
      <w:pPr>
        <w:ind w:firstLine="480"/>
        <w:rPr>
          <w:rFonts w:hint="eastAsia"/>
          <w:highlight w:val="none"/>
        </w:rPr>
      </w:pPr>
      <w:r>
        <w:rPr>
          <w:rFonts w:hint="eastAsia"/>
          <w:highlight w:val="none"/>
        </w:rPr>
        <w:t>①检查网站首页、重要栏目页面及常用功能入口的访问状态、页面展示、链接跳转、附件打开、功能响应等情况，及时发现页面无法访问、加载异常、图片或附件显示异常、功能响应异常等问题。</w:t>
      </w:r>
    </w:p>
    <w:p w14:paraId="4ABDDD8C">
      <w:pPr>
        <w:ind w:firstLine="480"/>
        <w:rPr>
          <w:rFonts w:hint="eastAsia"/>
          <w:highlight w:val="none"/>
        </w:rPr>
      </w:pPr>
      <w:r>
        <w:rPr>
          <w:rFonts w:hint="eastAsia"/>
          <w:highlight w:val="none"/>
        </w:rPr>
        <w:t>②巡检发现的问题，及时形成异常记录并反馈相关人员跟进处理，配合做好处置后的复核验证，确保问题发现、反馈、处理、验证形成闭环。</w:t>
      </w:r>
    </w:p>
    <w:p w14:paraId="70E92C02">
      <w:pPr>
        <w:ind w:firstLine="480"/>
        <w:rPr>
          <w:rFonts w:hint="eastAsia"/>
          <w:highlight w:val="none"/>
        </w:rPr>
      </w:pPr>
      <w:r>
        <w:rPr>
          <w:rFonts w:hint="eastAsia"/>
          <w:highlight w:val="none"/>
        </w:rPr>
        <w:t>（2）市政府门户网站前端页面日常维护服务</w:t>
      </w:r>
    </w:p>
    <w:p w14:paraId="3C4A3500">
      <w:pPr>
        <w:ind w:firstLine="480"/>
        <w:rPr>
          <w:rFonts w:hint="eastAsia"/>
          <w:highlight w:val="none"/>
        </w:rPr>
      </w:pPr>
      <w:r>
        <w:rPr>
          <w:rFonts w:hint="eastAsia"/>
          <w:highlight w:val="none"/>
        </w:rPr>
        <w:t>①网站版面维护</w:t>
      </w:r>
    </w:p>
    <w:p w14:paraId="05E0069D">
      <w:pPr>
        <w:ind w:firstLine="480"/>
        <w:rPr>
          <w:rFonts w:hint="eastAsia"/>
          <w:highlight w:val="none"/>
        </w:rPr>
      </w:pPr>
      <w:r>
        <w:rPr>
          <w:rFonts w:hint="eastAsia"/>
          <w:highlight w:val="none"/>
        </w:rPr>
        <w:t>1）对市政府门户网站PC端和移动端的页面版面、栏目结构和模板样式进行日常维护，根据不同时期工作需要，开展栏目调整、模板调整和页面风格微调，保障网站展示规范统一。基于现有模板，市政府门户网站首页、栏目首页、列表页、文章页等页面的板块位置、展示效果和页面布局进行调整。</w:t>
      </w:r>
    </w:p>
    <w:p w14:paraId="7E6A5EB1">
      <w:pPr>
        <w:ind w:firstLine="480"/>
        <w:rPr>
          <w:rFonts w:hint="eastAsia"/>
          <w:highlight w:val="none"/>
        </w:rPr>
      </w:pPr>
      <w:r>
        <w:rPr>
          <w:rFonts w:hint="eastAsia"/>
          <w:highlight w:val="none"/>
        </w:rPr>
        <w:t>2）协助对页面展示异常、页面要素错位等问题进行优化整改。</w:t>
      </w:r>
    </w:p>
    <w:p w14:paraId="51BFAC34">
      <w:pPr>
        <w:ind w:firstLine="480"/>
        <w:rPr>
          <w:rFonts w:hint="eastAsia"/>
          <w:highlight w:val="none"/>
        </w:rPr>
      </w:pPr>
      <w:r>
        <w:rPr>
          <w:rFonts w:hint="eastAsia"/>
          <w:highlight w:val="none"/>
        </w:rPr>
        <w:t>②图文素材维护</w:t>
      </w:r>
    </w:p>
    <w:p w14:paraId="413E2321">
      <w:pPr>
        <w:ind w:firstLine="480"/>
        <w:rPr>
          <w:rFonts w:hint="eastAsia"/>
          <w:highlight w:val="none"/>
        </w:rPr>
      </w:pPr>
      <w:r>
        <w:rPr>
          <w:rFonts w:hint="eastAsia"/>
          <w:highlight w:val="none"/>
        </w:rPr>
        <w:t>根据市政府门户网站运维需要，开展图片修改、标题图片制作、图文链接配置等工作，保障图文展示准确、重点入口清晰、图文链接正常可用。</w:t>
      </w:r>
    </w:p>
    <w:p w14:paraId="07D67379">
      <w:pPr>
        <w:ind w:firstLine="480"/>
        <w:rPr>
          <w:rFonts w:hint="eastAsia"/>
          <w:highlight w:val="none"/>
        </w:rPr>
      </w:pPr>
      <w:r>
        <w:rPr>
          <w:rFonts w:hint="eastAsia"/>
          <w:highlight w:val="none"/>
        </w:rPr>
        <w:t>③专题专栏建设和维护</w:t>
      </w:r>
    </w:p>
    <w:p w14:paraId="49188B33">
      <w:pPr>
        <w:ind w:firstLine="480"/>
        <w:rPr>
          <w:rFonts w:hint="eastAsia"/>
          <w:highlight w:val="none"/>
        </w:rPr>
      </w:pPr>
      <w:r>
        <w:rPr>
          <w:rFonts w:hint="eastAsia"/>
          <w:highlight w:val="none"/>
        </w:rPr>
        <w:t>1）根据阶段性重点工作和宣传展示需要，策划并制作专题专栏，包括专题原型设计、素材设计、网页模板制作、页面配置和上线发布等工作。根据需求对现有专题专栏进行版面调整、栏目调整。</w:t>
      </w:r>
    </w:p>
    <w:p w14:paraId="4DA0FDBE">
      <w:pPr>
        <w:ind w:firstLine="480"/>
        <w:rPr>
          <w:rFonts w:hint="eastAsia"/>
          <w:highlight w:val="none"/>
        </w:rPr>
      </w:pPr>
      <w:r>
        <w:rPr>
          <w:rFonts w:hint="eastAsia"/>
          <w:highlight w:val="none"/>
        </w:rPr>
        <w:t>2）协助对栏目出现的页面展示异常等问题进行整改。</w:t>
      </w:r>
    </w:p>
    <w:p w14:paraId="3433302D">
      <w:pPr>
        <w:ind w:firstLine="480"/>
        <w:rPr>
          <w:rFonts w:hint="eastAsia"/>
          <w:highlight w:val="none"/>
        </w:rPr>
      </w:pPr>
      <w:r>
        <w:rPr>
          <w:rFonts w:hint="eastAsia"/>
          <w:highlight w:val="none"/>
        </w:rPr>
        <w:t>④错链死链等问题整改优化</w:t>
      </w:r>
    </w:p>
    <w:p w14:paraId="2ACBF322">
      <w:pPr>
        <w:ind w:firstLine="480"/>
        <w:rPr>
          <w:rFonts w:hint="eastAsia"/>
          <w:highlight w:val="none"/>
        </w:rPr>
      </w:pPr>
      <w:r>
        <w:rPr>
          <w:rFonts w:hint="eastAsia"/>
          <w:highlight w:val="none"/>
        </w:rPr>
        <w:t>对日常发现的错链死链等进行整改修复和优化完善；协助处理涉及部门的问题。</w:t>
      </w:r>
    </w:p>
    <w:p w14:paraId="6D3B2F73">
      <w:pPr>
        <w:pStyle w:val="7"/>
        <w:rPr>
          <w:rFonts w:hint="eastAsia"/>
          <w:highlight w:val="none"/>
        </w:rPr>
      </w:pPr>
      <w:r>
        <w:rPr>
          <w:rFonts w:hint="eastAsia"/>
          <w:highlight w:val="none"/>
        </w:rPr>
        <w:t>部门网站维护</w:t>
      </w:r>
    </w:p>
    <w:p w14:paraId="12982F4A">
      <w:pPr>
        <w:ind w:firstLine="480"/>
        <w:rPr>
          <w:rFonts w:hint="eastAsia"/>
          <w:highlight w:val="none"/>
        </w:rPr>
      </w:pPr>
      <w:r>
        <w:rPr>
          <w:rFonts w:hint="eastAsia"/>
          <w:highlight w:val="none"/>
        </w:rPr>
        <w:t>（1）政府部门频道前端页面日常维护服务</w:t>
      </w:r>
    </w:p>
    <w:p w14:paraId="735ADB8F">
      <w:pPr>
        <w:ind w:firstLine="480"/>
        <w:rPr>
          <w:rFonts w:hint="eastAsia"/>
          <w:highlight w:val="none"/>
        </w:rPr>
      </w:pPr>
      <w:r>
        <w:rPr>
          <w:rFonts w:hint="eastAsia"/>
          <w:highlight w:val="none"/>
        </w:rPr>
        <w:t>①频道版面维护</w:t>
      </w:r>
    </w:p>
    <w:p w14:paraId="7FA5E732">
      <w:pPr>
        <w:ind w:firstLine="480"/>
        <w:rPr>
          <w:rFonts w:hint="eastAsia"/>
          <w:highlight w:val="none"/>
        </w:rPr>
      </w:pPr>
      <w:r>
        <w:rPr>
          <w:rFonts w:hint="eastAsia"/>
          <w:highlight w:val="none"/>
        </w:rPr>
        <w:t>1）对40个部门频道的页面版面、栏目结构和模板样式进行日常维护，根据不同时期工作需要，开展栏目调整、模板调整和页面风格微调，保障网站展示规范统一。基于现有模板，对40个部门频道首页、栏目首页、列表页、文章页等页面的板块位置、展示效果和页面布局进行调整。</w:t>
      </w:r>
    </w:p>
    <w:p w14:paraId="1AA358E2">
      <w:pPr>
        <w:ind w:firstLine="480"/>
        <w:rPr>
          <w:rFonts w:hint="eastAsia"/>
          <w:highlight w:val="none"/>
        </w:rPr>
      </w:pPr>
      <w:r>
        <w:rPr>
          <w:rFonts w:hint="eastAsia"/>
          <w:highlight w:val="none"/>
        </w:rPr>
        <w:t>部门频道清单如下（具体清单以采购人确认的实际清单为准。服务期内如因网站整合、账号新增或注销、栏目调整、平台迁移、机构改革等原因导致服务对象变化，具体数量根据项目实际开展情况进行调整）：</w:t>
      </w:r>
    </w:p>
    <w:tbl>
      <w:tblPr>
        <w:tblStyle w:val="33"/>
        <w:tblW w:w="5000" w:type="pct"/>
        <w:tblInd w:w="0" w:type="dxa"/>
        <w:tblLayout w:type="fixed"/>
        <w:tblCellMar>
          <w:top w:w="0" w:type="dxa"/>
          <w:left w:w="108" w:type="dxa"/>
          <w:bottom w:w="0" w:type="dxa"/>
          <w:right w:w="108" w:type="dxa"/>
        </w:tblCellMar>
      </w:tblPr>
      <w:tblGrid>
        <w:gridCol w:w="1358"/>
        <w:gridCol w:w="6948"/>
      </w:tblGrid>
      <w:tr w14:paraId="1AF56177">
        <w:tblPrEx>
          <w:tblCellMar>
            <w:top w:w="0" w:type="dxa"/>
            <w:left w:w="108" w:type="dxa"/>
            <w:bottom w:w="0" w:type="dxa"/>
            <w:right w:w="108" w:type="dxa"/>
          </w:tblCellMar>
        </w:tblPrEx>
        <w:trPr>
          <w:trHeight w:val="407" w:hRule="atLeast"/>
          <w:tblHeader/>
        </w:trPr>
        <w:tc>
          <w:tcPr>
            <w:tcW w:w="817"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0795A95A">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序号</w:t>
            </w:r>
          </w:p>
        </w:tc>
        <w:tc>
          <w:tcPr>
            <w:tcW w:w="4183"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138E8D9B">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单位名称</w:t>
            </w:r>
          </w:p>
        </w:tc>
      </w:tr>
      <w:tr w14:paraId="6E9F89F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52A8E0F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33CBD35A">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汕头市发展和改革局</w:t>
            </w:r>
          </w:p>
        </w:tc>
      </w:tr>
      <w:tr w14:paraId="36DE6A06">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97BC4C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1C390B98">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汕头市教育局</w:t>
            </w:r>
          </w:p>
        </w:tc>
      </w:tr>
      <w:tr w14:paraId="5090280F">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D964BC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59E53AAD">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汕头市科学技术局</w:t>
            </w:r>
          </w:p>
        </w:tc>
      </w:tr>
      <w:tr w14:paraId="4318F2D2">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55D95C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4</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3246B979">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汕头市工业和信息化局</w:t>
            </w:r>
          </w:p>
        </w:tc>
      </w:tr>
      <w:tr w14:paraId="46F6385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F28334A">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5</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34445EEC">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汕头市公安局</w:t>
            </w:r>
          </w:p>
        </w:tc>
      </w:tr>
      <w:tr w14:paraId="63119643">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EDB671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6</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720F0498">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汕头市民政局</w:t>
            </w:r>
          </w:p>
        </w:tc>
      </w:tr>
      <w:tr w14:paraId="7671C30C">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34BE60E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7</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06987296">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汕头市司法局</w:t>
            </w:r>
          </w:p>
        </w:tc>
      </w:tr>
      <w:tr w14:paraId="435CC545">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554AAFC">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8</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1C303055">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汕头市财政局</w:t>
            </w:r>
          </w:p>
        </w:tc>
      </w:tr>
      <w:tr w14:paraId="40E0B81E">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5908B14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9</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3D858FAA">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汕头市人力资源和社会保障局</w:t>
            </w:r>
          </w:p>
        </w:tc>
      </w:tr>
      <w:tr w14:paraId="5FE6B882">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804313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10</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23DFD38F">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汕头市自然资源局</w:t>
            </w:r>
          </w:p>
        </w:tc>
      </w:tr>
      <w:tr w14:paraId="33308D73">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3141303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11</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2CE3716B">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汕头市生态环境局</w:t>
            </w:r>
          </w:p>
        </w:tc>
      </w:tr>
      <w:tr w14:paraId="13437D93">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8AF461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12</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272023D1">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汕头市住房和城乡建设局</w:t>
            </w:r>
          </w:p>
        </w:tc>
      </w:tr>
      <w:tr w14:paraId="39996122">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F3527A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13</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553DF9F1">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汕头市交通运输局</w:t>
            </w:r>
          </w:p>
        </w:tc>
      </w:tr>
      <w:tr w14:paraId="71EE5417">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C3030D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14</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6FCE79A0">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汕头市水务局</w:t>
            </w:r>
          </w:p>
        </w:tc>
      </w:tr>
      <w:tr w14:paraId="407AB309">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5F1CEEB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15</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73FDCB59">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汕头市农业农村局</w:t>
            </w:r>
          </w:p>
        </w:tc>
      </w:tr>
      <w:tr w14:paraId="7FE3CA4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3E332CD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16</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4C4C4CBC">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汕头市商务局</w:t>
            </w:r>
          </w:p>
        </w:tc>
      </w:tr>
      <w:tr w14:paraId="43C8DA18">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0D31B3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17</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1DC90EA4">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汕头市文化广电旅游体育局</w:t>
            </w:r>
          </w:p>
        </w:tc>
      </w:tr>
      <w:tr w14:paraId="6700948C">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B63AE3A">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18</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0A1FA2F1">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汕头市卫生健康局</w:t>
            </w:r>
          </w:p>
        </w:tc>
      </w:tr>
      <w:tr w14:paraId="0D97416C">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C4FB71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19</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3930E832">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汕头市退役军人事务局</w:t>
            </w:r>
          </w:p>
        </w:tc>
      </w:tr>
      <w:tr w14:paraId="4BF32FDE">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EB58DA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20</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1607E2BD">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汕头市应急管理局</w:t>
            </w:r>
          </w:p>
        </w:tc>
      </w:tr>
      <w:tr w14:paraId="4BA07508">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B8046E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21</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132D7519">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汕头市审计局</w:t>
            </w:r>
          </w:p>
        </w:tc>
      </w:tr>
      <w:tr w14:paraId="39BCFFAB">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5B69C4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22</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299650F9">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汕头市人民政府国有资产监督管理委员会</w:t>
            </w:r>
          </w:p>
        </w:tc>
      </w:tr>
      <w:tr w14:paraId="6008CA27">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2A9163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23</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4BC626AE">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汕头市市场监督管理局</w:t>
            </w:r>
          </w:p>
        </w:tc>
      </w:tr>
      <w:tr w14:paraId="5F3CAC8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C40365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24</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5670E72B">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汕头市统计局</w:t>
            </w:r>
          </w:p>
        </w:tc>
      </w:tr>
      <w:tr w14:paraId="7E69CE59">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35B2C15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25</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25AFA602">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汕头市医疗保障局</w:t>
            </w:r>
          </w:p>
        </w:tc>
      </w:tr>
      <w:tr w14:paraId="0D0A22D8">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3C1E291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26</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6C1B1B77">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汕头市城市管理和综合执法局</w:t>
            </w:r>
          </w:p>
        </w:tc>
      </w:tr>
      <w:tr w14:paraId="4BEBC956">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58E766C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27</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405E9D82">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汕头市信访局</w:t>
            </w:r>
          </w:p>
        </w:tc>
      </w:tr>
      <w:tr w14:paraId="0F021A9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F97C0C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28</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6BCC937F">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汕头市政务服务和数据管理局</w:t>
            </w:r>
          </w:p>
        </w:tc>
      </w:tr>
      <w:tr w14:paraId="01BD187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5EC1E79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29</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4FDD9D09">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汕头市投资促进局</w:t>
            </w:r>
          </w:p>
        </w:tc>
      </w:tr>
      <w:tr w14:paraId="5105F14A">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E5F491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30</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3882FCDA">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汕头市生态环境保护综合执法局</w:t>
            </w:r>
          </w:p>
        </w:tc>
      </w:tr>
      <w:tr w14:paraId="18901CAD">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C067F5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31</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50513108">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汕头市交通运输综合执法局</w:t>
            </w:r>
          </w:p>
        </w:tc>
      </w:tr>
      <w:tr w14:paraId="281D70E4">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BA8E3D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32</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4939F537">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汕头市机关事务管理局</w:t>
            </w:r>
          </w:p>
        </w:tc>
      </w:tr>
      <w:tr w14:paraId="4B90A712">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C80AD5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33</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3F862278">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汕头仲裁委员会</w:t>
            </w:r>
          </w:p>
        </w:tc>
      </w:tr>
      <w:tr w14:paraId="14BF920C">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766292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34</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75452E7B">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汕头市地震局</w:t>
            </w:r>
          </w:p>
        </w:tc>
      </w:tr>
      <w:tr w14:paraId="0E34778C">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45293B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35</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3EFA1758">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汕头市供销合作总社</w:t>
            </w:r>
          </w:p>
        </w:tc>
      </w:tr>
      <w:tr w14:paraId="6253AFCF">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DDAFD1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36</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252D37C6">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汕头市公路事务中心</w:t>
            </w:r>
          </w:p>
        </w:tc>
      </w:tr>
      <w:tr w14:paraId="64112F28">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3F8C815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37</w:t>
            </w:r>
          </w:p>
        </w:tc>
        <w:tc>
          <w:tcPr>
            <w:tcW w:w="4183" w:type="pct"/>
            <w:tcBorders>
              <w:top w:val="single" w:color="000000" w:sz="4" w:space="0"/>
              <w:left w:val="single" w:color="000000" w:sz="4" w:space="0"/>
              <w:bottom w:val="single" w:color="000000" w:sz="4" w:space="0"/>
              <w:right w:val="single" w:color="000000" w:sz="4" w:space="0"/>
            </w:tcBorders>
            <w:noWrap/>
            <w:vAlign w:val="center"/>
          </w:tcPr>
          <w:p w14:paraId="0C4A20ED">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汕头市社会保险基金管理局</w:t>
            </w:r>
          </w:p>
        </w:tc>
      </w:tr>
      <w:tr w14:paraId="5724818B">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24B0E2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38</w:t>
            </w:r>
          </w:p>
        </w:tc>
        <w:tc>
          <w:tcPr>
            <w:tcW w:w="7130" w:type="dxa"/>
            <w:tcBorders>
              <w:top w:val="single" w:color="000000" w:sz="4" w:space="0"/>
              <w:left w:val="single" w:color="000000" w:sz="4" w:space="0"/>
              <w:bottom w:val="single" w:color="000000" w:sz="4" w:space="0"/>
              <w:right w:val="single" w:color="000000" w:sz="4" w:space="0"/>
            </w:tcBorders>
            <w:noWrap/>
            <w:vAlign w:val="center"/>
          </w:tcPr>
          <w:p w14:paraId="146A312E">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汕头综合保税区管理委员会</w:t>
            </w:r>
          </w:p>
        </w:tc>
      </w:tr>
      <w:tr w14:paraId="0E837FCE">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E8A83C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39</w:t>
            </w:r>
          </w:p>
        </w:tc>
        <w:tc>
          <w:tcPr>
            <w:tcW w:w="7130" w:type="dxa"/>
            <w:tcBorders>
              <w:top w:val="single" w:color="000000" w:sz="4" w:space="0"/>
              <w:left w:val="single" w:color="000000" w:sz="4" w:space="0"/>
              <w:bottom w:val="single" w:color="000000" w:sz="4" w:space="0"/>
              <w:right w:val="single" w:color="000000" w:sz="4" w:space="0"/>
            </w:tcBorders>
            <w:noWrap/>
            <w:vAlign w:val="center"/>
          </w:tcPr>
          <w:p w14:paraId="12EDE0FB">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汕头高新技术产业开发区管理委员会</w:t>
            </w:r>
          </w:p>
        </w:tc>
      </w:tr>
      <w:tr w14:paraId="401DEC3A">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5CAB1A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40</w:t>
            </w:r>
          </w:p>
        </w:tc>
        <w:tc>
          <w:tcPr>
            <w:tcW w:w="7130" w:type="dxa"/>
            <w:tcBorders>
              <w:top w:val="single" w:color="000000" w:sz="4" w:space="0"/>
              <w:left w:val="single" w:color="000000" w:sz="4" w:space="0"/>
              <w:bottom w:val="single" w:color="000000" w:sz="4" w:space="0"/>
              <w:right w:val="single" w:color="000000" w:sz="4" w:space="0"/>
            </w:tcBorders>
            <w:noWrap/>
            <w:vAlign w:val="center"/>
          </w:tcPr>
          <w:p w14:paraId="2C0DB613">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汕头华侨经济文化合作试验区管理委员会</w:t>
            </w:r>
          </w:p>
        </w:tc>
      </w:tr>
    </w:tbl>
    <w:p w14:paraId="765FF693">
      <w:pPr>
        <w:ind w:firstLine="0" w:firstLineChars="0"/>
        <w:rPr>
          <w:rFonts w:hint="eastAsia"/>
          <w:highlight w:val="none"/>
        </w:rPr>
      </w:pPr>
    </w:p>
    <w:p w14:paraId="27F9C1A7">
      <w:pPr>
        <w:ind w:firstLine="480"/>
        <w:rPr>
          <w:rFonts w:hint="eastAsia"/>
          <w:highlight w:val="none"/>
        </w:rPr>
      </w:pPr>
      <w:r>
        <w:rPr>
          <w:rFonts w:hint="eastAsia"/>
          <w:highlight w:val="none"/>
        </w:rPr>
        <w:t>2）协助对页面展示异常、页面要素错位等问题进行优化整改。协助部门处理排版异常的问题稿件。</w:t>
      </w:r>
    </w:p>
    <w:p w14:paraId="3386F57E">
      <w:pPr>
        <w:ind w:firstLine="480"/>
        <w:rPr>
          <w:rFonts w:hint="eastAsia"/>
          <w:highlight w:val="none"/>
        </w:rPr>
      </w:pPr>
      <w:r>
        <w:rPr>
          <w:rFonts w:hint="eastAsia"/>
          <w:highlight w:val="none"/>
        </w:rPr>
        <w:t>②图文素材维护</w:t>
      </w:r>
    </w:p>
    <w:p w14:paraId="5B84A3BC">
      <w:pPr>
        <w:ind w:firstLine="480"/>
        <w:rPr>
          <w:rFonts w:hint="eastAsia"/>
          <w:highlight w:val="none"/>
        </w:rPr>
      </w:pPr>
      <w:r>
        <w:rPr>
          <w:rFonts w:hint="eastAsia"/>
          <w:highlight w:val="none"/>
        </w:rPr>
        <w:t>根据各部门频道运维需要，开展图片修改、标题图片制作、图文链接配置等工作，保障图文展示准确、重点入口清晰、图文链接正常可用。</w:t>
      </w:r>
    </w:p>
    <w:p w14:paraId="0A8A4FA6">
      <w:pPr>
        <w:ind w:firstLine="480"/>
        <w:rPr>
          <w:rFonts w:hint="eastAsia"/>
          <w:highlight w:val="none"/>
        </w:rPr>
      </w:pPr>
      <w:r>
        <w:rPr>
          <w:rFonts w:hint="eastAsia"/>
          <w:highlight w:val="none"/>
        </w:rPr>
        <w:t>③专题专栏建设和维护</w:t>
      </w:r>
    </w:p>
    <w:p w14:paraId="771E3971">
      <w:pPr>
        <w:ind w:firstLine="480"/>
        <w:rPr>
          <w:rFonts w:hint="eastAsia"/>
          <w:highlight w:val="none"/>
        </w:rPr>
      </w:pPr>
      <w:r>
        <w:rPr>
          <w:rFonts w:hint="eastAsia"/>
          <w:highlight w:val="none"/>
        </w:rPr>
        <w:t>1）根据阶段性重点工作和宣传展示需要，策划并制作专题专栏，包括专题原型设计、素材图片设计、网页模板制作、页面配置和上线发布等工作。根据部门需求对现有专题专栏进行版面调整、栏目调整。</w:t>
      </w:r>
    </w:p>
    <w:p w14:paraId="5D8E8F59">
      <w:pPr>
        <w:ind w:firstLine="480"/>
        <w:rPr>
          <w:rFonts w:hint="eastAsia"/>
          <w:highlight w:val="none"/>
        </w:rPr>
      </w:pPr>
      <w:r>
        <w:rPr>
          <w:rFonts w:hint="eastAsia"/>
          <w:highlight w:val="none"/>
        </w:rPr>
        <w:t>2）协助对栏目出现的页面展示异常等问题进行整改。</w:t>
      </w:r>
    </w:p>
    <w:p w14:paraId="411E275E">
      <w:pPr>
        <w:ind w:firstLine="480"/>
        <w:rPr>
          <w:rFonts w:hint="eastAsia"/>
          <w:highlight w:val="none"/>
        </w:rPr>
      </w:pPr>
      <w:r>
        <w:rPr>
          <w:rFonts w:hint="eastAsia"/>
          <w:highlight w:val="none"/>
        </w:rPr>
        <w:t>④错链死链等问题整改优化</w:t>
      </w:r>
    </w:p>
    <w:p w14:paraId="3CD9196A">
      <w:pPr>
        <w:ind w:firstLine="480"/>
        <w:rPr>
          <w:rFonts w:hint="eastAsia"/>
          <w:highlight w:val="none"/>
        </w:rPr>
      </w:pPr>
      <w:r>
        <w:rPr>
          <w:rFonts w:hint="eastAsia"/>
          <w:highlight w:val="none"/>
        </w:rPr>
        <w:t>协助部门对日常发现的错链死链等进行整改修复和优化完善。</w:t>
      </w:r>
    </w:p>
    <w:p w14:paraId="6FB0D04C">
      <w:pPr>
        <w:ind w:firstLine="480"/>
        <w:rPr>
          <w:rFonts w:hint="eastAsia"/>
          <w:highlight w:val="none"/>
        </w:rPr>
      </w:pPr>
      <w:r>
        <w:rPr>
          <w:rFonts w:hint="eastAsia"/>
          <w:highlight w:val="none"/>
        </w:rPr>
        <w:t>（2）党群网站前端页面日常维护服务</w:t>
      </w:r>
    </w:p>
    <w:p w14:paraId="6D33D6D0">
      <w:pPr>
        <w:ind w:firstLine="480"/>
        <w:rPr>
          <w:rFonts w:hint="eastAsia"/>
          <w:highlight w:val="none"/>
        </w:rPr>
      </w:pPr>
      <w:r>
        <w:rPr>
          <w:rFonts w:hint="eastAsia"/>
          <w:highlight w:val="none"/>
        </w:rPr>
        <w:t>①网站版面维护</w:t>
      </w:r>
    </w:p>
    <w:p w14:paraId="78C4D648">
      <w:pPr>
        <w:ind w:firstLine="480"/>
        <w:rPr>
          <w:rFonts w:hint="eastAsia"/>
          <w:highlight w:val="none"/>
        </w:rPr>
      </w:pPr>
      <w:r>
        <w:rPr>
          <w:rFonts w:hint="eastAsia"/>
          <w:highlight w:val="none"/>
        </w:rPr>
        <w:t>1）对12个党群网站PC端的页面版面、栏目结构和模板样式进行日常维护，根据不同时期工作需要，开展栏目调整、模板调整和页面风格微调，保障网站展示规范统一。基于现有模板，对12个党群网站网站首页、栏目首页、列表页、文章页等页面的板块位置、展示效果和页面布局进行调整。</w:t>
      </w:r>
    </w:p>
    <w:p w14:paraId="325D7793">
      <w:pPr>
        <w:ind w:firstLine="480"/>
        <w:rPr>
          <w:rFonts w:hint="eastAsia"/>
          <w:highlight w:val="none"/>
        </w:rPr>
      </w:pPr>
      <w:r>
        <w:rPr>
          <w:rFonts w:hint="eastAsia"/>
          <w:highlight w:val="none"/>
        </w:rPr>
        <w:t>党群网站清单如下（具体清单以采购人确认的实际清单为准。服务期内如因网站整合、账号新增或注销、栏目调整、平台迁移、机构改革等原因导致服务对象变化，具体数量根据项目实际开展情况进行调整）：</w:t>
      </w:r>
    </w:p>
    <w:tbl>
      <w:tblPr>
        <w:tblStyle w:val="33"/>
        <w:tblW w:w="5000" w:type="pct"/>
        <w:tblInd w:w="0" w:type="dxa"/>
        <w:tblLayout w:type="fixed"/>
        <w:tblCellMar>
          <w:top w:w="0" w:type="dxa"/>
          <w:left w:w="108" w:type="dxa"/>
          <w:bottom w:w="0" w:type="dxa"/>
          <w:right w:w="108" w:type="dxa"/>
        </w:tblCellMar>
      </w:tblPr>
      <w:tblGrid>
        <w:gridCol w:w="847"/>
        <w:gridCol w:w="7459"/>
      </w:tblGrid>
      <w:tr w14:paraId="709D836D">
        <w:tblPrEx>
          <w:tblCellMar>
            <w:top w:w="0" w:type="dxa"/>
            <w:left w:w="108" w:type="dxa"/>
            <w:bottom w:w="0" w:type="dxa"/>
            <w:right w:w="108" w:type="dxa"/>
          </w:tblCellMar>
        </w:tblPrEx>
        <w:trPr>
          <w:trHeight w:val="498" w:hRule="atLeast"/>
          <w:tblHeader/>
        </w:trPr>
        <w:tc>
          <w:tcPr>
            <w:tcW w:w="510"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46C12023">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序号</w:t>
            </w:r>
          </w:p>
        </w:tc>
        <w:tc>
          <w:tcPr>
            <w:tcW w:w="4490"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79FAC178">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部门名称</w:t>
            </w:r>
          </w:p>
        </w:tc>
      </w:tr>
      <w:tr w14:paraId="124E97DE">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65C7EE5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4210A36E">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汕头市人大</w:t>
            </w:r>
          </w:p>
        </w:tc>
      </w:tr>
      <w:tr w14:paraId="4935EC7A">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6C24C7C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5A1237D3">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汕头市政协</w:t>
            </w:r>
          </w:p>
        </w:tc>
      </w:tr>
      <w:tr w14:paraId="4843A2A0">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34BDECF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7539C2F5">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中共汕头市委外事工作委员会办公室</w:t>
            </w:r>
          </w:p>
        </w:tc>
      </w:tr>
      <w:tr w14:paraId="7F52A3E9">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65C2A01A">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4</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7684E653">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中共汕头市委机构编制委员会办公室</w:t>
            </w:r>
          </w:p>
        </w:tc>
      </w:tr>
      <w:tr w14:paraId="6F5088AC">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2067131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5</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2D540D22">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中共汕头市委军民融合发展委员会办公室</w:t>
            </w:r>
            <w:r>
              <w:rPr>
                <w:rFonts w:hint="eastAsia" w:cs="宋体"/>
                <w:color w:val="000000"/>
                <w:kern w:val="0"/>
                <w:szCs w:val="24"/>
                <w:highlight w:val="none"/>
              </w:rPr>
              <w:t>（市国动办）</w:t>
            </w:r>
          </w:p>
        </w:tc>
      </w:tr>
      <w:tr w14:paraId="36743989">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7F98249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6</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0ABFD912">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中共汕头市直属机关工作委员会</w:t>
            </w:r>
          </w:p>
        </w:tc>
      </w:tr>
      <w:tr w14:paraId="098F048B">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23D0139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7</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008D3585">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汕头市国家保密局</w:t>
            </w:r>
          </w:p>
        </w:tc>
      </w:tr>
      <w:tr w14:paraId="0925164F">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4EADECC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8</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0160CB63">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汕头市档案局</w:t>
            </w:r>
          </w:p>
        </w:tc>
      </w:tr>
      <w:tr w14:paraId="5643DF9C">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6ED577B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9</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0E5D9479">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共青团汕头市委</w:t>
            </w:r>
          </w:p>
        </w:tc>
      </w:tr>
      <w:tr w14:paraId="314E26D4">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04E6550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10</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135933A8">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汕头市妇女联合会</w:t>
            </w:r>
          </w:p>
        </w:tc>
      </w:tr>
      <w:tr w14:paraId="1B88C002">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1E34658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11</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5B272BE7">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汕头市社会科学界联合会</w:t>
            </w:r>
          </w:p>
        </w:tc>
      </w:tr>
      <w:tr w14:paraId="46547DE8">
        <w:tblPrEx>
          <w:tblCellMar>
            <w:top w:w="0" w:type="dxa"/>
            <w:left w:w="108" w:type="dxa"/>
            <w:bottom w:w="0" w:type="dxa"/>
            <w:right w:w="108" w:type="dxa"/>
          </w:tblCellMar>
        </w:tblPrEx>
        <w:trPr>
          <w:trHeight w:val="33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683AD85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12</w:t>
            </w:r>
          </w:p>
        </w:tc>
        <w:tc>
          <w:tcPr>
            <w:tcW w:w="4490" w:type="pct"/>
            <w:tcBorders>
              <w:top w:val="single" w:color="000000" w:sz="4" w:space="0"/>
              <w:left w:val="single" w:color="000000" w:sz="4" w:space="0"/>
              <w:bottom w:val="single" w:color="000000" w:sz="4" w:space="0"/>
              <w:right w:val="single" w:color="000000" w:sz="4" w:space="0"/>
            </w:tcBorders>
            <w:noWrap/>
            <w:vAlign w:val="center"/>
          </w:tcPr>
          <w:p w14:paraId="3489F2EC">
            <w:pPr>
              <w:widowControl/>
              <w:spacing w:line="240" w:lineRule="auto"/>
              <w:ind w:firstLine="0" w:firstLineChars="0"/>
              <w:jc w:val="left"/>
              <w:rPr>
                <w:rFonts w:hint="eastAsia" w:cs="宋体"/>
                <w:color w:val="000000"/>
                <w:kern w:val="0"/>
                <w:szCs w:val="24"/>
                <w:highlight w:val="none"/>
              </w:rPr>
            </w:pPr>
            <w:r>
              <w:rPr>
                <w:rFonts w:hint="eastAsia" w:cs="宋体"/>
                <w:color w:val="000000"/>
                <w:kern w:val="0"/>
                <w:szCs w:val="24"/>
                <w:highlight w:val="none"/>
              </w:rPr>
              <w:t>汕头市工商业联合会</w:t>
            </w:r>
          </w:p>
        </w:tc>
      </w:tr>
    </w:tbl>
    <w:p w14:paraId="326F09F8">
      <w:pPr>
        <w:ind w:firstLine="0" w:firstLineChars="0"/>
        <w:rPr>
          <w:rFonts w:hint="eastAsia"/>
          <w:highlight w:val="none"/>
        </w:rPr>
      </w:pPr>
    </w:p>
    <w:p w14:paraId="68DE3D04">
      <w:pPr>
        <w:ind w:firstLine="480"/>
        <w:rPr>
          <w:rFonts w:hint="eastAsia"/>
          <w:highlight w:val="none"/>
        </w:rPr>
      </w:pPr>
      <w:r>
        <w:rPr>
          <w:rFonts w:hint="eastAsia"/>
          <w:highlight w:val="none"/>
        </w:rPr>
        <w:t>2）协助对页面展示异常、页面要素错位等问题进行优化整改。协助部门处理排版异常的问题稿件。</w:t>
      </w:r>
    </w:p>
    <w:p w14:paraId="30D7BF0F">
      <w:pPr>
        <w:ind w:firstLine="480"/>
        <w:rPr>
          <w:rFonts w:hint="eastAsia"/>
          <w:highlight w:val="none"/>
        </w:rPr>
      </w:pPr>
      <w:r>
        <w:rPr>
          <w:rFonts w:hint="eastAsia"/>
          <w:highlight w:val="none"/>
        </w:rPr>
        <w:t>②图文素材维护</w:t>
      </w:r>
    </w:p>
    <w:p w14:paraId="5FC97EE9">
      <w:pPr>
        <w:ind w:firstLine="480"/>
        <w:rPr>
          <w:rFonts w:hint="eastAsia"/>
          <w:highlight w:val="none"/>
        </w:rPr>
      </w:pPr>
      <w:r>
        <w:rPr>
          <w:rFonts w:hint="eastAsia"/>
          <w:highlight w:val="none"/>
        </w:rPr>
        <w:t>根据党群网站运维需要，开展图片修改、标题图片制作、图文链接配置等工作，保障图文展示准确、重点入口清晰、图文链接正常可用。</w:t>
      </w:r>
    </w:p>
    <w:p w14:paraId="50169007">
      <w:pPr>
        <w:ind w:firstLine="480"/>
        <w:rPr>
          <w:rFonts w:hint="eastAsia"/>
          <w:highlight w:val="none"/>
        </w:rPr>
      </w:pPr>
      <w:r>
        <w:rPr>
          <w:rFonts w:hint="eastAsia"/>
          <w:highlight w:val="none"/>
        </w:rPr>
        <w:t>③专题专栏建设和维护</w:t>
      </w:r>
    </w:p>
    <w:p w14:paraId="0CA03F27">
      <w:pPr>
        <w:ind w:firstLine="480"/>
        <w:rPr>
          <w:rFonts w:hint="eastAsia"/>
          <w:highlight w:val="none"/>
        </w:rPr>
      </w:pPr>
      <w:r>
        <w:rPr>
          <w:rFonts w:hint="eastAsia"/>
          <w:highlight w:val="none"/>
        </w:rPr>
        <w:t>1）根据阶段性重点工作和宣传展示需要，策划并制作专题专栏，包括专题原型设计、素材图片设计、网页模板制作、页面配置和上线发布等工作。根据需求对现有专题专栏进行版面调整、栏目调整。</w:t>
      </w:r>
    </w:p>
    <w:p w14:paraId="7AA37024">
      <w:pPr>
        <w:ind w:firstLine="480"/>
        <w:rPr>
          <w:rFonts w:hint="eastAsia"/>
          <w:highlight w:val="none"/>
        </w:rPr>
      </w:pPr>
      <w:r>
        <w:rPr>
          <w:rFonts w:hint="eastAsia"/>
          <w:highlight w:val="none"/>
        </w:rPr>
        <w:t>2）协助对栏目出现的页面展示异常等问题进行整改。</w:t>
      </w:r>
    </w:p>
    <w:p w14:paraId="6B11FF06">
      <w:pPr>
        <w:ind w:firstLine="480"/>
        <w:rPr>
          <w:rFonts w:hint="eastAsia"/>
          <w:highlight w:val="none"/>
        </w:rPr>
      </w:pPr>
      <w:r>
        <w:rPr>
          <w:rFonts w:hint="eastAsia"/>
          <w:highlight w:val="none"/>
        </w:rPr>
        <w:t>④错链死链等问题整改优化</w:t>
      </w:r>
    </w:p>
    <w:p w14:paraId="2C718364">
      <w:pPr>
        <w:ind w:firstLine="480"/>
        <w:rPr>
          <w:rFonts w:hint="eastAsia"/>
          <w:highlight w:val="none"/>
        </w:rPr>
      </w:pPr>
      <w:r>
        <w:rPr>
          <w:rFonts w:hint="eastAsia"/>
          <w:highlight w:val="none"/>
        </w:rPr>
        <w:t>协助部门对日常发现的错链死链等进行整改修复和优化完善。</w:t>
      </w:r>
    </w:p>
    <w:p w14:paraId="19CA50B2">
      <w:pPr>
        <w:pStyle w:val="6"/>
        <w:rPr>
          <w:rFonts w:hint="eastAsia"/>
          <w:highlight w:val="none"/>
        </w:rPr>
      </w:pPr>
      <w:r>
        <w:rPr>
          <w:rFonts w:hint="eastAsia"/>
          <w:highlight w:val="none"/>
        </w:rPr>
        <w:t>人员驻场服务</w:t>
      </w:r>
    </w:p>
    <w:p w14:paraId="01868D71">
      <w:pPr>
        <w:ind w:firstLine="480"/>
        <w:rPr>
          <w:rFonts w:hint="eastAsia"/>
          <w:highlight w:val="none"/>
        </w:rPr>
      </w:pPr>
      <w:r>
        <w:rPr>
          <w:rFonts w:hint="eastAsia"/>
          <w:highlight w:val="none"/>
        </w:rPr>
        <w:t>★提供不少于2名技术人员驻场运维保障服务（工作日5×8小时，公众假期除外），</w:t>
      </w:r>
      <w:r>
        <w:rPr>
          <w:rFonts w:hint="eastAsia" w:cs="宋体"/>
          <w:kern w:val="0"/>
          <w:szCs w:val="24"/>
          <w:highlight w:val="none"/>
        </w:rPr>
        <w:t>驻场服务人员在合同签订后5个工作日内到采购人指定的地点提供驻场服务，要求驻场人员须为中标人编内员工，且在职一年或以上</w:t>
      </w:r>
      <w:r>
        <w:rPr>
          <w:rFonts w:hint="eastAsia"/>
          <w:highlight w:val="none"/>
        </w:rPr>
        <w:t>（</w:t>
      </w:r>
      <w:r>
        <w:rPr>
          <w:highlight w:val="none"/>
        </w:rPr>
        <w:t>投标时提供驻场人员清单</w:t>
      </w:r>
      <w:r>
        <w:rPr>
          <w:rFonts w:hint="eastAsia"/>
          <w:highlight w:val="none"/>
        </w:rPr>
        <w:t>，并提供其与投标人签订的劳动合同以及</w:t>
      </w:r>
      <w:r>
        <w:rPr>
          <w:highlight w:val="none"/>
        </w:rPr>
        <w:t>近一年</w:t>
      </w:r>
      <w:r>
        <w:rPr>
          <w:rFonts w:hint="eastAsia" w:cs="宋体"/>
          <w:kern w:val="0"/>
          <w:szCs w:val="24"/>
          <w:highlight w:val="none"/>
        </w:rPr>
        <w:t>社保缴纳证明材料</w:t>
      </w:r>
      <w:r>
        <w:rPr>
          <w:rFonts w:hint="eastAsia"/>
          <w:highlight w:val="none"/>
        </w:rPr>
        <w:t>）。</w:t>
      </w:r>
    </w:p>
    <w:p w14:paraId="21ECD430">
      <w:pPr>
        <w:ind w:firstLine="480"/>
        <w:rPr>
          <w:rFonts w:hint="eastAsia"/>
          <w:highlight w:val="none"/>
        </w:rPr>
      </w:pPr>
      <w:r>
        <w:rPr>
          <w:rFonts w:hint="eastAsia"/>
          <w:highlight w:val="none"/>
        </w:rPr>
        <w:t>驻场人员主要工作内容如下：</w:t>
      </w:r>
    </w:p>
    <w:p w14:paraId="1594E865">
      <w:pPr>
        <w:ind w:firstLine="480"/>
        <w:rPr>
          <w:rFonts w:hint="eastAsia"/>
          <w:highlight w:val="none"/>
        </w:rPr>
      </w:pPr>
      <w:r>
        <w:rPr>
          <w:rFonts w:hint="eastAsia"/>
          <w:highlight w:val="none"/>
        </w:rPr>
        <w:t>（1）协助做好汕头市政府网站集约化运维和监测工作。</w:t>
      </w:r>
    </w:p>
    <w:p w14:paraId="0CA41717">
      <w:pPr>
        <w:ind w:firstLine="480"/>
        <w:rPr>
          <w:rFonts w:hint="eastAsia"/>
          <w:highlight w:val="none"/>
        </w:rPr>
      </w:pPr>
      <w:r>
        <w:rPr>
          <w:rFonts w:hint="eastAsia"/>
          <w:highlight w:val="none"/>
        </w:rPr>
        <w:t>①提供热线服务，及时受理、处理及回复市直各部门提出的问题，配合做好省政府网站集约化平台汕头分平台、党群网站集约化平台、市政府门户网站、各部门网站的运维工作。</w:t>
      </w:r>
    </w:p>
    <w:p w14:paraId="0E168585">
      <w:pPr>
        <w:ind w:firstLine="480"/>
        <w:rPr>
          <w:rFonts w:hint="eastAsia"/>
          <w:highlight w:val="none"/>
        </w:rPr>
      </w:pPr>
      <w:r>
        <w:rPr>
          <w:rFonts w:hint="eastAsia"/>
          <w:highlight w:val="none"/>
        </w:rPr>
        <w:t>②协助开展全市网站日常运维中与市直各部门的联系和沟通工作，推动网站工作平稳顺利开展。</w:t>
      </w:r>
    </w:p>
    <w:p w14:paraId="110CE4F9">
      <w:pPr>
        <w:ind w:firstLine="480"/>
        <w:rPr>
          <w:rFonts w:hint="eastAsia"/>
          <w:highlight w:val="none"/>
        </w:rPr>
      </w:pPr>
      <w:r>
        <w:rPr>
          <w:rFonts w:hint="eastAsia"/>
          <w:highlight w:val="none"/>
        </w:rPr>
        <w:t>③主动发现网站运行过程中存在的问题，结合工作实际提出解决意见并协助解决问题和移除隐患，不断提升网站运维专业化水平。</w:t>
      </w:r>
    </w:p>
    <w:p w14:paraId="36B8CF48">
      <w:pPr>
        <w:ind w:firstLine="480"/>
        <w:rPr>
          <w:rFonts w:hint="eastAsia"/>
          <w:highlight w:val="none"/>
        </w:rPr>
      </w:pPr>
      <w:r>
        <w:rPr>
          <w:rFonts w:hint="eastAsia"/>
          <w:highlight w:val="none"/>
        </w:rPr>
        <w:t>④负责每月月报数据统计，配合做好网站业务和日常运营工作相关文档的整理和存档工作。</w:t>
      </w:r>
    </w:p>
    <w:p w14:paraId="6AF4BC6E">
      <w:pPr>
        <w:ind w:firstLine="480"/>
        <w:rPr>
          <w:rFonts w:hint="eastAsia"/>
          <w:highlight w:val="none"/>
        </w:rPr>
      </w:pPr>
      <w:r>
        <w:rPr>
          <w:rFonts w:hint="eastAsia"/>
          <w:highlight w:val="none"/>
        </w:rPr>
        <w:t>⑤协助全市政府网站日常监测和整改跟进。</w:t>
      </w:r>
    </w:p>
    <w:p w14:paraId="49EDC431">
      <w:pPr>
        <w:ind w:firstLine="480"/>
        <w:rPr>
          <w:rFonts w:hint="eastAsia"/>
          <w:highlight w:val="none"/>
        </w:rPr>
      </w:pPr>
      <w:r>
        <w:rPr>
          <w:rFonts w:hint="eastAsia"/>
          <w:highlight w:val="none"/>
        </w:rPr>
        <w:t>⑥协助全市政务新媒体日常监测和整改跟进。</w:t>
      </w:r>
    </w:p>
    <w:p w14:paraId="418C6BEF">
      <w:pPr>
        <w:ind w:firstLine="480"/>
        <w:rPr>
          <w:rFonts w:hint="eastAsia"/>
          <w:highlight w:val="none"/>
        </w:rPr>
      </w:pPr>
      <w:r>
        <w:rPr>
          <w:rFonts w:hint="eastAsia"/>
          <w:highlight w:val="none"/>
        </w:rPr>
        <w:t>（2）网站信息加载及检查整改服务。</w:t>
      </w:r>
    </w:p>
    <w:p w14:paraId="43158B63">
      <w:pPr>
        <w:ind w:firstLine="480"/>
        <w:rPr>
          <w:rFonts w:hint="eastAsia"/>
          <w:highlight w:val="none"/>
        </w:rPr>
      </w:pPr>
      <w:r>
        <w:rPr>
          <w:rFonts w:hint="eastAsia"/>
          <w:highlight w:val="none"/>
        </w:rPr>
        <w:t>①做好市政府门户网站栏目的信息加载服务，按保障要求及时发布信息。</w:t>
      </w:r>
    </w:p>
    <w:p w14:paraId="2C912D75">
      <w:pPr>
        <w:ind w:firstLine="480"/>
        <w:rPr>
          <w:rFonts w:hint="eastAsia"/>
          <w:highlight w:val="none"/>
        </w:rPr>
      </w:pPr>
      <w:r>
        <w:rPr>
          <w:rFonts w:hint="eastAsia"/>
          <w:highlight w:val="none"/>
        </w:rPr>
        <w:t>②配合做好涉及汕头市政府网站检查评估的相关整改工作。</w:t>
      </w:r>
    </w:p>
    <w:p w14:paraId="5889A8D6">
      <w:pPr>
        <w:ind w:firstLine="480"/>
        <w:rPr>
          <w:rFonts w:hint="eastAsia"/>
          <w:highlight w:val="none"/>
        </w:rPr>
      </w:pPr>
      <w:r>
        <w:rPr>
          <w:rFonts w:hint="eastAsia"/>
          <w:highlight w:val="none"/>
        </w:rPr>
        <w:t>③做好读网服务，巡查栏目内容，对照栏目内容保障要求检查内容更新情况、内容准确性、内容完整性、空白栏目等，发现问题及时下发工单并跟踪处置。</w:t>
      </w:r>
    </w:p>
    <w:p w14:paraId="341EF096">
      <w:pPr>
        <w:ind w:firstLine="480"/>
        <w:rPr>
          <w:rFonts w:hint="eastAsia"/>
          <w:highlight w:val="none"/>
        </w:rPr>
      </w:pPr>
      <w:r>
        <w:rPr>
          <w:rFonts w:hint="eastAsia"/>
          <w:highlight w:val="none"/>
        </w:rPr>
        <w:t>（3）现场支持及技术团队沟通协调。</w:t>
      </w:r>
    </w:p>
    <w:p w14:paraId="220071FA">
      <w:pPr>
        <w:ind w:firstLine="480"/>
        <w:rPr>
          <w:rFonts w:hint="eastAsia"/>
          <w:highlight w:val="none"/>
        </w:rPr>
      </w:pPr>
      <w:r>
        <w:rPr>
          <w:rFonts w:hint="eastAsia"/>
          <w:highlight w:val="none"/>
        </w:rPr>
        <w:t>①建立面向全市网站主办单位的工作群，及时收集、解答各部门提出的网站相关问题，提供现场技术服务，快速处理部门需求。</w:t>
      </w:r>
    </w:p>
    <w:p w14:paraId="0621423D">
      <w:pPr>
        <w:ind w:firstLine="480"/>
        <w:rPr>
          <w:rFonts w:hint="eastAsia"/>
          <w:highlight w:val="none"/>
        </w:rPr>
      </w:pPr>
      <w:r>
        <w:rPr>
          <w:rFonts w:hint="eastAsia"/>
          <w:highlight w:val="none"/>
        </w:rPr>
        <w:t>②现场无法解决的技术问题，转由技术支持团队协助解决，负责与技术支持团队进行现场情况的沟通汇报及协调。</w:t>
      </w:r>
    </w:p>
    <w:p w14:paraId="44F6DD66">
      <w:pPr>
        <w:ind w:firstLine="480"/>
        <w:rPr>
          <w:rFonts w:hint="eastAsia"/>
          <w:highlight w:val="none"/>
        </w:rPr>
      </w:pPr>
      <w:r>
        <w:rPr>
          <w:rFonts w:hint="eastAsia"/>
          <w:highlight w:val="none"/>
        </w:rPr>
        <w:t>（4）其它服务。驻场人员除完成上述运维保障服务外，按要求完成与网站相关的其他工作：页面美工制作或沟通协调；联系相关厂商技术人员及时响应对应的技术问题；网站应用业务答疑或培训等。</w:t>
      </w:r>
    </w:p>
    <w:p w14:paraId="4D987795">
      <w:pPr>
        <w:pStyle w:val="6"/>
        <w:rPr>
          <w:rFonts w:hint="eastAsia"/>
          <w:highlight w:val="none"/>
        </w:rPr>
      </w:pPr>
      <w:r>
        <w:rPr>
          <w:rFonts w:hint="eastAsia"/>
          <w:highlight w:val="none"/>
        </w:rPr>
        <w:t>域名及SSL证书采购</w:t>
      </w:r>
    </w:p>
    <w:p w14:paraId="6D306DB0">
      <w:pPr>
        <w:pStyle w:val="7"/>
        <w:rPr>
          <w:rFonts w:hint="eastAsia"/>
          <w:highlight w:val="none"/>
        </w:rPr>
      </w:pPr>
      <w:r>
        <w:rPr>
          <w:rFonts w:hint="eastAsia"/>
          <w:highlight w:val="none"/>
        </w:rPr>
        <w:t>网站域名及DNS服务</w:t>
      </w:r>
    </w:p>
    <w:p w14:paraId="75ECDB9D">
      <w:pPr>
        <w:ind w:firstLine="480"/>
        <w:rPr>
          <w:rFonts w:hint="eastAsia"/>
          <w:highlight w:val="none"/>
        </w:rPr>
      </w:pPr>
      <w:r>
        <w:rPr>
          <w:rFonts w:hint="eastAsia"/>
          <w:highlight w:val="none"/>
        </w:rPr>
        <w:t>提供网站域名注册及DNS服务器</w:t>
      </w:r>
      <w:r>
        <w:rPr>
          <w:rFonts w:hint="eastAsia"/>
          <w:highlight w:val="none"/>
          <w:lang w:eastAsia="zh-CN"/>
        </w:rPr>
        <w:t>（</w:t>
      </w:r>
      <w:r>
        <w:rPr>
          <w:rFonts w:hint="eastAsia"/>
          <w:highlight w:val="none"/>
          <w:lang w:val="en-US" w:eastAsia="zh-CN"/>
        </w:rPr>
        <w:t>NS服务器）</w:t>
      </w:r>
      <w:r>
        <w:rPr>
          <w:rFonts w:hint="eastAsia"/>
          <w:highlight w:val="none"/>
        </w:rPr>
        <w:t>注册服务，服务期限3年：</w:t>
      </w:r>
    </w:p>
    <w:p w14:paraId="1AB21EC8">
      <w:pPr>
        <w:ind w:firstLine="480"/>
        <w:rPr>
          <w:rFonts w:hint="eastAsia"/>
          <w:highlight w:val="none"/>
        </w:rPr>
      </w:pPr>
      <w:r>
        <w:rPr>
          <w:rFonts w:hint="eastAsia"/>
          <w:highlight w:val="none"/>
        </w:rPr>
        <w:t>（1）域名注册服务包括shantou.gov.cn和st.gov.cn；</w:t>
      </w:r>
    </w:p>
    <w:p w14:paraId="3E53A52A">
      <w:pPr>
        <w:ind w:firstLine="480"/>
        <w:rPr>
          <w:rFonts w:hint="eastAsia"/>
          <w:highlight w:val="none"/>
        </w:rPr>
      </w:pPr>
      <w:r>
        <w:rPr>
          <w:rFonts w:hint="eastAsia"/>
          <w:highlight w:val="none"/>
        </w:rPr>
        <w:t>（2）授权注册服务的地址支持IPv4/IPv6，配套提供安全技术防护服务，防止域名因DNS劫持造成的ns服务器IP地址被篡改，造成域名网站无法正常访问或被恶意指向到非法网站。</w:t>
      </w:r>
    </w:p>
    <w:p w14:paraId="29F4132D">
      <w:pPr>
        <w:pStyle w:val="7"/>
        <w:rPr>
          <w:rFonts w:hint="eastAsia"/>
          <w:highlight w:val="none"/>
        </w:rPr>
      </w:pPr>
      <w:r>
        <w:rPr>
          <w:rFonts w:hint="eastAsia"/>
          <w:highlight w:val="none"/>
        </w:rPr>
        <w:t>SSL证书</w:t>
      </w:r>
    </w:p>
    <w:p w14:paraId="139073CD">
      <w:pPr>
        <w:ind w:firstLine="480"/>
        <w:rPr>
          <w:rFonts w:hint="eastAsia"/>
          <w:highlight w:val="none"/>
        </w:rPr>
      </w:pPr>
      <w:r>
        <w:rPr>
          <w:rFonts w:hint="eastAsia"/>
          <w:highlight w:val="none"/>
        </w:rPr>
        <w:t>（1）SSL类型：选择OV通配符SSL证书。（保护一个域名以及该域名所有下一级域名）；</w:t>
      </w:r>
    </w:p>
    <w:p w14:paraId="27B739C5">
      <w:pPr>
        <w:ind w:firstLine="480"/>
        <w:rPr>
          <w:rFonts w:hint="eastAsia"/>
          <w:highlight w:val="none"/>
        </w:rPr>
      </w:pPr>
      <w:r>
        <w:rPr>
          <w:rFonts w:hint="eastAsia"/>
          <w:highlight w:val="none"/>
        </w:rPr>
        <w:t>（2）证书有效期3年；</w:t>
      </w:r>
    </w:p>
    <w:p w14:paraId="3B2FFA2E">
      <w:pPr>
        <w:ind w:firstLine="480"/>
        <w:rPr>
          <w:rFonts w:hint="eastAsia"/>
          <w:highlight w:val="none"/>
        </w:rPr>
      </w:pPr>
      <w:r>
        <w:rPr>
          <w:rFonts w:hint="eastAsia"/>
          <w:highlight w:val="none"/>
        </w:rPr>
        <w:t>（3）免费提供3年技术支持（7*24服务）。</w:t>
      </w:r>
    </w:p>
    <w:p w14:paraId="3A9D98B8">
      <w:pPr>
        <w:pStyle w:val="5"/>
        <w:rPr>
          <w:rFonts w:hint="eastAsia"/>
          <w:highlight w:val="none"/>
        </w:rPr>
      </w:pPr>
      <w:bookmarkStart w:id="124" w:name="_Toc2103"/>
      <w:bookmarkStart w:id="125" w:name="_Toc233795181"/>
      <w:bookmarkStart w:id="126" w:name="_Toc15157"/>
      <w:bookmarkStart w:id="127" w:name="_Toc22426"/>
      <w:bookmarkStart w:id="128" w:name="_Toc2959"/>
      <w:r>
        <w:rPr>
          <w:rFonts w:hint="eastAsia"/>
          <w:highlight w:val="none"/>
        </w:rPr>
        <w:t>服务要求</w:t>
      </w:r>
      <w:bookmarkEnd w:id="124"/>
      <w:bookmarkEnd w:id="125"/>
      <w:bookmarkEnd w:id="126"/>
      <w:bookmarkEnd w:id="127"/>
      <w:bookmarkEnd w:id="128"/>
    </w:p>
    <w:p w14:paraId="4AF894CC">
      <w:pPr>
        <w:pStyle w:val="6"/>
        <w:rPr>
          <w:rFonts w:hint="eastAsia"/>
          <w:highlight w:val="none"/>
        </w:rPr>
      </w:pPr>
      <w:r>
        <w:rPr>
          <w:rFonts w:hint="eastAsia"/>
          <w:highlight w:val="none"/>
        </w:rPr>
        <w:t>总体要求</w:t>
      </w:r>
    </w:p>
    <w:p w14:paraId="3D713AAA">
      <w:pPr>
        <w:pStyle w:val="7"/>
        <w:rPr>
          <w:rFonts w:hint="eastAsia"/>
          <w:highlight w:val="none"/>
        </w:rPr>
      </w:pPr>
      <w:r>
        <w:rPr>
          <w:rFonts w:hint="eastAsia"/>
          <w:highlight w:val="none"/>
        </w:rPr>
        <w:t>指标要求</w:t>
      </w:r>
    </w:p>
    <w:p w14:paraId="3BE45C75">
      <w:pPr>
        <w:pStyle w:val="32"/>
        <w:numPr>
          <w:ilvl w:val="0"/>
          <w:numId w:val="8"/>
        </w:numPr>
        <w:ind w:firstLineChars="0"/>
        <w:rPr>
          <w:rFonts w:hint="eastAsia"/>
          <w:highlight w:val="none"/>
        </w:rPr>
      </w:pPr>
      <w:r>
        <w:rPr>
          <w:highlight w:val="none"/>
        </w:rPr>
        <w:t>系统正常运行率（％）≥9</w:t>
      </w:r>
      <w:r>
        <w:rPr>
          <w:rFonts w:hint="eastAsia"/>
          <w:highlight w:val="none"/>
        </w:rPr>
        <w:t>9</w:t>
      </w:r>
      <w:r>
        <w:rPr>
          <w:highlight w:val="none"/>
        </w:rPr>
        <w:t>%</w:t>
      </w:r>
    </w:p>
    <w:p w14:paraId="42BBC008">
      <w:pPr>
        <w:pStyle w:val="32"/>
        <w:numPr>
          <w:ilvl w:val="0"/>
          <w:numId w:val="8"/>
        </w:numPr>
        <w:ind w:firstLineChars="0"/>
        <w:rPr>
          <w:rFonts w:hint="eastAsia"/>
          <w:highlight w:val="none"/>
        </w:rPr>
      </w:pPr>
      <w:r>
        <w:rPr>
          <w:highlight w:val="none"/>
        </w:rPr>
        <w:t>系统核心功能故障解决率（％）100%</w:t>
      </w:r>
    </w:p>
    <w:p w14:paraId="37C2D058">
      <w:pPr>
        <w:pStyle w:val="32"/>
        <w:numPr>
          <w:ilvl w:val="0"/>
          <w:numId w:val="8"/>
        </w:numPr>
        <w:ind w:firstLineChars="0"/>
        <w:rPr>
          <w:rFonts w:hint="eastAsia"/>
          <w:highlight w:val="none"/>
        </w:rPr>
      </w:pPr>
      <w:r>
        <w:rPr>
          <w:highlight w:val="none"/>
        </w:rPr>
        <w:t>系统故障修复平均响应时间（分钟）≤60</w:t>
      </w:r>
    </w:p>
    <w:p w14:paraId="47BF86DA">
      <w:pPr>
        <w:pStyle w:val="32"/>
        <w:numPr>
          <w:ilvl w:val="0"/>
          <w:numId w:val="8"/>
        </w:numPr>
        <w:ind w:firstLineChars="0"/>
        <w:rPr>
          <w:rFonts w:hint="eastAsia"/>
          <w:highlight w:val="none"/>
        </w:rPr>
      </w:pPr>
      <w:r>
        <w:rPr>
          <w:highlight w:val="none"/>
        </w:rPr>
        <w:t>系统运行维护平均响应时间（分钟）≤60</w:t>
      </w:r>
    </w:p>
    <w:p w14:paraId="19A52C98">
      <w:pPr>
        <w:pStyle w:val="32"/>
        <w:numPr>
          <w:ilvl w:val="0"/>
          <w:numId w:val="8"/>
        </w:numPr>
        <w:ind w:firstLineChars="0"/>
        <w:rPr>
          <w:rFonts w:hint="eastAsia"/>
          <w:highlight w:val="none"/>
        </w:rPr>
      </w:pPr>
      <w:r>
        <w:rPr>
          <w:highlight w:val="none"/>
        </w:rPr>
        <w:t>系统本地故障平均处理时间（小时）≤4</w:t>
      </w:r>
    </w:p>
    <w:p w14:paraId="70AC7D10">
      <w:pPr>
        <w:pStyle w:val="7"/>
        <w:rPr>
          <w:rFonts w:hint="eastAsia"/>
          <w:highlight w:val="none"/>
        </w:rPr>
      </w:pPr>
      <w:r>
        <w:rPr>
          <w:rFonts w:hint="eastAsia"/>
          <w:highlight w:val="none"/>
        </w:rPr>
        <w:t>人员要求</w:t>
      </w:r>
    </w:p>
    <w:p w14:paraId="2446B158">
      <w:pPr>
        <w:ind w:firstLine="480"/>
        <w:rPr>
          <w:rFonts w:hint="eastAsia"/>
          <w:highlight w:val="none"/>
        </w:rPr>
      </w:pPr>
      <w:r>
        <w:rPr>
          <w:highlight w:val="none"/>
        </w:rPr>
        <w:t>提供不少于2名技术人员驻场运维保障服务，协助采购人进行日常运行维护工作。投标人提供的技术人员需具备与服务内容相应的工作能力，具备较好的政治素质，能遵守采购人单位相关信息保密规定，遵纪守法，能胜任本系统运维工作。</w:t>
      </w:r>
    </w:p>
    <w:p w14:paraId="470E516A">
      <w:pPr>
        <w:pStyle w:val="6"/>
        <w:rPr>
          <w:rFonts w:hint="eastAsia"/>
          <w:highlight w:val="none"/>
        </w:rPr>
      </w:pPr>
      <w:r>
        <w:rPr>
          <w:highlight w:val="none"/>
        </w:rPr>
        <w:t>省政府网站集约化平台汕头分平台运维</w:t>
      </w:r>
      <w:r>
        <w:rPr>
          <w:rFonts w:hint="eastAsia"/>
          <w:highlight w:val="none"/>
        </w:rPr>
        <w:t>要求</w:t>
      </w:r>
    </w:p>
    <w:p w14:paraId="0B561E30">
      <w:pPr>
        <w:ind w:firstLine="480"/>
        <w:rPr>
          <w:rFonts w:hint="eastAsia"/>
          <w:highlight w:val="none"/>
        </w:rPr>
      </w:pPr>
      <w:r>
        <w:rPr>
          <w:rFonts w:hint="eastAsia"/>
          <w:highlight w:val="none"/>
        </w:rPr>
        <w:t>投标人应建立规范的运维服务机制，保障省政府网站集约化平台汕头分平台持续稳定运行。对平台运行异常、访问故障、应用故障、安全风险等问题，应及时发现、响应、处置和反馈，保障平台核心应用和配套应用正常可用。</w:t>
      </w:r>
    </w:p>
    <w:p w14:paraId="01D0C047">
      <w:pPr>
        <w:ind w:firstLine="480"/>
        <w:rPr>
          <w:rFonts w:hint="eastAsia"/>
          <w:highlight w:val="none"/>
        </w:rPr>
      </w:pPr>
      <w:r>
        <w:rPr>
          <w:rFonts w:hint="eastAsia"/>
          <w:highlight w:val="none"/>
        </w:rPr>
        <w:t>投标人应具备平台运行维护、故障处理、安全整改、性能优化、数据备份恢复配合及应急保障能力。相关巡检、故障处置、安全整改、性能评估、应急演练和技术咨询等服务过程应有记录、有反馈、有结果，确保问题处理闭环可追溯。</w:t>
      </w:r>
    </w:p>
    <w:p w14:paraId="406D170B">
      <w:pPr>
        <w:pStyle w:val="6"/>
        <w:rPr>
          <w:rFonts w:hint="eastAsia"/>
          <w:highlight w:val="none"/>
        </w:rPr>
      </w:pPr>
      <w:r>
        <w:rPr>
          <w:highlight w:val="none"/>
        </w:rPr>
        <w:t>党群网站集约化平台运维</w:t>
      </w:r>
      <w:r>
        <w:rPr>
          <w:rFonts w:hint="eastAsia"/>
          <w:highlight w:val="none"/>
        </w:rPr>
        <w:t>要求</w:t>
      </w:r>
    </w:p>
    <w:p w14:paraId="3419E421">
      <w:pPr>
        <w:ind w:firstLine="480"/>
        <w:rPr>
          <w:rFonts w:hint="eastAsia"/>
          <w:highlight w:val="none"/>
        </w:rPr>
      </w:pPr>
      <w:r>
        <w:rPr>
          <w:highlight w:val="none"/>
        </w:rPr>
        <w:t>投标人应建立规范的运维服务机制，保障持续稳定运行。对平台运行异常、访问故障、应用故障、安全风险等问题，应及时发现、响应、处置和反馈，保障平台核心应用和配套应用正常可用。</w:t>
      </w:r>
    </w:p>
    <w:p w14:paraId="60519C61">
      <w:pPr>
        <w:ind w:firstLine="480"/>
        <w:rPr>
          <w:rFonts w:hint="eastAsia"/>
          <w:highlight w:val="none"/>
        </w:rPr>
      </w:pPr>
      <w:r>
        <w:rPr>
          <w:highlight w:val="none"/>
        </w:rPr>
        <w:t>投标人应具备平台运行维护、故障处理、安全整改、性能优化、数据备份恢复配合及应急保障能力。相关巡检、故障处置、安全整改、性能评估、应急演练和技术咨询等服务过程应有记录、有反馈、有结果，确保问题处理闭环可追溯。</w:t>
      </w:r>
    </w:p>
    <w:p w14:paraId="35E91FA3">
      <w:pPr>
        <w:pStyle w:val="6"/>
        <w:rPr>
          <w:rFonts w:hint="eastAsia"/>
          <w:highlight w:val="none"/>
        </w:rPr>
      </w:pPr>
      <w:r>
        <w:rPr>
          <w:highlight w:val="none"/>
        </w:rPr>
        <w:t>网站运维服务</w:t>
      </w:r>
      <w:r>
        <w:rPr>
          <w:rFonts w:hint="eastAsia"/>
          <w:highlight w:val="none"/>
        </w:rPr>
        <w:t>要求</w:t>
      </w:r>
    </w:p>
    <w:p w14:paraId="4B6F875B">
      <w:pPr>
        <w:ind w:firstLine="480"/>
        <w:rPr>
          <w:rFonts w:hint="eastAsia"/>
          <w:highlight w:val="none"/>
        </w:rPr>
      </w:pPr>
      <w:r>
        <w:rPr>
          <w:highlight w:val="none"/>
        </w:rPr>
        <w:t>投标人应保障市政府门户网站、政府部门频道及党群网站页面正常访问、规范展示和稳定运行。网站页面、栏目、链接、附件、图片及常用功能入口应保持可访问、可识别、可使用，避免因页面异常影响公众访问体验。</w:t>
      </w:r>
    </w:p>
    <w:p w14:paraId="10A8916B">
      <w:pPr>
        <w:ind w:firstLine="480"/>
        <w:rPr>
          <w:rFonts w:hint="eastAsia"/>
          <w:highlight w:val="none"/>
        </w:rPr>
      </w:pPr>
      <w:r>
        <w:rPr>
          <w:highlight w:val="none"/>
        </w:rPr>
        <w:t>投标人应根据采购人网站管理需要，及时响应页面版式调整、栏目维护、图文素材更新、专题专栏维护、错链死链整改、页面展示异常处理等需求。对日常发现或采购人反馈的问题，应做好记录、处理、复核和反馈，确保网站运维服务过程清晰、结果可查。</w:t>
      </w:r>
    </w:p>
    <w:p w14:paraId="2DDF63CE">
      <w:pPr>
        <w:pStyle w:val="6"/>
        <w:rPr>
          <w:rFonts w:hint="eastAsia"/>
          <w:highlight w:val="none"/>
        </w:rPr>
      </w:pPr>
      <w:r>
        <w:rPr>
          <w:rFonts w:hint="eastAsia"/>
          <w:highlight w:val="none"/>
        </w:rPr>
        <w:t>域名及SSL证书采购要求</w:t>
      </w:r>
    </w:p>
    <w:p w14:paraId="6E049692">
      <w:pPr>
        <w:ind w:firstLine="480"/>
        <w:rPr>
          <w:rFonts w:hint="eastAsia"/>
          <w:highlight w:val="none"/>
        </w:rPr>
      </w:pPr>
      <w:r>
        <w:rPr>
          <w:highlight w:val="none"/>
        </w:rPr>
        <w:t>★中标人须承诺为本项目涉及的网站域名及SSL证书提供不少于3年的注册、证书有效期及配套技术支持服务。服务内容包括域名注册及权威DNS服务、OV通配符SSL证书服务、证书有效期内的安装配置协助、异常排查、续期提醒、证书状态检查及7×24小时技术支持等，确保服务期内相关域名解析正常、证书有效、访问安全稳定。（投标时提供承诺函，可参照“投标文件格式”中《承诺函》格式）</w:t>
      </w:r>
    </w:p>
    <w:p w14:paraId="41115CD8">
      <w:pPr>
        <w:pStyle w:val="6"/>
        <w:rPr>
          <w:rFonts w:hint="eastAsia"/>
          <w:highlight w:val="none"/>
        </w:rPr>
      </w:pPr>
      <w:r>
        <w:rPr>
          <w:rFonts w:hint="eastAsia"/>
          <w:highlight w:val="none"/>
        </w:rPr>
        <w:t>运维工具要求</w:t>
      </w:r>
    </w:p>
    <w:p w14:paraId="5223A368">
      <w:pPr>
        <w:ind w:firstLine="480"/>
        <w:rPr>
          <w:rFonts w:hint="eastAsia"/>
          <w:highlight w:val="none"/>
        </w:rPr>
      </w:pPr>
      <w:r>
        <w:rPr>
          <w:highlight w:val="none"/>
        </w:rPr>
        <w:t>提供一体化运维监测工具，具备主机资源自动采集能力，可实时监测服务器CPU、内存、磁盘、网络等运行指标；支持长期保存性能时序数据，自动生成资源运行趋势曲线。可自定义异常阈值，当出现资源超负荷、存储空间不足、服务端口失联等问题时自动触发告警，实现全天候在线监测，便于运维人员快速排查故障，保障业务系统持续稳定运行。</w:t>
      </w:r>
    </w:p>
    <w:p w14:paraId="3C40BDEC">
      <w:pPr>
        <w:pStyle w:val="4"/>
        <w:spacing w:after="156"/>
        <w:rPr>
          <w:rFonts w:hint="eastAsia"/>
          <w:highlight w:val="none"/>
        </w:rPr>
      </w:pPr>
      <w:bookmarkStart w:id="129" w:name="_Toc11194"/>
      <w:bookmarkStart w:id="130" w:name="_Toc6581"/>
      <w:bookmarkStart w:id="131" w:name="_Toc31323"/>
      <w:bookmarkStart w:id="132" w:name="_Toc233795182"/>
      <w:bookmarkStart w:id="133" w:name="_Toc22526"/>
      <w:r>
        <w:rPr>
          <w:rFonts w:hint="eastAsia"/>
          <w:highlight w:val="none"/>
        </w:rPr>
        <w:t>适老化无障碍维护服务</w:t>
      </w:r>
      <w:bookmarkEnd w:id="129"/>
      <w:bookmarkEnd w:id="130"/>
      <w:bookmarkEnd w:id="131"/>
      <w:bookmarkEnd w:id="132"/>
      <w:bookmarkEnd w:id="133"/>
    </w:p>
    <w:p w14:paraId="1AC2EB37">
      <w:pPr>
        <w:pStyle w:val="5"/>
        <w:rPr>
          <w:rFonts w:hint="eastAsia"/>
          <w:highlight w:val="none"/>
        </w:rPr>
      </w:pPr>
      <w:bookmarkStart w:id="134" w:name="_Toc20300"/>
      <w:bookmarkStart w:id="135" w:name="_Toc11884"/>
      <w:bookmarkStart w:id="136" w:name="_Toc31013"/>
      <w:bookmarkStart w:id="137" w:name="_Toc233795183"/>
      <w:bookmarkStart w:id="138" w:name="_Toc22186"/>
      <w:r>
        <w:rPr>
          <w:rFonts w:hint="eastAsia"/>
          <w:highlight w:val="none"/>
        </w:rPr>
        <w:t>服务内容</w:t>
      </w:r>
      <w:bookmarkEnd w:id="134"/>
      <w:bookmarkEnd w:id="135"/>
      <w:bookmarkEnd w:id="136"/>
      <w:bookmarkEnd w:id="137"/>
      <w:bookmarkEnd w:id="138"/>
    </w:p>
    <w:p w14:paraId="42C666B6">
      <w:pPr>
        <w:pStyle w:val="6"/>
        <w:rPr>
          <w:rFonts w:hint="eastAsia"/>
          <w:highlight w:val="none"/>
        </w:rPr>
      </w:pPr>
      <w:r>
        <w:rPr>
          <w:rFonts w:hint="eastAsia"/>
          <w:highlight w:val="none"/>
        </w:rPr>
        <w:t>适老化无障碍维护服务</w:t>
      </w:r>
    </w:p>
    <w:p w14:paraId="505F23C4">
      <w:pPr>
        <w:pStyle w:val="7"/>
        <w:rPr>
          <w:rFonts w:hint="eastAsia"/>
          <w:highlight w:val="none"/>
        </w:rPr>
      </w:pPr>
      <w:r>
        <w:rPr>
          <w:rFonts w:hint="eastAsia"/>
          <w:highlight w:val="none"/>
        </w:rPr>
        <w:t>市级政府网站适老化及无障碍运维服务</w:t>
      </w:r>
    </w:p>
    <w:p w14:paraId="6CEBF343">
      <w:pPr>
        <w:ind w:firstLine="480"/>
        <w:rPr>
          <w:rFonts w:hint="eastAsia"/>
          <w:highlight w:val="none"/>
        </w:rPr>
      </w:pPr>
      <w:r>
        <w:rPr>
          <w:rFonts w:hint="eastAsia"/>
          <w:highlight w:val="none"/>
        </w:rPr>
        <w:t>（1）日常巡检</w:t>
      </w:r>
    </w:p>
    <w:p w14:paraId="32E0421C">
      <w:pPr>
        <w:ind w:firstLine="480"/>
        <w:rPr>
          <w:rFonts w:hint="eastAsia"/>
          <w:highlight w:val="none"/>
        </w:rPr>
      </w:pPr>
      <w:r>
        <w:rPr>
          <w:highlight w:val="none"/>
        </w:rPr>
        <w:t>对市政府门户网站及40个部门频道的适老化及无障碍应用功能开展常态化巡检，确保读屏软件等各项辅助工具的正常使用。对巡检过程中的问题进行详细记录备案，每季度编制并提交运维报告，对紧急问题和重大事件即时上报并快速处置。</w:t>
      </w:r>
    </w:p>
    <w:p w14:paraId="6054EDE2">
      <w:pPr>
        <w:ind w:firstLine="480"/>
        <w:rPr>
          <w:rFonts w:hint="eastAsia"/>
          <w:highlight w:val="none"/>
        </w:rPr>
      </w:pPr>
      <w:r>
        <w:rPr>
          <w:rFonts w:hint="eastAsia"/>
          <w:highlight w:val="none"/>
        </w:rPr>
        <w:t>巡检站点如下（具体清单以采购人确认的实际清单为准。服务期内如因网站整合、账号新增或注销、栏目调整、平台迁移、机构改革等原因导致服务对象变化，具体数量根据项目实际开展情况进行调整）：</w:t>
      </w:r>
    </w:p>
    <w:tbl>
      <w:tblPr>
        <w:tblStyle w:val="33"/>
        <w:tblW w:w="5000" w:type="pct"/>
        <w:tblInd w:w="0" w:type="dxa"/>
        <w:tblLayout w:type="fixed"/>
        <w:tblCellMar>
          <w:top w:w="0" w:type="dxa"/>
          <w:left w:w="108" w:type="dxa"/>
          <w:bottom w:w="0" w:type="dxa"/>
          <w:right w:w="108" w:type="dxa"/>
        </w:tblCellMar>
      </w:tblPr>
      <w:tblGrid>
        <w:gridCol w:w="1358"/>
        <w:gridCol w:w="6948"/>
      </w:tblGrid>
      <w:tr w14:paraId="21B2D1B8">
        <w:tblPrEx>
          <w:tblCellMar>
            <w:top w:w="0" w:type="dxa"/>
            <w:left w:w="108" w:type="dxa"/>
            <w:bottom w:w="0" w:type="dxa"/>
            <w:right w:w="108" w:type="dxa"/>
          </w:tblCellMar>
        </w:tblPrEx>
        <w:trPr>
          <w:trHeight w:val="407" w:hRule="atLeast"/>
          <w:tblHeader/>
        </w:trPr>
        <w:tc>
          <w:tcPr>
            <w:tcW w:w="817"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57E84F3A">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序号</w:t>
            </w:r>
          </w:p>
        </w:tc>
        <w:tc>
          <w:tcPr>
            <w:tcW w:w="4182"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06345BCF">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单位名称</w:t>
            </w:r>
          </w:p>
        </w:tc>
      </w:tr>
      <w:tr w14:paraId="14334527">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424383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w:t>
            </w:r>
          </w:p>
        </w:tc>
        <w:tc>
          <w:tcPr>
            <w:tcW w:w="4182" w:type="pct"/>
            <w:tcBorders>
              <w:top w:val="single" w:color="000000" w:sz="4" w:space="0"/>
              <w:left w:val="single" w:color="000000" w:sz="4" w:space="0"/>
              <w:bottom w:val="single" w:color="000000" w:sz="4" w:space="0"/>
              <w:right w:val="single" w:color="000000" w:sz="4" w:space="0"/>
            </w:tcBorders>
            <w:noWrap/>
            <w:vAlign w:val="center"/>
          </w:tcPr>
          <w:p w14:paraId="5C8C7A0E">
            <w:pPr>
              <w:widowControl/>
              <w:spacing w:line="240" w:lineRule="auto"/>
              <w:ind w:firstLine="0" w:firstLineChars="0"/>
              <w:jc w:val="left"/>
              <w:rPr>
                <w:rFonts w:hint="eastAsia" w:cs="宋体"/>
                <w:color w:val="000000"/>
                <w:kern w:val="0"/>
                <w:szCs w:val="24"/>
                <w:highlight w:val="none"/>
              </w:rPr>
            </w:pPr>
            <w:r>
              <w:rPr>
                <w:rFonts w:cs="宋体"/>
                <w:color w:val="000000"/>
                <w:kern w:val="0"/>
                <w:szCs w:val="24"/>
                <w:highlight w:val="none"/>
              </w:rPr>
              <w:t>汕头市人民政府门户网站</w:t>
            </w:r>
          </w:p>
        </w:tc>
      </w:tr>
      <w:tr w14:paraId="3E42ACD6">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DF0A96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EE1A0">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cs="宋体"/>
                <w:color w:val="000000"/>
                <w:kern w:val="0"/>
                <w:szCs w:val="24"/>
                <w:highlight w:val="none"/>
              </w:rPr>
              <w:t>汕头市发展和改革局</w:t>
            </w:r>
          </w:p>
        </w:tc>
      </w:tr>
      <w:tr w14:paraId="693493DA">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EED754C">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99923">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汕头市教育局</w:t>
            </w:r>
          </w:p>
        </w:tc>
      </w:tr>
      <w:tr w14:paraId="549619D3">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118FE9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4</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C6DE">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汕头市科学技术局</w:t>
            </w:r>
          </w:p>
        </w:tc>
      </w:tr>
      <w:tr w14:paraId="28F3E623">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D69921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5</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5448E">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cs="宋体"/>
                <w:color w:val="000000"/>
                <w:kern w:val="0"/>
                <w:szCs w:val="24"/>
                <w:highlight w:val="none"/>
              </w:rPr>
              <w:t>汕头市工业和信息化局</w:t>
            </w:r>
          </w:p>
        </w:tc>
      </w:tr>
      <w:tr w14:paraId="628B3FBA">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FD08B9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6</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795D0">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汕头市公安局</w:t>
            </w:r>
          </w:p>
        </w:tc>
      </w:tr>
      <w:tr w14:paraId="3CD2C20A">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318A37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7</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36DA9">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汕头市民政局</w:t>
            </w:r>
          </w:p>
        </w:tc>
      </w:tr>
      <w:tr w14:paraId="2BEC6F7E">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C6AC4B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8</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9541C">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汕头市司法局</w:t>
            </w:r>
          </w:p>
        </w:tc>
      </w:tr>
      <w:tr w14:paraId="41676BA9">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87E0CE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9</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51AF">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汕头市财政局</w:t>
            </w:r>
          </w:p>
        </w:tc>
      </w:tr>
      <w:tr w14:paraId="3750C58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3799F80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10</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C0E63">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cs="宋体"/>
                <w:color w:val="000000"/>
                <w:kern w:val="0"/>
                <w:szCs w:val="24"/>
                <w:highlight w:val="none"/>
              </w:rPr>
              <w:t>汕头市人力资源和社会保障局</w:t>
            </w:r>
          </w:p>
        </w:tc>
      </w:tr>
      <w:tr w14:paraId="28E2C7D0">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30B5C20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11</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4A0E">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汕头市自然资源局</w:t>
            </w:r>
          </w:p>
        </w:tc>
      </w:tr>
      <w:tr w14:paraId="3320B8BF">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F18506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12</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15118">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汕头市生态环境局</w:t>
            </w:r>
          </w:p>
        </w:tc>
      </w:tr>
      <w:tr w14:paraId="525E80A8">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95C459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13</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77ACB">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cs="宋体"/>
                <w:color w:val="000000"/>
                <w:kern w:val="0"/>
                <w:szCs w:val="24"/>
                <w:highlight w:val="none"/>
              </w:rPr>
              <w:t>汕头市住房和城乡建设局</w:t>
            </w:r>
          </w:p>
        </w:tc>
      </w:tr>
      <w:tr w14:paraId="5FDD837B">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E7A8EB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14</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2BD1C">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汕头市交通运输局</w:t>
            </w:r>
          </w:p>
        </w:tc>
      </w:tr>
      <w:tr w14:paraId="3C5A06A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5009FB3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15</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87981">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汕头市水务局</w:t>
            </w:r>
          </w:p>
        </w:tc>
      </w:tr>
      <w:tr w14:paraId="4D86FF7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4BD343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16</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FBA0">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汕头市农业农村局</w:t>
            </w:r>
          </w:p>
        </w:tc>
      </w:tr>
      <w:tr w14:paraId="3EB388E5">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F02757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17</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CAF3">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汕头市商务局</w:t>
            </w:r>
          </w:p>
        </w:tc>
      </w:tr>
      <w:tr w14:paraId="35EEBB1C">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897910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18</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2CF12">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cs="宋体"/>
                <w:color w:val="000000"/>
                <w:kern w:val="0"/>
                <w:szCs w:val="24"/>
                <w:highlight w:val="none"/>
              </w:rPr>
              <w:t>汕头市文化广电旅游体育局</w:t>
            </w:r>
          </w:p>
        </w:tc>
      </w:tr>
      <w:tr w14:paraId="764FE4EF">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28CE54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19</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4D945">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cs="宋体"/>
                <w:color w:val="000000"/>
                <w:kern w:val="0"/>
                <w:szCs w:val="24"/>
                <w:highlight w:val="none"/>
              </w:rPr>
              <w:t>汕头市卫生健康局</w:t>
            </w:r>
          </w:p>
        </w:tc>
      </w:tr>
      <w:tr w14:paraId="3D6E7FBB">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20E9FD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20</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7784A">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汕头市退役军人事务局</w:t>
            </w:r>
          </w:p>
        </w:tc>
      </w:tr>
      <w:tr w14:paraId="34DBD6E2">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5327026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21</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3D840">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汕头市应急管理局</w:t>
            </w:r>
          </w:p>
        </w:tc>
      </w:tr>
      <w:tr w14:paraId="3D179FED">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0CF687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22</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70780">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汕头市审计局</w:t>
            </w:r>
          </w:p>
        </w:tc>
      </w:tr>
      <w:tr w14:paraId="2188B65E">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E5F2C8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23</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CF4D1">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汕头市人民政府国有资产监督管理委员会</w:t>
            </w:r>
          </w:p>
        </w:tc>
      </w:tr>
      <w:tr w14:paraId="70A835B0">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4C8EFB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24</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128D4">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汕头市市场监督管理局</w:t>
            </w:r>
          </w:p>
        </w:tc>
      </w:tr>
      <w:tr w14:paraId="2DA167CA">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02097B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25</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8841E">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汕头市统计局</w:t>
            </w:r>
          </w:p>
        </w:tc>
      </w:tr>
      <w:tr w14:paraId="357AE780">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417800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26</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78FF8">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cs="宋体"/>
                <w:color w:val="000000"/>
                <w:kern w:val="0"/>
                <w:szCs w:val="24"/>
                <w:highlight w:val="none"/>
              </w:rPr>
              <w:t>汕头市医疗保障局</w:t>
            </w:r>
          </w:p>
        </w:tc>
      </w:tr>
      <w:tr w14:paraId="06133C81">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70FDB2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27</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6AC0D">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cs="宋体"/>
                <w:color w:val="000000"/>
                <w:kern w:val="0"/>
                <w:szCs w:val="24"/>
                <w:highlight w:val="none"/>
              </w:rPr>
              <w:t>汕头市城市管理和综合执法局</w:t>
            </w:r>
          </w:p>
        </w:tc>
      </w:tr>
      <w:tr w14:paraId="00EFB5C5">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2B04C2C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28</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23D89">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汕头市信访局</w:t>
            </w:r>
          </w:p>
        </w:tc>
      </w:tr>
      <w:tr w14:paraId="67B3BAD5">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071D09E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29</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2AE42">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汕头市政务服务和数据管理局</w:t>
            </w:r>
          </w:p>
        </w:tc>
      </w:tr>
      <w:tr w14:paraId="2A479CF4">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5135CF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30</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1C4CD">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汕头市投资促进局</w:t>
            </w:r>
          </w:p>
        </w:tc>
      </w:tr>
      <w:tr w14:paraId="57582388">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85D042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31</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150B">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汕头市生态环境保护综合执法局</w:t>
            </w:r>
          </w:p>
        </w:tc>
      </w:tr>
      <w:tr w14:paraId="73AA5727">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B57FEC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32</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536F6">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汕头市交通运输综合执法局</w:t>
            </w:r>
          </w:p>
        </w:tc>
      </w:tr>
      <w:tr w14:paraId="378172E8">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68DE609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33</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55A5">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汕头市机关事务管理局</w:t>
            </w:r>
          </w:p>
        </w:tc>
      </w:tr>
      <w:tr w14:paraId="5D54EE70">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C22118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34</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88EA4">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汕头仲裁委员会</w:t>
            </w:r>
          </w:p>
        </w:tc>
      </w:tr>
      <w:tr w14:paraId="4D3B2BEA">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1E4C15C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35</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B697F">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汕头市地震局</w:t>
            </w:r>
          </w:p>
        </w:tc>
      </w:tr>
      <w:tr w14:paraId="47CC2299">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21096B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36</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38544">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汕头市供销合作总社</w:t>
            </w:r>
          </w:p>
        </w:tc>
      </w:tr>
      <w:tr w14:paraId="136A4F94">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D58177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37</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8BA92">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汕头市公路事务中心</w:t>
            </w:r>
          </w:p>
        </w:tc>
      </w:tr>
      <w:tr w14:paraId="237ECB5F">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07BA0C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38</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2EA99">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汕头市社会保险基金管理局</w:t>
            </w:r>
          </w:p>
        </w:tc>
      </w:tr>
      <w:tr w14:paraId="7EC7AFFA">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524CC28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39</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2FD3">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汕头综合保税区管理委员会</w:t>
            </w:r>
          </w:p>
        </w:tc>
      </w:tr>
      <w:tr w14:paraId="5C16D7AD">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4DB7137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40</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89A3">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汕头高新技术产业开发区管理委员会</w:t>
            </w:r>
          </w:p>
        </w:tc>
      </w:tr>
      <w:tr w14:paraId="32EB331D">
        <w:tblPrEx>
          <w:tblCellMar>
            <w:top w:w="0" w:type="dxa"/>
            <w:left w:w="108" w:type="dxa"/>
            <w:bottom w:w="0" w:type="dxa"/>
            <w:right w:w="108" w:type="dxa"/>
          </w:tblCellMar>
        </w:tblPrEx>
        <w:trPr>
          <w:trHeight w:val="280" w:hRule="atLeast"/>
        </w:trPr>
        <w:tc>
          <w:tcPr>
            <w:tcW w:w="817" w:type="pct"/>
            <w:tcBorders>
              <w:top w:val="single" w:color="000000" w:sz="4" w:space="0"/>
              <w:left w:val="single" w:color="000000" w:sz="4" w:space="0"/>
              <w:bottom w:val="single" w:color="000000" w:sz="4" w:space="0"/>
              <w:right w:val="single" w:color="000000" w:sz="4" w:space="0"/>
            </w:tcBorders>
            <w:noWrap/>
            <w:vAlign w:val="center"/>
          </w:tcPr>
          <w:p w14:paraId="7E8B2F1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41</w:t>
            </w:r>
          </w:p>
        </w:tc>
        <w:tc>
          <w:tcPr>
            <w:tcW w:w="4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B752E">
            <w:pPr>
              <w:widowControl/>
              <w:spacing w:line="240" w:lineRule="auto"/>
              <w:ind w:firstLine="0" w:firstLineChars="0"/>
              <w:jc w:val="left"/>
              <w:rPr>
                <w:rFonts w:hint="eastAsia" w:ascii="宋体" w:hAnsi="宋体" w:eastAsia="宋体" w:cs="宋体"/>
                <w:color w:val="000000"/>
                <w:kern w:val="0"/>
                <w:sz w:val="24"/>
                <w:szCs w:val="24"/>
                <w:highlight w:val="none"/>
                <w:lang w:val="en-US" w:eastAsia="zh-CN" w:bidi="ar-SA"/>
              </w:rPr>
            </w:pPr>
            <w:r>
              <w:rPr>
                <w:rFonts w:hint="eastAsia" w:cs="宋体"/>
                <w:color w:val="000000"/>
                <w:kern w:val="0"/>
                <w:szCs w:val="24"/>
                <w:highlight w:val="none"/>
              </w:rPr>
              <w:t>汕头华侨经济文化合作试验区管理委员会</w:t>
            </w:r>
          </w:p>
        </w:tc>
      </w:tr>
    </w:tbl>
    <w:p w14:paraId="3C115148">
      <w:pPr>
        <w:ind w:firstLine="480"/>
        <w:rPr>
          <w:rFonts w:hint="eastAsia"/>
          <w:highlight w:val="none"/>
        </w:rPr>
      </w:pPr>
      <w:r>
        <w:rPr>
          <w:rFonts w:hint="eastAsia"/>
          <w:highlight w:val="none"/>
        </w:rPr>
        <w:t>（2）</w:t>
      </w:r>
      <w:r>
        <w:rPr>
          <w:highlight w:val="none"/>
        </w:rPr>
        <w:t>技术支持与故障处置</w:t>
      </w:r>
    </w:p>
    <w:p w14:paraId="7F680B86">
      <w:pPr>
        <w:ind w:firstLine="480"/>
        <w:rPr>
          <w:rFonts w:hint="eastAsia"/>
          <w:highlight w:val="none"/>
        </w:rPr>
      </w:pPr>
      <w:r>
        <w:rPr>
          <w:highlight w:val="none"/>
        </w:rPr>
        <w:t>为网站提供适老化及无障碍应用功能运维服务和技术支持，及时处理新页面、新栏目、新服务适老化适配问题；对适老化服务组件的故障做到7×24小时响应，配合做好网络安全等级保护测评整改和网信、公安等部门通报问题整改等，确保应用功能安全。</w:t>
      </w:r>
    </w:p>
    <w:p w14:paraId="558F01C0">
      <w:pPr>
        <w:pStyle w:val="5"/>
        <w:rPr>
          <w:rFonts w:hint="eastAsia"/>
          <w:highlight w:val="none"/>
        </w:rPr>
      </w:pPr>
      <w:bookmarkStart w:id="139" w:name="_Toc233795184"/>
      <w:bookmarkStart w:id="140" w:name="_Toc10898"/>
      <w:bookmarkStart w:id="141" w:name="_Toc5966"/>
      <w:bookmarkStart w:id="142" w:name="_Toc12088"/>
      <w:bookmarkStart w:id="143" w:name="_Toc23152"/>
      <w:r>
        <w:rPr>
          <w:rFonts w:hint="eastAsia"/>
          <w:highlight w:val="none"/>
        </w:rPr>
        <w:t>服务要求</w:t>
      </w:r>
      <w:bookmarkEnd w:id="139"/>
      <w:bookmarkEnd w:id="140"/>
      <w:bookmarkEnd w:id="141"/>
      <w:bookmarkEnd w:id="142"/>
      <w:bookmarkEnd w:id="143"/>
    </w:p>
    <w:p w14:paraId="6A42F625">
      <w:pPr>
        <w:pStyle w:val="6"/>
        <w:rPr>
          <w:rFonts w:hint="eastAsia"/>
          <w:highlight w:val="none"/>
        </w:rPr>
      </w:pPr>
      <w:r>
        <w:rPr>
          <w:rFonts w:hint="eastAsia"/>
          <w:highlight w:val="none"/>
        </w:rPr>
        <w:t>总体要求</w:t>
      </w:r>
    </w:p>
    <w:p w14:paraId="25E9C9A7">
      <w:pPr>
        <w:pStyle w:val="7"/>
        <w:rPr>
          <w:rFonts w:hint="eastAsia"/>
          <w:highlight w:val="none"/>
        </w:rPr>
      </w:pPr>
      <w:r>
        <w:rPr>
          <w:rFonts w:hint="eastAsia"/>
          <w:highlight w:val="none"/>
        </w:rPr>
        <w:t>指标要求</w:t>
      </w:r>
    </w:p>
    <w:p w14:paraId="14E9C7D7">
      <w:pPr>
        <w:pStyle w:val="108"/>
        <w:numPr>
          <w:ilvl w:val="0"/>
          <w:numId w:val="9"/>
        </w:numPr>
        <w:ind w:firstLineChars="0"/>
        <w:rPr>
          <w:rFonts w:hint="eastAsia"/>
          <w:highlight w:val="none"/>
        </w:rPr>
      </w:pPr>
      <w:r>
        <w:rPr>
          <w:highlight w:val="none"/>
        </w:rPr>
        <w:t>系统正常运行率（％）≥9</w:t>
      </w:r>
      <w:r>
        <w:rPr>
          <w:rFonts w:hint="eastAsia"/>
          <w:highlight w:val="none"/>
        </w:rPr>
        <w:t>9</w:t>
      </w:r>
      <w:r>
        <w:rPr>
          <w:highlight w:val="none"/>
        </w:rPr>
        <w:t>%</w:t>
      </w:r>
    </w:p>
    <w:p w14:paraId="67A4311C">
      <w:pPr>
        <w:pStyle w:val="108"/>
        <w:numPr>
          <w:ilvl w:val="0"/>
          <w:numId w:val="9"/>
        </w:numPr>
        <w:ind w:firstLineChars="0"/>
        <w:rPr>
          <w:rFonts w:hint="eastAsia"/>
          <w:highlight w:val="none"/>
        </w:rPr>
      </w:pPr>
      <w:r>
        <w:rPr>
          <w:highlight w:val="none"/>
        </w:rPr>
        <w:t>系统核心功能故障解决率（％）100%</w:t>
      </w:r>
    </w:p>
    <w:p w14:paraId="20FCED3E">
      <w:pPr>
        <w:pStyle w:val="108"/>
        <w:numPr>
          <w:ilvl w:val="0"/>
          <w:numId w:val="9"/>
        </w:numPr>
        <w:ind w:firstLineChars="0"/>
        <w:rPr>
          <w:rFonts w:hint="eastAsia"/>
          <w:highlight w:val="none"/>
        </w:rPr>
      </w:pPr>
      <w:r>
        <w:rPr>
          <w:highlight w:val="none"/>
        </w:rPr>
        <w:t>系统故障修复平均响应时间（分钟）≤60</w:t>
      </w:r>
    </w:p>
    <w:p w14:paraId="222636D9">
      <w:pPr>
        <w:pStyle w:val="108"/>
        <w:numPr>
          <w:ilvl w:val="0"/>
          <w:numId w:val="9"/>
        </w:numPr>
        <w:ind w:firstLineChars="0"/>
        <w:rPr>
          <w:rFonts w:hint="eastAsia"/>
          <w:highlight w:val="none"/>
        </w:rPr>
      </w:pPr>
      <w:r>
        <w:rPr>
          <w:highlight w:val="none"/>
        </w:rPr>
        <w:t>系统运行维护平均响应时间（分钟）≤60</w:t>
      </w:r>
    </w:p>
    <w:p w14:paraId="2F12D5B6">
      <w:pPr>
        <w:pStyle w:val="108"/>
        <w:numPr>
          <w:ilvl w:val="0"/>
          <w:numId w:val="9"/>
        </w:numPr>
        <w:ind w:firstLineChars="0"/>
        <w:rPr>
          <w:rFonts w:hint="eastAsia"/>
          <w:highlight w:val="none"/>
        </w:rPr>
      </w:pPr>
      <w:r>
        <w:rPr>
          <w:highlight w:val="none"/>
        </w:rPr>
        <w:t>系统本地故障平均处理时间（小时）≤4</w:t>
      </w:r>
    </w:p>
    <w:p w14:paraId="009D6769">
      <w:pPr>
        <w:pStyle w:val="6"/>
        <w:rPr>
          <w:rFonts w:hint="eastAsia"/>
          <w:highlight w:val="none"/>
        </w:rPr>
      </w:pPr>
      <w:r>
        <w:rPr>
          <w:highlight w:val="none"/>
        </w:rPr>
        <w:t>适老化无障碍维护服务</w:t>
      </w:r>
      <w:r>
        <w:rPr>
          <w:rFonts w:hint="eastAsia"/>
          <w:highlight w:val="none"/>
        </w:rPr>
        <w:t>要求</w:t>
      </w:r>
    </w:p>
    <w:p w14:paraId="3194D4C7">
      <w:pPr>
        <w:ind w:firstLine="480"/>
        <w:rPr>
          <w:rFonts w:hint="eastAsia"/>
          <w:highlight w:val="none"/>
        </w:rPr>
      </w:pPr>
      <w:r>
        <w:rPr>
          <w:rFonts w:hint="eastAsia"/>
          <w:highlight w:val="none"/>
        </w:rPr>
        <w:t>投标人应围绕本项目服务范围内的网站页面和功能，开展适老化及无障碍日常维护、巡检和问题整改支持，保障相关功能持续可用、页面展示正常、辅助访问体验稳定。</w:t>
      </w:r>
    </w:p>
    <w:p w14:paraId="35B3A186">
      <w:pPr>
        <w:ind w:firstLine="480"/>
        <w:rPr>
          <w:rFonts w:hint="eastAsia"/>
          <w:highlight w:val="none"/>
        </w:rPr>
      </w:pPr>
      <w:r>
        <w:rPr>
          <w:rFonts w:hint="eastAsia"/>
          <w:highlight w:val="none"/>
        </w:rPr>
        <w:t>投标人应重点检查页面结构、文字显示、链接识别、图片替代文本、表单提示、键盘操作、辅助工具兼容等内容。对发现的问题应及时记录、反馈并整改，按要求提交巡检记录、问题处理情况或阶段性运维报告。</w:t>
      </w:r>
    </w:p>
    <w:p w14:paraId="47485EBE">
      <w:pPr>
        <w:pStyle w:val="4"/>
        <w:spacing w:after="156"/>
        <w:rPr>
          <w:rFonts w:hint="eastAsia"/>
          <w:highlight w:val="none"/>
        </w:rPr>
      </w:pPr>
      <w:bookmarkStart w:id="144" w:name="_Toc20466"/>
      <w:bookmarkStart w:id="145" w:name="_Toc233795185"/>
      <w:bookmarkStart w:id="146" w:name="_Toc76"/>
      <w:bookmarkStart w:id="147" w:name="_Toc25886"/>
      <w:bookmarkStart w:id="148" w:name="_Toc3246"/>
      <w:r>
        <w:rPr>
          <w:rFonts w:hint="eastAsia"/>
          <w:highlight w:val="none"/>
        </w:rPr>
        <w:t>网站及新媒体监测服务</w:t>
      </w:r>
      <w:bookmarkEnd w:id="144"/>
      <w:bookmarkEnd w:id="145"/>
      <w:bookmarkEnd w:id="146"/>
      <w:bookmarkEnd w:id="147"/>
      <w:bookmarkEnd w:id="148"/>
    </w:p>
    <w:p w14:paraId="3E678514">
      <w:pPr>
        <w:pStyle w:val="5"/>
        <w:rPr>
          <w:rFonts w:hint="eastAsia"/>
          <w:highlight w:val="none"/>
        </w:rPr>
      </w:pPr>
      <w:bookmarkStart w:id="149" w:name="_Toc233795186"/>
      <w:bookmarkStart w:id="150" w:name="_Toc1148"/>
      <w:bookmarkStart w:id="151" w:name="_Toc8668"/>
      <w:bookmarkStart w:id="152" w:name="_Toc13680"/>
      <w:bookmarkStart w:id="153" w:name="_Toc18035"/>
      <w:r>
        <w:rPr>
          <w:rFonts w:hint="eastAsia"/>
          <w:highlight w:val="none"/>
        </w:rPr>
        <w:t>服务内容</w:t>
      </w:r>
      <w:bookmarkEnd w:id="149"/>
      <w:bookmarkEnd w:id="150"/>
      <w:bookmarkEnd w:id="151"/>
      <w:bookmarkEnd w:id="152"/>
      <w:bookmarkEnd w:id="153"/>
    </w:p>
    <w:p w14:paraId="246912E1">
      <w:pPr>
        <w:pStyle w:val="6"/>
        <w:rPr>
          <w:rFonts w:hint="eastAsia"/>
          <w:highlight w:val="none"/>
        </w:rPr>
      </w:pPr>
      <w:r>
        <w:rPr>
          <w:rFonts w:hint="eastAsia"/>
          <w:highlight w:val="none"/>
        </w:rPr>
        <w:t>政府网站监测服务</w:t>
      </w:r>
    </w:p>
    <w:p w14:paraId="6E060792">
      <w:pPr>
        <w:ind w:firstLine="480"/>
        <w:rPr>
          <w:rFonts w:hint="eastAsia"/>
          <w:highlight w:val="none"/>
        </w:rPr>
      </w:pPr>
      <w:r>
        <w:rPr>
          <w:highlight w:val="none"/>
        </w:rPr>
        <w:t>采用监测平台+人工监测的方式对汕头市政府网站进行常态化监测，通过人工检测对监测范围的网站进行监测检查，同时针对网站自动监测数据进行人工核查，出具人工报告，每月提交《政府网站监测报告》，并为各单位整改提供指导和技术支持，跟进整改情况。现有50个政府网站（含频道），每月需编制提交《政府网站监测报告》50份，全年提交50×12份报告。</w:t>
      </w:r>
    </w:p>
    <w:p w14:paraId="785D50F7">
      <w:pPr>
        <w:pStyle w:val="6"/>
        <w:rPr>
          <w:rFonts w:hint="eastAsia"/>
          <w:highlight w:val="none"/>
        </w:rPr>
      </w:pPr>
      <w:r>
        <w:rPr>
          <w:rFonts w:hint="eastAsia"/>
          <w:highlight w:val="none"/>
        </w:rPr>
        <w:t>政务新媒体监测服务</w:t>
      </w:r>
    </w:p>
    <w:p w14:paraId="2EF80759">
      <w:pPr>
        <w:ind w:firstLine="480"/>
        <w:rPr>
          <w:rFonts w:hint="eastAsia"/>
          <w:highlight w:val="none"/>
        </w:rPr>
      </w:pPr>
      <w:r>
        <w:rPr>
          <w:highlight w:val="none"/>
        </w:rPr>
        <w:t>采用监测平台+人工监测的方式对汕头市政务新媒体进行常态化监测，通过人工检测对监测范围的政务新媒体进行监测检查，同时针对政务新媒体自动监测数据进行人工核查，出具人工报告。并为各单位整改提供指导和技术支持，跟进整改情况。全市110个政务新媒体，每周提交《政务新媒体更新情况监测周报》；每月编制提交《政务新媒体检查报告》，110个政务新媒体每月度需提交110份报告，全年提交110×12份报告。</w:t>
      </w:r>
    </w:p>
    <w:p w14:paraId="7C3E9F4B">
      <w:pPr>
        <w:pStyle w:val="6"/>
        <w:rPr>
          <w:rFonts w:hint="eastAsia"/>
          <w:highlight w:val="none"/>
        </w:rPr>
      </w:pPr>
      <w:r>
        <w:rPr>
          <w:rFonts w:hint="eastAsia"/>
          <w:highlight w:val="none"/>
        </w:rPr>
        <w:t>网站内容安全监测服务</w:t>
      </w:r>
    </w:p>
    <w:p w14:paraId="779AC335">
      <w:pPr>
        <w:ind w:firstLine="480"/>
        <w:rPr>
          <w:rFonts w:hint="eastAsia"/>
          <w:highlight w:val="none"/>
        </w:rPr>
      </w:pPr>
      <w:r>
        <w:rPr>
          <w:highlight w:val="none"/>
        </w:rPr>
        <w:t>提供24小时内容安全扫描服务，对汕头市政府网站及</w:t>
      </w:r>
      <w:r>
        <w:rPr>
          <w:rFonts w:hint="eastAsia"/>
          <w:highlight w:val="none"/>
        </w:rPr>
        <w:t>党群</w:t>
      </w:r>
      <w:r>
        <w:rPr>
          <w:highlight w:val="none"/>
        </w:rPr>
        <w:t>机构网站进行内容安全实时监测，扫描范围包含新增稿件和历史稿件，通过人工检测对监测范围的网站进行监测检查，同时针对网站自动监测数据进行人工核查，出具人工报告，每月提交《网站内容安全监测报告》</w:t>
      </w:r>
      <w:r>
        <w:rPr>
          <w:rFonts w:hint="eastAsia"/>
          <w:highlight w:val="none"/>
        </w:rPr>
        <w:t>，</w:t>
      </w:r>
      <w:r>
        <w:rPr>
          <w:highlight w:val="none"/>
        </w:rPr>
        <w:t>并为各单位整改提供指导和技术支持，跟进整改情况。现有50个政府网站（含频道）和12个</w:t>
      </w:r>
      <w:r>
        <w:rPr>
          <w:rFonts w:hint="eastAsia"/>
          <w:highlight w:val="none"/>
        </w:rPr>
        <w:t>党群</w:t>
      </w:r>
      <w:r>
        <w:rPr>
          <w:highlight w:val="none"/>
        </w:rPr>
        <w:t>网站，每月需编制提交《网站内容安全监测报告》62份，全年提交62×12份报告。</w:t>
      </w:r>
    </w:p>
    <w:p w14:paraId="76C71F3E">
      <w:pPr>
        <w:pStyle w:val="5"/>
        <w:rPr>
          <w:rFonts w:hint="eastAsia"/>
          <w:highlight w:val="none"/>
        </w:rPr>
      </w:pPr>
      <w:bookmarkStart w:id="154" w:name="_Toc23090"/>
      <w:bookmarkStart w:id="155" w:name="_Toc24012"/>
      <w:bookmarkStart w:id="156" w:name="_Toc233795187"/>
      <w:bookmarkStart w:id="157" w:name="_Toc29366"/>
      <w:bookmarkStart w:id="158" w:name="_Toc19482"/>
      <w:r>
        <w:rPr>
          <w:rFonts w:hint="eastAsia"/>
          <w:highlight w:val="none"/>
        </w:rPr>
        <w:t>服务范围</w:t>
      </w:r>
      <w:bookmarkEnd w:id="154"/>
      <w:bookmarkEnd w:id="155"/>
      <w:bookmarkEnd w:id="156"/>
      <w:bookmarkEnd w:id="157"/>
      <w:bookmarkEnd w:id="158"/>
    </w:p>
    <w:p w14:paraId="500677C5">
      <w:pPr>
        <w:pStyle w:val="6"/>
        <w:rPr>
          <w:rFonts w:hint="eastAsia"/>
          <w:highlight w:val="none"/>
        </w:rPr>
      </w:pPr>
      <w:r>
        <w:rPr>
          <w:rFonts w:hint="eastAsia"/>
          <w:highlight w:val="none"/>
        </w:rPr>
        <w:t>政府网站监测服务范围</w:t>
      </w:r>
    </w:p>
    <w:p w14:paraId="232DB049">
      <w:pPr>
        <w:ind w:firstLine="480"/>
        <w:rPr>
          <w:rFonts w:hint="eastAsia"/>
          <w:highlight w:val="none"/>
        </w:rPr>
      </w:pPr>
      <w:r>
        <w:rPr>
          <w:rFonts w:hint="eastAsia"/>
          <w:highlight w:val="none"/>
        </w:rPr>
        <w:t>政府网站监测服务范围如下（具体清单以采购人确认的实际清单为准。服务期内如因网站整合、账号新增或注销、栏目调整、平台迁移、机构改革等原因导致服务对象变化，具体数量根据项目实际开展情况进行调整）：</w:t>
      </w:r>
    </w:p>
    <w:tbl>
      <w:tblPr>
        <w:tblStyle w:val="33"/>
        <w:tblW w:w="5000" w:type="pct"/>
        <w:tblInd w:w="0" w:type="dxa"/>
        <w:tblLayout w:type="fixed"/>
        <w:tblCellMar>
          <w:top w:w="0" w:type="dxa"/>
          <w:left w:w="108" w:type="dxa"/>
          <w:bottom w:w="0" w:type="dxa"/>
          <w:right w:w="108" w:type="dxa"/>
        </w:tblCellMar>
      </w:tblPr>
      <w:tblGrid>
        <w:gridCol w:w="1379"/>
        <w:gridCol w:w="2930"/>
        <w:gridCol w:w="3997"/>
      </w:tblGrid>
      <w:tr w14:paraId="5B4C97F7">
        <w:tblPrEx>
          <w:tblCellMar>
            <w:top w:w="0" w:type="dxa"/>
            <w:left w:w="108" w:type="dxa"/>
            <w:bottom w:w="0" w:type="dxa"/>
            <w:right w:w="108" w:type="dxa"/>
          </w:tblCellMar>
        </w:tblPrEx>
        <w:trPr>
          <w:trHeight w:val="434" w:hRule="atLeast"/>
          <w:tblHeader/>
        </w:trPr>
        <w:tc>
          <w:tcPr>
            <w:tcW w:w="830" w:type="pc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AD0B3B1">
            <w:pPr>
              <w:spacing w:line="240" w:lineRule="auto"/>
              <w:ind w:firstLine="0" w:firstLineChars="0"/>
              <w:rPr>
                <w:rFonts w:hint="eastAsia"/>
                <w:b/>
                <w:bCs/>
                <w:highlight w:val="none"/>
              </w:rPr>
            </w:pPr>
            <w:r>
              <w:rPr>
                <w:b/>
                <w:bCs/>
                <w:highlight w:val="none"/>
              </w:rPr>
              <w:t>序号</w:t>
            </w:r>
          </w:p>
        </w:tc>
        <w:tc>
          <w:tcPr>
            <w:tcW w:w="1764" w:type="pct"/>
            <w:tcBorders>
              <w:top w:val="single" w:color="000000" w:sz="4" w:space="0"/>
              <w:left w:val="nil"/>
              <w:bottom w:val="single" w:color="000000" w:sz="4" w:space="0"/>
              <w:right w:val="single" w:color="000000" w:sz="4" w:space="0"/>
            </w:tcBorders>
            <w:shd w:val="clear" w:color="auto" w:fill="F1F1F1"/>
            <w:noWrap/>
            <w:vAlign w:val="center"/>
          </w:tcPr>
          <w:p w14:paraId="238A589B">
            <w:pPr>
              <w:spacing w:line="240" w:lineRule="auto"/>
              <w:ind w:firstLine="0" w:firstLineChars="0"/>
              <w:rPr>
                <w:rFonts w:hint="eastAsia"/>
                <w:b/>
                <w:bCs/>
                <w:highlight w:val="none"/>
              </w:rPr>
            </w:pPr>
            <w:r>
              <w:rPr>
                <w:b/>
                <w:bCs/>
                <w:highlight w:val="none"/>
              </w:rPr>
              <w:t>网站标识</w:t>
            </w:r>
          </w:p>
        </w:tc>
        <w:tc>
          <w:tcPr>
            <w:tcW w:w="2406" w:type="pct"/>
            <w:tcBorders>
              <w:top w:val="single" w:color="000000" w:sz="4" w:space="0"/>
              <w:left w:val="nil"/>
              <w:bottom w:val="single" w:color="000000" w:sz="4" w:space="0"/>
              <w:right w:val="single" w:color="000000" w:sz="4" w:space="0"/>
            </w:tcBorders>
            <w:shd w:val="clear" w:color="auto" w:fill="F1F1F1"/>
            <w:noWrap/>
            <w:vAlign w:val="center"/>
          </w:tcPr>
          <w:p w14:paraId="0D75FAD8">
            <w:pPr>
              <w:spacing w:line="240" w:lineRule="auto"/>
              <w:ind w:firstLine="0" w:firstLineChars="0"/>
              <w:rPr>
                <w:rFonts w:hint="eastAsia"/>
                <w:b/>
                <w:bCs/>
                <w:highlight w:val="none"/>
              </w:rPr>
            </w:pPr>
            <w:r>
              <w:rPr>
                <w:b/>
                <w:bCs/>
                <w:highlight w:val="none"/>
              </w:rPr>
              <w:t>网站名称</w:t>
            </w:r>
          </w:p>
        </w:tc>
      </w:tr>
      <w:tr w14:paraId="44BE0B89">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246EC982">
            <w:pPr>
              <w:spacing w:line="240" w:lineRule="auto"/>
              <w:ind w:firstLine="0" w:firstLineChars="0"/>
              <w:rPr>
                <w:rFonts w:hint="eastAsia"/>
                <w:highlight w:val="none"/>
              </w:rPr>
            </w:pPr>
            <w:r>
              <w:rPr>
                <w:highlight w:val="none"/>
              </w:rPr>
              <w:t>1</w:t>
            </w:r>
          </w:p>
        </w:tc>
        <w:tc>
          <w:tcPr>
            <w:tcW w:w="1764" w:type="pct"/>
            <w:tcBorders>
              <w:top w:val="single" w:color="000000" w:sz="4" w:space="0"/>
              <w:left w:val="nil"/>
              <w:bottom w:val="single" w:color="000000" w:sz="4" w:space="0"/>
              <w:right w:val="single" w:color="000000" w:sz="4" w:space="0"/>
            </w:tcBorders>
            <w:noWrap/>
            <w:vAlign w:val="center"/>
          </w:tcPr>
          <w:p w14:paraId="4935447C">
            <w:pPr>
              <w:spacing w:line="240" w:lineRule="auto"/>
              <w:ind w:firstLine="0" w:firstLineChars="0"/>
              <w:rPr>
                <w:rFonts w:hint="eastAsia"/>
                <w:highlight w:val="none"/>
              </w:rPr>
            </w:pPr>
            <w:r>
              <w:rPr>
                <w:highlight w:val="none"/>
              </w:rPr>
              <w:t>4405000014</w:t>
            </w:r>
          </w:p>
        </w:tc>
        <w:tc>
          <w:tcPr>
            <w:tcW w:w="2406" w:type="pct"/>
            <w:tcBorders>
              <w:top w:val="single" w:color="000000" w:sz="4" w:space="0"/>
              <w:left w:val="nil"/>
              <w:bottom w:val="single" w:color="000000" w:sz="4" w:space="0"/>
              <w:right w:val="single" w:color="000000" w:sz="4" w:space="0"/>
            </w:tcBorders>
            <w:noWrap/>
            <w:vAlign w:val="center"/>
          </w:tcPr>
          <w:p w14:paraId="1B913519">
            <w:pPr>
              <w:spacing w:line="240" w:lineRule="auto"/>
              <w:ind w:firstLine="0" w:firstLineChars="0"/>
              <w:rPr>
                <w:rFonts w:hint="eastAsia"/>
                <w:highlight w:val="none"/>
              </w:rPr>
            </w:pPr>
            <w:r>
              <w:rPr>
                <w:highlight w:val="none"/>
              </w:rPr>
              <w:t>汕头市人民政府门户网站</w:t>
            </w:r>
          </w:p>
        </w:tc>
      </w:tr>
      <w:tr w14:paraId="72FD3B57">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49CD634E">
            <w:pPr>
              <w:spacing w:line="240" w:lineRule="auto"/>
              <w:ind w:firstLine="0" w:firstLineChars="0"/>
              <w:rPr>
                <w:rFonts w:hint="eastAsia"/>
                <w:highlight w:val="none"/>
              </w:rPr>
            </w:pPr>
            <w:r>
              <w:rPr>
                <w:highlight w:val="none"/>
              </w:rPr>
              <w:t>2</w:t>
            </w:r>
          </w:p>
        </w:tc>
        <w:tc>
          <w:tcPr>
            <w:tcW w:w="1764" w:type="pct"/>
            <w:tcBorders>
              <w:top w:val="single" w:color="000000" w:sz="4" w:space="0"/>
              <w:left w:val="nil"/>
              <w:bottom w:val="single" w:color="000000" w:sz="4" w:space="0"/>
              <w:right w:val="single" w:color="000000" w:sz="4" w:space="0"/>
            </w:tcBorders>
            <w:noWrap/>
            <w:vAlign w:val="center"/>
          </w:tcPr>
          <w:p w14:paraId="67678DB0">
            <w:pPr>
              <w:spacing w:line="240" w:lineRule="auto"/>
              <w:ind w:firstLine="0" w:firstLineChars="0"/>
              <w:rPr>
                <w:rFonts w:hint="eastAsia"/>
                <w:highlight w:val="none"/>
              </w:rPr>
            </w:pPr>
            <w:r>
              <w:rPr>
                <w:highlight w:val="none"/>
              </w:rPr>
              <w:t>4405000066</w:t>
            </w:r>
          </w:p>
        </w:tc>
        <w:tc>
          <w:tcPr>
            <w:tcW w:w="2406" w:type="pct"/>
            <w:tcBorders>
              <w:top w:val="single" w:color="000000" w:sz="4" w:space="0"/>
              <w:left w:val="nil"/>
              <w:bottom w:val="single" w:color="000000" w:sz="4" w:space="0"/>
              <w:right w:val="single" w:color="000000" w:sz="4" w:space="0"/>
            </w:tcBorders>
            <w:noWrap/>
            <w:vAlign w:val="center"/>
          </w:tcPr>
          <w:p w14:paraId="0AB3776D">
            <w:pPr>
              <w:spacing w:line="240" w:lineRule="auto"/>
              <w:ind w:firstLine="0" w:firstLineChars="0"/>
              <w:rPr>
                <w:rFonts w:hint="eastAsia"/>
                <w:highlight w:val="none"/>
              </w:rPr>
            </w:pPr>
            <w:r>
              <w:rPr>
                <w:highlight w:val="none"/>
              </w:rPr>
              <w:t>广东政务服务网汕头市</w:t>
            </w:r>
          </w:p>
        </w:tc>
      </w:tr>
      <w:tr w14:paraId="003EEC43">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77DA5E0E">
            <w:pPr>
              <w:spacing w:line="240" w:lineRule="auto"/>
              <w:ind w:firstLine="0" w:firstLineChars="0"/>
              <w:rPr>
                <w:rFonts w:hint="eastAsia"/>
                <w:highlight w:val="none"/>
              </w:rPr>
            </w:pPr>
            <w:r>
              <w:rPr>
                <w:highlight w:val="none"/>
              </w:rPr>
              <w:t>3</w:t>
            </w:r>
          </w:p>
        </w:tc>
        <w:tc>
          <w:tcPr>
            <w:tcW w:w="1764" w:type="pct"/>
            <w:tcBorders>
              <w:top w:val="single" w:color="000000" w:sz="4" w:space="0"/>
              <w:left w:val="nil"/>
              <w:bottom w:val="single" w:color="000000" w:sz="4" w:space="0"/>
              <w:right w:val="single" w:color="000000" w:sz="4" w:space="0"/>
            </w:tcBorders>
            <w:noWrap/>
            <w:vAlign w:val="center"/>
          </w:tcPr>
          <w:p w14:paraId="0F573D32">
            <w:pPr>
              <w:spacing w:line="240" w:lineRule="auto"/>
              <w:ind w:firstLine="0" w:firstLineChars="0"/>
              <w:rPr>
                <w:rFonts w:hint="eastAsia"/>
                <w:highlight w:val="none"/>
              </w:rPr>
            </w:pPr>
            <w:r>
              <w:rPr>
                <w:highlight w:val="none"/>
              </w:rPr>
              <w:t>4405000067</w:t>
            </w:r>
          </w:p>
        </w:tc>
        <w:tc>
          <w:tcPr>
            <w:tcW w:w="2406" w:type="pct"/>
            <w:tcBorders>
              <w:top w:val="single" w:color="000000" w:sz="4" w:space="0"/>
              <w:left w:val="nil"/>
              <w:bottom w:val="single" w:color="000000" w:sz="4" w:space="0"/>
              <w:right w:val="single" w:color="000000" w:sz="4" w:space="0"/>
            </w:tcBorders>
            <w:noWrap/>
            <w:vAlign w:val="center"/>
          </w:tcPr>
          <w:p w14:paraId="20D34F41">
            <w:pPr>
              <w:spacing w:line="240" w:lineRule="auto"/>
              <w:ind w:firstLine="0" w:firstLineChars="0"/>
              <w:rPr>
                <w:rFonts w:hint="eastAsia"/>
                <w:highlight w:val="none"/>
              </w:rPr>
            </w:pPr>
            <w:r>
              <w:rPr>
                <w:highlight w:val="none"/>
              </w:rPr>
              <w:t>信用中国（广东汕头）</w:t>
            </w:r>
          </w:p>
        </w:tc>
      </w:tr>
      <w:tr w14:paraId="1E4CAF91">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7C72A52">
            <w:pPr>
              <w:spacing w:line="240" w:lineRule="auto"/>
              <w:ind w:firstLine="0" w:firstLineChars="0"/>
              <w:rPr>
                <w:highlight w:val="none"/>
              </w:rPr>
            </w:pPr>
            <w:r>
              <w:rPr>
                <w:rFonts w:hint="eastAsia"/>
                <w:highlight w:val="none"/>
              </w:rPr>
              <w:t>4</w:t>
            </w:r>
          </w:p>
        </w:tc>
        <w:tc>
          <w:tcPr>
            <w:tcW w:w="1764" w:type="pct"/>
            <w:tcBorders>
              <w:top w:val="single" w:color="000000" w:sz="4" w:space="0"/>
              <w:left w:val="nil"/>
              <w:bottom w:val="single" w:color="000000" w:sz="4" w:space="0"/>
              <w:right w:val="single" w:color="000000" w:sz="4" w:space="0"/>
            </w:tcBorders>
            <w:noWrap/>
            <w:vAlign w:val="center"/>
          </w:tcPr>
          <w:p w14:paraId="4EAF4748">
            <w:pPr>
              <w:spacing w:line="240" w:lineRule="auto"/>
              <w:ind w:firstLine="0" w:firstLineChars="0"/>
              <w:rPr>
                <w:highlight w:val="none"/>
              </w:rPr>
            </w:pPr>
            <w:r>
              <w:rPr>
                <w:highlight w:val="none"/>
              </w:rPr>
              <w:t>4405110002</w:t>
            </w:r>
          </w:p>
        </w:tc>
        <w:tc>
          <w:tcPr>
            <w:tcW w:w="2406" w:type="pct"/>
            <w:tcBorders>
              <w:top w:val="single" w:color="000000" w:sz="4" w:space="0"/>
              <w:left w:val="nil"/>
              <w:bottom w:val="single" w:color="000000" w:sz="4" w:space="0"/>
              <w:right w:val="single" w:color="000000" w:sz="4" w:space="0"/>
            </w:tcBorders>
            <w:noWrap/>
            <w:vAlign w:val="center"/>
          </w:tcPr>
          <w:p w14:paraId="354E778A">
            <w:pPr>
              <w:spacing w:line="240" w:lineRule="auto"/>
              <w:ind w:firstLine="0" w:firstLineChars="0"/>
              <w:rPr>
                <w:highlight w:val="none"/>
              </w:rPr>
            </w:pPr>
            <w:r>
              <w:rPr>
                <w:highlight w:val="none"/>
              </w:rPr>
              <w:t>金平区人民政府</w:t>
            </w:r>
          </w:p>
        </w:tc>
      </w:tr>
      <w:tr w14:paraId="7AE92AC4">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08D31C3">
            <w:pPr>
              <w:spacing w:line="240" w:lineRule="auto"/>
              <w:ind w:firstLine="0" w:firstLineChars="0"/>
              <w:rPr>
                <w:highlight w:val="none"/>
              </w:rPr>
            </w:pPr>
            <w:r>
              <w:rPr>
                <w:rFonts w:hint="eastAsia"/>
                <w:highlight w:val="none"/>
              </w:rPr>
              <w:t>5</w:t>
            </w:r>
          </w:p>
        </w:tc>
        <w:tc>
          <w:tcPr>
            <w:tcW w:w="1764" w:type="pct"/>
            <w:tcBorders>
              <w:top w:val="single" w:color="000000" w:sz="4" w:space="0"/>
              <w:left w:val="nil"/>
              <w:bottom w:val="single" w:color="000000" w:sz="4" w:space="0"/>
              <w:right w:val="single" w:color="000000" w:sz="4" w:space="0"/>
            </w:tcBorders>
            <w:noWrap/>
            <w:vAlign w:val="center"/>
          </w:tcPr>
          <w:p w14:paraId="13BAB7BF">
            <w:pPr>
              <w:spacing w:line="240" w:lineRule="auto"/>
              <w:ind w:firstLine="0" w:firstLineChars="0"/>
              <w:rPr>
                <w:highlight w:val="none"/>
              </w:rPr>
            </w:pPr>
            <w:r>
              <w:rPr>
                <w:highlight w:val="none"/>
              </w:rPr>
              <w:t>4405070001</w:t>
            </w:r>
          </w:p>
        </w:tc>
        <w:tc>
          <w:tcPr>
            <w:tcW w:w="2406" w:type="pct"/>
            <w:tcBorders>
              <w:top w:val="single" w:color="000000" w:sz="4" w:space="0"/>
              <w:left w:val="nil"/>
              <w:bottom w:val="single" w:color="000000" w:sz="4" w:space="0"/>
              <w:right w:val="single" w:color="000000" w:sz="4" w:space="0"/>
            </w:tcBorders>
            <w:noWrap/>
            <w:vAlign w:val="center"/>
          </w:tcPr>
          <w:p w14:paraId="7D27CCCF">
            <w:pPr>
              <w:spacing w:line="240" w:lineRule="auto"/>
              <w:ind w:firstLine="0" w:firstLineChars="0"/>
              <w:rPr>
                <w:highlight w:val="none"/>
              </w:rPr>
            </w:pPr>
            <w:r>
              <w:rPr>
                <w:highlight w:val="none"/>
              </w:rPr>
              <w:t>汕头市龙湖区人民政府门户网站</w:t>
            </w:r>
          </w:p>
        </w:tc>
      </w:tr>
      <w:tr w14:paraId="15B66EEB">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EC7FC5B">
            <w:pPr>
              <w:spacing w:line="240" w:lineRule="auto"/>
              <w:ind w:firstLine="0" w:firstLineChars="0"/>
              <w:rPr>
                <w:highlight w:val="none"/>
              </w:rPr>
            </w:pPr>
            <w:r>
              <w:rPr>
                <w:rFonts w:hint="eastAsia"/>
                <w:highlight w:val="none"/>
              </w:rPr>
              <w:t>6</w:t>
            </w:r>
          </w:p>
        </w:tc>
        <w:tc>
          <w:tcPr>
            <w:tcW w:w="1764" w:type="pct"/>
            <w:tcBorders>
              <w:top w:val="single" w:color="000000" w:sz="4" w:space="0"/>
              <w:left w:val="nil"/>
              <w:bottom w:val="single" w:color="000000" w:sz="4" w:space="0"/>
              <w:right w:val="single" w:color="000000" w:sz="4" w:space="0"/>
            </w:tcBorders>
            <w:noWrap/>
            <w:vAlign w:val="center"/>
          </w:tcPr>
          <w:p w14:paraId="7928FE68">
            <w:pPr>
              <w:spacing w:line="240" w:lineRule="auto"/>
              <w:ind w:firstLine="0" w:firstLineChars="0"/>
              <w:rPr>
                <w:highlight w:val="none"/>
              </w:rPr>
            </w:pPr>
            <w:r>
              <w:rPr>
                <w:highlight w:val="none"/>
              </w:rPr>
              <w:t>4405150002</w:t>
            </w:r>
          </w:p>
        </w:tc>
        <w:tc>
          <w:tcPr>
            <w:tcW w:w="2406" w:type="pct"/>
            <w:tcBorders>
              <w:top w:val="single" w:color="000000" w:sz="4" w:space="0"/>
              <w:left w:val="nil"/>
              <w:bottom w:val="single" w:color="000000" w:sz="4" w:space="0"/>
              <w:right w:val="single" w:color="000000" w:sz="4" w:space="0"/>
            </w:tcBorders>
            <w:noWrap/>
            <w:vAlign w:val="center"/>
          </w:tcPr>
          <w:p w14:paraId="34B4C355">
            <w:pPr>
              <w:spacing w:line="240" w:lineRule="auto"/>
              <w:ind w:firstLine="0" w:firstLineChars="0"/>
              <w:rPr>
                <w:highlight w:val="none"/>
              </w:rPr>
            </w:pPr>
            <w:r>
              <w:rPr>
                <w:highlight w:val="none"/>
              </w:rPr>
              <w:t>澄海区人民政府门户网站</w:t>
            </w:r>
          </w:p>
        </w:tc>
      </w:tr>
      <w:tr w14:paraId="4AB4E276">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4930077E">
            <w:pPr>
              <w:spacing w:line="240" w:lineRule="auto"/>
              <w:ind w:firstLine="0" w:firstLineChars="0"/>
              <w:rPr>
                <w:highlight w:val="none"/>
              </w:rPr>
            </w:pPr>
            <w:r>
              <w:rPr>
                <w:rFonts w:hint="eastAsia"/>
                <w:highlight w:val="none"/>
              </w:rPr>
              <w:t>7</w:t>
            </w:r>
          </w:p>
        </w:tc>
        <w:tc>
          <w:tcPr>
            <w:tcW w:w="1764" w:type="pct"/>
            <w:tcBorders>
              <w:top w:val="single" w:color="000000" w:sz="4" w:space="0"/>
              <w:left w:val="nil"/>
              <w:bottom w:val="single" w:color="000000" w:sz="4" w:space="0"/>
              <w:right w:val="single" w:color="000000" w:sz="4" w:space="0"/>
            </w:tcBorders>
            <w:noWrap/>
            <w:vAlign w:val="center"/>
          </w:tcPr>
          <w:p w14:paraId="529C4F4E">
            <w:pPr>
              <w:spacing w:line="240" w:lineRule="auto"/>
              <w:ind w:firstLine="0" w:firstLineChars="0"/>
              <w:rPr>
                <w:highlight w:val="none"/>
              </w:rPr>
            </w:pPr>
            <w:r>
              <w:rPr>
                <w:highlight w:val="none"/>
              </w:rPr>
              <w:t>4405120001</w:t>
            </w:r>
          </w:p>
        </w:tc>
        <w:tc>
          <w:tcPr>
            <w:tcW w:w="2406" w:type="pct"/>
            <w:tcBorders>
              <w:top w:val="single" w:color="000000" w:sz="4" w:space="0"/>
              <w:left w:val="nil"/>
              <w:bottom w:val="single" w:color="000000" w:sz="4" w:space="0"/>
              <w:right w:val="single" w:color="000000" w:sz="4" w:space="0"/>
            </w:tcBorders>
            <w:noWrap/>
            <w:vAlign w:val="center"/>
          </w:tcPr>
          <w:p w14:paraId="519B37B4">
            <w:pPr>
              <w:spacing w:line="240" w:lineRule="auto"/>
              <w:ind w:firstLine="0" w:firstLineChars="0"/>
              <w:rPr>
                <w:highlight w:val="none"/>
              </w:rPr>
            </w:pPr>
            <w:r>
              <w:rPr>
                <w:highlight w:val="none"/>
              </w:rPr>
              <w:t>汕头市濠江区人民政府门户网站</w:t>
            </w:r>
          </w:p>
        </w:tc>
      </w:tr>
      <w:tr w14:paraId="06CF471B">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00638B36">
            <w:pPr>
              <w:spacing w:line="240" w:lineRule="auto"/>
              <w:ind w:firstLine="0" w:firstLineChars="0"/>
              <w:rPr>
                <w:highlight w:val="none"/>
              </w:rPr>
            </w:pPr>
            <w:r>
              <w:rPr>
                <w:rFonts w:hint="eastAsia"/>
                <w:highlight w:val="none"/>
              </w:rPr>
              <w:t>8</w:t>
            </w:r>
          </w:p>
        </w:tc>
        <w:tc>
          <w:tcPr>
            <w:tcW w:w="1764" w:type="pct"/>
            <w:tcBorders>
              <w:top w:val="single" w:color="000000" w:sz="4" w:space="0"/>
              <w:left w:val="nil"/>
              <w:bottom w:val="single" w:color="000000" w:sz="4" w:space="0"/>
              <w:right w:val="single" w:color="000000" w:sz="4" w:space="0"/>
            </w:tcBorders>
            <w:noWrap/>
            <w:vAlign w:val="center"/>
          </w:tcPr>
          <w:p w14:paraId="05E0412E">
            <w:pPr>
              <w:spacing w:line="240" w:lineRule="auto"/>
              <w:ind w:firstLine="0" w:firstLineChars="0"/>
              <w:rPr>
                <w:highlight w:val="none"/>
              </w:rPr>
            </w:pPr>
            <w:r>
              <w:rPr>
                <w:highlight w:val="none"/>
              </w:rPr>
              <w:t>4405130001</w:t>
            </w:r>
          </w:p>
        </w:tc>
        <w:tc>
          <w:tcPr>
            <w:tcW w:w="2406" w:type="pct"/>
            <w:tcBorders>
              <w:top w:val="single" w:color="000000" w:sz="4" w:space="0"/>
              <w:left w:val="nil"/>
              <w:bottom w:val="single" w:color="000000" w:sz="4" w:space="0"/>
              <w:right w:val="single" w:color="000000" w:sz="4" w:space="0"/>
            </w:tcBorders>
            <w:noWrap/>
            <w:vAlign w:val="center"/>
          </w:tcPr>
          <w:p w14:paraId="07313BC9">
            <w:pPr>
              <w:spacing w:line="240" w:lineRule="auto"/>
              <w:ind w:firstLine="0" w:firstLineChars="0"/>
              <w:rPr>
                <w:highlight w:val="none"/>
              </w:rPr>
            </w:pPr>
            <w:r>
              <w:rPr>
                <w:highlight w:val="none"/>
              </w:rPr>
              <w:t>潮阳区人民政府门户网站</w:t>
            </w:r>
          </w:p>
        </w:tc>
      </w:tr>
      <w:tr w14:paraId="74D01E4F">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0B8350C2">
            <w:pPr>
              <w:spacing w:line="240" w:lineRule="auto"/>
              <w:ind w:firstLine="0" w:firstLineChars="0"/>
              <w:rPr>
                <w:highlight w:val="none"/>
              </w:rPr>
            </w:pPr>
            <w:r>
              <w:rPr>
                <w:rFonts w:hint="eastAsia"/>
                <w:highlight w:val="none"/>
              </w:rPr>
              <w:t>9</w:t>
            </w:r>
          </w:p>
        </w:tc>
        <w:tc>
          <w:tcPr>
            <w:tcW w:w="1764" w:type="pct"/>
            <w:tcBorders>
              <w:top w:val="single" w:color="000000" w:sz="4" w:space="0"/>
              <w:left w:val="nil"/>
              <w:bottom w:val="single" w:color="000000" w:sz="4" w:space="0"/>
              <w:right w:val="single" w:color="000000" w:sz="4" w:space="0"/>
            </w:tcBorders>
            <w:noWrap/>
            <w:vAlign w:val="center"/>
          </w:tcPr>
          <w:p w14:paraId="47BDD979">
            <w:pPr>
              <w:spacing w:line="240" w:lineRule="auto"/>
              <w:ind w:firstLine="0" w:firstLineChars="0"/>
              <w:rPr>
                <w:highlight w:val="none"/>
              </w:rPr>
            </w:pPr>
            <w:r>
              <w:rPr>
                <w:highlight w:val="none"/>
              </w:rPr>
              <w:t>4405140001</w:t>
            </w:r>
          </w:p>
        </w:tc>
        <w:tc>
          <w:tcPr>
            <w:tcW w:w="2406" w:type="pct"/>
            <w:tcBorders>
              <w:top w:val="single" w:color="000000" w:sz="4" w:space="0"/>
              <w:left w:val="nil"/>
              <w:bottom w:val="single" w:color="000000" w:sz="4" w:space="0"/>
              <w:right w:val="single" w:color="000000" w:sz="4" w:space="0"/>
            </w:tcBorders>
            <w:noWrap/>
            <w:vAlign w:val="center"/>
          </w:tcPr>
          <w:p w14:paraId="594CDD3C">
            <w:pPr>
              <w:spacing w:line="240" w:lineRule="auto"/>
              <w:ind w:firstLine="0" w:firstLineChars="0"/>
              <w:rPr>
                <w:highlight w:val="none"/>
              </w:rPr>
            </w:pPr>
            <w:r>
              <w:rPr>
                <w:highlight w:val="none"/>
              </w:rPr>
              <w:t>潮南区政府门户网站</w:t>
            </w:r>
          </w:p>
        </w:tc>
      </w:tr>
      <w:tr w14:paraId="59B69205">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417519C7">
            <w:pPr>
              <w:spacing w:line="240" w:lineRule="auto"/>
              <w:ind w:firstLine="0" w:firstLineChars="0"/>
              <w:rPr>
                <w:rFonts w:hint="eastAsia"/>
                <w:highlight w:val="none"/>
              </w:rPr>
            </w:pPr>
            <w:r>
              <w:rPr>
                <w:highlight w:val="none"/>
              </w:rPr>
              <w:t>10</w:t>
            </w:r>
          </w:p>
        </w:tc>
        <w:tc>
          <w:tcPr>
            <w:tcW w:w="1764" w:type="pct"/>
            <w:tcBorders>
              <w:top w:val="single" w:color="000000" w:sz="4" w:space="0"/>
              <w:left w:val="nil"/>
              <w:bottom w:val="single" w:color="000000" w:sz="4" w:space="0"/>
              <w:right w:val="single" w:color="000000" w:sz="4" w:space="0"/>
            </w:tcBorders>
            <w:noWrap/>
            <w:vAlign w:val="center"/>
          </w:tcPr>
          <w:p w14:paraId="446AAFAC">
            <w:pPr>
              <w:spacing w:line="240" w:lineRule="auto"/>
              <w:ind w:firstLine="0" w:firstLineChars="0"/>
              <w:rPr>
                <w:rFonts w:hint="eastAsia"/>
                <w:highlight w:val="none"/>
              </w:rPr>
            </w:pPr>
            <w:r>
              <w:rPr>
                <w:highlight w:val="none"/>
              </w:rPr>
              <w:t>4405230001</w:t>
            </w:r>
          </w:p>
        </w:tc>
        <w:tc>
          <w:tcPr>
            <w:tcW w:w="2406" w:type="pct"/>
            <w:tcBorders>
              <w:top w:val="single" w:color="000000" w:sz="4" w:space="0"/>
              <w:left w:val="nil"/>
              <w:bottom w:val="single" w:color="000000" w:sz="4" w:space="0"/>
              <w:right w:val="single" w:color="000000" w:sz="4" w:space="0"/>
            </w:tcBorders>
            <w:noWrap/>
            <w:vAlign w:val="center"/>
          </w:tcPr>
          <w:p w14:paraId="4BE24528">
            <w:pPr>
              <w:spacing w:line="240" w:lineRule="auto"/>
              <w:ind w:firstLine="0" w:firstLineChars="0"/>
              <w:rPr>
                <w:rFonts w:hint="eastAsia"/>
                <w:highlight w:val="none"/>
              </w:rPr>
            </w:pPr>
            <w:r>
              <w:rPr>
                <w:highlight w:val="none"/>
              </w:rPr>
              <w:t>南澳县人民政府门户网站</w:t>
            </w:r>
          </w:p>
        </w:tc>
      </w:tr>
      <w:tr w14:paraId="1E67C3FE">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4C0CA47B">
            <w:pPr>
              <w:spacing w:line="240" w:lineRule="auto"/>
              <w:ind w:firstLine="0" w:firstLineChars="0"/>
              <w:rPr>
                <w:rFonts w:hint="eastAsia"/>
                <w:highlight w:val="none"/>
              </w:rPr>
            </w:pPr>
            <w:r>
              <w:rPr>
                <w:highlight w:val="none"/>
              </w:rPr>
              <w:t>11</w:t>
            </w:r>
          </w:p>
        </w:tc>
        <w:tc>
          <w:tcPr>
            <w:tcW w:w="1764" w:type="pct"/>
            <w:tcBorders>
              <w:top w:val="single" w:color="000000" w:sz="4" w:space="0"/>
              <w:left w:val="nil"/>
              <w:bottom w:val="single" w:color="000000" w:sz="4" w:space="0"/>
              <w:right w:val="single" w:color="000000" w:sz="4" w:space="0"/>
            </w:tcBorders>
            <w:noWrap/>
            <w:vAlign w:val="center"/>
          </w:tcPr>
          <w:p w14:paraId="1C0ED448">
            <w:pPr>
              <w:spacing w:line="240" w:lineRule="auto"/>
              <w:ind w:firstLine="0" w:firstLineChars="0"/>
              <w:rPr>
                <w:rFonts w:hint="eastAsia"/>
                <w:highlight w:val="none"/>
              </w:rPr>
            </w:pPr>
            <w:r>
              <w:rPr>
                <w:highlight w:val="none"/>
              </w:rPr>
              <w:t>N000010030</w:t>
            </w:r>
          </w:p>
        </w:tc>
        <w:tc>
          <w:tcPr>
            <w:tcW w:w="2406" w:type="pct"/>
            <w:tcBorders>
              <w:top w:val="single" w:color="000000" w:sz="4" w:space="0"/>
              <w:left w:val="nil"/>
              <w:bottom w:val="single" w:color="000000" w:sz="4" w:space="0"/>
              <w:right w:val="single" w:color="000000" w:sz="4" w:space="0"/>
            </w:tcBorders>
            <w:noWrap/>
            <w:vAlign w:val="center"/>
          </w:tcPr>
          <w:p w14:paraId="7FF2A093">
            <w:pPr>
              <w:spacing w:line="240" w:lineRule="auto"/>
              <w:ind w:firstLine="0" w:firstLineChars="0"/>
              <w:rPr>
                <w:rFonts w:hint="eastAsia"/>
                <w:highlight w:val="none"/>
              </w:rPr>
            </w:pPr>
            <w:r>
              <w:rPr>
                <w:highlight w:val="none"/>
              </w:rPr>
              <w:t>汕头市发展和改革局（粮食和物资储备局）</w:t>
            </w:r>
          </w:p>
        </w:tc>
      </w:tr>
      <w:tr w14:paraId="528609EB">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0DD69761">
            <w:pPr>
              <w:spacing w:line="240" w:lineRule="auto"/>
              <w:ind w:firstLine="0" w:firstLineChars="0"/>
              <w:rPr>
                <w:rFonts w:hint="eastAsia"/>
                <w:highlight w:val="none"/>
              </w:rPr>
            </w:pPr>
            <w:r>
              <w:rPr>
                <w:highlight w:val="none"/>
              </w:rPr>
              <w:t>12</w:t>
            </w:r>
          </w:p>
        </w:tc>
        <w:tc>
          <w:tcPr>
            <w:tcW w:w="1764" w:type="pct"/>
            <w:tcBorders>
              <w:top w:val="single" w:color="000000" w:sz="4" w:space="0"/>
              <w:left w:val="nil"/>
              <w:bottom w:val="single" w:color="000000" w:sz="4" w:space="0"/>
              <w:right w:val="single" w:color="000000" w:sz="4" w:space="0"/>
            </w:tcBorders>
            <w:noWrap/>
            <w:vAlign w:val="center"/>
          </w:tcPr>
          <w:p w14:paraId="7C7A2F3D">
            <w:pPr>
              <w:spacing w:line="240" w:lineRule="auto"/>
              <w:ind w:firstLine="0" w:firstLineChars="0"/>
              <w:rPr>
                <w:rFonts w:hint="eastAsia"/>
                <w:highlight w:val="none"/>
              </w:rPr>
            </w:pPr>
            <w:r>
              <w:rPr>
                <w:highlight w:val="none"/>
              </w:rPr>
              <w:t>N000010031</w:t>
            </w:r>
          </w:p>
        </w:tc>
        <w:tc>
          <w:tcPr>
            <w:tcW w:w="2406" w:type="pct"/>
            <w:tcBorders>
              <w:top w:val="single" w:color="000000" w:sz="4" w:space="0"/>
              <w:left w:val="nil"/>
              <w:bottom w:val="single" w:color="000000" w:sz="4" w:space="0"/>
              <w:right w:val="single" w:color="000000" w:sz="4" w:space="0"/>
            </w:tcBorders>
            <w:noWrap/>
            <w:vAlign w:val="center"/>
          </w:tcPr>
          <w:p w14:paraId="7673308A">
            <w:pPr>
              <w:spacing w:line="240" w:lineRule="auto"/>
              <w:ind w:firstLine="0" w:firstLineChars="0"/>
              <w:rPr>
                <w:rFonts w:hint="eastAsia"/>
                <w:highlight w:val="none"/>
              </w:rPr>
            </w:pPr>
            <w:r>
              <w:rPr>
                <w:highlight w:val="none"/>
              </w:rPr>
              <w:t>汕头市工业和信息化局</w:t>
            </w:r>
          </w:p>
        </w:tc>
      </w:tr>
      <w:tr w14:paraId="3B139FD4">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7B3755D5">
            <w:pPr>
              <w:spacing w:line="240" w:lineRule="auto"/>
              <w:ind w:firstLine="0" w:firstLineChars="0"/>
              <w:rPr>
                <w:rFonts w:hint="eastAsia"/>
                <w:highlight w:val="none"/>
              </w:rPr>
            </w:pPr>
            <w:r>
              <w:rPr>
                <w:highlight w:val="none"/>
              </w:rPr>
              <w:t>13</w:t>
            </w:r>
          </w:p>
        </w:tc>
        <w:tc>
          <w:tcPr>
            <w:tcW w:w="1764" w:type="pct"/>
            <w:tcBorders>
              <w:top w:val="single" w:color="000000" w:sz="4" w:space="0"/>
              <w:left w:val="nil"/>
              <w:bottom w:val="single" w:color="000000" w:sz="4" w:space="0"/>
              <w:right w:val="single" w:color="000000" w:sz="4" w:space="0"/>
            </w:tcBorders>
            <w:noWrap/>
            <w:vAlign w:val="center"/>
          </w:tcPr>
          <w:p w14:paraId="14E4C7F0">
            <w:pPr>
              <w:spacing w:line="240" w:lineRule="auto"/>
              <w:ind w:firstLine="0" w:firstLineChars="0"/>
              <w:rPr>
                <w:rFonts w:hint="eastAsia"/>
                <w:highlight w:val="none"/>
              </w:rPr>
            </w:pPr>
            <w:r>
              <w:rPr>
                <w:highlight w:val="none"/>
              </w:rPr>
              <w:t>N000010032</w:t>
            </w:r>
          </w:p>
        </w:tc>
        <w:tc>
          <w:tcPr>
            <w:tcW w:w="2406" w:type="pct"/>
            <w:tcBorders>
              <w:top w:val="single" w:color="000000" w:sz="4" w:space="0"/>
              <w:left w:val="nil"/>
              <w:bottom w:val="single" w:color="000000" w:sz="4" w:space="0"/>
              <w:right w:val="single" w:color="000000" w:sz="4" w:space="0"/>
            </w:tcBorders>
            <w:noWrap/>
            <w:vAlign w:val="center"/>
          </w:tcPr>
          <w:p w14:paraId="27D709E5">
            <w:pPr>
              <w:spacing w:line="240" w:lineRule="auto"/>
              <w:ind w:firstLine="0" w:firstLineChars="0"/>
              <w:rPr>
                <w:rFonts w:hint="eastAsia"/>
                <w:highlight w:val="none"/>
              </w:rPr>
            </w:pPr>
            <w:r>
              <w:rPr>
                <w:highlight w:val="none"/>
              </w:rPr>
              <w:t>汕头市科学技术局</w:t>
            </w:r>
          </w:p>
        </w:tc>
      </w:tr>
      <w:tr w14:paraId="1117D6BE">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7AE76EBD">
            <w:pPr>
              <w:spacing w:line="240" w:lineRule="auto"/>
              <w:ind w:firstLine="0" w:firstLineChars="0"/>
              <w:rPr>
                <w:rFonts w:hint="eastAsia"/>
                <w:highlight w:val="none"/>
              </w:rPr>
            </w:pPr>
            <w:r>
              <w:rPr>
                <w:highlight w:val="none"/>
              </w:rPr>
              <w:t>14</w:t>
            </w:r>
          </w:p>
        </w:tc>
        <w:tc>
          <w:tcPr>
            <w:tcW w:w="1764" w:type="pct"/>
            <w:tcBorders>
              <w:top w:val="single" w:color="000000" w:sz="4" w:space="0"/>
              <w:left w:val="nil"/>
              <w:bottom w:val="single" w:color="000000" w:sz="4" w:space="0"/>
              <w:right w:val="single" w:color="000000" w:sz="4" w:space="0"/>
            </w:tcBorders>
            <w:noWrap/>
            <w:vAlign w:val="center"/>
          </w:tcPr>
          <w:p w14:paraId="1B9049FD">
            <w:pPr>
              <w:spacing w:line="240" w:lineRule="auto"/>
              <w:ind w:firstLine="0" w:firstLineChars="0"/>
              <w:rPr>
                <w:rFonts w:hint="eastAsia"/>
                <w:highlight w:val="none"/>
              </w:rPr>
            </w:pPr>
            <w:r>
              <w:rPr>
                <w:highlight w:val="none"/>
              </w:rPr>
              <w:t>N000010033</w:t>
            </w:r>
          </w:p>
        </w:tc>
        <w:tc>
          <w:tcPr>
            <w:tcW w:w="2406" w:type="pct"/>
            <w:tcBorders>
              <w:top w:val="single" w:color="000000" w:sz="4" w:space="0"/>
              <w:left w:val="nil"/>
              <w:bottom w:val="single" w:color="000000" w:sz="4" w:space="0"/>
              <w:right w:val="single" w:color="000000" w:sz="4" w:space="0"/>
            </w:tcBorders>
            <w:noWrap/>
            <w:vAlign w:val="center"/>
          </w:tcPr>
          <w:p w14:paraId="0973362C">
            <w:pPr>
              <w:spacing w:line="240" w:lineRule="auto"/>
              <w:ind w:firstLine="0" w:firstLineChars="0"/>
              <w:rPr>
                <w:rFonts w:hint="eastAsia"/>
                <w:highlight w:val="none"/>
              </w:rPr>
            </w:pPr>
            <w:r>
              <w:rPr>
                <w:highlight w:val="none"/>
              </w:rPr>
              <w:t>汕头市民政局</w:t>
            </w:r>
          </w:p>
        </w:tc>
      </w:tr>
      <w:tr w14:paraId="1CA8E03B">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5A95F510">
            <w:pPr>
              <w:spacing w:line="240" w:lineRule="auto"/>
              <w:ind w:firstLine="0" w:firstLineChars="0"/>
              <w:rPr>
                <w:rFonts w:hint="eastAsia"/>
                <w:highlight w:val="none"/>
              </w:rPr>
            </w:pPr>
            <w:r>
              <w:rPr>
                <w:highlight w:val="none"/>
              </w:rPr>
              <w:t>15</w:t>
            </w:r>
          </w:p>
        </w:tc>
        <w:tc>
          <w:tcPr>
            <w:tcW w:w="1764" w:type="pct"/>
            <w:tcBorders>
              <w:top w:val="single" w:color="000000" w:sz="4" w:space="0"/>
              <w:left w:val="nil"/>
              <w:bottom w:val="single" w:color="000000" w:sz="4" w:space="0"/>
              <w:right w:val="single" w:color="000000" w:sz="4" w:space="0"/>
            </w:tcBorders>
            <w:noWrap/>
            <w:vAlign w:val="center"/>
          </w:tcPr>
          <w:p w14:paraId="45E74FF0">
            <w:pPr>
              <w:spacing w:line="240" w:lineRule="auto"/>
              <w:ind w:firstLine="0" w:firstLineChars="0"/>
              <w:rPr>
                <w:rFonts w:hint="eastAsia"/>
                <w:highlight w:val="none"/>
              </w:rPr>
            </w:pPr>
            <w:r>
              <w:rPr>
                <w:highlight w:val="none"/>
              </w:rPr>
              <w:t>N000010034</w:t>
            </w:r>
          </w:p>
        </w:tc>
        <w:tc>
          <w:tcPr>
            <w:tcW w:w="2406" w:type="pct"/>
            <w:tcBorders>
              <w:top w:val="single" w:color="000000" w:sz="4" w:space="0"/>
              <w:left w:val="nil"/>
              <w:bottom w:val="single" w:color="000000" w:sz="4" w:space="0"/>
              <w:right w:val="single" w:color="000000" w:sz="4" w:space="0"/>
            </w:tcBorders>
            <w:noWrap/>
            <w:vAlign w:val="center"/>
          </w:tcPr>
          <w:p w14:paraId="55F27DF5">
            <w:pPr>
              <w:spacing w:line="240" w:lineRule="auto"/>
              <w:ind w:firstLine="0" w:firstLineChars="0"/>
              <w:rPr>
                <w:rFonts w:hint="eastAsia"/>
                <w:highlight w:val="none"/>
              </w:rPr>
            </w:pPr>
            <w:r>
              <w:rPr>
                <w:highlight w:val="none"/>
              </w:rPr>
              <w:t>汕头市司法局</w:t>
            </w:r>
          </w:p>
        </w:tc>
      </w:tr>
      <w:tr w14:paraId="20205415">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5AEE751">
            <w:pPr>
              <w:spacing w:line="240" w:lineRule="auto"/>
              <w:ind w:firstLine="0" w:firstLineChars="0"/>
              <w:rPr>
                <w:rFonts w:hint="eastAsia"/>
                <w:highlight w:val="none"/>
              </w:rPr>
            </w:pPr>
            <w:r>
              <w:rPr>
                <w:highlight w:val="none"/>
              </w:rPr>
              <w:t>16</w:t>
            </w:r>
          </w:p>
        </w:tc>
        <w:tc>
          <w:tcPr>
            <w:tcW w:w="1764" w:type="pct"/>
            <w:tcBorders>
              <w:top w:val="single" w:color="000000" w:sz="4" w:space="0"/>
              <w:left w:val="nil"/>
              <w:bottom w:val="single" w:color="000000" w:sz="4" w:space="0"/>
              <w:right w:val="single" w:color="000000" w:sz="4" w:space="0"/>
            </w:tcBorders>
            <w:noWrap/>
            <w:vAlign w:val="center"/>
          </w:tcPr>
          <w:p w14:paraId="71ECC485">
            <w:pPr>
              <w:spacing w:line="240" w:lineRule="auto"/>
              <w:ind w:firstLine="0" w:firstLineChars="0"/>
              <w:rPr>
                <w:rFonts w:hint="eastAsia"/>
                <w:highlight w:val="none"/>
              </w:rPr>
            </w:pPr>
            <w:r>
              <w:rPr>
                <w:highlight w:val="none"/>
              </w:rPr>
              <w:t>N000010035</w:t>
            </w:r>
          </w:p>
        </w:tc>
        <w:tc>
          <w:tcPr>
            <w:tcW w:w="2406" w:type="pct"/>
            <w:tcBorders>
              <w:top w:val="single" w:color="000000" w:sz="4" w:space="0"/>
              <w:left w:val="nil"/>
              <w:bottom w:val="single" w:color="000000" w:sz="4" w:space="0"/>
              <w:right w:val="single" w:color="000000" w:sz="4" w:space="0"/>
            </w:tcBorders>
            <w:noWrap/>
            <w:vAlign w:val="center"/>
          </w:tcPr>
          <w:p w14:paraId="233C2811">
            <w:pPr>
              <w:spacing w:line="240" w:lineRule="auto"/>
              <w:ind w:firstLine="0" w:firstLineChars="0"/>
              <w:rPr>
                <w:rFonts w:hint="eastAsia"/>
                <w:highlight w:val="none"/>
              </w:rPr>
            </w:pPr>
            <w:r>
              <w:rPr>
                <w:highlight w:val="none"/>
              </w:rPr>
              <w:t>汕头市财政局</w:t>
            </w:r>
          </w:p>
        </w:tc>
      </w:tr>
      <w:tr w14:paraId="09A2C9C9">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3466919">
            <w:pPr>
              <w:spacing w:line="240" w:lineRule="auto"/>
              <w:ind w:firstLine="0" w:firstLineChars="0"/>
              <w:rPr>
                <w:rFonts w:hint="eastAsia"/>
                <w:highlight w:val="none"/>
              </w:rPr>
            </w:pPr>
            <w:r>
              <w:rPr>
                <w:highlight w:val="none"/>
              </w:rPr>
              <w:t>17</w:t>
            </w:r>
          </w:p>
        </w:tc>
        <w:tc>
          <w:tcPr>
            <w:tcW w:w="1764" w:type="pct"/>
            <w:tcBorders>
              <w:top w:val="single" w:color="000000" w:sz="4" w:space="0"/>
              <w:left w:val="nil"/>
              <w:bottom w:val="single" w:color="000000" w:sz="4" w:space="0"/>
              <w:right w:val="single" w:color="000000" w:sz="4" w:space="0"/>
            </w:tcBorders>
            <w:noWrap/>
            <w:vAlign w:val="center"/>
          </w:tcPr>
          <w:p w14:paraId="0F3A91CB">
            <w:pPr>
              <w:spacing w:line="240" w:lineRule="auto"/>
              <w:ind w:firstLine="0" w:firstLineChars="0"/>
              <w:rPr>
                <w:rFonts w:hint="eastAsia"/>
                <w:highlight w:val="none"/>
              </w:rPr>
            </w:pPr>
            <w:r>
              <w:rPr>
                <w:highlight w:val="none"/>
              </w:rPr>
              <w:t>N000010036</w:t>
            </w:r>
          </w:p>
        </w:tc>
        <w:tc>
          <w:tcPr>
            <w:tcW w:w="2406" w:type="pct"/>
            <w:tcBorders>
              <w:top w:val="single" w:color="000000" w:sz="4" w:space="0"/>
              <w:left w:val="nil"/>
              <w:bottom w:val="single" w:color="000000" w:sz="4" w:space="0"/>
              <w:right w:val="single" w:color="000000" w:sz="4" w:space="0"/>
            </w:tcBorders>
            <w:noWrap/>
            <w:vAlign w:val="center"/>
          </w:tcPr>
          <w:p w14:paraId="54F7C494">
            <w:pPr>
              <w:spacing w:line="240" w:lineRule="auto"/>
              <w:ind w:firstLine="0" w:firstLineChars="0"/>
              <w:rPr>
                <w:rFonts w:hint="eastAsia"/>
                <w:highlight w:val="none"/>
              </w:rPr>
            </w:pPr>
            <w:r>
              <w:rPr>
                <w:highlight w:val="none"/>
              </w:rPr>
              <w:t>汕头市人力资源和社会保障局</w:t>
            </w:r>
          </w:p>
        </w:tc>
      </w:tr>
      <w:tr w14:paraId="1F8A9F01">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4523CC08">
            <w:pPr>
              <w:spacing w:line="240" w:lineRule="auto"/>
              <w:ind w:firstLine="0" w:firstLineChars="0"/>
              <w:rPr>
                <w:rFonts w:hint="eastAsia"/>
                <w:highlight w:val="none"/>
              </w:rPr>
            </w:pPr>
            <w:r>
              <w:rPr>
                <w:highlight w:val="none"/>
              </w:rPr>
              <w:t>18</w:t>
            </w:r>
          </w:p>
        </w:tc>
        <w:tc>
          <w:tcPr>
            <w:tcW w:w="1764" w:type="pct"/>
            <w:tcBorders>
              <w:top w:val="single" w:color="000000" w:sz="4" w:space="0"/>
              <w:left w:val="nil"/>
              <w:bottom w:val="single" w:color="000000" w:sz="4" w:space="0"/>
              <w:right w:val="single" w:color="000000" w:sz="4" w:space="0"/>
            </w:tcBorders>
            <w:noWrap/>
            <w:vAlign w:val="center"/>
          </w:tcPr>
          <w:p w14:paraId="09572899">
            <w:pPr>
              <w:spacing w:line="240" w:lineRule="auto"/>
              <w:ind w:firstLine="0" w:firstLineChars="0"/>
              <w:rPr>
                <w:rFonts w:hint="eastAsia"/>
                <w:highlight w:val="none"/>
              </w:rPr>
            </w:pPr>
            <w:r>
              <w:rPr>
                <w:highlight w:val="none"/>
              </w:rPr>
              <w:t>N000010037</w:t>
            </w:r>
          </w:p>
        </w:tc>
        <w:tc>
          <w:tcPr>
            <w:tcW w:w="2406" w:type="pct"/>
            <w:tcBorders>
              <w:top w:val="single" w:color="000000" w:sz="4" w:space="0"/>
              <w:left w:val="nil"/>
              <w:bottom w:val="single" w:color="000000" w:sz="4" w:space="0"/>
              <w:right w:val="single" w:color="000000" w:sz="4" w:space="0"/>
            </w:tcBorders>
            <w:noWrap/>
            <w:vAlign w:val="center"/>
          </w:tcPr>
          <w:p w14:paraId="6FBD3951">
            <w:pPr>
              <w:spacing w:line="240" w:lineRule="auto"/>
              <w:ind w:firstLine="0" w:firstLineChars="0"/>
              <w:rPr>
                <w:rFonts w:hint="eastAsia"/>
                <w:highlight w:val="none"/>
              </w:rPr>
            </w:pPr>
            <w:r>
              <w:rPr>
                <w:highlight w:val="none"/>
              </w:rPr>
              <w:t>汕头市自然资源局（海洋局）</w:t>
            </w:r>
          </w:p>
        </w:tc>
      </w:tr>
      <w:tr w14:paraId="3B5003DB">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24029CC4">
            <w:pPr>
              <w:spacing w:line="240" w:lineRule="auto"/>
              <w:ind w:firstLine="0" w:firstLineChars="0"/>
              <w:rPr>
                <w:rFonts w:hint="eastAsia"/>
                <w:highlight w:val="none"/>
              </w:rPr>
            </w:pPr>
            <w:r>
              <w:rPr>
                <w:highlight w:val="none"/>
              </w:rPr>
              <w:t>19</w:t>
            </w:r>
          </w:p>
        </w:tc>
        <w:tc>
          <w:tcPr>
            <w:tcW w:w="1764" w:type="pct"/>
            <w:tcBorders>
              <w:top w:val="single" w:color="000000" w:sz="4" w:space="0"/>
              <w:left w:val="nil"/>
              <w:bottom w:val="single" w:color="000000" w:sz="4" w:space="0"/>
              <w:right w:val="single" w:color="000000" w:sz="4" w:space="0"/>
            </w:tcBorders>
            <w:noWrap/>
            <w:vAlign w:val="center"/>
          </w:tcPr>
          <w:p w14:paraId="1344D5E9">
            <w:pPr>
              <w:spacing w:line="240" w:lineRule="auto"/>
              <w:ind w:firstLine="0" w:firstLineChars="0"/>
              <w:rPr>
                <w:rFonts w:hint="eastAsia"/>
                <w:highlight w:val="none"/>
              </w:rPr>
            </w:pPr>
            <w:r>
              <w:rPr>
                <w:highlight w:val="none"/>
              </w:rPr>
              <w:t>N000010038</w:t>
            </w:r>
          </w:p>
        </w:tc>
        <w:tc>
          <w:tcPr>
            <w:tcW w:w="2406" w:type="pct"/>
            <w:tcBorders>
              <w:top w:val="single" w:color="000000" w:sz="4" w:space="0"/>
              <w:left w:val="nil"/>
              <w:bottom w:val="single" w:color="000000" w:sz="4" w:space="0"/>
              <w:right w:val="single" w:color="000000" w:sz="4" w:space="0"/>
            </w:tcBorders>
            <w:noWrap/>
            <w:vAlign w:val="center"/>
          </w:tcPr>
          <w:p w14:paraId="52CF02CA">
            <w:pPr>
              <w:spacing w:line="240" w:lineRule="auto"/>
              <w:ind w:firstLine="0" w:firstLineChars="0"/>
              <w:rPr>
                <w:rFonts w:hint="eastAsia"/>
                <w:highlight w:val="none"/>
              </w:rPr>
            </w:pPr>
            <w:r>
              <w:rPr>
                <w:highlight w:val="none"/>
              </w:rPr>
              <w:t>汕头市生态环境局</w:t>
            </w:r>
          </w:p>
        </w:tc>
      </w:tr>
      <w:tr w14:paraId="6A25C52E">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07B0C925">
            <w:pPr>
              <w:spacing w:line="240" w:lineRule="auto"/>
              <w:ind w:firstLine="0" w:firstLineChars="0"/>
              <w:rPr>
                <w:rFonts w:hint="eastAsia"/>
                <w:highlight w:val="none"/>
              </w:rPr>
            </w:pPr>
            <w:r>
              <w:rPr>
                <w:highlight w:val="none"/>
              </w:rPr>
              <w:t>20</w:t>
            </w:r>
          </w:p>
        </w:tc>
        <w:tc>
          <w:tcPr>
            <w:tcW w:w="1764" w:type="pct"/>
            <w:tcBorders>
              <w:top w:val="single" w:color="000000" w:sz="4" w:space="0"/>
              <w:left w:val="nil"/>
              <w:bottom w:val="single" w:color="000000" w:sz="4" w:space="0"/>
              <w:right w:val="single" w:color="000000" w:sz="4" w:space="0"/>
            </w:tcBorders>
            <w:noWrap/>
            <w:vAlign w:val="center"/>
          </w:tcPr>
          <w:p w14:paraId="24214917">
            <w:pPr>
              <w:spacing w:line="240" w:lineRule="auto"/>
              <w:ind w:firstLine="0" w:firstLineChars="0"/>
              <w:rPr>
                <w:rFonts w:hint="eastAsia"/>
                <w:highlight w:val="none"/>
              </w:rPr>
            </w:pPr>
            <w:r>
              <w:rPr>
                <w:highlight w:val="none"/>
              </w:rPr>
              <w:t>N000010039</w:t>
            </w:r>
          </w:p>
        </w:tc>
        <w:tc>
          <w:tcPr>
            <w:tcW w:w="2406" w:type="pct"/>
            <w:tcBorders>
              <w:top w:val="single" w:color="000000" w:sz="4" w:space="0"/>
              <w:left w:val="nil"/>
              <w:bottom w:val="single" w:color="000000" w:sz="4" w:space="0"/>
              <w:right w:val="single" w:color="000000" w:sz="4" w:space="0"/>
            </w:tcBorders>
            <w:noWrap/>
            <w:vAlign w:val="center"/>
          </w:tcPr>
          <w:p w14:paraId="2BFDB71F">
            <w:pPr>
              <w:spacing w:line="240" w:lineRule="auto"/>
              <w:ind w:firstLine="0" w:firstLineChars="0"/>
              <w:rPr>
                <w:rFonts w:hint="eastAsia"/>
                <w:highlight w:val="none"/>
              </w:rPr>
            </w:pPr>
            <w:r>
              <w:rPr>
                <w:highlight w:val="none"/>
              </w:rPr>
              <w:t>汕头市住房和城乡建设局</w:t>
            </w:r>
          </w:p>
        </w:tc>
      </w:tr>
      <w:tr w14:paraId="5B01B357">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460A5B04">
            <w:pPr>
              <w:spacing w:line="240" w:lineRule="auto"/>
              <w:ind w:firstLine="0" w:firstLineChars="0"/>
              <w:rPr>
                <w:rFonts w:hint="eastAsia"/>
                <w:highlight w:val="none"/>
              </w:rPr>
            </w:pPr>
            <w:r>
              <w:rPr>
                <w:highlight w:val="none"/>
              </w:rPr>
              <w:t>21</w:t>
            </w:r>
          </w:p>
        </w:tc>
        <w:tc>
          <w:tcPr>
            <w:tcW w:w="1764" w:type="pct"/>
            <w:tcBorders>
              <w:top w:val="single" w:color="000000" w:sz="4" w:space="0"/>
              <w:left w:val="nil"/>
              <w:bottom w:val="single" w:color="000000" w:sz="4" w:space="0"/>
              <w:right w:val="single" w:color="000000" w:sz="4" w:space="0"/>
            </w:tcBorders>
            <w:noWrap/>
            <w:vAlign w:val="center"/>
          </w:tcPr>
          <w:p w14:paraId="1652721C">
            <w:pPr>
              <w:spacing w:line="240" w:lineRule="auto"/>
              <w:ind w:firstLine="0" w:firstLineChars="0"/>
              <w:rPr>
                <w:rFonts w:hint="eastAsia"/>
                <w:highlight w:val="none"/>
              </w:rPr>
            </w:pPr>
            <w:r>
              <w:rPr>
                <w:highlight w:val="none"/>
              </w:rPr>
              <w:t>N000010040</w:t>
            </w:r>
          </w:p>
        </w:tc>
        <w:tc>
          <w:tcPr>
            <w:tcW w:w="2406" w:type="pct"/>
            <w:tcBorders>
              <w:top w:val="single" w:color="000000" w:sz="4" w:space="0"/>
              <w:left w:val="nil"/>
              <w:bottom w:val="single" w:color="000000" w:sz="4" w:space="0"/>
              <w:right w:val="single" w:color="000000" w:sz="4" w:space="0"/>
            </w:tcBorders>
            <w:noWrap/>
            <w:vAlign w:val="center"/>
          </w:tcPr>
          <w:p w14:paraId="73F064D9">
            <w:pPr>
              <w:spacing w:line="240" w:lineRule="auto"/>
              <w:ind w:firstLine="0" w:firstLineChars="0"/>
              <w:rPr>
                <w:rFonts w:hint="eastAsia"/>
                <w:highlight w:val="none"/>
              </w:rPr>
            </w:pPr>
            <w:r>
              <w:rPr>
                <w:highlight w:val="none"/>
              </w:rPr>
              <w:t>汕头市交通运输局</w:t>
            </w:r>
          </w:p>
        </w:tc>
      </w:tr>
      <w:tr w14:paraId="1F3BC610">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6B4A0318">
            <w:pPr>
              <w:spacing w:line="240" w:lineRule="auto"/>
              <w:ind w:firstLine="0" w:firstLineChars="0"/>
              <w:rPr>
                <w:rFonts w:hint="eastAsia"/>
                <w:highlight w:val="none"/>
              </w:rPr>
            </w:pPr>
            <w:r>
              <w:rPr>
                <w:highlight w:val="none"/>
              </w:rPr>
              <w:t>22</w:t>
            </w:r>
          </w:p>
        </w:tc>
        <w:tc>
          <w:tcPr>
            <w:tcW w:w="1764" w:type="pct"/>
            <w:tcBorders>
              <w:top w:val="single" w:color="000000" w:sz="4" w:space="0"/>
              <w:left w:val="nil"/>
              <w:bottom w:val="single" w:color="000000" w:sz="4" w:space="0"/>
              <w:right w:val="single" w:color="000000" w:sz="4" w:space="0"/>
            </w:tcBorders>
            <w:noWrap/>
            <w:vAlign w:val="center"/>
          </w:tcPr>
          <w:p w14:paraId="11659E8A">
            <w:pPr>
              <w:spacing w:line="240" w:lineRule="auto"/>
              <w:ind w:firstLine="0" w:firstLineChars="0"/>
              <w:rPr>
                <w:rFonts w:hint="eastAsia"/>
                <w:highlight w:val="none"/>
              </w:rPr>
            </w:pPr>
            <w:r>
              <w:rPr>
                <w:highlight w:val="none"/>
              </w:rPr>
              <w:t>N000010041</w:t>
            </w:r>
          </w:p>
        </w:tc>
        <w:tc>
          <w:tcPr>
            <w:tcW w:w="2406" w:type="pct"/>
            <w:tcBorders>
              <w:top w:val="single" w:color="000000" w:sz="4" w:space="0"/>
              <w:left w:val="nil"/>
              <w:bottom w:val="single" w:color="000000" w:sz="4" w:space="0"/>
              <w:right w:val="single" w:color="000000" w:sz="4" w:space="0"/>
            </w:tcBorders>
            <w:noWrap/>
            <w:vAlign w:val="center"/>
          </w:tcPr>
          <w:p w14:paraId="027FE07D">
            <w:pPr>
              <w:spacing w:line="240" w:lineRule="auto"/>
              <w:ind w:firstLine="0" w:firstLineChars="0"/>
              <w:rPr>
                <w:rFonts w:hint="eastAsia"/>
                <w:highlight w:val="none"/>
              </w:rPr>
            </w:pPr>
            <w:r>
              <w:rPr>
                <w:highlight w:val="none"/>
              </w:rPr>
              <w:t>汕头市水务局</w:t>
            </w:r>
          </w:p>
        </w:tc>
      </w:tr>
      <w:tr w14:paraId="123B39F5">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532A1BF8">
            <w:pPr>
              <w:spacing w:line="240" w:lineRule="auto"/>
              <w:ind w:firstLine="0" w:firstLineChars="0"/>
              <w:rPr>
                <w:rFonts w:hint="eastAsia"/>
                <w:highlight w:val="none"/>
              </w:rPr>
            </w:pPr>
            <w:r>
              <w:rPr>
                <w:highlight w:val="none"/>
              </w:rPr>
              <w:t>23</w:t>
            </w:r>
          </w:p>
        </w:tc>
        <w:tc>
          <w:tcPr>
            <w:tcW w:w="1764" w:type="pct"/>
            <w:tcBorders>
              <w:top w:val="single" w:color="000000" w:sz="4" w:space="0"/>
              <w:left w:val="nil"/>
              <w:bottom w:val="single" w:color="000000" w:sz="4" w:space="0"/>
              <w:right w:val="single" w:color="000000" w:sz="4" w:space="0"/>
            </w:tcBorders>
            <w:noWrap/>
            <w:vAlign w:val="center"/>
          </w:tcPr>
          <w:p w14:paraId="117FCFDD">
            <w:pPr>
              <w:spacing w:line="240" w:lineRule="auto"/>
              <w:ind w:firstLine="0" w:firstLineChars="0"/>
              <w:rPr>
                <w:rFonts w:hint="eastAsia"/>
                <w:highlight w:val="none"/>
              </w:rPr>
            </w:pPr>
            <w:r>
              <w:rPr>
                <w:highlight w:val="none"/>
              </w:rPr>
              <w:t>N000010042</w:t>
            </w:r>
          </w:p>
        </w:tc>
        <w:tc>
          <w:tcPr>
            <w:tcW w:w="2406" w:type="pct"/>
            <w:tcBorders>
              <w:top w:val="single" w:color="000000" w:sz="4" w:space="0"/>
              <w:left w:val="nil"/>
              <w:bottom w:val="single" w:color="000000" w:sz="4" w:space="0"/>
              <w:right w:val="single" w:color="000000" w:sz="4" w:space="0"/>
            </w:tcBorders>
            <w:noWrap/>
            <w:vAlign w:val="center"/>
          </w:tcPr>
          <w:p w14:paraId="6F5611CC">
            <w:pPr>
              <w:spacing w:line="240" w:lineRule="auto"/>
              <w:ind w:firstLine="0" w:firstLineChars="0"/>
              <w:rPr>
                <w:rFonts w:hint="eastAsia"/>
                <w:highlight w:val="none"/>
              </w:rPr>
            </w:pPr>
            <w:r>
              <w:rPr>
                <w:highlight w:val="none"/>
              </w:rPr>
              <w:t>汕头市农业农村局（乡村振兴局）</w:t>
            </w:r>
          </w:p>
        </w:tc>
      </w:tr>
      <w:tr w14:paraId="289E4706">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052B2EB2">
            <w:pPr>
              <w:spacing w:line="240" w:lineRule="auto"/>
              <w:ind w:firstLine="0" w:firstLineChars="0"/>
              <w:rPr>
                <w:rFonts w:hint="eastAsia"/>
                <w:highlight w:val="none"/>
              </w:rPr>
            </w:pPr>
            <w:r>
              <w:rPr>
                <w:highlight w:val="none"/>
              </w:rPr>
              <w:t>24</w:t>
            </w:r>
          </w:p>
        </w:tc>
        <w:tc>
          <w:tcPr>
            <w:tcW w:w="1764" w:type="pct"/>
            <w:tcBorders>
              <w:top w:val="single" w:color="000000" w:sz="4" w:space="0"/>
              <w:left w:val="nil"/>
              <w:bottom w:val="single" w:color="000000" w:sz="4" w:space="0"/>
              <w:right w:val="single" w:color="000000" w:sz="4" w:space="0"/>
            </w:tcBorders>
            <w:noWrap/>
            <w:vAlign w:val="center"/>
          </w:tcPr>
          <w:p w14:paraId="64AB091A">
            <w:pPr>
              <w:spacing w:line="240" w:lineRule="auto"/>
              <w:ind w:firstLine="0" w:firstLineChars="0"/>
              <w:rPr>
                <w:rFonts w:hint="eastAsia"/>
                <w:highlight w:val="none"/>
              </w:rPr>
            </w:pPr>
            <w:r>
              <w:rPr>
                <w:highlight w:val="none"/>
              </w:rPr>
              <w:t>N000010043</w:t>
            </w:r>
          </w:p>
        </w:tc>
        <w:tc>
          <w:tcPr>
            <w:tcW w:w="2406" w:type="pct"/>
            <w:tcBorders>
              <w:top w:val="single" w:color="000000" w:sz="4" w:space="0"/>
              <w:left w:val="nil"/>
              <w:bottom w:val="single" w:color="000000" w:sz="4" w:space="0"/>
              <w:right w:val="single" w:color="000000" w:sz="4" w:space="0"/>
            </w:tcBorders>
            <w:noWrap/>
            <w:vAlign w:val="center"/>
          </w:tcPr>
          <w:p w14:paraId="10890B42">
            <w:pPr>
              <w:spacing w:line="240" w:lineRule="auto"/>
              <w:ind w:firstLine="0" w:firstLineChars="0"/>
              <w:rPr>
                <w:rFonts w:hint="eastAsia"/>
                <w:highlight w:val="none"/>
              </w:rPr>
            </w:pPr>
            <w:r>
              <w:rPr>
                <w:highlight w:val="none"/>
              </w:rPr>
              <w:t>汕头市商务局（口岸局）</w:t>
            </w:r>
          </w:p>
        </w:tc>
      </w:tr>
      <w:tr w14:paraId="24F38EFC">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5B177C08">
            <w:pPr>
              <w:spacing w:line="240" w:lineRule="auto"/>
              <w:ind w:firstLine="0" w:firstLineChars="0"/>
              <w:rPr>
                <w:rFonts w:hint="eastAsia"/>
                <w:highlight w:val="none"/>
              </w:rPr>
            </w:pPr>
            <w:r>
              <w:rPr>
                <w:highlight w:val="none"/>
              </w:rPr>
              <w:t>25</w:t>
            </w:r>
          </w:p>
        </w:tc>
        <w:tc>
          <w:tcPr>
            <w:tcW w:w="1764" w:type="pct"/>
            <w:tcBorders>
              <w:top w:val="single" w:color="000000" w:sz="4" w:space="0"/>
              <w:left w:val="nil"/>
              <w:bottom w:val="single" w:color="000000" w:sz="4" w:space="0"/>
              <w:right w:val="single" w:color="000000" w:sz="4" w:space="0"/>
            </w:tcBorders>
            <w:noWrap/>
            <w:vAlign w:val="center"/>
          </w:tcPr>
          <w:p w14:paraId="2EFE2A5B">
            <w:pPr>
              <w:spacing w:line="240" w:lineRule="auto"/>
              <w:ind w:firstLine="0" w:firstLineChars="0"/>
              <w:rPr>
                <w:rFonts w:hint="eastAsia"/>
                <w:highlight w:val="none"/>
              </w:rPr>
            </w:pPr>
            <w:r>
              <w:rPr>
                <w:highlight w:val="none"/>
              </w:rPr>
              <w:t>N000010044</w:t>
            </w:r>
          </w:p>
        </w:tc>
        <w:tc>
          <w:tcPr>
            <w:tcW w:w="2406" w:type="pct"/>
            <w:tcBorders>
              <w:top w:val="single" w:color="000000" w:sz="4" w:space="0"/>
              <w:left w:val="nil"/>
              <w:bottom w:val="single" w:color="000000" w:sz="4" w:space="0"/>
              <w:right w:val="single" w:color="000000" w:sz="4" w:space="0"/>
            </w:tcBorders>
            <w:noWrap/>
            <w:vAlign w:val="center"/>
          </w:tcPr>
          <w:p w14:paraId="67ABAAAA">
            <w:pPr>
              <w:spacing w:line="240" w:lineRule="auto"/>
              <w:ind w:firstLine="0" w:firstLineChars="0"/>
              <w:rPr>
                <w:rFonts w:hint="eastAsia"/>
                <w:highlight w:val="none"/>
              </w:rPr>
            </w:pPr>
            <w:r>
              <w:rPr>
                <w:highlight w:val="none"/>
              </w:rPr>
              <w:t>汕头市文化广电旅游体育局（文物局）</w:t>
            </w:r>
          </w:p>
        </w:tc>
      </w:tr>
      <w:tr w14:paraId="79676F08">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2EC10F59">
            <w:pPr>
              <w:spacing w:line="240" w:lineRule="auto"/>
              <w:ind w:firstLine="0" w:firstLineChars="0"/>
              <w:rPr>
                <w:rFonts w:hint="eastAsia"/>
                <w:highlight w:val="none"/>
              </w:rPr>
            </w:pPr>
            <w:r>
              <w:rPr>
                <w:highlight w:val="none"/>
              </w:rPr>
              <w:t>26</w:t>
            </w:r>
          </w:p>
        </w:tc>
        <w:tc>
          <w:tcPr>
            <w:tcW w:w="1764" w:type="pct"/>
            <w:tcBorders>
              <w:top w:val="single" w:color="000000" w:sz="4" w:space="0"/>
              <w:left w:val="nil"/>
              <w:bottom w:val="single" w:color="000000" w:sz="4" w:space="0"/>
              <w:right w:val="single" w:color="000000" w:sz="4" w:space="0"/>
            </w:tcBorders>
            <w:noWrap/>
            <w:vAlign w:val="center"/>
          </w:tcPr>
          <w:p w14:paraId="3F768CD8">
            <w:pPr>
              <w:spacing w:line="240" w:lineRule="auto"/>
              <w:ind w:firstLine="0" w:firstLineChars="0"/>
              <w:rPr>
                <w:rFonts w:hint="eastAsia"/>
                <w:highlight w:val="none"/>
              </w:rPr>
            </w:pPr>
            <w:r>
              <w:rPr>
                <w:highlight w:val="none"/>
              </w:rPr>
              <w:t>N000010045</w:t>
            </w:r>
          </w:p>
        </w:tc>
        <w:tc>
          <w:tcPr>
            <w:tcW w:w="2406" w:type="pct"/>
            <w:tcBorders>
              <w:top w:val="single" w:color="000000" w:sz="4" w:space="0"/>
              <w:left w:val="nil"/>
              <w:bottom w:val="single" w:color="000000" w:sz="4" w:space="0"/>
              <w:right w:val="single" w:color="000000" w:sz="4" w:space="0"/>
            </w:tcBorders>
            <w:noWrap/>
            <w:vAlign w:val="center"/>
          </w:tcPr>
          <w:p w14:paraId="42060732">
            <w:pPr>
              <w:spacing w:line="240" w:lineRule="auto"/>
              <w:ind w:firstLine="0" w:firstLineChars="0"/>
              <w:rPr>
                <w:rFonts w:hint="eastAsia"/>
                <w:highlight w:val="none"/>
              </w:rPr>
            </w:pPr>
            <w:r>
              <w:rPr>
                <w:highlight w:val="none"/>
              </w:rPr>
              <w:t>汕头市卫生健康局（中医药局）</w:t>
            </w:r>
          </w:p>
        </w:tc>
      </w:tr>
      <w:tr w14:paraId="340B0249">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01B85D0">
            <w:pPr>
              <w:spacing w:line="240" w:lineRule="auto"/>
              <w:ind w:firstLine="0" w:firstLineChars="0"/>
              <w:rPr>
                <w:rFonts w:hint="eastAsia"/>
                <w:highlight w:val="none"/>
              </w:rPr>
            </w:pPr>
            <w:r>
              <w:rPr>
                <w:highlight w:val="none"/>
              </w:rPr>
              <w:t>27</w:t>
            </w:r>
          </w:p>
        </w:tc>
        <w:tc>
          <w:tcPr>
            <w:tcW w:w="1764" w:type="pct"/>
            <w:tcBorders>
              <w:top w:val="single" w:color="000000" w:sz="4" w:space="0"/>
              <w:left w:val="nil"/>
              <w:bottom w:val="single" w:color="000000" w:sz="4" w:space="0"/>
              <w:right w:val="single" w:color="000000" w:sz="4" w:space="0"/>
            </w:tcBorders>
            <w:noWrap/>
            <w:vAlign w:val="center"/>
          </w:tcPr>
          <w:p w14:paraId="0AE93271">
            <w:pPr>
              <w:spacing w:line="240" w:lineRule="auto"/>
              <w:ind w:firstLine="0" w:firstLineChars="0"/>
              <w:rPr>
                <w:rFonts w:hint="eastAsia"/>
                <w:highlight w:val="none"/>
              </w:rPr>
            </w:pPr>
            <w:r>
              <w:rPr>
                <w:highlight w:val="none"/>
              </w:rPr>
              <w:t>N000010046</w:t>
            </w:r>
          </w:p>
        </w:tc>
        <w:tc>
          <w:tcPr>
            <w:tcW w:w="2406" w:type="pct"/>
            <w:tcBorders>
              <w:top w:val="single" w:color="000000" w:sz="4" w:space="0"/>
              <w:left w:val="nil"/>
              <w:bottom w:val="single" w:color="000000" w:sz="4" w:space="0"/>
              <w:right w:val="single" w:color="000000" w:sz="4" w:space="0"/>
            </w:tcBorders>
            <w:noWrap/>
            <w:vAlign w:val="center"/>
          </w:tcPr>
          <w:p w14:paraId="2F40BD2B">
            <w:pPr>
              <w:spacing w:line="240" w:lineRule="auto"/>
              <w:ind w:firstLine="0" w:firstLineChars="0"/>
              <w:rPr>
                <w:rFonts w:hint="eastAsia"/>
                <w:highlight w:val="none"/>
              </w:rPr>
            </w:pPr>
            <w:r>
              <w:rPr>
                <w:highlight w:val="none"/>
              </w:rPr>
              <w:t>汕头市审计局</w:t>
            </w:r>
          </w:p>
        </w:tc>
      </w:tr>
      <w:tr w14:paraId="0054041E">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256378AC">
            <w:pPr>
              <w:spacing w:line="240" w:lineRule="auto"/>
              <w:ind w:firstLine="0" w:firstLineChars="0"/>
              <w:rPr>
                <w:rFonts w:hint="eastAsia"/>
                <w:highlight w:val="none"/>
              </w:rPr>
            </w:pPr>
            <w:r>
              <w:rPr>
                <w:highlight w:val="none"/>
              </w:rPr>
              <w:t>28</w:t>
            </w:r>
          </w:p>
        </w:tc>
        <w:tc>
          <w:tcPr>
            <w:tcW w:w="1764" w:type="pct"/>
            <w:tcBorders>
              <w:top w:val="single" w:color="000000" w:sz="4" w:space="0"/>
              <w:left w:val="nil"/>
              <w:bottom w:val="single" w:color="000000" w:sz="4" w:space="0"/>
              <w:right w:val="single" w:color="000000" w:sz="4" w:space="0"/>
            </w:tcBorders>
            <w:noWrap/>
            <w:vAlign w:val="center"/>
          </w:tcPr>
          <w:p w14:paraId="74192344">
            <w:pPr>
              <w:spacing w:line="240" w:lineRule="auto"/>
              <w:ind w:firstLine="0" w:firstLineChars="0"/>
              <w:rPr>
                <w:rFonts w:hint="eastAsia"/>
                <w:highlight w:val="none"/>
              </w:rPr>
            </w:pPr>
            <w:r>
              <w:rPr>
                <w:highlight w:val="none"/>
              </w:rPr>
              <w:t>N000010048</w:t>
            </w:r>
          </w:p>
        </w:tc>
        <w:tc>
          <w:tcPr>
            <w:tcW w:w="2406" w:type="pct"/>
            <w:tcBorders>
              <w:top w:val="single" w:color="000000" w:sz="4" w:space="0"/>
              <w:left w:val="nil"/>
              <w:bottom w:val="single" w:color="000000" w:sz="4" w:space="0"/>
              <w:right w:val="single" w:color="000000" w:sz="4" w:space="0"/>
            </w:tcBorders>
            <w:noWrap/>
            <w:vAlign w:val="center"/>
          </w:tcPr>
          <w:p w14:paraId="036ADE2B">
            <w:pPr>
              <w:spacing w:line="240" w:lineRule="auto"/>
              <w:ind w:firstLine="0" w:firstLineChars="0"/>
              <w:rPr>
                <w:rFonts w:hint="eastAsia"/>
                <w:highlight w:val="none"/>
              </w:rPr>
            </w:pPr>
            <w:r>
              <w:rPr>
                <w:highlight w:val="none"/>
              </w:rPr>
              <w:t>汕头市人民政府国有资产监督管理委员会</w:t>
            </w:r>
          </w:p>
        </w:tc>
      </w:tr>
      <w:tr w14:paraId="4D342698">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322EB2AA">
            <w:pPr>
              <w:spacing w:line="240" w:lineRule="auto"/>
              <w:ind w:firstLine="0" w:firstLineChars="0"/>
              <w:rPr>
                <w:rFonts w:hint="eastAsia"/>
                <w:highlight w:val="none"/>
              </w:rPr>
            </w:pPr>
            <w:r>
              <w:rPr>
                <w:highlight w:val="none"/>
              </w:rPr>
              <w:t>29</w:t>
            </w:r>
          </w:p>
        </w:tc>
        <w:tc>
          <w:tcPr>
            <w:tcW w:w="1764" w:type="pct"/>
            <w:tcBorders>
              <w:top w:val="single" w:color="000000" w:sz="4" w:space="0"/>
              <w:left w:val="nil"/>
              <w:bottom w:val="single" w:color="000000" w:sz="4" w:space="0"/>
              <w:right w:val="single" w:color="000000" w:sz="4" w:space="0"/>
            </w:tcBorders>
            <w:noWrap/>
            <w:vAlign w:val="center"/>
          </w:tcPr>
          <w:p w14:paraId="4488ED57">
            <w:pPr>
              <w:spacing w:line="240" w:lineRule="auto"/>
              <w:ind w:firstLine="0" w:firstLineChars="0"/>
              <w:rPr>
                <w:rFonts w:hint="eastAsia"/>
                <w:highlight w:val="none"/>
              </w:rPr>
            </w:pPr>
            <w:r>
              <w:rPr>
                <w:highlight w:val="none"/>
              </w:rPr>
              <w:t>N000010051</w:t>
            </w:r>
          </w:p>
        </w:tc>
        <w:tc>
          <w:tcPr>
            <w:tcW w:w="2406" w:type="pct"/>
            <w:tcBorders>
              <w:top w:val="single" w:color="000000" w:sz="4" w:space="0"/>
              <w:left w:val="nil"/>
              <w:bottom w:val="single" w:color="000000" w:sz="4" w:space="0"/>
              <w:right w:val="single" w:color="000000" w:sz="4" w:space="0"/>
            </w:tcBorders>
            <w:noWrap/>
            <w:vAlign w:val="center"/>
          </w:tcPr>
          <w:p w14:paraId="5405F2B4">
            <w:pPr>
              <w:spacing w:line="240" w:lineRule="auto"/>
              <w:ind w:firstLine="0" w:firstLineChars="0"/>
              <w:rPr>
                <w:rFonts w:hint="eastAsia"/>
                <w:highlight w:val="none"/>
              </w:rPr>
            </w:pPr>
            <w:r>
              <w:rPr>
                <w:highlight w:val="none"/>
              </w:rPr>
              <w:t>汕头市应急管理局</w:t>
            </w:r>
          </w:p>
        </w:tc>
      </w:tr>
      <w:tr w14:paraId="68E36F00">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64B97F78">
            <w:pPr>
              <w:spacing w:line="240" w:lineRule="auto"/>
              <w:ind w:firstLine="0" w:firstLineChars="0"/>
              <w:rPr>
                <w:rFonts w:hint="eastAsia"/>
                <w:highlight w:val="none"/>
              </w:rPr>
            </w:pPr>
            <w:r>
              <w:rPr>
                <w:highlight w:val="none"/>
              </w:rPr>
              <w:t>30</w:t>
            </w:r>
          </w:p>
        </w:tc>
        <w:tc>
          <w:tcPr>
            <w:tcW w:w="1764" w:type="pct"/>
            <w:tcBorders>
              <w:top w:val="single" w:color="000000" w:sz="4" w:space="0"/>
              <w:left w:val="nil"/>
              <w:bottom w:val="single" w:color="000000" w:sz="4" w:space="0"/>
              <w:right w:val="single" w:color="000000" w:sz="4" w:space="0"/>
            </w:tcBorders>
            <w:noWrap/>
            <w:vAlign w:val="center"/>
          </w:tcPr>
          <w:p w14:paraId="3B5BFECD">
            <w:pPr>
              <w:spacing w:line="240" w:lineRule="auto"/>
              <w:ind w:firstLine="0" w:firstLineChars="0"/>
              <w:rPr>
                <w:rFonts w:hint="eastAsia"/>
                <w:highlight w:val="none"/>
              </w:rPr>
            </w:pPr>
            <w:r>
              <w:rPr>
                <w:highlight w:val="none"/>
              </w:rPr>
              <w:t>N000010053</w:t>
            </w:r>
          </w:p>
        </w:tc>
        <w:tc>
          <w:tcPr>
            <w:tcW w:w="2406" w:type="pct"/>
            <w:tcBorders>
              <w:top w:val="single" w:color="000000" w:sz="4" w:space="0"/>
              <w:left w:val="nil"/>
              <w:bottom w:val="single" w:color="000000" w:sz="4" w:space="0"/>
              <w:right w:val="single" w:color="000000" w:sz="4" w:space="0"/>
            </w:tcBorders>
            <w:noWrap/>
            <w:vAlign w:val="center"/>
          </w:tcPr>
          <w:p w14:paraId="534AE101">
            <w:pPr>
              <w:spacing w:line="240" w:lineRule="auto"/>
              <w:ind w:firstLine="0" w:firstLineChars="0"/>
              <w:rPr>
                <w:rFonts w:hint="eastAsia"/>
                <w:highlight w:val="none"/>
              </w:rPr>
            </w:pPr>
            <w:r>
              <w:rPr>
                <w:highlight w:val="none"/>
              </w:rPr>
              <w:t>汕头市统计局</w:t>
            </w:r>
          </w:p>
        </w:tc>
      </w:tr>
      <w:tr w14:paraId="4992AE4A">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78264CC1">
            <w:pPr>
              <w:spacing w:line="240" w:lineRule="auto"/>
              <w:ind w:firstLine="0" w:firstLineChars="0"/>
              <w:rPr>
                <w:rFonts w:hint="eastAsia"/>
                <w:highlight w:val="none"/>
              </w:rPr>
            </w:pPr>
            <w:r>
              <w:rPr>
                <w:highlight w:val="none"/>
              </w:rPr>
              <w:t>31</w:t>
            </w:r>
          </w:p>
        </w:tc>
        <w:tc>
          <w:tcPr>
            <w:tcW w:w="1764" w:type="pct"/>
            <w:tcBorders>
              <w:top w:val="single" w:color="000000" w:sz="4" w:space="0"/>
              <w:left w:val="nil"/>
              <w:bottom w:val="single" w:color="000000" w:sz="4" w:space="0"/>
              <w:right w:val="single" w:color="000000" w:sz="4" w:space="0"/>
            </w:tcBorders>
            <w:noWrap/>
            <w:vAlign w:val="center"/>
          </w:tcPr>
          <w:p w14:paraId="705B8EAF">
            <w:pPr>
              <w:spacing w:line="240" w:lineRule="auto"/>
              <w:ind w:firstLine="0" w:firstLineChars="0"/>
              <w:rPr>
                <w:rFonts w:hint="eastAsia"/>
                <w:highlight w:val="none"/>
              </w:rPr>
            </w:pPr>
            <w:r>
              <w:rPr>
                <w:highlight w:val="none"/>
              </w:rPr>
              <w:t>N000010058</w:t>
            </w:r>
          </w:p>
        </w:tc>
        <w:tc>
          <w:tcPr>
            <w:tcW w:w="2406" w:type="pct"/>
            <w:tcBorders>
              <w:top w:val="single" w:color="000000" w:sz="4" w:space="0"/>
              <w:left w:val="nil"/>
              <w:bottom w:val="single" w:color="000000" w:sz="4" w:space="0"/>
              <w:right w:val="single" w:color="000000" w:sz="4" w:space="0"/>
            </w:tcBorders>
            <w:noWrap/>
            <w:vAlign w:val="center"/>
          </w:tcPr>
          <w:p w14:paraId="037DB21C">
            <w:pPr>
              <w:spacing w:line="240" w:lineRule="auto"/>
              <w:ind w:firstLine="0" w:firstLineChars="0"/>
              <w:rPr>
                <w:rFonts w:hint="eastAsia"/>
                <w:highlight w:val="none"/>
              </w:rPr>
            </w:pPr>
            <w:r>
              <w:rPr>
                <w:highlight w:val="none"/>
              </w:rPr>
              <w:t>汕头市城市管理和综合执法局</w:t>
            </w:r>
          </w:p>
        </w:tc>
      </w:tr>
      <w:tr w14:paraId="17B5E457">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B351C16">
            <w:pPr>
              <w:spacing w:line="240" w:lineRule="auto"/>
              <w:ind w:firstLine="0" w:firstLineChars="0"/>
              <w:rPr>
                <w:rFonts w:hint="eastAsia"/>
                <w:highlight w:val="none"/>
              </w:rPr>
            </w:pPr>
            <w:r>
              <w:rPr>
                <w:highlight w:val="none"/>
              </w:rPr>
              <w:t>32</w:t>
            </w:r>
          </w:p>
        </w:tc>
        <w:tc>
          <w:tcPr>
            <w:tcW w:w="1764" w:type="pct"/>
            <w:tcBorders>
              <w:top w:val="single" w:color="000000" w:sz="4" w:space="0"/>
              <w:left w:val="nil"/>
              <w:bottom w:val="single" w:color="000000" w:sz="4" w:space="0"/>
              <w:right w:val="single" w:color="000000" w:sz="4" w:space="0"/>
            </w:tcBorders>
            <w:noWrap/>
            <w:vAlign w:val="center"/>
          </w:tcPr>
          <w:p w14:paraId="5F832B3E">
            <w:pPr>
              <w:spacing w:line="240" w:lineRule="auto"/>
              <w:ind w:firstLine="0" w:firstLineChars="0"/>
              <w:rPr>
                <w:rFonts w:hint="eastAsia"/>
                <w:highlight w:val="none"/>
              </w:rPr>
            </w:pPr>
            <w:r>
              <w:rPr>
                <w:highlight w:val="none"/>
              </w:rPr>
              <w:t>N000010063</w:t>
            </w:r>
          </w:p>
        </w:tc>
        <w:tc>
          <w:tcPr>
            <w:tcW w:w="2406" w:type="pct"/>
            <w:tcBorders>
              <w:top w:val="single" w:color="000000" w:sz="4" w:space="0"/>
              <w:left w:val="nil"/>
              <w:bottom w:val="single" w:color="000000" w:sz="4" w:space="0"/>
              <w:right w:val="single" w:color="000000" w:sz="4" w:space="0"/>
            </w:tcBorders>
            <w:noWrap/>
            <w:vAlign w:val="center"/>
          </w:tcPr>
          <w:p w14:paraId="461ECCA7">
            <w:pPr>
              <w:spacing w:line="240" w:lineRule="auto"/>
              <w:ind w:firstLine="0" w:firstLineChars="0"/>
              <w:rPr>
                <w:rFonts w:hint="eastAsia"/>
                <w:highlight w:val="none"/>
              </w:rPr>
            </w:pPr>
            <w:r>
              <w:rPr>
                <w:highlight w:val="none"/>
              </w:rPr>
              <w:t>汕头市政务服务和数据管理局</w:t>
            </w:r>
          </w:p>
        </w:tc>
      </w:tr>
      <w:tr w14:paraId="07D7A981">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38058D8F">
            <w:pPr>
              <w:spacing w:line="240" w:lineRule="auto"/>
              <w:ind w:firstLine="0" w:firstLineChars="0"/>
              <w:rPr>
                <w:rFonts w:hint="eastAsia"/>
                <w:highlight w:val="none"/>
              </w:rPr>
            </w:pPr>
            <w:r>
              <w:rPr>
                <w:highlight w:val="none"/>
              </w:rPr>
              <w:t>33</w:t>
            </w:r>
          </w:p>
        </w:tc>
        <w:tc>
          <w:tcPr>
            <w:tcW w:w="1764" w:type="pct"/>
            <w:tcBorders>
              <w:top w:val="single" w:color="000000" w:sz="4" w:space="0"/>
              <w:left w:val="nil"/>
              <w:bottom w:val="single" w:color="000000" w:sz="4" w:space="0"/>
              <w:right w:val="single" w:color="000000" w:sz="4" w:space="0"/>
            </w:tcBorders>
            <w:noWrap/>
            <w:vAlign w:val="center"/>
          </w:tcPr>
          <w:p w14:paraId="48148A61">
            <w:pPr>
              <w:spacing w:line="240" w:lineRule="auto"/>
              <w:ind w:firstLine="0" w:firstLineChars="0"/>
              <w:rPr>
                <w:rFonts w:hint="eastAsia"/>
                <w:highlight w:val="none"/>
              </w:rPr>
            </w:pPr>
            <w:r>
              <w:rPr>
                <w:highlight w:val="none"/>
              </w:rPr>
              <w:t>N000010064</w:t>
            </w:r>
          </w:p>
        </w:tc>
        <w:tc>
          <w:tcPr>
            <w:tcW w:w="2406" w:type="pct"/>
            <w:tcBorders>
              <w:top w:val="single" w:color="000000" w:sz="4" w:space="0"/>
              <w:left w:val="nil"/>
              <w:bottom w:val="single" w:color="000000" w:sz="4" w:space="0"/>
              <w:right w:val="single" w:color="000000" w:sz="4" w:space="0"/>
            </w:tcBorders>
            <w:noWrap/>
            <w:vAlign w:val="center"/>
          </w:tcPr>
          <w:p w14:paraId="570D8680">
            <w:pPr>
              <w:spacing w:line="240" w:lineRule="auto"/>
              <w:ind w:firstLine="0" w:firstLineChars="0"/>
              <w:rPr>
                <w:rFonts w:hint="eastAsia"/>
                <w:highlight w:val="none"/>
              </w:rPr>
            </w:pPr>
            <w:r>
              <w:rPr>
                <w:highlight w:val="none"/>
              </w:rPr>
              <w:t>汕头市机关事务管理局</w:t>
            </w:r>
          </w:p>
        </w:tc>
      </w:tr>
      <w:tr w14:paraId="56D3ED5E">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778E68D7">
            <w:pPr>
              <w:spacing w:line="240" w:lineRule="auto"/>
              <w:ind w:firstLine="0" w:firstLineChars="0"/>
              <w:rPr>
                <w:rFonts w:hint="eastAsia"/>
                <w:highlight w:val="none"/>
              </w:rPr>
            </w:pPr>
            <w:r>
              <w:rPr>
                <w:highlight w:val="none"/>
              </w:rPr>
              <w:t>34</w:t>
            </w:r>
          </w:p>
        </w:tc>
        <w:tc>
          <w:tcPr>
            <w:tcW w:w="1764" w:type="pct"/>
            <w:tcBorders>
              <w:top w:val="single" w:color="000000" w:sz="4" w:space="0"/>
              <w:left w:val="nil"/>
              <w:bottom w:val="single" w:color="000000" w:sz="4" w:space="0"/>
              <w:right w:val="single" w:color="000000" w:sz="4" w:space="0"/>
            </w:tcBorders>
            <w:noWrap/>
            <w:vAlign w:val="center"/>
          </w:tcPr>
          <w:p w14:paraId="2D58FC0A">
            <w:pPr>
              <w:spacing w:line="240" w:lineRule="auto"/>
              <w:ind w:firstLine="0" w:firstLineChars="0"/>
              <w:rPr>
                <w:rFonts w:hint="eastAsia"/>
                <w:highlight w:val="none"/>
              </w:rPr>
            </w:pPr>
            <w:r>
              <w:rPr>
                <w:highlight w:val="none"/>
              </w:rPr>
              <w:t>N000010066</w:t>
            </w:r>
          </w:p>
        </w:tc>
        <w:tc>
          <w:tcPr>
            <w:tcW w:w="2406" w:type="pct"/>
            <w:tcBorders>
              <w:top w:val="single" w:color="000000" w:sz="4" w:space="0"/>
              <w:left w:val="nil"/>
              <w:bottom w:val="single" w:color="000000" w:sz="4" w:space="0"/>
              <w:right w:val="single" w:color="000000" w:sz="4" w:space="0"/>
            </w:tcBorders>
            <w:noWrap/>
            <w:vAlign w:val="center"/>
          </w:tcPr>
          <w:p w14:paraId="49C9CFE4">
            <w:pPr>
              <w:spacing w:line="240" w:lineRule="auto"/>
              <w:ind w:firstLine="0" w:firstLineChars="0"/>
              <w:rPr>
                <w:rFonts w:hint="eastAsia"/>
                <w:highlight w:val="none"/>
              </w:rPr>
            </w:pPr>
            <w:r>
              <w:rPr>
                <w:highlight w:val="none"/>
              </w:rPr>
              <w:t>汕头仲裁委员会</w:t>
            </w:r>
          </w:p>
        </w:tc>
      </w:tr>
      <w:tr w14:paraId="612DCD7A">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B460492">
            <w:pPr>
              <w:spacing w:line="240" w:lineRule="auto"/>
              <w:ind w:firstLine="0" w:firstLineChars="0"/>
              <w:rPr>
                <w:rFonts w:hint="eastAsia"/>
                <w:highlight w:val="none"/>
              </w:rPr>
            </w:pPr>
            <w:r>
              <w:rPr>
                <w:highlight w:val="none"/>
              </w:rPr>
              <w:t>35</w:t>
            </w:r>
          </w:p>
        </w:tc>
        <w:tc>
          <w:tcPr>
            <w:tcW w:w="1764" w:type="pct"/>
            <w:tcBorders>
              <w:top w:val="single" w:color="000000" w:sz="4" w:space="0"/>
              <w:left w:val="nil"/>
              <w:bottom w:val="single" w:color="000000" w:sz="4" w:space="0"/>
              <w:right w:val="single" w:color="000000" w:sz="4" w:space="0"/>
            </w:tcBorders>
            <w:noWrap/>
            <w:vAlign w:val="center"/>
          </w:tcPr>
          <w:p w14:paraId="682A0B36">
            <w:pPr>
              <w:spacing w:line="240" w:lineRule="auto"/>
              <w:ind w:firstLine="0" w:firstLineChars="0"/>
              <w:rPr>
                <w:rFonts w:hint="eastAsia"/>
                <w:highlight w:val="none"/>
              </w:rPr>
            </w:pPr>
            <w:r>
              <w:rPr>
                <w:highlight w:val="none"/>
              </w:rPr>
              <w:t>N000010067</w:t>
            </w:r>
          </w:p>
        </w:tc>
        <w:tc>
          <w:tcPr>
            <w:tcW w:w="2406" w:type="pct"/>
            <w:tcBorders>
              <w:top w:val="single" w:color="000000" w:sz="4" w:space="0"/>
              <w:left w:val="nil"/>
              <w:bottom w:val="single" w:color="000000" w:sz="4" w:space="0"/>
              <w:right w:val="single" w:color="000000" w:sz="4" w:space="0"/>
            </w:tcBorders>
            <w:noWrap/>
            <w:vAlign w:val="center"/>
          </w:tcPr>
          <w:p w14:paraId="2FFCFCF8">
            <w:pPr>
              <w:spacing w:line="240" w:lineRule="auto"/>
              <w:ind w:firstLine="0" w:firstLineChars="0"/>
              <w:rPr>
                <w:rFonts w:hint="eastAsia"/>
                <w:highlight w:val="none"/>
              </w:rPr>
            </w:pPr>
            <w:r>
              <w:rPr>
                <w:highlight w:val="none"/>
              </w:rPr>
              <w:t>汕头市地震局</w:t>
            </w:r>
          </w:p>
        </w:tc>
      </w:tr>
      <w:tr w14:paraId="469DD029">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3530A7C0">
            <w:pPr>
              <w:spacing w:line="240" w:lineRule="auto"/>
              <w:ind w:firstLine="0" w:firstLineChars="0"/>
              <w:rPr>
                <w:rFonts w:hint="eastAsia"/>
                <w:highlight w:val="none"/>
              </w:rPr>
            </w:pPr>
            <w:r>
              <w:rPr>
                <w:highlight w:val="none"/>
              </w:rPr>
              <w:t>36</w:t>
            </w:r>
          </w:p>
        </w:tc>
        <w:tc>
          <w:tcPr>
            <w:tcW w:w="1764" w:type="pct"/>
            <w:tcBorders>
              <w:top w:val="single" w:color="000000" w:sz="4" w:space="0"/>
              <w:left w:val="nil"/>
              <w:bottom w:val="single" w:color="000000" w:sz="4" w:space="0"/>
              <w:right w:val="single" w:color="000000" w:sz="4" w:space="0"/>
            </w:tcBorders>
            <w:noWrap/>
            <w:vAlign w:val="center"/>
          </w:tcPr>
          <w:p w14:paraId="26A02FD7">
            <w:pPr>
              <w:spacing w:line="240" w:lineRule="auto"/>
              <w:ind w:firstLine="0" w:firstLineChars="0"/>
              <w:rPr>
                <w:rFonts w:hint="eastAsia"/>
                <w:highlight w:val="none"/>
              </w:rPr>
            </w:pPr>
            <w:r>
              <w:rPr>
                <w:highlight w:val="none"/>
              </w:rPr>
              <w:t>N000010068</w:t>
            </w:r>
          </w:p>
        </w:tc>
        <w:tc>
          <w:tcPr>
            <w:tcW w:w="2406" w:type="pct"/>
            <w:tcBorders>
              <w:top w:val="single" w:color="000000" w:sz="4" w:space="0"/>
              <w:left w:val="nil"/>
              <w:bottom w:val="single" w:color="000000" w:sz="4" w:space="0"/>
              <w:right w:val="single" w:color="000000" w:sz="4" w:space="0"/>
            </w:tcBorders>
            <w:noWrap/>
            <w:vAlign w:val="center"/>
          </w:tcPr>
          <w:p w14:paraId="6A5822B2">
            <w:pPr>
              <w:spacing w:line="240" w:lineRule="auto"/>
              <w:ind w:firstLine="0" w:firstLineChars="0"/>
              <w:rPr>
                <w:rFonts w:hint="eastAsia"/>
                <w:highlight w:val="none"/>
              </w:rPr>
            </w:pPr>
            <w:r>
              <w:rPr>
                <w:highlight w:val="none"/>
              </w:rPr>
              <w:t>汕头市供销合作总社</w:t>
            </w:r>
          </w:p>
        </w:tc>
      </w:tr>
      <w:tr w14:paraId="35BB9F91">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2F479E3F">
            <w:pPr>
              <w:spacing w:line="240" w:lineRule="auto"/>
              <w:ind w:firstLine="0" w:firstLineChars="0"/>
              <w:rPr>
                <w:rFonts w:hint="eastAsia"/>
                <w:highlight w:val="none"/>
              </w:rPr>
            </w:pPr>
            <w:r>
              <w:rPr>
                <w:highlight w:val="none"/>
              </w:rPr>
              <w:t>37</w:t>
            </w:r>
          </w:p>
        </w:tc>
        <w:tc>
          <w:tcPr>
            <w:tcW w:w="1764" w:type="pct"/>
            <w:tcBorders>
              <w:top w:val="single" w:color="000000" w:sz="4" w:space="0"/>
              <w:left w:val="nil"/>
              <w:bottom w:val="single" w:color="000000" w:sz="4" w:space="0"/>
              <w:right w:val="single" w:color="000000" w:sz="4" w:space="0"/>
            </w:tcBorders>
            <w:noWrap/>
            <w:vAlign w:val="center"/>
          </w:tcPr>
          <w:p w14:paraId="698E9932">
            <w:pPr>
              <w:spacing w:line="240" w:lineRule="auto"/>
              <w:ind w:firstLine="0" w:firstLineChars="0"/>
              <w:rPr>
                <w:rFonts w:hint="eastAsia"/>
                <w:highlight w:val="none"/>
              </w:rPr>
            </w:pPr>
            <w:r>
              <w:rPr>
                <w:highlight w:val="none"/>
              </w:rPr>
              <w:t>N000010070</w:t>
            </w:r>
          </w:p>
        </w:tc>
        <w:tc>
          <w:tcPr>
            <w:tcW w:w="2406" w:type="pct"/>
            <w:tcBorders>
              <w:top w:val="single" w:color="000000" w:sz="4" w:space="0"/>
              <w:left w:val="nil"/>
              <w:bottom w:val="single" w:color="000000" w:sz="4" w:space="0"/>
              <w:right w:val="single" w:color="000000" w:sz="4" w:space="0"/>
            </w:tcBorders>
            <w:noWrap/>
            <w:vAlign w:val="center"/>
          </w:tcPr>
          <w:p w14:paraId="1E9809DA">
            <w:pPr>
              <w:spacing w:line="240" w:lineRule="auto"/>
              <w:ind w:firstLine="0" w:firstLineChars="0"/>
              <w:rPr>
                <w:rFonts w:hint="eastAsia"/>
                <w:highlight w:val="none"/>
              </w:rPr>
            </w:pPr>
            <w:r>
              <w:rPr>
                <w:highlight w:val="none"/>
              </w:rPr>
              <w:t>汕头市公路事务中心</w:t>
            </w:r>
          </w:p>
        </w:tc>
      </w:tr>
      <w:tr w14:paraId="4A9FDCD4">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79E542AE">
            <w:pPr>
              <w:spacing w:line="240" w:lineRule="auto"/>
              <w:ind w:firstLine="0" w:firstLineChars="0"/>
              <w:rPr>
                <w:rFonts w:hint="eastAsia"/>
                <w:highlight w:val="none"/>
              </w:rPr>
            </w:pPr>
            <w:r>
              <w:rPr>
                <w:highlight w:val="none"/>
              </w:rPr>
              <w:t>38</w:t>
            </w:r>
          </w:p>
        </w:tc>
        <w:tc>
          <w:tcPr>
            <w:tcW w:w="1764" w:type="pct"/>
            <w:tcBorders>
              <w:top w:val="single" w:color="000000" w:sz="4" w:space="0"/>
              <w:left w:val="nil"/>
              <w:bottom w:val="single" w:color="000000" w:sz="4" w:space="0"/>
              <w:right w:val="single" w:color="000000" w:sz="4" w:space="0"/>
            </w:tcBorders>
            <w:noWrap/>
            <w:vAlign w:val="center"/>
          </w:tcPr>
          <w:p w14:paraId="6B3C1893">
            <w:pPr>
              <w:spacing w:line="240" w:lineRule="auto"/>
              <w:ind w:firstLine="0" w:firstLineChars="0"/>
              <w:rPr>
                <w:rFonts w:hint="eastAsia"/>
                <w:highlight w:val="none"/>
              </w:rPr>
            </w:pPr>
            <w:r>
              <w:rPr>
                <w:highlight w:val="none"/>
              </w:rPr>
              <w:t>N000010071</w:t>
            </w:r>
          </w:p>
        </w:tc>
        <w:tc>
          <w:tcPr>
            <w:tcW w:w="2406" w:type="pct"/>
            <w:tcBorders>
              <w:top w:val="single" w:color="000000" w:sz="4" w:space="0"/>
              <w:left w:val="nil"/>
              <w:bottom w:val="single" w:color="000000" w:sz="4" w:space="0"/>
              <w:right w:val="single" w:color="000000" w:sz="4" w:space="0"/>
            </w:tcBorders>
            <w:noWrap/>
            <w:vAlign w:val="center"/>
          </w:tcPr>
          <w:p w14:paraId="7B87B9E8">
            <w:pPr>
              <w:spacing w:line="240" w:lineRule="auto"/>
              <w:ind w:firstLine="0" w:firstLineChars="0"/>
              <w:rPr>
                <w:rFonts w:hint="eastAsia"/>
                <w:highlight w:val="none"/>
              </w:rPr>
            </w:pPr>
            <w:r>
              <w:rPr>
                <w:highlight w:val="none"/>
              </w:rPr>
              <w:t>汕头市社会保险基金管理局</w:t>
            </w:r>
          </w:p>
        </w:tc>
      </w:tr>
      <w:tr w14:paraId="69CDD0EA">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71E78BFA">
            <w:pPr>
              <w:spacing w:line="240" w:lineRule="auto"/>
              <w:ind w:firstLine="0" w:firstLineChars="0"/>
              <w:rPr>
                <w:rFonts w:hint="eastAsia"/>
                <w:highlight w:val="none"/>
              </w:rPr>
            </w:pPr>
            <w:r>
              <w:rPr>
                <w:highlight w:val="none"/>
              </w:rPr>
              <w:t>39</w:t>
            </w:r>
          </w:p>
        </w:tc>
        <w:tc>
          <w:tcPr>
            <w:tcW w:w="1764" w:type="pct"/>
            <w:tcBorders>
              <w:top w:val="single" w:color="000000" w:sz="4" w:space="0"/>
              <w:left w:val="nil"/>
              <w:bottom w:val="single" w:color="000000" w:sz="4" w:space="0"/>
              <w:right w:val="single" w:color="000000" w:sz="4" w:space="0"/>
            </w:tcBorders>
            <w:noWrap/>
            <w:vAlign w:val="center"/>
          </w:tcPr>
          <w:p w14:paraId="5AF1E34A">
            <w:pPr>
              <w:spacing w:line="240" w:lineRule="auto"/>
              <w:ind w:firstLine="0" w:firstLineChars="0"/>
              <w:rPr>
                <w:rFonts w:hint="eastAsia"/>
                <w:highlight w:val="none"/>
              </w:rPr>
            </w:pPr>
            <w:r>
              <w:rPr>
                <w:highlight w:val="none"/>
              </w:rPr>
              <w:t>N000010074</w:t>
            </w:r>
          </w:p>
        </w:tc>
        <w:tc>
          <w:tcPr>
            <w:tcW w:w="2406" w:type="pct"/>
            <w:tcBorders>
              <w:top w:val="single" w:color="000000" w:sz="4" w:space="0"/>
              <w:left w:val="nil"/>
              <w:bottom w:val="single" w:color="000000" w:sz="4" w:space="0"/>
              <w:right w:val="single" w:color="000000" w:sz="4" w:space="0"/>
            </w:tcBorders>
            <w:noWrap/>
            <w:vAlign w:val="center"/>
          </w:tcPr>
          <w:p w14:paraId="0CA97643">
            <w:pPr>
              <w:spacing w:line="240" w:lineRule="auto"/>
              <w:ind w:firstLine="0" w:firstLineChars="0"/>
              <w:rPr>
                <w:rFonts w:hint="eastAsia"/>
                <w:highlight w:val="none"/>
              </w:rPr>
            </w:pPr>
            <w:r>
              <w:rPr>
                <w:highlight w:val="none"/>
              </w:rPr>
              <w:t>汕头综合保税区管委会</w:t>
            </w:r>
          </w:p>
        </w:tc>
      </w:tr>
      <w:tr w14:paraId="0A38D1AB">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7D4918E">
            <w:pPr>
              <w:spacing w:line="240" w:lineRule="auto"/>
              <w:ind w:firstLine="0" w:firstLineChars="0"/>
              <w:rPr>
                <w:rFonts w:hint="eastAsia"/>
                <w:highlight w:val="none"/>
              </w:rPr>
            </w:pPr>
            <w:r>
              <w:rPr>
                <w:highlight w:val="none"/>
              </w:rPr>
              <w:t>40</w:t>
            </w:r>
          </w:p>
        </w:tc>
        <w:tc>
          <w:tcPr>
            <w:tcW w:w="1764" w:type="pct"/>
            <w:tcBorders>
              <w:top w:val="single" w:color="000000" w:sz="4" w:space="0"/>
              <w:left w:val="nil"/>
              <w:bottom w:val="single" w:color="000000" w:sz="4" w:space="0"/>
              <w:right w:val="single" w:color="000000" w:sz="4" w:space="0"/>
            </w:tcBorders>
            <w:noWrap/>
            <w:vAlign w:val="center"/>
          </w:tcPr>
          <w:p w14:paraId="50E0A151">
            <w:pPr>
              <w:spacing w:line="240" w:lineRule="auto"/>
              <w:ind w:firstLine="0" w:firstLineChars="0"/>
              <w:rPr>
                <w:rFonts w:hint="eastAsia"/>
                <w:highlight w:val="none"/>
              </w:rPr>
            </w:pPr>
            <w:r>
              <w:rPr>
                <w:highlight w:val="none"/>
              </w:rPr>
              <w:t>N000010075</w:t>
            </w:r>
          </w:p>
        </w:tc>
        <w:tc>
          <w:tcPr>
            <w:tcW w:w="2406" w:type="pct"/>
            <w:tcBorders>
              <w:top w:val="single" w:color="000000" w:sz="4" w:space="0"/>
              <w:left w:val="nil"/>
              <w:bottom w:val="single" w:color="000000" w:sz="4" w:space="0"/>
              <w:right w:val="single" w:color="000000" w:sz="4" w:space="0"/>
            </w:tcBorders>
            <w:noWrap/>
            <w:vAlign w:val="center"/>
          </w:tcPr>
          <w:p w14:paraId="54998B1F">
            <w:pPr>
              <w:spacing w:line="240" w:lineRule="auto"/>
              <w:ind w:firstLine="0" w:firstLineChars="0"/>
              <w:rPr>
                <w:rFonts w:hint="eastAsia"/>
                <w:highlight w:val="none"/>
              </w:rPr>
            </w:pPr>
            <w:r>
              <w:rPr>
                <w:highlight w:val="none"/>
              </w:rPr>
              <w:t>汕头高新技术产业开发区管理委员会</w:t>
            </w:r>
          </w:p>
        </w:tc>
      </w:tr>
      <w:tr w14:paraId="26092CAF">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40D03C8D">
            <w:pPr>
              <w:spacing w:line="240" w:lineRule="auto"/>
              <w:ind w:firstLine="0" w:firstLineChars="0"/>
              <w:rPr>
                <w:rFonts w:hint="eastAsia"/>
                <w:highlight w:val="none"/>
              </w:rPr>
            </w:pPr>
            <w:r>
              <w:rPr>
                <w:highlight w:val="none"/>
              </w:rPr>
              <w:t>41</w:t>
            </w:r>
          </w:p>
        </w:tc>
        <w:tc>
          <w:tcPr>
            <w:tcW w:w="1764" w:type="pct"/>
            <w:tcBorders>
              <w:top w:val="single" w:color="000000" w:sz="4" w:space="0"/>
              <w:left w:val="nil"/>
              <w:bottom w:val="single" w:color="000000" w:sz="4" w:space="0"/>
              <w:right w:val="single" w:color="000000" w:sz="4" w:space="0"/>
            </w:tcBorders>
            <w:noWrap/>
            <w:vAlign w:val="center"/>
          </w:tcPr>
          <w:p w14:paraId="0FAFC63E">
            <w:pPr>
              <w:spacing w:line="240" w:lineRule="auto"/>
              <w:ind w:firstLine="0" w:firstLineChars="0"/>
              <w:rPr>
                <w:rFonts w:hint="eastAsia"/>
                <w:highlight w:val="none"/>
              </w:rPr>
            </w:pPr>
            <w:r>
              <w:rPr>
                <w:highlight w:val="none"/>
              </w:rPr>
              <w:t>N000010323</w:t>
            </w:r>
          </w:p>
        </w:tc>
        <w:tc>
          <w:tcPr>
            <w:tcW w:w="2406" w:type="pct"/>
            <w:tcBorders>
              <w:top w:val="single" w:color="000000" w:sz="4" w:space="0"/>
              <w:left w:val="nil"/>
              <w:bottom w:val="single" w:color="000000" w:sz="4" w:space="0"/>
              <w:right w:val="single" w:color="000000" w:sz="4" w:space="0"/>
            </w:tcBorders>
            <w:noWrap/>
            <w:vAlign w:val="center"/>
          </w:tcPr>
          <w:p w14:paraId="6554E3E8">
            <w:pPr>
              <w:spacing w:line="240" w:lineRule="auto"/>
              <w:ind w:firstLine="0" w:firstLineChars="0"/>
              <w:rPr>
                <w:rFonts w:hint="eastAsia"/>
                <w:highlight w:val="none"/>
              </w:rPr>
            </w:pPr>
            <w:r>
              <w:rPr>
                <w:highlight w:val="none"/>
              </w:rPr>
              <w:t>汕头市公安局</w:t>
            </w:r>
          </w:p>
        </w:tc>
      </w:tr>
      <w:tr w14:paraId="341E95B6">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490401B3">
            <w:pPr>
              <w:spacing w:line="240" w:lineRule="auto"/>
              <w:ind w:firstLine="0" w:firstLineChars="0"/>
              <w:rPr>
                <w:rFonts w:hint="eastAsia"/>
                <w:highlight w:val="none"/>
              </w:rPr>
            </w:pPr>
            <w:r>
              <w:rPr>
                <w:highlight w:val="none"/>
              </w:rPr>
              <w:t>42</w:t>
            </w:r>
          </w:p>
        </w:tc>
        <w:tc>
          <w:tcPr>
            <w:tcW w:w="1764" w:type="pct"/>
            <w:tcBorders>
              <w:top w:val="single" w:color="000000" w:sz="4" w:space="0"/>
              <w:left w:val="nil"/>
              <w:bottom w:val="single" w:color="000000" w:sz="4" w:space="0"/>
              <w:right w:val="single" w:color="000000" w:sz="4" w:space="0"/>
            </w:tcBorders>
            <w:noWrap/>
            <w:vAlign w:val="center"/>
          </w:tcPr>
          <w:p w14:paraId="39C21ED9">
            <w:pPr>
              <w:spacing w:line="240" w:lineRule="auto"/>
              <w:ind w:firstLine="0" w:firstLineChars="0"/>
              <w:rPr>
                <w:rFonts w:hint="eastAsia"/>
                <w:highlight w:val="none"/>
              </w:rPr>
            </w:pPr>
            <w:r>
              <w:rPr>
                <w:highlight w:val="none"/>
              </w:rPr>
              <w:t>N000010395</w:t>
            </w:r>
          </w:p>
        </w:tc>
        <w:tc>
          <w:tcPr>
            <w:tcW w:w="2406" w:type="pct"/>
            <w:tcBorders>
              <w:top w:val="single" w:color="000000" w:sz="4" w:space="0"/>
              <w:left w:val="nil"/>
              <w:bottom w:val="single" w:color="000000" w:sz="4" w:space="0"/>
              <w:right w:val="single" w:color="000000" w:sz="4" w:space="0"/>
            </w:tcBorders>
            <w:noWrap/>
            <w:vAlign w:val="center"/>
          </w:tcPr>
          <w:p w14:paraId="6726371B">
            <w:pPr>
              <w:spacing w:line="240" w:lineRule="auto"/>
              <w:ind w:firstLine="0" w:firstLineChars="0"/>
              <w:rPr>
                <w:rFonts w:hint="eastAsia"/>
                <w:highlight w:val="none"/>
              </w:rPr>
            </w:pPr>
            <w:r>
              <w:rPr>
                <w:highlight w:val="none"/>
              </w:rPr>
              <w:t>汕头市市场监督管理局（知识产权局）</w:t>
            </w:r>
          </w:p>
        </w:tc>
      </w:tr>
      <w:tr w14:paraId="6F2FA06E">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4623E43">
            <w:pPr>
              <w:spacing w:line="240" w:lineRule="auto"/>
              <w:ind w:firstLine="0" w:firstLineChars="0"/>
              <w:rPr>
                <w:rFonts w:hint="eastAsia"/>
                <w:highlight w:val="none"/>
              </w:rPr>
            </w:pPr>
            <w:r>
              <w:rPr>
                <w:highlight w:val="none"/>
              </w:rPr>
              <w:t>43</w:t>
            </w:r>
          </w:p>
        </w:tc>
        <w:tc>
          <w:tcPr>
            <w:tcW w:w="1764" w:type="pct"/>
            <w:tcBorders>
              <w:top w:val="single" w:color="000000" w:sz="4" w:space="0"/>
              <w:left w:val="nil"/>
              <w:bottom w:val="single" w:color="000000" w:sz="4" w:space="0"/>
              <w:right w:val="single" w:color="000000" w:sz="4" w:space="0"/>
            </w:tcBorders>
            <w:noWrap/>
            <w:vAlign w:val="center"/>
          </w:tcPr>
          <w:p w14:paraId="17FB4D56">
            <w:pPr>
              <w:spacing w:line="240" w:lineRule="auto"/>
              <w:ind w:firstLine="0" w:firstLineChars="0"/>
              <w:rPr>
                <w:rFonts w:hint="eastAsia"/>
                <w:highlight w:val="none"/>
              </w:rPr>
            </w:pPr>
            <w:r>
              <w:rPr>
                <w:highlight w:val="none"/>
              </w:rPr>
              <w:t>N000010396</w:t>
            </w:r>
          </w:p>
        </w:tc>
        <w:tc>
          <w:tcPr>
            <w:tcW w:w="2406" w:type="pct"/>
            <w:tcBorders>
              <w:top w:val="single" w:color="000000" w:sz="4" w:space="0"/>
              <w:left w:val="nil"/>
              <w:bottom w:val="single" w:color="000000" w:sz="4" w:space="0"/>
              <w:right w:val="single" w:color="000000" w:sz="4" w:space="0"/>
            </w:tcBorders>
            <w:noWrap/>
            <w:vAlign w:val="center"/>
          </w:tcPr>
          <w:p w14:paraId="1ED28A2D">
            <w:pPr>
              <w:spacing w:line="240" w:lineRule="auto"/>
              <w:ind w:firstLine="0" w:firstLineChars="0"/>
              <w:rPr>
                <w:rFonts w:hint="eastAsia"/>
                <w:highlight w:val="none"/>
              </w:rPr>
            </w:pPr>
            <w:r>
              <w:rPr>
                <w:highlight w:val="none"/>
              </w:rPr>
              <w:t>汕头市信访局</w:t>
            </w:r>
          </w:p>
        </w:tc>
      </w:tr>
      <w:tr w14:paraId="03A0639A">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12A9B31">
            <w:pPr>
              <w:spacing w:line="240" w:lineRule="auto"/>
              <w:ind w:firstLine="0" w:firstLineChars="0"/>
              <w:rPr>
                <w:rFonts w:hint="eastAsia"/>
                <w:highlight w:val="none"/>
              </w:rPr>
            </w:pPr>
            <w:r>
              <w:rPr>
                <w:highlight w:val="none"/>
              </w:rPr>
              <w:t>44</w:t>
            </w:r>
          </w:p>
        </w:tc>
        <w:tc>
          <w:tcPr>
            <w:tcW w:w="1764" w:type="pct"/>
            <w:tcBorders>
              <w:top w:val="single" w:color="000000" w:sz="4" w:space="0"/>
              <w:left w:val="nil"/>
              <w:bottom w:val="single" w:color="000000" w:sz="4" w:space="0"/>
              <w:right w:val="single" w:color="000000" w:sz="4" w:space="0"/>
            </w:tcBorders>
            <w:noWrap/>
            <w:vAlign w:val="center"/>
          </w:tcPr>
          <w:p w14:paraId="2A906AC3">
            <w:pPr>
              <w:spacing w:line="240" w:lineRule="auto"/>
              <w:ind w:firstLine="0" w:firstLineChars="0"/>
              <w:rPr>
                <w:rFonts w:hint="eastAsia"/>
                <w:highlight w:val="none"/>
              </w:rPr>
            </w:pPr>
            <w:r>
              <w:rPr>
                <w:highlight w:val="none"/>
              </w:rPr>
              <w:t>N000011006</w:t>
            </w:r>
          </w:p>
        </w:tc>
        <w:tc>
          <w:tcPr>
            <w:tcW w:w="2406" w:type="pct"/>
            <w:tcBorders>
              <w:top w:val="single" w:color="000000" w:sz="4" w:space="0"/>
              <w:left w:val="nil"/>
              <w:bottom w:val="single" w:color="000000" w:sz="4" w:space="0"/>
              <w:right w:val="single" w:color="000000" w:sz="4" w:space="0"/>
            </w:tcBorders>
            <w:noWrap/>
            <w:vAlign w:val="center"/>
          </w:tcPr>
          <w:p w14:paraId="015C8B04">
            <w:pPr>
              <w:spacing w:line="240" w:lineRule="auto"/>
              <w:ind w:firstLine="0" w:firstLineChars="0"/>
              <w:rPr>
                <w:rFonts w:hint="eastAsia"/>
                <w:highlight w:val="none"/>
              </w:rPr>
            </w:pPr>
            <w:r>
              <w:rPr>
                <w:highlight w:val="none"/>
              </w:rPr>
              <w:t>汕头市教育局</w:t>
            </w:r>
          </w:p>
        </w:tc>
      </w:tr>
      <w:tr w14:paraId="60A4A60E">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3B19B44E">
            <w:pPr>
              <w:spacing w:line="240" w:lineRule="auto"/>
              <w:ind w:firstLine="0" w:firstLineChars="0"/>
              <w:rPr>
                <w:rFonts w:hint="eastAsia"/>
                <w:highlight w:val="none"/>
              </w:rPr>
            </w:pPr>
            <w:r>
              <w:rPr>
                <w:highlight w:val="none"/>
              </w:rPr>
              <w:t>45</w:t>
            </w:r>
          </w:p>
        </w:tc>
        <w:tc>
          <w:tcPr>
            <w:tcW w:w="1764" w:type="pct"/>
            <w:tcBorders>
              <w:top w:val="single" w:color="000000" w:sz="4" w:space="0"/>
              <w:left w:val="nil"/>
              <w:bottom w:val="single" w:color="000000" w:sz="4" w:space="0"/>
              <w:right w:val="single" w:color="000000" w:sz="4" w:space="0"/>
            </w:tcBorders>
            <w:noWrap/>
            <w:vAlign w:val="center"/>
          </w:tcPr>
          <w:p w14:paraId="6426F85D">
            <w:pPr>
              <w:spacing w:line="240" w:lineRule="auto"/>
              <w:ind w:firstLine="0" w:firstLineChars="0"/>
              <w:rPr>
                <w:rFonts w:hint="eastAsia"/>
                <w:highlight w:val="none"/>
              </w:rPr>
            </w:pPr>
            <w:r>
              <w:rPr>
                <w:highlight w:val="none"/>
              </w:rPr>
              <w:t>N000011007</w:t>
            </w:r>
          </w:p>
        </w:tc>
        <w:tc>
          <w:tcPr>
            <w:tcW w:w="2406" w:type="pct"/>
            <w:tcBorders>
              <w:top w:val="single" w:color="000000" w:sz="4" w:space="0"/>
              <w:left w:val="nil"/>
              <w:bottom w:val="single" w:color="000000" w:sz="4" w:space="0"/>
              <w:right w:val="single" w:color="000000" w:sz="4" w:space="0"/>
            </w:tcBorders>
            <w:noWrap/>
            <w:vAlign w:val="center"/>
          </w:tcPr>
          <w:p w14:paraId="4612F46E">
            <w:pPr>
              <w:spacing w:line="240" w:lineRule="auto"/>
              <w:ind w:firstLine="0" w:firstLineChars="0"/>
              <w:rPr>
                <w:rFonts w:hint="eastAsia"/>
                <w:highlight w:val="none"/>
              </w:rPr>
            </w:pPr>
            <w:r>
              <w:rPr>
                <w:highlight w:val="none"/>
              </w:rPr>
              <w:t>汕头市退役军人事务局</w:t>
            </w:r>
          </w:p>
        </w:tc>
      </w:tr>
      <w:tr w14:paraId="757E7B19">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2783469F">
            <w:pPr>
              <w:spacing w:line="240" w:lineRule="auto"/>
              <w:ind w:firstLine="0" w:firstLineChars="0"/>
              <w:rPr>
                <w:rFonts w:hint="eastAsia"/>
                <w:highlight w:val="none"/>
              </w:rPr>
            </w:pPr>
            <w:r>
              <w:rPr>
                <w:highlight w:val="none"/>
              </w:rPr>
              <w:t>46</w:t>
            </w:r>
          </w:p>
        </w:tc>
        <w:tc>
          <w:tcPr>
            <w:tcW w:w="1764" w:type="pct"/>
            <w:tcBorders>
              <w:top w:val="single" w:color="000000" w:sz="4" w:space="0"/>
              <w:left w:val="nil"/>
              <w:bottom w:val="single" w:color="000000" w:sz="4" w:space="0"/>
              <w:right w:val="single" w:color="000000" w:sz="4" w:space="0"/>
            </w:tcBorders>
            <w:noWrap/>
            <w:vAlign w:val="center"/>
          </w:tcPr>
          <w:p w14:paraId="72390BF0">
            <w:pPr>
              <w:spacing w:line="240" w:lineRule="auto"/>
              <w:ind w:firstLine="0" w:firstLineChars="0"/>
              <w:rPr>
                <w:rFonts w:hint="eastAsia"/>
                <w:highlight w:val="none"/>
              </w:rPr>
            </w:pPr>
            <w:r>
              <w:rPr>
                <w:highlight w:val="none"/>
              </w:rPr>
              <w:t>N000011008</w:t>
            </w:r>
          </w:p>
        </w:tc>
        <w:tc>
          <w:tcPr>
            <w:tcW w:w="2406" w:type="pct"/>
            <w:tcBorders>
              <w:top w:val="single" w:color="000000" w:sz="4" w:space="0"/>
              <w:left w:val="nil"/>
              <w:bottom w:val="single" w:color="000000" w:sz="4" w:space="0"/>
              <w:right w:val="single" w:color="000000" w:sz="4" w:space="0"/>
            </w:tcBorders>
            <w:noWrap/>
            <w:vAlign w:val="center"/>
          </w:tcPr>
          <w:p w14:paraId="118BEFA6">
            <w:pPr>
              <w:spacing w:line="240" w:lineRule="auto"/>
              <w:ind w:firstLine="0" w:firstLineChars="0"/>
              <w:rPr>
                <w:rFonts w:hint="eastAsia"/>
                <w:highlight w:val="none"/>
              </w:rPr>
            </w:pPr>
            <w:r>
              <w:rPr>
                <w:highlight w:val="none"/>
              </w:rPr>
              <w:t>汕头市医疗保障局</w:t>
            </w:r>
          </w:p>
        </w:tc>
      </w:tr>
      <w:tr w14:paraId="4C5284E3">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0456333">
            <w:pPr>
              <w:spacing w:line="240" w:lineRule="auto"/>
              <w:ind w:firstLine="0" w:firstLineChars="0"/>
              <w:rPr>
                <w:rFonts w:hint="eastAsia"/>
                <w:highlight w:val="none"/>
              </w:rPr>
            </w:pPr>
            <w:r>
              <w:rPr>
                <w:highlight w:val="none"/>
              </w:rPr>
              <w:t>47</w:t>
            </w:r>
          </w:p>
        </w:tc>
        <w:tc>
          <w:tcPr>
            <w:tcW w:w="1764" w:type="pct"/>
            <w:tcBorders>
              <w:top w:val="single" w:color="000000" w:sz="4" w:space="0"/>
              <w:left w:val="nil"/>
              <w:bottom w:val="single" w:color="000000" w:sz="4" w:space="0"/>
              <w:right w:val="single" w:color="000000" w:sz="4" w:space="0"/>
            </w:tcBorders>
            <w:noWrap/>
            <w:vAlign w:val="center"/>
          </w:tcPr>
          <w:p w14:paraId="50FB4B68">
            <w:pPr>
              <w:spacing w:line="240" w:lineRule="auto"/>
              <w:ind w:firstLine="0" w:firstLineChars="0"/>
              <w:rPr>
                <w:rFonts w:hint="eastAsia"/>
                <w:highlight w:val="none"/>
              </w:rPr>
            </w:pPr>
            <w:r>
              <w:rPr>
                <w:highlight w:val="none"/>
              </w:rPr>
              <w:t>N000011009</w:t>
            </w:r>
          </w:p>
        </w:tc>
        <w:tc>
          <w:tcPr>
            <w:tcW w:w="2406" w:type="pct"/>
            <w:tcBorders>
              <w:top w:val="single" w:color="000000" w:sz="4" w:space="0"/>
              <w:left w:val="nil"/>
              <w:bottom w:val="single" w:color="000000" w:sz="4" w:space="0"/>
              <w:right w:val="single" w:color="000000" w:sz="4" w:space="0"/>
            </w:tcBorders>
            <w:noWrap/>
            <w:vAlign w:val="center"/>
          </w:tcPr>
          <w:p w14:paraId="5388B13E">
            <w:pPr>
              <w:spacing w:line="240" w:lineRule="auto"/>
              <w:ind w:firstLine="0" w:firstLineChars="0"/>
              <w:rPr>
                <w:rFonts w:hint="eastAsia"/>
                <w:highlight w:val="none"/>
              </w:rPr>
            </w:pPr>
            <w:r>
              <w:rPr>
                <w:highlight w:val="none"/>
              </w:rPr>
              <w:t>汕头市投资促进局</w:t>
            </w:r>
          </w:p>
        </w:tc>
      </w:tr>
      <w:tr w14:paraId="6BAE35C1">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4C0D3CE">
            <w:pPr>
              <w:spacing w:line="240" w:lineRule="auto"/>
              <w:ind w:firstLine="0" w:firstLineChars="0"/>
              <w:rPr>
                <w:rFonts w:hint="eastAsia"/>
                <w:highlight w:val="none"/>
              </w:rPr>
            </w:pPr>
            <w:r>
              <w:rPr>
                <w:highlight w:val="none"/>
              </w:rPr>
              <w:t>48</w:t>
            </w:r>
          </w:p>
        </w:tc>
        <w:tc>
          <w:tcPr>
            <w:tcW w:w="1764" w:type="pct"/>
            <w:tcBorders>
              <w:top w:val="single" w:color="000000" w:sz="4" w:space="0"/>
              <w:left w:val="nil"/>
              <w:bottom w:val="single" w:color="000000" w:sz="4" w:space="0"/>
              <w:right w:val="single" w:color="000000" w:sz="4" w:space="0"/>
            </w:tcBorders>
            <w:noWrap/>
            <w:vAlign w:val="center"/>
          </w:tcPr>
          <w:p w14:paraId="448A496C">
            <w:pPr>
              <w:spacing w:line="240" w:lineRule="auto"/>
              <w:ind w:firstLine="0" w:firstLineChars="0"/>
              <w:rPr>
                <w:rFonts w:hint="eastAsia"/>
                <w:highlight w:val="none"/>
              </w:rPr>
            </w:pPr>
            <w:r>
              <w:rPr>
                <w:highlight w:val="none"/>
              </w:rPr>
              <w:t>N000011010</w:t>
            </w:r>
          </w:p>
        </w:tc>
        <w:tc>
          <w:tcPr>
            <w:tcW w:w="2406" w:type="pct"/>
            <w:tcBorders>
              <w:top w:val="single" w:color="000000" w:sz="4" w:space="0"/>
              <w:left w:val="nil"/>
              <w:bottom w:val="single" w:color="000000" w:sz="4" w:space="0"/>
              <w:right w:val="single" w:color="000000" w:sz="4" w:space="0"/>
            </w:tcBorders>
            <w:noWrap/>
            <w:vAlign w:val="center"/>
          </w:tcPr>
          <w:p w14:paraId="082F87EF">
            <w:pPr>
              <w:spacing w:line="240" w:lineRule="auto"/>
              <w:ind w:firstLine="0" w:firstLineChars="0"/>
              <w:rPr>
                <w:rFonts w:hint="eastAsia"/>
                <w:highlight w:val="none"/>
              </w:rPr>
            </w:pPr>
            <w:r>
              <w:rPr>
                <w:highlight w:val="none"/>
              </w:rPr>
              <w:t>汕头市生态环境保护综合执法局</w:t>
            </w:r>
          </w:p>
        </w:tc>
      </w:tr>
      <w:tr w14:paraId="42C1EEAD">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15512959">
            <w:pPr>
              <w:spacing w:line="240" w:lineRule="auto"/>
              <w:ind w:firstLine="0" w:firstLineChars="0"/>
              <w:rPr>
                <w:rFonts w:hint="eastAsia"/>
                <w:highlight w:val="none"/>
              </w:rPr>
            </w:pPr>
            <w:r>
              <w:rPr>
                <w:highlight w:val="none"/>
              </w:rPr>
              <w:t>49</w:t>
            </w:r>
          </w:p>
        </w:tc>
        <w:tc>
          <w:tcPr>
            <w:tcW w:w="1764" w:type="pct"/>
            <w:tcBorders>
              <w:top w:val="single" w:color="000000" w:sz="4" w:space="0"/>
              <w:left w:val="nil"/>
              <w:bottom w:val="single" w:color="000000" w:sz="4" w:space="0"/>
              <w:right w:val="single" w:color="000000" w:sz="4" w:space="0"/>
            </w:tcBorders>
            <w:noWrap/>
            <w:vAlign w:val="center"/>
          </w:tcPr>
          <w:p w14:paraId="65ABF51A">
            <w:pPr>
              <w:spacing w:line="240" w:lineRule="auto"/>
              <w:ind w:firstLine="0" w:firstLineChars="0"/>
              <w:rPr>
                <w:rFonts w:hint="eastAsia"/>
                <w:highlight w:val="none"/>
              </w:rPr>
            </w:pPr>
            <w:r>
              <w:rPr>
                <w:highlight w:val="none"/>
              </w:rPr>
              <w:t>N000011011</w:t>
            </w:r>
          </w:p>
        </w:tc>
        <w:tc>
          <w:tcPr>
            <w:tcW w:w="2406" w:type="pct"/>
            <w:tcBorders>
              <w:top w:val="single" w:color="000000" w:sz="4" w:space="0"/>
              <w:left w:val="nil"/>
              <w:bottom w:val="single" w:color="000000" w:sz="4" w:space="0"/>
              <w:right w:val="single" w:color="000000" w:sz="4" w:space="0"/>
            </w:tcBorders>
            <w:noWrap/>
            <w:vAlign w:val="center"/>
          </w:tcPr>
          <w:p w14:paraId="10E6C203">
            <w:pPr>
              <w:spacing w:line="240" w:lineRule="auto"/>
              <w:ind w:firstLine="0" w:firstLineChars="0"/>
              <w:rPr>
                <w:rFonts w:hint="eastAsia"/>
                <w:highlight w:val="none"/>
              </w:rPr>
            </w:pPr>
            <w:r>
              <w:rPr>
                <w:highlight w:val="none"/>
              </w:rPr>
              <w:t>汕头市交通运输综合执法局</w:t>
            </w:r>
          </w:p>
        </w:tc>
      </w:tr>
      <w:tr w14:paraId="061D03A1">
        <w:tblPrEx>
          <w:tblCellMar>
            <w:top w:w="0" w:type="dxa"/>
            <w:left w:w="108" w:type="dxa"/>
            <w:bottom w:w="0" w:type="dxa"/>
            <w:right w:w="108" w:type="dxa"/>
          </w:tblCellMar>
        </w:tblPrEx>
        <w:trPr>
          <w:trHeight w:val="280" w:hRule="atLeast"/>
        </w:trPr>
        <w:tc>
          <w:tcPr>
            <w:tcW w:w="830" w:type="pct"/>
            <w:tcBorders>
              <w:top w:val="single" w:color="000000" w:sz="4" w:space="0"/>
              <w:left w:val="single" w:color="000000" w:sz="4" w:space="0"/>
              <w:bottom w:val="single" w:color="000000" w:sz="4" w:space="0"/>
              <w:right w:val="single" w:color="000000" w:sz="4" w:space="0"/>
            </w:tcBorders>
            <w:noWrap/>
            <w:vAlign w:val="center"/>
          </w:tcPr>
          <w:p w14:paraId="24EE39B1">
            <w:pPr>
              <w:spacing w:line="240" w:lineRule="auto"/>
              <w:ind w:firstLine="0" w:firstLineChars="0"/>
              <w:rPr>
                <w:rFonts w:hint="eastAsia"/>
                <w:highlight w:val="none"/>
              </w:rPr>
            </w:pPr>
            <w:r>
              <w:rPr>
                <w:highlight w:val="none"/>
              </w:rPr>
              <w:t>50</w:t>
            </w:r>
          </w:p>
        </w:tc>
        <w:tc>
          <w:tcPr>
            <w:tcW w:w="1764" w:type="pct"/>
            <w:tcBorders>
              <w:top w:val="single" w:color="000000" w:sz="4" w:space="0"/>
              <w:left w:val="nil"/>
              <w:bottom w:val="single" w:color="000000" w:sz="4" w:space="0"/>
              <w:right w:val="single" w:color="000000" w:sz="4" w:space="0"/>
            </w:tcBorders>
            <w:noWrap/>
            <w:vAlign w:val="center"/>
          </w:tcPr>
          <w:p w14:paraId="622802C8">
            <w:pPr>
              <w:spacing w:line="240" w:lineRule="auto"/>
              <w:ind w:firstLine="0" w:firstLineChars="0"/>
              <w:rPr>
                <w:rFonts w:hint="eastAsia"/>
                <w:highlight w:val="none"/>
              </w:rPr>
            </w:pPr>
            <w:r>
              <w:rPr>
                <w:highlight w:val="none"/>
              </w:rPr>
              <w:t>N000055858</w:t>
            </w:r>
          </w:p>
        </w:tc>
        <w:tc>
          <w:tcPr>
            <w:tcW w:w="2406" w:type="pct"/>
            <w:tcBorders>
              <w:top w:val="single" w:color="000000" w:sz="4" w:space="0"/>
              <w:left w:val="nil"/>
              <w:bottom w:val="single" w:color="000000" w:sz="4" w:space="0"/>
              <w:right w:val="single" w:color="000000" w:sz="4" w:space="0"/>
            </w:tcBorders>
            <w:noWrap/>
            <w:vAlign w:val="center"/>
          </w:tcPr>
          <w:p w14:paraId="33FF9770">
            <w:pPr>
              <w:spacing w:line="240" w:lineRule="auto"/>
              <w:ind w:firstLine="0" w:firstLineChars="0"/>
              <w:rPr>
                <w:rFonts w:hint="eastAsia"/>
                <w:highlight w:val="none"/>
              </w:rPr>
            </w:pPr>
            <w:r>
              <w:rPr>
                <w:highlight w:val="none"/>
              </w:rPr>
              <w:t>汕头华侨经济文化合作试验区 汕头海湾新区管委会</w:t>
            </w:r>
          </w:p>
        </w:tc>
      </w:tr>
    </w:tbl>
    <w:p w14:paraId="2220EFC3">
      <w:pPr>
        <w:ind w:firstLine="0" w:firstLineChars="0"/>
        <w:rPr>
          <w:rFonts w:hint="eastAsia"/>
          <w:highlight w:val="none"/>
        </w:rPr>
      </w:pPr>
    </w:p>
    <w:p w14:paraId="649ACF20">
      <w:pPr>
        <w:pStyle w:val="6"/>
        <w:rPr>
          <w:rFonts w:hint="eastAsia"/>
          <w:highlight w:val="none"/>
        </w:rPr>
      </w:pPr>
      <w:r>
        <w:rPr>
          <w:rFonts w:hint="eastAsia"/>
          <w:highlight w:val="none"/>
        </w:rPr>
        <w:t>政务新媒体监测服务范围</w:t>
      </w:r>
    </w:p>
    <w:p w14:paraId="2208DCD0">
      <w:pPr>
        <w:ind w:firstLine="480"/>
        <w:rPr>
          <w:rFonts w:hint="eastAsia"/>
          <w:highlight w:val="none"/>
        </w:rPr>
      </w:pPr>
      <w:r>
        <w:rPr>
          <w:rFonts w:hint="eastAsia"/>
          <w:highlight w:val="none"/>
        </w:rPr>
        <w:t>政务新媒体监测服务范围如下（具体清单以采购人确认的实际清单为准。服务期内如因账号新增或注销、平台迁移、机构改革等原因导致服务对象变化，具体数量根据项目实际开展情况进行调整）：</w:t>
      </w:r>
    </w:p>
    <w:tbl>
      <w:tblPr>
        <w:tblStyle w:val="33"/>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4536"/>
        <w:gridCol w:w="2628"/>
      </w:tblGrid>
      <w:tr w14:paraId="2825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blHeader/>
        </w:trPr>
        <w:tc>
          <w:tcPr>
            <w:tcW w:w="1132" w:type="dxa"/>
            <w:tcBorders>
              <w:top w:val="single" w:color="auto" w:sz="4" w:space="0"/>
              <w:left w:val="single" w:color="auto" w:sz="4" w:space="0"/>
              <w:bottom w:val="single" w:color="auto" w:sz="4" w:space="0"/>
              <w:right w:val="single" w:color="auto" w:sz="4" w:space="0"/>
            </w:tcBorders>
            <w:shd w:val="clear" w:color="auto" w:fill="F1F1F1"/>
            <w:noWrap/>
            <w:vAlign w:val="center"/>
          </w:tcPr>
          <w:p w14:paraId="2CEBAB1E">
            <w:pPr>
              <w:widowControl/>
              <w:spacing w:line="240" w:lineRule="auto"/>
              <w:ind w:firstLine="0" w:firstLineChars="0"/>
              <w:jc w:val="center"/>
              <w:rPr>
                <w:rFonts w:hint="eastAsia" w:cs="宋体"/>
                <w:b/>
                <w:color w:val="000000"/>
                <w:kern w:val="0"/>
                <w:szCs w:val="24"/>
                <w:highlight w:val="none"/>
              </w:rPr>
            </w:pPr>
            <w:r>
              <w:rPr>
                <w:rFonts w:cs="宋体"/>
                <w:b/>
                <w:color w:val="000000"/>
                <w:kern w:val="0"/>
                <w:szCs w:val="24"/>
                <w:highlight w:val="none"/>
              </w:rPr>
              <w:t>序号</w:t>
            </w:r>
          </w:p>
        </w:tc>
        <w:tc>
          <w:tcPr>
            <w:tcW w:w="4536" w:type="dxa"/>
            <w:tcBorders>
              <w:top w:val="single" w:color="auto" w:sz="4" w:space="0"/>
              <w:left w:val="single" w:color="auto" w:sz="4" w:space="0"/>
              <w:bottom w:val="single" w:color="auto" w:sz="4" w:space="0"/>
              <w:right w:val="single" w:color="auto" w:sz="4" w:space="0"/>
            </w:tcBorders>
            <w:shd w:val="clear" w:color="auto" w:fill="F1F1F1"/>
            <w:noWrap/>
            <w:vAlign w:val="center"/>
          </w:tcPr>
          <w:p w14:paraId="681079FC">
            <w:pPr>
              <w:widowControl/>
              <w:spacing w:line="240" w:lineRule="auto"/>
              <w:ind w:firstLine="0" w:firstLineChars="0"/>
              <w:jc w:val="center"/>
              <w:rPr>
                <w:rFonts w:hint="eastAsia" w:cs="宋体"/>
                <w:b/>
                <w:color w:val="000000"/>
                <w:kern w:val="0"/>
                <w:szCs w:val="24"/>
                <w:highlight w:val="none"/>
              </w:rPr>
            </w:pPr>
            <w:r>
              <w:rPr>
                <w:rFonts w:hint="eastAsia" w:cs="宋体"/>
                <w:b/>
                <w:color w:val="000000"/>
                <w:kern w:val="0"/>
                <w:szCs w:val="24"/>
                <w:highlight w:val="none"/>
              </w:rPr>
              <w:t>主办</w:t>
            </w:r>
            <w:r>
              <w:rPr>
                <w:rFonts w:cs="宋体"/>
                <w:b/>
                <w:color w:val="000000"/>
                <w:kern w:val="0"/>
                <w:szCs w:val="24"/>
                <w:highlight w:val="none"/>
              </w:rPr>
              <w:t>单位名称</w:t>
            </w:r>
          </w:p>
        </w:tc>
        <w:tc>
          <w:tcPr>
            <w:tcW w:w="2628" w:type="dxa"/>
            <w:tcBorders>
              <w:top w:val="single" w:color="auto" w:sz="4" w:space="0"/>
              <w:left w:val="single" w:color="auto" w:sz="4" w:space="0"/>
              <w:bottom w:val="single" w:color="auto" w:sz="4" w:space="0"/>
              <w:right w:val="single" w:color="auto" w:sz="4" w:space="0"/>
            </w:tcBorders>
            <w:shd w:val="clear" w:color="auto" w:fill="F1F1F1"/>
            <w:noWrap/>
            <w:vAlign w:val="center"/>
          </w:tcPr>
          <w:p w14:paraId="5B24A6F4">
            <w:pPr>
              <w:widowControl/>
              <w:spacing w:line="240" w:lineRule="auto"/>
              <w:ind w:firstLine="0" w:firstLineChars="0"/>
              <w:jc w:val="center"/>
              <w:rPr>
                <w:rFonts w:hint="eastAsia" w:cs="宋体"/>
                <w:b/>
                <w:color w:val="000000"/>
                <w:kern w:val="0"/>
                <w:szCs w:val="24"/>
                <w:highlight w:val="none"/>
              </w:rPr>
            </w:pPr>
            <w:r>
              <w:rPr>
                <w:rFonts w:cs="宋体"/>
                <w:b/>
                <w:color w:val="000000"/>
                <w:kern w:val="0"/>
                <w:szCs w:val="24"/>
                <w:highlight w:val="none"/>
              </w:rPr>
              <w:t>账号类型</w:t>
            </w:r>
          </w:p>
        </w:tc>
      </w:tr>
      <w:tr w14:paraId="5A588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4AFAAEA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w:t>
            </w:r>
          </w:p>
        </w:tc>
        <w:tc>
          <w:tcPr>
            <w:tcW w:w="4536" w:type="dxa"/>
            <w:tcBorders>
              <w:top w:val="single" w:color="auto" w:sz="4" w:space="0"/>
              <w:left w:val="single" w:color="auto" w:sz="4" w:space="0"/>
              <w:bottom w:val="single" w:color="auto" w:sz="4" w:space="0"/>
              <w:right w:val="single" w:color="auto" w:sz="4" w:space="0"/>
            </w:tcBorders>
            <w:noWrap/>
            <w:vAlign w:val="center"/>
          </w:tcPr>
          <w:p w14:paraId="0E0B3A4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汕头市公安局澄海分局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FC66D3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抖音短视频</w:t>
            </w:r>
          </w:p>
        </w:tc>
      </w:tr>
      <w:tr w14:paraId="2C65E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051ACD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w:t>
            </w:r>
          </w:p>
        </w:tc>
        <w:tc>
          <w:tcPr>
            <w:tcW w:w="4536" w:type="dxa"/>
            <w:tcBorders>
              <w:top w:val="single" w:color="auto" w:sz="4" w:space="0"/>
              <w:left w:val="single" w:color="auto" w:sz="4" w:space="0"/>
              <w:bottom w:val="single" w:color="auto" w:sz="4" w:space="0"/>
              <w:right w:val="single" w:color="auto" w:sz="4" w:space="0"/>
            </w:tcBorders>
            <w:noWrap/>
            <w:vAlign w:val="center"/>
          </w:tcPr>
          <w:p w14:paraId="286147D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汕头金平公安分局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70DEDB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抖音短视频</w:t>
            </w:r>
          </w:p>
        </w:tc>
      </w:tr>
      <w:tr w14:paraId="7B69C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C00586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w:t>
            </w:r>
          </w:p>
        </w:tc>
        <w:tc>
          <w:tcPr>
            <w:tcW w:w="4536" w:type="dxa"/>
            <w:tcBorders>
              <w:top w:val="single" w:color="auto" w:sz="4" w:space="0"/>
              <w:left w:val="single" w:color="auto" w:sz="4" w:space="0"/>
              <w:bottom w:val="single" w:color="auto" w:sz="4" w:space="0"/>
              <w:right w:val="single" w:color="auto" w:sz="4" w:space="0"/>
            </w:tcBorders>
            <w:noWrap/>
            <w:vAlign w:val="center"/>
          </w:tcPr>
          <w:p w14:paraId="144BC9C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A8780E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抖音短视频</w:t>
            </w:r>
          </w:p>
        </w:tc>
      </w:tr>
      <w:tr w14:paraId="2F92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3945E7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w:t>
            </w:r>
          </w:p>
        </w:tc>
        <w:tc>
          <w:tcPr>
            <w:tcW w:w="4536" w:type="dxa"/>
            <w:tcBorders>
              <w:top w:val="single" w:color="auto" w:sz="4" w:space="0"/>
              <w:left w:val="single" w:color="auto" w:sz="4" w:space="0"/>
              <w:bottom w:val="single" w:color="auto" w:sz="4" w:space="0"/>
              <w:right w:val="single" w:color="auto" w:sz="4" w:space="0"/>
            </w:tcBorders>
            <w:noWrap/>
            <w:vAlign w:val="center"/>
          </w:tcPr>
          <w:p w14:paraId="0DF94A1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F9CDB3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抖音短视频</w:t>
            </w:r>
          </w:p>
        </w:tc>
      </w:tr>
      <w:tr w14:paraId="3D34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7F6D1A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w:t>
            </w:r>
          </w:p>
        </w:tc>
        <w:tc>
          <w:tcPr>
            <w:tcW w:w="4536" w:type="dxa"/>
            <w:tcBorders>
              <w:top w:val="single" w:color="auto" w:sz="4" w:space="0"/>
              <w:left w:val="single" w:color="auto" w:sz="4" w:space="0"/>
              <w:bottom w:val="single" w:color="auto" w:sz="4" w:space="0"/>
              <w:right w:val="single" w:color="auto" w:sz="4" w:space="0"/>
            </w:tcBorders>
            <w:noWrap/>
            <w:vAlign w:val="center"/>
          </w:tcPr>
          <w:p w14:paraId="72D696C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汕头市公安局龙湖分局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D62AA8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抖音短视频</w:t>
            </w:r>
          </w:p>
        </w:tc>
      </w:tr>
      <w:tr w14:paraId="59EFD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1BF4FC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w:t>
            </w:r>
          </w:p>
        </w:tc>
        <w:tc>
          <w:tcPr>
            <w:tcW w:w="4536" w:type="dxa"/>
            <w:tcBorders>
              <w:top w:val="single" w:color="auto" w:sz="4" w:space="0"/>
              <w:left w:val="single" w:color="auto" w:sz="4" w:space="0"/>
              <w:bottom w:val="single" w:color="auto" w:sz="4" w:space="0"/>
              <w:right w:val="single" w:color="auto" w:sz="4" w:space="0"/>
            </w:tcBorders>
            <w:noWrap/>
            <w:vAlign w:val="center"/>
          </w:tcPr>
          <w:p w14:paraId="136414F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184AD0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抖音短视频</w:t>
            </w:r>
          </w:p>
        </w:tc>
      </w:tr>
      <w:tr w14:paraId="106C2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15D7E8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w:t>
            </w:r>
          </w:p>
        </w:tc>
        <w:tc>
          <w:tcPr>
            <w:tcW w:w="4536" w:type="dxa"/>
            <w:tcBorders>
              <w:top w:val="single" w:color="auto" w:sz="4" w:space="0"/>
              <w:left w:val="single" w:color="auto" w:sz="4" w:space="0"/>
              <w:bottom w:val="single" w:color="auto" w:sz="4" w:space="0"/>
              <w:right w:val="single" w:color="auto" w:sz="4" w:space="0"/>
            </w:tcBorders>
            <w:noWrap/>
            <w:vAlign w:val="center"/>
          </w:tcPr>
          <w:p w14:paraId="5ACBD39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南澳县公安局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8820E5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今日头条</w:t>
            </w:r>
          </w:p>
        </w:tc>
      </w:tr>
      <w:tr w14:paraId="58203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F84AE5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w:t>
            </w:r>
          </w:p>
        </w:tc>
        <w:tc>
          <w:tcPr>
            <w:tcW w:w="4536" w:type="dxa"/>
            <w:tcBorders>
              <w:top w:val="single" w:color="auto" w:sz="4" w:space="0"/>
              <w:left w:val="single" w:color="auto" w:sz="4" w:space="0"/>
              <w:bottom w:val="single" w:color="auto" w:sz="4" w:space="0"/>
              <w:right w:val="single" w:color="auto" w:sz="4" w:space="0"/>
            </w:tcBorders>
            <w:noWrap/>
            <w:vAlign w:val="center"/>
          </w:tcPr>
          <w:p w14:paraId="4021546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9B0364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今日头条</w:t>
            </w:r>
          </w:p>
        </w:tc>
      </w:tr>
      <w:tr w14:paraId="44BF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7445A6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w:t>
            </w:r>
          </w:p>
        </w:tc>
        <w:tc>
          <w:tcPr>
            <w:tcW w:w="4536" w:type="dxa"/>
            <w:tcBorders>
              <w:top w:val="single" w:color="auto" w:sz="4" w:space="0"/>
              <w:left w:val="single" w:color="auto" w:sz="4" w:space="0"/>
              <w:bottom w:val="single" w:color="auto" w:sz="4" w:space="0"/>
              <w:right w:val="single" w:color="auto" w:sz="4" w:space="0"/>
            </w:tcBorders>
            <w:noWrap/>
            <w:vAlign w:val="center"/>
          </w:tcPr>
          <w:p w14:paraId="444D0A2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A8BEAE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今日头条</w:t>
            </w:r>
          </w:p>
        </w:tc>
      </w:tr>
      <w:tr w14:paraId="31E89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FB20C3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w:t>
            </w:r>
          </w:p>
        </w:tc>
        <w:tc>
          <w:tcPr>
            <w:tcW w:w="4536" w:type="dxa"/>
            <w:tcBorders>
              <w:top w:val="single" w:color="auto" w:sz="4" w:space="0"/>
              <w:left w:val="single" w:color="auto" w:sz="4" w:space="0"/>
              <w:bottom w:val="single" w:color="auto" w:sz="4" w:space="0"/>
              <w:right w:val="single" w:color="auto" w:sz="4" w:space="0"/>
            </w:tcBorders>
            <w:noWrap/>
            <w:vAlign w:val="center"/>
          </w:tcPr>
          <w:p w14:paraId="3C8C680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汕头市司法局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17F0B7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今日头条</w:t>
            </w:r>
          </w:p>
        </w:tc>
      </w:tr>
      <w:tr w14:paraId="48D02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41F9938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11</w:t>
            </w:r>
          </w:p>
        </w:tc>
        <w:tc>
          <w:tcPr>
            <w:tcW w:w="4536" w:type="dxa"/>
            <w:tcBorders>
              <w:top w:val="single" w:color="auto" w:sz="4" w:space="0"/>
              <w:left w:val="single" w:color="auto" w:sz="4" w:space="0"/>
              <w:bottom w:val="single" w:color="auto" w:sz="4" w:space="0"/>
              <w:right w:val="single" w:color="auto" w:sz="4" w:space="0"/>
            </w:tcBorders>
            <w:noWrap/>
            <w:vAlign w:val="center"/>
          </w:tcPr>
          <w:p w14:paraId="1E9D1AB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C16268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今日头条</w:t>
            </w:r>
          </w:p>
        </w:tc>
      </w:tr>
      <w:tr w14:paraId="7E29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5ACE00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12</w:t>
            </w:r>
          </w:p>
        </w:tc>
        <w:tc>
          <w:tcPr>
            <w:tcW w:w="4536" w:type="dxa"/>
            <w:tcBorders>
              <w:top w:val="single" w:color="auto" w:sz="4" w:space="0"/>
              <w:left w:val="single" w:color="auto" w:sz="4" w:space="0"/>
              <w:bottom w:val="single" w:color="auto" w:sz="4" w:space="0"/>
              <w:right w:val="single" w:color="auto" w:sz="4" w:space="0"/>
            </w:tcBorders>
            <w:noWrap/>
            <w:vAlign w:val="center"/>
          </w:tcPr>
          <w:p w14:paraId="041B3A9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3A4A3B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快手短视频</w:t>
            </w:r>
          </w:p>
        </w:tc>
      </w:tr>
      <w:tr w14:paraId="67EF9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B37CF7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13</w:t>
            </w:r>
          </w:p>
        </w:tc>
        <w:tc>
          <w:tcPr>
            <w:tcW w:w="4536" w:type="dxa"/>
            <w:tcBorders>
              <w:top w:val="single" w:color="auto" w:sz="4" w:space="0"/>
              <w:left w:val="single" w:color="auto" w:sz="4" w:space="0"/>
              <w:bottom w:val="single" w:color="auto" w:sz="4" w:space="0"/>
              <w:right w:val="single" w:color="auto" w:sz="4" w:space="0"/>
            </w:tcBorders>
            <w:noWrap/>
            <w:vAlign w:val="center"/>
          </w:tcPr>
          <w:p w14:paraId="171EBE4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汕头市澄海区政务服务和数据管理局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1759C0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南方号</w:t>
            </w:r>
          </w:p>
        </w:tc>
      </w:tr>
      <w:tr w14:paraId="0023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EBDF50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14</w:t>
            </w:r>
          </w:p>
        </w:tc>
        <w:tc>
          <w:tcPr>
            <w:tcW w:w="4536" w:type="dxa"/>
            <w:tcBorders>
              <w:top w:val="single" w:color="auto" w:sz="4" w:space="0"/>
              <w:left w:val="single" w:color="auto" w:sz="4" w:space="0"/>
              <w:bottom w:val="single" w:color="auto" w:sz="4" w:space="0"/>
              <w:right w:val="single" w:color="auto" w:sz="4" w:space="0"/>
            </w:tcBorders>
            <w:noWrap/>
            <w:vAlign w:val="center"/>
          </w:tcPr>
          <w:p w14:paraId="086DFB0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汕头市卫生健康局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E438A7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南方号</w:t>
            </w:r>
          </w:p>
        </w:tc>
      </w:tr>
      <w:tr w14:paraId="5A43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93DCF8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15</w:t>
            </w:r>
          </w:p>
        </w:tc>
        <w:tc>
          <w:tcPr>
            <w:tcW w:w="4536" w:type="dxa"/>
            <w:tcBorders>
              <w:top w:val="single" w:color="auto" w:sz="4" w:space="0"/>
              <w:left w:val="single" w:color="auto" w:sz="4" w:space="0"/>
              <w:bottom w:val="single" w:color="auto" w:sz="4" w:space="0"/>
              <w:right w:val="single" w:color="auto" w:sz="4" w:space="0"/>
            </w:tcBorders>
            <w:noWrap/>
            <w:vAlign w:val="center"/>
          </w:tcPr>
          <w:p w14:paraId="534F5E9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汕头市龙湖区人民政府办公室</w:t>
            </w:r>
          </w:p>
        </w:tc>
        <w:tc>
          <w:tcPr>
            <w:tcW w:w="2628" w:type="dxa"/>
            <w:tcBorders>
              <w:top w:val="single" w:color="auto" w:sz="4" w:space="0"/>
              <w:left w:val="single" w:color="auto" w:sz="4" w:space="0"/>
              <w:bottom w:val="single" w:color="auto" w:sz="4" w:space="0"/>
              <w:right w:val="single" w:color="auto" w:sz="4" w:space="0"/>
            </w:tcBorders>
            <w:noWrap/>
            <w:vAlign w:val="center"/>
          </w:tcPr>
          <w:p w14:paraId="26EC81F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南方号</w:t>
            </w:r>
          </w:p>
        </w:tc>
      </w:tr>
      <w:tr w14:paraId="23A4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A4A8B7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16</w:t>
            </w:r>
          </w:p>
        </w:tc>
        <w:tc>
          <w:tcPr>
            <w:tcW w:w="4536" w:type="dxa"/>
            <w:tcBorders>
              <w:top w:val="single" w:color="auto" w:sz="4" w:space="0"/>
              <w:left w:val="single" w:color="auto" w:sz="4" w:space="0"/>
              <w:bottom w:val="single" w:color="auto" w:sz="4" w:space="0"/>
              <w:right w:val="single" w:color="auto" w:sz="4" w:space="0"/>
            </w:tcBorders>
            <w:noWrap/>
            <w:vAlign w:val="center"/>
          </w:tcPr>
          <w:p w14:paraId="78D4FBF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汕头市司法局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DD230B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南方号</w:t>
            </w:r>
          </w:p>
        </w:tc>
      </w:tr>
      <w:tr w14:paraId="56D6B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0C07A2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17</w:t>
            </w:r>
          </w:p>
        </w:tc>
        <w:tc>
          <w:tcPr>
            <w:tcW w:w="4536" w:type="dxa"/>
            <w:tcBorders>
              <w:top w:val="single" w:color="auto" w:sz="4" w:space="0"/>
              <w:left w:val="single" w:color="auto" w:sz="4" w:space="0"/>
              <w:bottom w:val="single" w:color="auto" w:sz="4" w:space="0"/>
              <w:right w:val="single" w:color="auto" w:sz="4" w:space="0"/>
            </w:tcBorders>
            <w:noWrap/>
            <w:vAlign w:val="center"/>
          </w:tcPr>
          <w:p w14:paraId="231BC16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汕头市人力资源和社会保障局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AD84B8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南方号</w:t>
            </w:r>
          </w:p>
        </w:tc>
      </w:tr>
      <w:tr w14:paraId="75AA7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65A4A4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18</w:t>
            </w:r>
          </w:p>
        </w:tc>
        <w:tc>
          <w:tcPr>
            <w:tcW w:w="4536" w:type="dxa"/>
            <w:tcBorders>
              <w:top w:val="single" w:color="auto" w:sz="4" w:space="0"/>
              <w:left w:val="single" w:color="auto" w:sz="4" w:space="0"/>
              <w:bottom w:val="single" w:color="auto" w:sz="4" w:space="0"/>
              <w:right w:val="single" w:color="auto" w:sz="4" w:space="0"/>
            </w:tcBorders>
            <w:noWrap/>
            <w:vAlign w:val="center"/>
          </w:tcPr>
          <w:p w14:paraId="50E0371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汕头市司法局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4AE817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南方号</w:t>
            </w:r>
          </w:p>
        </w:tc>
      </w:tr>
      <w:tr w14:paraId="7A065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7862C1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19</w:t>
            </w:r>
          </w:p>
        </w:tc>
        <w:tc>
          <w:tcPr>
            <w:tcW w:w="4536" w:type="dxa"/>
            <w:tcBorders>
              <w:top w:val="single" w:color="auto" w:sz="4" w:space="0"/>
              <w:left w:val="single" w:color="auto" w:sz="4" w:space="0"/>
              <w:bottom w:val="single" w:color="auto" w:sz="4" w:space="0"/>
              <w:right w:val="single" w:color="auto" w:sz="4" w:space="0"/>
            </w:tcBorders>
            <w:noWrap/>
            <w:vAlign w:val="center"/>
          </w:tcPr>
          <w:p w14:paraId="61556D6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汕头市人民政府办公室</w:t>
            </w:r>
          </w:p>
        </w:tc>
        <w:tc>
          <w:tcPr>
            <w:tcW w:w="2628" w:type="dxa"/>
            <w:tcBorders>
              <w:top w:val="single" w:color="auto" w:sz="4" w:space="0"/>
              <w:left w:val="single" w:color="auto" w:sz="4" w:space="0"/>
              <w:bottom w:val="single" w:color="auto" w:sz="4" w:space="0"/>
              <w:right w:val="single" w:color="auto" w:sz="4" w:space="0"/>
            </w:tcBorders>
            <w:noWrap/>
            <w:vAlign w:val="center"/>
          </w:tcPr>
          <w:p w14:paraId="2552F17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南方号</w:t>
            </w:r>
          </w:p>
        </w:tc>
      </w:tr>
      <w:tr w14:paraId="3D32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006E47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20</w:t>
            </w:r>
          </w:p>
        </w:tc>
        <w:tc>
          <w:tcPr>
            <w:tcW w:w="4536" w:type="dxa"/>
            <w:tcBorders>
              <w:top w:val="single" w:color="auto" w:sz="4" w:space="0"/>
              <w:left w:val="single" w:color="auto" w:sz="4" w:space="0"/>
              <w:bottom w:val="single" w:color="auto" w:sz="4" w:space="0"/>
              <w:right w:val="single" w:color="auto" w:sz="4" w:space="0"/>
            </w:tcBorders>
            <w:noWrap/>
            <w:vAlign w:val="center"/>
          </w:tcPr>
          <w:p w14:paraId="0378D00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汕头市司法局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CD25C7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其他+法治号</w:t>
            </w:r>
          </w:p>
        </w:tc>
      </w:tr>
      <w:tr w14:paraId="298F2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67F200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21</w:t>
            </w:r>
          </w:p>
        </w:tc>
        <w:tc>
          <w:tcPr>
            <w:tcW w:w="4536" w:type="dxa"/>
            <w:tcBorders>
              <w:top w:val="single" w:color="auto" w:sz="4" w:space="0"/>
              <w:left w:val="single" w:color="auto" w:sz="4" w:space="0"/>
              <w:bottom w:val="single" w:color="auto" w:sz="4" w:space="0"/>
              <w:right w:val="single" w:color="auto" w:sz="4" w:space="0"/>
            </w:tcBorders>
            <w:noWrap/>
            <w:vAlign w:val="center"/>
          </w:tcPr>
          <w:p w14:paraId="35FD3A3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汕头市公安局澄海分局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EAEF8E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其他+视频号</w:t>
            </w:r>
          </w:p>
        </w:tc>
      </w:tr>
      <w:tr w14:paraId="6A221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34E522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22</w:t>
            </w:r>
          </w:p>
        </w:tc>
        <w:tc>
          <w:tcPr>
            <w:tcW w:w="4536" w:type="dxa"/>
            <w:tcBorders>
              <w:top w:val="single" w:color="auto" w:sz="4" w:space="0"/>
              <w:left w:val="single" w:color="auto" w:sz="4" w:space="0"/>
              <w:bottom w:val="single" w:color="auto" w:sz="4" w:space="0"/>
              <w:right w:val="single" w:color="auto" w:sz="4" w:space="0"/>
            </w:tcBorders>
            <w:noWrap/>
            <w:vAlign w:val="center"/>
          </w:tcPr>
          <w:p w14:paraId="1EB2884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汕头市龙湖区人民政府办公室</w:t>
            </w:r>
          </w:p>
        </w:tc>
        <w:tc>
          <w:tcPr>
            <w:tcW w:w="2628" w:type="dxa"/>
            <w:tcBorders>
              <w:top w:val="single" w:color="auto" w:sz="4" w:space="0"/>
              <w:left w:val="single" w:color="auto" w:sz="4" w:space="0"/>
              <w:bottom w:val="single" w:color="auto" w:sz="4" w:space="0"/>
              <w:right w:val="single" w:color="auto" w:sz="4" w:space="0"/>
            </w:tcBorders>
            <w:noWrap/>
            <w:vAlign w:val="center"/>
          </w:tcPr>
          <w:p w14:paraId="4223954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其他+视频号</w:t>
            </w:r>
          </w:p>
        </w:tc>
      </w:tr>
      <w:tr w14:paraId="56BE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95B02C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23</w:t>
            </w:r>
          </w:p>
        </w:tc>
        <w:tc>
          <w:tcPr>
            <w:tcW w:w="4536" w:type="dxa"/>
            <w:tcBorders>
              <w:top w:val="single" w:color="auto" w:sz="4" w:space="0"/>
              <w:left w:val="single" w:color="auto" w:sz="4" w:space="0"/>
              <w:bottom w:val="single" w:color="auto" w:sz="4" w:space="0"/>
              <w:right w:val="single" w:color="auto" w:sz="4" w:space="0"/>
            </w:tcBorders>
            <w:noWrap/>
            <w:vAlign w:val="center"/>
          </w:tcPr>
          <w:p w14:paraId="7386A30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汕头市龙湖区龙腾街道办事处</w:t>
            </w:r>
          </w:p>
        </w:tc>
        <w:tc>
          <w:tcPr>
            <w:tcW w:w="2628" w:type="dxa"/>
            <w:tcBorders>
              <w:top w:val="single" w:color="auto" w:sz="4" w:space="0"/>
              <w:left w:val="single" w:color="auto" w:sz="4" w:space="0"/>
              <w:bottom w:val="single" w:color="auto" w:sz="4" w:space="0"/>
              <w:right w:val="single" w:color="auto" w:sz="4" w:space="0"/>
            </w:tcBorders>
            <w:noWrap/>
            <w:vAlign w:val="center"/>
          </w:tcPr>
          <w:p w14:paraId="0F29EEE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其他+视频号</w:t>
            </w:r>
          </w:p>
        </w:tc>
      </w:tr>
      <w:tr w14:paraId="361FB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6FB5EF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24</w:t>
            </w:r>
          </w:p>
        </w:tc>
        <w:tc>
          <w:tcPr>
            <w:tcW w:w="4536" w:type="dxa"/>
            <w:tcBorders>
              <w:top w:val="single" w:color="auto" w:sz="4" w:space="0"/>
              <w:left w:val="single" w:color="auto" w:sz="4" w:space="0"/>
              <w:bottom w:val="single" w:color="auto" w:sz="4" w:space="0"/>
              <w:right w:val="single" w:color="auto" w:sz="4" w:space="0"/>
            </w:tcBorders>
            <w:noWrap/>
            <w:vAlign w:val="center"/>
          </w:tcPr>
          <w:p w14:paraId="0477BF5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汕头市城市管理和综合执法局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0F445A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其他+视频号</w:t>
            </w:r>
          </w:p>
        </w:tc>
      </w:tr>
      <w:tr w14:paraId="426F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9A9799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25</w:t>
            </w:r>
          </w:p>
        </w:tc>
        <w:tc>
          <w:tcPr>
            <w:tcW w:w="4536" w:type="dxa"/>
            <w:tcBorders>
              <w:top w:val="single" w:color="auto" w:sz="4" w:space="0"/>
              <w:left w:val="single" w:color="auto" w:sz="4" w:space="0"/>
              <w:bottom w:val="single" w:color="auto" w:sz="4" w:space="0"/>
              <w:right w:val="single" w:color="auto" w:sz="4" w:space="0"/>
            </w:tcBorders>
            <w:noWrap/>
            <w:vAlign w:val="center"/>
          </w:tcPr>
          <w:p w14:paraId="75AA450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0283B1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其他+视频号</w:t>
            </w:r>
          </w:p>
        </w:tc>
      </w:tr>
      <w:tr w14:paraId="0A00D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96BEA5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26</w:t>
            </w:r>
          </w:p>
        </w:tc>
        <w:tc>
          <w:tcPr>
            <w:tcW w:w="4536" w:type="dxa"/>
            <w:tcBorders>
              <w:top w:val="single" w:color="auto" w:sz="4" w:space="0"/>
              <w:left w:val="single" w:color="auto" w:sz="4" w:space="0"/>
              <w:bottom w:val="single" w:color="auto" w:sz="4" w:space="0"/>
              <w:right w:val="single" w:color="auto" w:sz="4" w:space="0"/>
            </w:tcBorders>
            <w:noWrap/>
            <w:vAlign w:val="center"/>
          </w:tcPr>
          <w:p w14:paraId="7C0A765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86B5DF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其他+视频号</w:t>
            </w:r>
          </w:p>
        </w:tc>
      </w:tr>
      <w:tr w14:paraId="3634B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D1BAEF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27</w:t>
            </w:r>
          </w:p>
        </w:tc>
        <w:tc>
          <w:tcPr>
            <w:tcW w:w="4536" w:type="dxa"/>
            <w:tcBorders>
              <w:top w:val="single" w:color="auto" w:sz="4" w:space="0"/>
              <w:left w:val="single" w:color="auto" w:sz="4" w:space="0"/>
              <w:bottom w:val="single" w:color="auto" w:sz="4" w:space="0"/>
              <w:right w:val="single" w:color="auto" w:sz="4" w:space="0"/>
            </w:tcBorders>
            <w:noWrap/>
            <w:vAlign w:val="center"/>
          </w:tcPr>
          <w:p w14:paraId="0A148A6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汕头市公安局龙湖分局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10E8C9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其他+视频号</w:t>
            </w:r>
          </w:p>
        </w:tc>
      </w:tr>
      <w:tr w14:paraId="01180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FFA8F0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28</w:t>
            </w:r>
          </w:p>
        </w:tc>
        <w:tc>
          <w:tcPr>
            <w:tcW w:w="4536" w:type="dxa"/>
            <w:tcBorders>
              <w:top w:val="single" w:color="auto" w:sz="4" w:space="0"/>
              <w:left w:val="single" w:color="auto" w:sz="4" w:space="0"/>
              <w:bottom w:val="single" w:color="auto" w:sz="4" w:space="0"/>
              <w:right w:val="single" w:color="auto" w:sz="4" w:space="0"/>
            </w:tcBorders>
            <w:noWrap/>
            <w:vAlign w:val="center"/>
          </w:tcPr>
          <w:p w14:paraId="6A4E4E1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汕头市人力资源和社会保障局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917CCC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其他+视频号</w:t>
            </w:r>
          </w:p>
        </w:tc>
      </w:tr>
      <w:tr w14:paraId="67F9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1BD266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29</w:t>
            </w:r>
          </w:p>
        </w:tc>
        <w:tc>
          <w:tcPr>
            <w:tcW w:w="4536" w:type="dxa"/>
            <w:tcBorders>
              <w:top w:val="single" w:color="auto" w:sz="4" w:space="0"/>
              <w:left w:val="single" w:color="auto" w:sz="4" w:space="0"/>
              <w:bottom w:val="single" w:color="auto" w:sz="4" w:space="0"/>
              <w:right w:val="single" w:color="auto" w:sz="4" w:space="0"/>
            </w:tcBorders>
            <w:noWrap/>
            <w:vAlign w:val="center"/>
          </w:tcPr>
          <w:p w14:paraId="2077EE9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汕头华侨经济文化合作试验区管理委员会</w:t>
            </w:r>
          </w:p>
        </w:tc>
        <w:tc>
          <w:tcPr>
            <w:tcW w:w="2628" w:type="dxa"/>
            <w:tcBorders>
              <w:top w:val="single" w:color="auto" w:sz="4" w:space="0"/>
              <w:left w:val="single" w:color="auto" w:sz="4" w:space="0"/>
              <w:bottom w:val="single" w:color="auto" w:sz="4" w:space="0"/>
              <w:right w:val="single" w:color="auto" w:sz="4" w:space="0"/>
            </w:tcBorders>
            <w:noWrap/>
            <w:vAlign w:val="center"/>
          </w:tcPr>
          <w:p w14:paraId="34096878">
            <w:pPr>
              <w:widowControl/>
              <w:spacing w:line="240" w:lineRule="auto"/>
              <w:ind w:firstLine="0" w:firstLineChars="0"/>
              <w:jc w:val="center"/>
              <w:rPr>
                <w:rFonts w:hint="eastAsia" w:eastAsia="宋体" w:cs="宋体"/>
                <w:b w:val="0"/>
                <w:bCs/>
                <w:color w:val="000000"/>
                <w:kern w:val="0"/>
                <w:szCs w:val="24"/>
                <w:highlight w:val="none"/>
                <w:lang w:eastAsia="zh-CN"/>
              </w:rPr>
            </w:pPr>
            <w:r>
              <w:rPr>
                <w:rFonts w:hint="eastAsia" w:cs="宋体"/>
                <w:b w:val="0"/>
                <w:bCs/>
                <w:color w:val="000000"/>
                <w:kern w:val="0"/>
                <w:szCs w:val="24"/>
                <w:highlight w:val="none"/>
                <w:lang w:eastAsia="zh-CN"/>
              </w:rPr>
              <w:t>其他+视频号</w:t>
            </w:r>
          </w:p>
        </w:tc>
      </w:tr>
      <w:tr w14:paraId="40C71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C0724D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30</w:t>
            </w:r>
          </w:p>
        </w:tc>
        <w:tc>
          <w:tcPr>
            <w:tcW w:w="4536" w:type="dxa"/>
            <w:tcBorders>
              <w:top w:val="single" w:color="auto" w:sz="4" w:space="0"/>
              <w:left w:val="single" w:color="auto" w:sz="4" w:space="0"/>
              <w:bottom w:val="single" w:color="auto" w:sz="4" w:space="0"/>
              <w:right w:val="single" w:color="auto" w:sz="4" w:space="0"/>
            </w:tcBorders>
            <w:noWrap/>
            <w:vAlign w:val="center"/>
          </w:tcPr>
          <w:p w14:paraId="691DCB2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汕头市司法局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707C96C">
            <w:pPr>
              <w:widowControl/>
              <w:spacing w:line="240" w:lineRule="auto"/>
              <w:ind w:firstLine="0" w:firstLineChars="0"/>
              <w:jc w:val="center"/>
              <w:rPr>
                <w:rFonts w:hint="eastAsia" w:eastAsia="宋体" w:cs="宋体"/>
                <w:b w:val="0"/>
                <w:bCs/>
                <w:color w:val="000000"/>
                <w:kern w:val="0"/>
                <w:szCs w:val="24"/>
                <w:highlight w:val="none"/>
                <w:lang w:eastAsia="zh-CN"/>
              </w:rPr>
            </w:pPr>
            <w:r>
              <w:rPr>
                <w:rFonts w:hint="eastAsia" w:cs="宋体"/>
                <w:b w:val="0"/>
                <w:bCs/>
                <w:color w:val="000000"/>
                <w:kern w:val="0"/>
                <w:szCs w:val="24"/>
                <w:highlight w:val="none"/>
                <w:lang w:eastAsia="zh-CN"/>
              </w:rPr>
              <w:t>其他+视频号</w:t>
            </w:r>
          </w:p>
        </w:tc>
      </w:tr>
      <w:tr w14:paraId="4EF57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028D86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31</w:t>
            </w:r>
          </w:p>
        </w:tc>
        <w:tc>
          <w:tcPr>
            <w:tcW w:w="4536" w:type="dxa"/>
            <w:tcBorders>
              <w:top w:val="single" w:color="auto" w:sz="4" w:space="0"/>
              <w:left w:val="single" w:color="auto" w:sz="4" w:space="0"/>
              <w:bottom w:val="single" w:color="auto" w:sz="4" w:space="0"/>
              <w:right w:val="single" w:color="auto" w:sz="4" w:space="0"/>
            </w:tcBorders>
            <w:noWrap/>
            <w:vAlign w:val="center"/>
          </w:tcPr>
          <w:p w14:paraId="2A03AFE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汕头市文化广电旅游体育局（文物局）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A8016BE">
            <w:pPr>
              <w:widowControl/>
              <w:spacing w:line="240" w:lineRule="auto"/>
              <w:ind w:firstLine="0" w:firstLineChars="0"/>
              <w:jc w:val="center"/>
              <w:rPr>
                <w:rFonts w:hint="eastAsia" w:eastAsia="宋体" w:cs="宋体"/>
                <w:b w:val="0"/>
                <w:bCs/>
                <w:color w:val="000000"/>
                <w:kern w:val="0"/>
                <w:szCs w:val="24"/>
                <w:highlight w:val="none"/>
                <w:lang w:eastAsia="zh-CN"/>
              </w:rPr>
            </w:pPr>
            <w:r>
              <w:rPr>
                <w:rFonts w:hint="eastAsia" w:cs="宋体"/>
                <w:b w:val="0"/>
                <w:bCs/>
                <w:color w:val="000000"/>
                <w:kern w:val="0"/>
                <w:szCs w:val="24"/>
                <w:highlight w:val="none"/>
                <w:lang w:eastAsia="zh-CN"/>
              </w:rPr>
              <w:t>其他+视频号</w:t>
            </w:r>
          </w:p>
        </w:tc>
      </w:tr>
      <w:tr w14:paraId="4F92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90E67B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32</w:t>
            </w:r>
          </w:p>
        </w:tc>
        <w:tc>
          <w:tcPr>
            <w:tcW w:w="4536" w:type="dxa"/>
            <w:tcBorders>
              <w:top w:val="single" w:color="auto" w:sz="4" w:space="0"/>
              <w:left w:val="single" w:color="auto" w:sz="4" w:space="0"/>
              <w:bottom w:val="single" w:color="auto" w:sz="4" w:space="0"/>
              <w:right w:val="single" w:color="auto" w:sz="4" w:space="0"/>
            </w:tcBorders>
            <w:noWrap/>
            <w:vAlign w:val="center"/>
          </w:tcPr>
          <w:p w14:paraId="78AD21D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4F7C01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人民号</w:t>
            </w:r>
          </w:p>
        </w:tc>
      </w:tr>
      <w:tr w14:paraId="5EDD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6D6ADC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33</w:t>
            </w:r>
          </w:p>
        </w:tc>
        <w:tc>
          <w:tcPr>
            <w:tcW w:w="4536" w:type="dxa"/>
            <w:tcBorders>
              <w:top w:val="single" w:color="auto" w:sz="4" w:space="0"/>
              <w:left w:val="single" w:color="auto" w:sz="4" w:space="0"/>
              <w:bottom w:val="single" w:color="auto" w:sz="4" w:space="0"/>
              <w:right w:val="single" w:color="auto" w:sz="4" w:space="0"/>
            </w:tcBorders>
            <w:noWrap/>
            <w:vAlign w:val="center"/>
          </w:tcPr>
          <w:p w14:paraId="64D56AE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A73284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人民号</w:t>
            </w:r>
          </w:p>
        </w:tc>
      </w:tr>
      <w:tr w14:paraId="7D26D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F0BBE4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34</w:t>
            </w:r>
          </w:p>
        </w:tc>
        <w:tc>
          <w:tcPr>
            <w:tcW w:w="4536" w:type="dxa"/>
            <w:tcBorders>
              <w:top w:val="single" w:color="auto" w:sz="4" w:space="0"/>
              <w:left w:val="single" w:color="auto" w:sz="4" w:space="0"/>
              <w:bottom w:val="single" w:color="auto" w:sz="4" w:space="0"/>
              <w:right w:val="single" w:color="auto" w:sz="4" w:space="0"/>
            </w:tcBorders>
            <w:noWrap/>
            <w:vAlign w:val="center"/>
          </w:tcPr>
          <w:p w14:paraId="30903A4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汕头市公安局潮南分局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819B44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E3F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561960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35</w:t>
            </w:r>
          </w:p>
        </w:tc>
        <w:tc>
          <w:tcPr>
            <w:tcW w:w="4536" w:type="dxa"/>
            <w:tcBorders>
              <w:top w:val="single" w:color="auto" w:sz="4" w:space="0"/>
              <w:left w:val="single" w:color="auto" w:sz="4" w:space="0"/>
              <w:bottom w:val="single" w:color="auto" w:sz="4" w:space="0"/>
              <w:right w:val="single" w:color="auto" w:sz="4" w:space="0"/>
            </w:tcBorders>
            <w:noWrap/>
            <w:vAlign w:val="center"/>
          </w:tcPr>
          <w:p w14:paraId="1BC451D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汕头市公安局潮阳分局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584AF1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69953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7FEDA9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36</w:t>
            </w:r>
          </w:p>
        </w:tc>
        <w:tc>
          <w:tcPr>
            <w:tcW w:w="4536" w:type="dxa"/>
            <w:tcBorders>
              <w:top w:val="single" w:color="auto" w:sz="4" w:space="0"/>
              <w:left w:val="single" w:color="auto" w:sz="4" w:space="0"/>
              <w:bottom w:val="single" w:color="auto" w:sz="4" w:space="0"/>
              <w:right w:val="single" w:color="auto" w:sz="4" w:space="0"/>
            </w:tcBorders>
            <w:noWrap/>
            <w:vAlign w:val="center"/>
          </w:tcPr>
          <w:p w14:paraId="471438B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汕头市公安局澄海分局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DD0428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3B74E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DC0B14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37</w:t>
            </w:r>
          </w:p>
        </w:tc>
        <w:tc>
          <w:tcPr>
            <w:tcW w:w="4536" w:type="dxa"/>
            <w:tcBorders>
              <w:top w:val="single" w:color="auto" w:sz="4" w:space="0"/>
              <w:left w:val="single" w:color="auto" w:sz="4" w:space="0"/>
              <w:bottom w:val="single" w:color="auto" w:sz="4" w:space="0"/>
              <w:right w:val="single" w:color="auto" w:sz="4" w:space="0"/>
            </w:tcBorders>
            <w:noWrap/>
            <w:vAlign w:val="center"/>
          </w:tcPr>
          <w:p w14:paraId="045D7AB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汕头市澄海区政务服务和数据管理局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138648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C4C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EC4786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38</w:t>
            </w:r>
          </w:p>
        </w:tc>
        <w:tc>
          <w:tcPr>
            <w:tcW w:w="4536" w:type="dxa"/>
            <w:tcBorders>
              <w:top w:val="single" w:color="auto" w:sz="4" w:space="0"/>
              <w:left w:val="single" w:color="auto" w:sz="4" w:space="0"/>
              <w:bottom w:val="single" w:color="auto" w:sz="4" w:space="0"/>
              <w:right w:val="single" w:color="auto" w:sz="4" w:space="0"/>
            </w:tcBorders>
            <w:noWrap/>
            <w:vAlign w:val="center"/>
          </w:tcPr>
          <w:p w14:paraId="224C443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汕头市濠江区教育局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2E2A7C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699F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FD40DB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39</w:t>
            </w:r>
          </w:p>
        </w:tc>
        <w:tc>
          <w:tcPr>
            <w:tcW w:w="4536" w:type="dxa"/>
            <w:tcBorders>
              <w:top w:val="single" w:color="auto" w:sz="4" w:space="0"/>
              <w:left w:val="single" w:color="auto" w:sz="4" w:space="0"/>
              <w:bottom w:val="single" w:color="auto" w:sz="4" w:space="0"/>
              <w:right w:val="single" w:color="auto" w:sz="4" w:space="0"/>
            </w:tcBorders>
            <w:noWrap/>
            <w:vAlign w:val="center"/>
          </w:tcPr>
          <w:p w14:paraId="55201A0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汕头市龙湖区卫生健康局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B93368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9BA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B90553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40</w:t>
            </w:r>
          </w:p>
        </w:tc>
        <w:tc>
          <w:tcPr>
            <w:tcW w:w="4536" w:type="dxa"/>
            <w:tcBorders>
              <w:top w:val="single" w:color="auto" w:sz="4" w:space="0"/>
              <w:left w:val="single" w:color="auto" w:sz="4" w:space="0"/>
              <w:bottom w:val="single" w:color="auto" w:sz="4" w:space="0"/>
              <w:right w:val="single" w:color="auto" w:sz="4" w:space="0"/>
            </w:tcBorders>
            <w:noWrap/>
            <w:vAlign w:val="center"/>
          </w:tcPr>
          <w:p w14:paraId="0B22E9D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汕头市卫生健康局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572A1E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92B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74D040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41</w:t>
            </w:r>
          </w:p>
        </w:tc>
        <w:tc>
          <w:tcPr>
            <w:tcW w:w="4536" w:type="dxa"/>
            <w:tcBorders>
              <w:top w:val="single" w:color="auto" w:sz="4" w:space="0"/>
              <w:left w:val="single" w:color="auto" w:sz="4" w:space="0"/>
              <w:bottom w:val="single" w:color="auto" w:sz="4" w:space="0"/>
              <w:right w:val="single" w:color="auto" w:sz="4" w:space="0"/>
            </w:tcBorders>
            <w:noWrap/>
            <w:vAlign w:val="center"/>
          </w:tcPr>
          <w:p w14:paraId="609F5A3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汕头市龙湖区教育局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C544D7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3B3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A7E6A4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42</w:t>
            </w:r>
          </w:p>
        </w:tc>
        <w:tc>
          <w:tcPr>
            <w:tcW w:w="4536" w:type="dxa"/>
            <w:tcBorders>
              <w:top w:val="single" w:color="auto" w:sz="4" w:space="0"/>
              <w:left w:val="single" w:color="auto" w:sz="4" w:space="0"/>
              <w:bottom w:val="single" w:color="auto" w:sz="4" w:space="0"/>
              <w:right w:val="single" w:color="auto" w:sz="4" w:space="0"/>
            </w:tcBorders>
            <w:noWrap/>
            <w:vAlign w:val="center"/>
          </w:tcPr>
          <w:p w14:paraId="2EBF2C1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汕头市龙湖区政务服务和数据管理局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70C089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68364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BA15D8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43</w:t>
            </w:r>
          </w:p>
        </w:tc>
        <w:tc>
          <w:tcPr>
            <w:tcW w:w="4536" w:type="dxa"/>
            <w:tcBorders>
              <w:top w:val="single" w:color="auto" w:sz="4" w:space="0"/>
              <w:left w:val="single" w:color="auto" w:sz="4" w:space="0"/>
              <w:bottom w:val="single" w:color="auto" w:sz="4" w:space="0"/>
              <w:right w:val="single" w:color="auto" w:sz="4" w:space="0"/>
            </w:tcBorders>
            <w:noWrap/>
            <w:vAlign w:val="center"/>
          </w:tcPr>
          <w:p w14:paraId="688CFD0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汕头市龙湖区人民政府办公室</w:t>
            </w:r>
          </w:p>
        </w:tc>
        <w:tc>
          <w:tcPr>
            <w:tcW w:w="2628" w:type="dxa"/>
            <w:tcBorders>
              <w:top w:val="single" w:color="auto" w:sz="4" w:space="0"/>
              <w:left w:val="single" w:color="auto" w:sz="4" w:space="0"/>
              <w:bottom w:val="single" w:color="auto" w:sz="4" w:space="0"/>
              <w:right w:val="single" w:color="auto" w:sz="4" w:space="0"/>
            </w:tcBorders>
            <w:noWrap/>
            <w:vAlign w:val="center"/>
          </w:tcPr>
          <w:p w14:paraId="03D39CE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E1EC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5F8F08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44</w:t>
            </w:r>
          </w:p>
        </w:tc>
        <w:tc>
          <w:tcPr>
            <w:tcW w:w="4536" w:type="dxa"/>
            <w:tcBorders>
              <w:top w:val="single" w:color="auto" w:sz="4" w:space="0"/>
              <w:left w:val="single" w:color="auto" w:sz="4" w:space="0"/>
              <w:bottom w:val="single" w:color="auto" w:sz="4" w:space="0"/>
              <w:right w:val="single" w:color="auto" w:sz="4" w:space="0"/>
            </w:tcBorders>
            <w:noWrap/>
            <w:vAlign w:val="center"/>
          </w:tcPr>
          <w:p w14:paraId="3A2FAFD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汕头市龙湖区龙腾街道办事处</w:t>
            </w:r>
          </w:p>
        </w:tc>
        <w:tc>
          <w:tcPr>
            <w:tcW w:w="2628" w:type="dxa"/>
            <w:tcBorders>
              <w:top w:val="single" w:color="auto" w:sz="4" w:space="0"/>
              <w:left w:val="single" w:color="auto" w:sz="4" w:space="0"/>
              <w:bottom w:val="single" w:color="auto" w:sz="4" w:space="0"/>
              <w:right w:val="single" w:color="auto" w:sz="4" w:space="0"/>
            </w:tcBorders>
            <w:noWrap/>
            <w:vAlign w:val="center"/>
          </w:tcPr>
          <w:p w14:paraId="527A050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BB82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D4A00B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45</w:t>
            </w:r>
          </w:p>
        </w:tc>
        <w:tc>
          <w:tcPr>
            <w:tcW w:w="4536" w:type="dxa"/>
            <w:tcBorders>
              <w:top w:val="single" w:color="auto" w:sz="4" w:space="0"/>
              <w:left w:val="single" w:color="auto" w:sz="4" w:space="0"/>
              <w:bottom w:val="single" w:color="auto" w:sz="4" w:space="0"/>
              <w:right w:val="single" w:color="auto" w:sz="4" w:space="0"/>
            </w:tcBorders>
            <w:noWrap/>
            <w:vAlign w:val="center"/>
          </w:tcPr>
          <w:p w14:paraId="4B0A284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南澳县教育局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FB7DD7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7EDC0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3E9DDA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46</w:t>
            </w:r>
          </w:p>
        </w:tc>
        <w:tc>
          <w:tcPr>
            <w:tcW w:w="4536" w:type="dxa"/>
            <w:tcBorders>
              <w:top w:val="single" w:color="auto" w:sz="4" w:space="0"/>
              <w:left w:val="single" w:color="auto" w:sz="4" w:space="0"/>
              <w:bottom w:val="single" w:color="auto" w:sz="4" w:space="0"/>
              <w:right w:val="single" w:color="auto" w:sz="4" w:space="0"/>
            </w:tcBorders>
            <w:noWrap/>
            <w:vAlign w:val="center"/>
          </w:tcPr>
          <w:p w14:paraId="4DE9FB1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汕头市公安局濠江分局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452282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1D98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B16E24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47</w:t>
            </w:r>
          </w:p>
        </w:tc>
        <w:tc>
          <w:tcPr>
            <w:tcW w:w="4536" w:type="dxa"/>
            <w:tcBorders>
              <w:top w:val="single" w:color="auto" w:sz="4" w:space="0"/>
              <w:left w:val="single" w:color="auto" w:sz="4" w:space="0"/>
              <w:bottom w:val="single" w:color="auto" w:sz="4" w:space="0"/>
              <w:right w:val="single" w:color="auto" w:sz="4" w:space="0"/>
            </w:tcBorders>
            <w:noWrap/>
            <w:vAlign w:val="center"/>
          </w:tcPr>
          <w:p w14:paraId="17F392F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南澳县公安局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65ABB8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0140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270554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48</w:t>
            </w:r>
          </w:p>
        </w:tc>
        <w:tc>
          <w:tcPr>
            <w:tcW w:w="4536" w:type="dxa"/>
            <w:tcBorders>
              <w:top w:val="single" w:color="auto" w:sz="4" w:space="0"/>
              <w:left w:val="single" w:color="auto" w:sz="4" w:space="0"/>
              <w:bottom w:val="single" w:color="auto" w:sz="4" w:space="0"/>
              <w:right w:val="single" w:color="auto" w:sz="4" w:space="0"/>
            </w:tcBorders>
            <w:noWrap/>
            <w:vAlign w:val="center"/>
          </w:tcPr>
          <w:p w14:paraId="0A83FEF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汕头市财政局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4D883A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0D04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88B91D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49</w:t>
            </w:r>
          </w:p>
        </w:tc>
        <w:tc>
          <w:tcPr>
            <w:tcW w:w="4536" w:type="dxa"/>
            <w:tcBorders>
              <w:top w:val="single" w:color="auto" w:sz="4" w:space="0"/>
              <w:left w:val="single" w:color="auto" w:sz="4" w:space="0"/>
              <w:bottom w:val="single" w:color="auto" w:sz="4" w:space="0"/>
              <w:right w:val="single" w:color="auto" w:sz="4" w:space="0"/>
            </w:tcBorders>
            <w:noWrap/>
            <w:vAlign w:val="center"/>
          </w:tcPr>
          <w:p w14:paraId="3D666CC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汕头市城市管理和综合执法局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D66D4F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3270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508460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50</w:t>
            </w:r>
          </w:p>
        </w:tc>
        <w:tc>
          <w:tcPr>
            <w:tcW w:w="4536" w:type="dxa"/>
            <w:tcBorders>
              <w:top w:val="single" w:color="auto" w:sz="4" w:space="0"/>
              <w:left w:val="single" w:color="auto" w:sz="4" w:space="0"/>
              <w:bottom w:val="single" w:color="auto" w:sz="4" w:space="0"/>
              <w:right w:val="single" w:color="auto" w:sz="4" w:space="0"/>
            </w:tcBorders>
            <w:noWrap/>
            <w:vAlign w:val="center"/>
          </w:tcPr>
          <w:p w14:paraId="2973F88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汕头市澄海区教育局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11309E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4228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E42DDC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51</w:t>
            </w:r>
          </w:p>
        </w:tc>
        <w:tc>
          <w:tcPr>
            <w:tcW w:w="4536" w:type="dxa"/>
            <w:tcBorders>
              <w:top w:val="single" w:color="auto" w:sz="4" w:space="0"/>
              <w:left w:val="single" w:color="auto" w:sz="4" w:space="0"/>
              <w:bottom w:val="single" w:color="auto" w:sz="4" w:space="0"/>
              <w:right w:val="single" w:color="auto" w:sz="4" w:space="0"/>
            </w:tcBorders>
            <w:noWrap/>
            <w:vAlign w:val="center"/>
          </w:tcPr>
          <w:p w14:paraId="0642E22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汕头市发展和改革局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EEBABB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7EB0B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59951F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52</w:t>
            </w:r>
          </w:p>
        </w:tc>
        <w:tc>
          <w:tcPr>
            <w:tcW w:w="4536" w:type="dxa"/>
            <w:tcBorders>
              <w:top w:val="single" w:color="auto" w:sz="4" w:space="0"/>
              <w:left w:val="single" w:color="auto" w:sz="4" w:space="0"/>
              <w:bottom w:val="single" w:color="auto" w:sz="4" w:space="0"/>
              <w:right w:val="single" w:color="auto" w:sz="4" w:space="0"/>
            </w:tcBorders>
            <w:noWrap/>
            <w:vAlign w:val="center"/>
          </w:tcPr>
          <w:p w14:paraId="05EA451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汕头市地震局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769BE2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0780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B95E1A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53</w:t>
            </w:r>
          </w:p>
        </w:tc>
        <w:tc>
          <w:tcPr>
            <w:tcW w:w="4536" w:type="dxa"/>
            <w:tcBorders>
              <w:top w:val="single" w:color="auto" w:sz="4" w:space="0"/>
              <w:left w:val="single" w:color="auto" w:sz="4" w:space="0"/>
              <w:bottom w:val="single" w:color="auto" w:sz="4" w:space="0"/>
              <w:right w:val="single" w:color="auto" w:sz="4" w:space="0"/>
            </w:tcBorders>
            <w:noWrap/>
            <w:vAlign w:val="center"/>
          </w:tcPr>
          <w:p w14:paraId="1FFE840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汕头高新技术产业开发区管理委员会</w:t>
            </w:r>
          </w:p>
        </w:tc>
        <w:tc>
          <w:tcPr>
            <w:tcW w:w="2628" w:type="dxa"/>
            <w:tcBorders>
              <w:top w:val="single" w:color="auto" w:sz="4" w:space="0"/>
              <w:left w:val="single" w:color="auto" w:sz="4" w:space="0"/>
              <w:bottom w:val="single" w:color="auto" w:sz="4" w:space="0"/>
              <w:right w:val="single" w:color="auto" w:sz="4" w:space="0"/>
            </w:tcBorders>
            <w:noWrap/>
            <w:vAlign w:val="center"/>
          </w:tcPr>
          <w:p w14:paraId="021C01E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14B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9FF5A3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54</w:t>
            </w:r>
          </w:p>
        </w:tc>
        <w:tc>
          <w:tcPr>
            <w:tcW w:w="4536" w:type="dxa"/>
            <w:tcBorders>
              <w:top w:val="single" w:color="auto" w:sz="4" w:space="0"/>
              <w:left w:val="single" w:color="auto" w:sz="4" w:space="0"/>
              <w:bottom w:val="single" w:color="auto" w:sz="4" w:space="0"/>
              <w:right w:val="single" w:color="auto" w:sz="4" w:space="0"/>
            </w:tcBorders>
            <w:noWrap/>
            <w:vAlign w:val="center"/>
          </w:tcPr>
          <w:p w14:paraId="0434415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汕头市工业和信息化局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3BC7E7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DEB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95CC9B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55</w:t>
            </w:r>
          </w:p>
        </w:tc>
        <w:tc>
          <w:tcPr>
            <w:tcW w:w="4536" w:type="dxa"/>
            <w:tcBorders>
              <w:top w:val="single" w:color="auto" w:sz="4" w:space="0"/>
              <w:left w:val="single" w:color="auto" w:sz="4" w:space="0"/>
              <w:bottom w:val="single" w:color="auto" w:sz="4" w:space="0"/>
              <w:right w:val="single" w:color="auto" w:sz="4" w:space="0"/>
            </w:tcBorders>
            <w:noWrap/>
            <w:vAlign w:val="center"/>
          </w:tcPr>
          <w:p w14:paraId="27B3DD3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A39FEA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49F36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181BEF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56</w:t>
            </w:r>
          </w:p>
        </w:tc>
        <w:tc>
          <w:tcPr>
            <w:tcW w:w="4536" w:type="dxa"/>
            <w:tcBorders>
              <w:top w:val="single" w:color="auto" w:sz="4" w:space="0"/>
              <w:left w:val="single" w:color="auto" w:sz="4" w:space="0"/>
              <w:bottom w:val="single" w:color="auto" w:sz="4" w:space="0"/>
              <w:right w:val="single" w:color="auto" w:sz="4" w:space="0"/>
            </w:tcBorders>
            <w:noWrap/>
            <w:vAlign w:val="center"/>
          </w:tcPr>
          <w:p w14:paraId="5988C61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汕头市人民政府国有资产监督管理委员会</w:t>
            </w:r>
          </w:p>
        </w:tc>
        <w:tc>
          <w:tcPr>
            <w:tcW w:w="2628" w:type="dxa"/>
            <w:tcBorders>
              <w:top w:val="single" w:color="auto" w:sz="4" w:space="0"/>
              <w:left w:val="single" w:color="auto" w:sz="4" w:space="0"/>
              <w:bottom w:val="single" w:color="auto" w:sz="4" w:space="0"/>
              <w:right w:val="single" w:color="auto" w:sz="4" w:space="0"/>
            </w:tcBorders>
            <w:noWrap/>
            <w:vAlign w:val="center"/>
          </w:tcPr>
          <w:p w14:paraId="6F23C2C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4FE1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B1BD26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57</w:t>
            </w:r>
          </w:p>
        </w:tc>
        <w:tc>
          <w:tcPr>
            <w:tcW w:w="4536" w:type="dxa"/>
            <w:tcBorders>
              <w:top w:val="single" w:color="auto" w:sz="4" w:space="0"/>
              <w:left w:val="single" w:color="auto" w:sz="4" w:space="0"/>
              <w:bottom w:val="single" w:color="auto" w:sz="4" w:space="0"/>
              <w:right w:val="single" w:color="auto" w:sz="4" w:space="0"/>
            </w:tcBorders>
            <w:noWrap/>
            <w:vAlign w:val="center"/>
          </w:tcPr>
          <w:p w14:paraId="15640B5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汕头华侨经济文化合作试验区管理委员会</w:t>
            </w:r>
          </w:p>
        </w:tc>
        <w:tc>
          <w:tcPr>
            <w:tcW w:w="2628" w:type="dxa"/>
            <w:tcBorders>
              <w:top w:val="single" w:color="auto" w:sz="4" w:space="0"/>
              <w:left w:val="single" w:color="auto" w:sz="4" w:space="0"/>
              <w:bottom w:val="single" w:color="auto" w:sz="4" w:space="0"/>
              <w:right w:val="single" w:color="auto" w:sz="4" w:space="0"/>
            </w:tcBorders>
            <w:noWrap/>
            <w:vAlign w:val="center"/>
          </w:tcPr>
          <w:p w14:paraId="3A14ED5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766B4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A6AE0E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58</w:t>
            </w:r>
          </w:p>
        </w:tc>
        <w:tc>
          <w:tcPr>
            <w:tcW w:w="4536" w:type="dxa"/>
            <w:tcBorders>
              <w:top w:val="single" w:color="auto" w:sz="4" w:space="0"/>
              <w:left w:val="single" w:color="auto" w:sz="4" w:space="0"/>
              <w:bottom w:val="single" w:color="auto" w:sz="4" w:space="0"/>
              <w:right w:val="single" w:color="auto" w:sz="4" w:space="0"/>
            </w:tcBorders>
            <w:noWrap/>
            <w:vAlign w:val="center"/>
          </w:tcPr>
          <w:p w14:paraId="6143AA1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汕头市城市管理和综合执法局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BE0B42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93F1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BB46B8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59</w:t>
            </w:r>
          </w:p>
        </w:tc>
        <w:tc>
          <w:tcPr>
            <w:tcW w:w="4536" w:type="dxa"/>
            <w:tcBorders>
              <w:top w:val="single" w:color="auto" w:sz="4" w:space="0"/>
              <w:left w:val="single" w:color="auto" w:sz="4" w:space="0"/>
              <w:bottom w:val="single" w:color="auto" w:sz="4" w:space="0"/>
              <w:right w:val="single" w:color="auto" w:sz="4" w:space="0"/>
            </w:tcBorders>
            <w:noWrap/>
            <w:vAlign w:val="center"/>
          </w:tcPr>
          <w:p w14:paraId="238EFEE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汕头市机关事务管理局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FD6A9D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4C27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42E21A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60</w:t>
            </w:r>
          </w:p>
        </w:tc>
        <w:tc>
          <w:tcPr>
            <w:tcW w:w="4536" w:type="dxa"/>
            <w:tcBorders>
              <w:top w:val="single" w:color="auto" w:sz="4" w:space="0"/>
              <w:left w:val="single" w:color="auto" w:sz="4" w:space="0"/>
              <w:bottom w:val="single" w:color="auto" w:sz="4" w:space="0"/>
              <w:right w:val="single" w:color="auto" w:sz="4" w:space="0"/>
            </w:tcBorders>
            <w:noWrap/>
            <w:vAlign w:val="center"/>
          </w:tcPr>
          <w:p w14:paraId="28CEAF4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C282BD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3CD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259C0C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61</w:t>
            </w:r>
          </w:p>
        </w:tc>
        <w:tc>
          <w:tcPr>
            <w:tcW w:w="4536" w:type="dxa"/>
            <w:tcBorders>
              <w:top w:val="single" w:color="auto" w:sz="4" w:space="0"/>
              <w:left w:val="single" w:color="auto" w:sz="4" w:space="0"/>
              <w:bottom w:val="single" w:color="auto" w:sz="4" w:space="0"/>
              <w:right w:val="single" w:color="auto" w:sz="4" w:space="0"/>
            </w:tcBorders>
            <w:noWrap/>
            <w:vAlign w:val="center"/>
          </w:tcPr>
          <w:p w14:paraId="68455D3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汕头市交通运输综合执法局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8161FC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AFE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43B68FE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62</w:t>
            </w:r>
          </w:p>
        </w:tc>
        <w:tc>
          <w:tcPr>
            <w:tcW w:w="4536" w:type="dxa"/>
            <w:tcBorders>
              <w:top w:val="single" w:color="auto" w:sz="4" w:space="0"/>
              <w:left w:val="single" w:color="auto" w:sz="4" w:space="0"/>
              <w:bottom w:val="single" w:color="auto" w:sz="4" w:space="0"/>
              <w:right w:val="single" w:color="auto" w:sz="4" w:space="0"/>
            </w:tcBorders>
            <w:noWrap/>
            <w:vAlign w:val="center"/>
          </w:tcPr>
          <w:p w14:paraId="4DBBDA0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AA8061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006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DD11E7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63</w:t>
            </w:r>
          </w:p>
        </w:tc>
        <w:tc>
          <w:tcPr>
            <w:tcW w:w="4536" w:type="dxa"/>
            <w:tcBorders>
              <w:top w:val="single" w:color="auto" w:sz="4" w:space="0"/>
              <w:left w:val="single" w:color="auto" w:sz="4" w:space="0"/>
              <w:bottom w:val="single" w:color="auto" w:sz="4" w:space="0"/>
              <w:right w:val="single" w:color="auto" w:sz="4" w:space="0"/>
            </w:tcBorders>
            <w:noWrap/>
            <w:vAlign w:val="center"/>
          </w:tcPr>
          <w:p w14:paraId="5A8BD40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汕头市公安局龙湖分局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1525EA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AE38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D2FE42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64</w:t>
            </w:r>
          </w:p>
        </w:tc>
        <w:tc>
          <w:tcPr>
            <w:tcW w:w="4536" w:type="dxa"/>
            <w:tcBorders>
              <w:top w:val="single" w:color="auto" w:sz="4" w:space="0"/>
              <w:left w:val="single" w:color="auto" w:sz="4" w:space="0"/>
              <w:bottom w:val="single" w:color="auto" w:sz="4" w:space="0"/>
              <w:right w:val="single" w:color="auto" w:sz="4" w:space="0"/>
            </w:tcBorders>
            <w:noWrap/>
            <w:vAlign w:val="center"/>
          </w:tcPr>
          <w:p w14:paraId="614F9A3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汕头市民政局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5DBC36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4885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5F97B8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65</w:t>
            </w:r>
          </w:p>
        </w:tc>
        <w:tc>
          <w:tcPr>
            <w:tcW w:w="4536" w:type="dxa"/>
            <w:tcBorders>
              <w:top w:val="single" w:color="auto" w:sz="4" w:space="0"/>
              <w:left w:val="single" w:color="auto" w:sz="4" w:space="0"/>
              <w:bottom w:val="single" w:color="auto" w:sz="4" w:space="0"/>
              <w:right w:val="single" w:color="auto" w:sz="4" w:space="0"/>
            </w:tcBorders>
            <w:noWrap/>
            <w:vAlign w:val="center"/>
          </w:tcPr>
          <w:p w14:paraId="6F04FE1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汕头市农业农村局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D95024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777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4835EC6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66</w:t>
            </w:r>
          </w:p>
        </w:tc>
        <w:tc>
          <w:tcPr>
            <w:tcW w:w="4536" w:type="dxa"/>
            <w:tcBorders>
              <w:top w:val="single" w:color="auto" w:sz="4" w:space="0"/>
              <w:left w:val="single" w:color="auto" w:sz="4" w:space="0"/>
              <w:bottom w:val="single" w:color="auto" w:sz="4" w:space="0"/>
              <w:right w:val="single" w:color="auto" w:sz="4" w:space="0"/>
            </w:tcBorders>
            <w:noWrap/>
            <w:vAlign w:val="center"/>
          </w:tcPr>
          <w:p w14:paraId="57BC3FC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汕头市司法局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BE8A7B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E39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BC1192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67</w:t>
            </w:r>
          </w:p>
        </w:tc>
        <w:tc>
          <w:tcPr>
            <w:tcW w:w="4536" w:type="dxa"/>
            <w:tcBorders>
              <w:top w:val="single" w:color="auto" w:sz="4" w:space="0"/>
              <w:left w:val="single" w:color="auto" w:sz="4" w:space="0"/>
              <w:bottom w:val="single" w:color="auto" w:sz="4" w:space="0"/>
              <w:right w:val="single" w:color="auto" w:sz="4" w:space="0"/>
            </w:tcBorders>
            <w:noWrap/>
            <w:vAlign w:val="center"/>
          </w:tcPr>
          <w:p w14:paraId="29EFBE7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汕头市人力资源和社会保障局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D6BDE3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4A9B5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F957C6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68</w:t>
            </w:r>
          </w:p>
        </w:tc>
        <w:tc>
          <w:tcPr>
            <w:tcW w:w="4536" w:type="dxa"/>
            <w:tcBorders>
              <w:top w:val="single" w:color="auto" w:sz="4" w:space="0"/>
              <w:left w:val="single" w:color="auto" w:sz="4" w:space="0"/>
              <w:bottom w:val="single" w:color="auto" w:sz="4" w:space="0"/>
              <w:right w:val="single" w:color="auto" w:sz="4" w:space="0"/>
            </w:tcBorders>
            <w:noWrap/>
            <w:vAlign w:val="center"/>
          </w:tcPr>
          <w:p w14:paraId="04D1592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汕头市商务局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E54E9D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52B3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44303B9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69</w:t>
            </w:r>
          </w:p>
        </w:tc>
        <w:tc>
          <w:tcPr>
            <w:tcW w:w="4536" w:type="dxa"/>
            <w:tcBorders>
              <w:top w:val="single" w:color="auto" w:sz="4" w:space="0"/>
              <w:left w:val="single" w:color="auto" w:sz="4" w:space="0"/>
              <w:bottom w:val="single" w:color="auto" w:sz="4" w:space="0"/>
              <w:right w:val="single" w:color="auto" w:sz="4" w:space="0"/>
            </w:tcBorders>
            <w:noWrap/>
            <w:vAlign w:val="center"/>
          </w:tcPr>
          <w:p w14:paraId="096A8AE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汕头市社保局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75FE6E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0514F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5748B9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70</w:t>
            </w:r>
          </w:p>
        </w:tc>
        <w:tc>
          <w:tcPr>
            <w:tcW w:w="4536" w:type="dxa"/>
            <w:tcBorders>
              <w:top w:val="single" w:color="auto" w:sz="4" w:space="0"/>
              <w:left w:val="single" w:color="auto" w:sz="4" w:space="0"/>
              <w:bottom w:val="single" w:color="auto" w:sz="4" w:space="0"/>
              <w:right w:val="single" w:color="auto" w:sz="4" w:space="0"/>
            </w:tcBorders>
            <w:noWrap/>
            <w:vAlign w:val="center"/>
          </w:tcPr>
          <w:p w14:paraId="531B7D3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汕头市生态环境局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0A06A2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0046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05DCB4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71</w:t>
            </w:r>
          </w:p>
        </w:tc>
        <w:tc>
          <w:tcPr>
            <w:tcW w:w="4536" w:type="dxa"/>
            <w:tcBorders>
              <w:top w:val="single" w:color="auto" w:sz="4" w:space="0"/>
              <w:left w:val="single" w:color="auto" w:sz="4" w:space="0"/>
              <w:bottom w:val="single" w:color="auto" w:sz="4" w:space="0"/>
              <w:right w:val="single" w:color="auto" w:sz="4" w:space="0"/>
            </w:tcBorders>
            <w:noWrap/>
            <w:vAlign w:val="center"/>
          </w:tcPr>
          <w:p w14:paraId="794C671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31CBB3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658A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3977D9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72</w:t>
            </w:r>
          </w:p>
        </w:tc>
        <w:tc>
          <w:tcPr>
            <w:tcW w:w="4536" w:type="dxa"/>
            <w:tcBorders>
              <w:top w:val="single" w:color="auto" w:sz="4" w:space="0"/>
              <w:left w:val="single" w:color="auto" w:sz="4" w:space="0"/>
              <w:bottom w:val="single" w:color="auto" w:sz="4" w:space="0"/>
              <w:right w:val="single" w:color="auto" w:sz="4" w:space="0"/>
            </w:tcBorders>
            <w:noWrap/>
            <w:vAlign w:val="center"/>
          </w:tcPr>
          <w:p w14:paraId="05BA801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汕头市市场监督管理局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ECFD0C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26AE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D060AF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73</w:t>
            </w:r>
          </w:p>
        </w:tc>
        <w:tc>
          <w:tcPr>
            <w:tcW w:w="4536" w:type="dxa"/>
            <w:tcBorders>
              <w:top w:val="single" w:color="auto" w:sz="4" w:space="0"/>
              <w:left w:val="single" w:color="auto" w:sz="4" w:space="0"/>
              <w:bottom w:val="single" w:color="auto" w:sz="4" w:space="0"/>
              <w:right w:val="single" w:color="auto" w:sz="4" w:space="0"/>
            </w:tcBorders>
            <w:noWrap/>
            <w:vAlign w:val="center"/>
          </w:tcPr>
          <w:p w14:paraId="3BDF304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汕头市教育局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C4C9E8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2B7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92752F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74</w:t>
            </w:r>
          </w:p>
        </w:tc>
        <w:tc>
          <w:tcPr>
            <w:tcW w:w="4536" w:type="dxa"/>
            <w:tcBorders>
              <w:top w:val="single" w:color="auto" w:sz="4" w:space="0"/>
              <w:left w:val="single" w:color="auto" w:sz="4" w:space="0"/>
              <w:bottom w:val="single" w:color="auto" w:sz="4" w:space="0"/>
              <w:right w:val="single" w:color="auto" w:sz="4" w:space="0"/>
            </w:tcBorders>
            <w:noWrap/>
            <w:vAlign w:val="center"/>
          </w:tcPr>
          <w:p w14:paraId="74A7FE5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汕头市金平区教育局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BD62E3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1A9B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30B94D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75</w:t>
            </w:r>
          </w:p>
        </w:tc>
        <w:tc>
          <w:tcPr>
            <w:tcW w:w="4536" w:type="dxa"/>
            <w:tcBorders>
              <w:top w:val="single" w:color="auto" w:sz="4" w:space="0"/>
              <w:left w:val="single" w:color="auto" w:sz="4" w:space="0"/>
              <w:bottom w:val="single" w:color="auto" w:sz="4" w:space="0"/>
              <w:right w:val="single" w:color="auto" w:sz="4" w:space="0"/>
            </w:tcBorders>
            <w:noWrap/>
            <w:vAlign w:val="center"/>
          </w:tcPr>
          <w:p w14:paraId="3E59A63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汕头市科学技术局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04A68F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7C856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6A5E82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76</w:t>
            </w:r>
          </w:p>
        </w:tc>
        <w:tc>
          <w:tcPr>
            <w:tcW w:w="4536" w:type="dxa"/>
            <w:tcBorders>
              <w:top w:val="single" w:color="auto" w:sz="4" w:space="0"/>
              <w:left w:val="single" w:color="auto" w:sz="4" w:space="0"/>
              <w:bottom w:val="single" w:color="auto" w:sz="4" w:space="0"/>
              <w:right w:val="single" w:color="auto" w:sz="4" w:space="0"/>
            </w:tcBorders>
            <w:noWrap/>
            <w:vAlign w:val="center"/>
          </w:tcPr>
          <w:p w14:paraId="15C8713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汕头市退役军人事务局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5AC42A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EC2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553203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77</w:t>
            </w:r>
          </w:p>
        </w:tc>
        <w:tc>
          <w:tcPr>
            <w:tcW w:w="4536" w:type="dxa"/>
            <w:tcBorders>
              <w:top w:val="single" w:color="auto" w:sz="4" w:space="0"/>
              <w:left w:val="single" w:color="auto" w:sz="4" w:space="0"/>
              <w:bottom w:val="single" w:color="auto" w:sz="4" w:space="0"/>
              <w:right w:val="single" w:color="auto" w:sz="4" w:space="0"/>
            </w:tcBorders>
            <w:noWrap/>
            <w:vAlign w:val="center"/>
          </w:tcPr>
          <w:p w14:paraId="0108B47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汕头市水务局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60090E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0F7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E3659E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78</w:t>
            </w:r>
          </w:p>
        </w:tc>
        <w:tc>
          <w:tcPr>
            <w:tcW w:w="4536" w:type="dxa"/>
            <w:tcBorders>
              <w:top w:val="single" w:color="auto" w:sz="4" w:space="0"/>
              <w:left w:val="single" w:color="auto" w:sz="4" w:space="0"/>
              <w:bottom w:val="single" w:color="auto" w:sz="4" w:space="0"/>
              <w:right w:val="single" w:color="auto" w:sz="4" w:space="0"/>
            </w:tcBorders>
            <w:noWrap/>
            <w:vAlign w:val="center"/>
          </w:tcPr>
          <w:p w14:paraId="76237B9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汕头市司法局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A49EC3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A51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4E95FA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79</w:t>
            </w:r>
          </w:p>
        </w:tc>
        <w:tc>
          <w:tcPr>
            <w:tcW w:w="4536" w:type="dxa"/>
            <w:tcBorders>
              <w:top w:val="single" w:color="auto" w:sz="4" w:space="0"/>
              <w:left w:val="single" w:color="auto" w:sz="4" w:space="0"/>
              <w:bottom w:val="single" w:color="auto" w:sz="4" w:space="0"/>
              <w:right w:val="single" w:color="auto" w:sz="4" w:space="0"/>
            </w:tcBorders>
            <w:noWrap/>
            <w:vAlign w:val="center"/>
          </w:tcPr>
          <w:p w14:paraId="0807D45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汕头市统计局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F6A412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001C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47258E8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80</w:t>
            </w:r>
          </w:p>
        </w:tc>
        <w:tc>
          <w:tcPr>
            <w:tcW w:w="4536" w:type="dxa"/>
            <w:tcBorders>
              <w:top w:val="single" w:color="auto" w:sz="4" w:space="0"/>
              <w:left w:val="single" w:color="auto" w:sz="4" w:space="0"/>
              <w:bottom w:val="single" w:color="auto" w:sz="4" w:space="0"/>
              <w:right w:val="single" w:color="auto" w:sz="4" w:space="0"/>
            </w:tcBorders>
            <w:noWrap/>
            <w:vAlign w:val="center"/>
          </w:tcPr>
          <w:p w14:paraId="06D8D38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738257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4A63F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F77BB4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81</w:t>
            </w:r>
          </w:p>
        </w:tc>
        <w:tc>
          <w:tcPr>
            <w:tcW w:w="4536" w:type="dxa"/>
            <w:tcBorders>
              <w:top w:val="single" w:color="auto" w:sz="4" w:space="0"/>
              <w:left w:val="single" w:color="auto" w:sz="4" w:space="0"/>
              <w:bottom w:val="single" w:color="auto" w:sz="4" w:space="0"/>
              <w:right w:val="single" w:color="auto" w:sz="4" w:space="0"/>
            </w:tcBorders>
            <w:noWrap/>
            <w:vAlign w:val="center"/>
          </w:tcPr>
          <w:p w14:paraId="5F57E4B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汕头市文化广电旅游体育局（文物局）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9EDFF3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7F45A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8D204D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82</w:t>
            </w:r>
          </w:p>
        </w:tc>
        <w:tc>
          <w:tcPr>
            <w:tcW w:w="4536" w:type="dxa"/>
            <w:tcBorders>
              <w:top w:val="single" w:color="auto" w:sz="4" w:space="0"/>
              <w:left w:val="single" w:color="auto" w:sz="4" w:space="0"/>
              <w:bottom w:val="single" w:color="auto" w:sz="4" w:space="0"/>
              <w:right w:val="single" w:color="auto" w:sz="4" w:space="0"/>
            </w:tcBorders>
            <w:noWrap/>
            <w:vAlign w:val="center"/>
          </w:tcPr>
          <w:p w14:paraId="2C1065C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汕头市信访局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C1E3E3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24B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F45561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83</w:t>
            </w:r>
          </w:p>
        </w:tc>
        <w:tc>
          <w:tcPr>
            <w:tcW w:w="4536" w:type="dxa"/>
            <w:tcBorders>
              <w:top w:val="single" w:color="auto" w:sz="4" w:space="0"/>
              <w:left w:val="single" w:color="auto" w:sz="4" w:space="0"/>
              <w:bottom w:val="single" w:color="auto" w:sz="4" w:space="0"/>
              <w:right w:val="single" w:color="auto" w:sz="4" w:space="0"/>
            </w:tcBorders>
            <w:noWrap/>
            <w:vAlign w:val="center"/>
          </w:tcPr>
          <w:p w14:paraId="1205BE7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汕头市医疗保障局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1681DC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53BF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BD1E0C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84</w:t>
            </w:r>
          </w:p>
        </w:tc>
        <w:tc>
          <w:tcPr>
            <w:tcW w:w="4536" w:type="dxa"/>
            <w:tcBorders>
              <w:top w:val="single" w:color="auto" w:sz="4" w:space="0"/>
              <w:left w:val="single" w:color="auto" w:sz="4" w:space="0"/>
              <w:bottom w:val="single" w:color="auto" w:sz="4" w:space="0"/>
              <w:right w:val="single" w:color="auto" w:sz="4" w:space="0"/>
            </w:tcBorders>
            <w:noWrap/>
            <w:vAlign w:val="center"/>
          </w:tcPr>
          <w:p w14:paraId="3DA8571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汕头市应急管理局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E210EA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0C1A2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789951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85</w:t>
            </w:r>
          </w:p>
        </w:tc>
        <w:tc>
          <w:tcPr>
            <w:tcW w:w="4536" w:type="dxa"/>
            <w:tcBorders>
              <w:top w:val="single" w:color="auto" w:sz="4" w:space="0"/>
              <w:left w:val="single" w:color="auto" w:sz="4" w:space="0"/>
              <w:bottom w:val="single" w:color="auto" w:sz="4" w:space="0"/>
              <w:right w:val="single" w:color="auto" w:sz="4" w:space="0"/>
            </w:tcBorders>
            <w:noWrap/>
            <w:vAlign w:val="center"/>
          </w:tcPr>
          <w:p w14:paraId="742A659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汕头市城市管理和综合执法局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987DC4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4B2E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243B16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86</w:t>
            </w:r>
          </w:p>
        </w:tc>
        <w:tc>
          <w:tcPr>
            <w:tcW w:w="4536" w:type="dxa"/>
            <w:tcBorders>
              <w:top w:val="single" w:color="auto" w:sz="4" w:space="0"/>
              <w:left w:val="single" w:color="auto" w:sz="4" w:space="0"/>
              <w:bottom w:val="single" w:color="auto" w:sz="4" w:space="0"/>
              <w:right w:val="single" w:color="auto" w:sz="4" w:space="0"/>
            </w:tcBorders>
            <w:noWrap/>
            <w:vAlign w:val="center"/>
          </w:tcPr>
          <w:p w14:paraId="59F9790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汕头市政务服务和数据管理局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52A5261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65F8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F948BC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87</w:t>
            </w:r>
          </w:p>
        </w:tc>
        <w:tc>
          <w:tcPr>
            <w:tcW w:w="4536" w:type="dxa"/>
            <w:tcBorders>
              <w:top w:val="single" w:color="auto" w:sz="4" w:space="0"/>
              <w:left w:val="single" w:color="auto" w:sz="4" w:space="0"/>
              <w:bottom w:val="single" w:color="auto" w:sz="4" w:space="0"/>
              <w:right w:val="single" w:color="auto" w:sz="4" w:space="0"/>
            </w:tcBorders>
            <w:noWrap/>
            <w:vAlign w:val="center"/>
          </w:tcPr>
          <w:p w14:paraId="00C46EA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汕头市人民政府办公室</w:t>
            </w:r>
          </w:p>
        </w:tc>
        <w:tc>
          <w:tcPr>
            <w:tcW w:w="2628" w:type="dxa"/>
            <w:tcBorders>
              <w:top w:val="single" w:color="auto" w:sz="4" w:space="0"/>
              <w:left w:val="single" w:color="auto" w:sz="4" w:space="0"/>
              <w:bottom w:val="single" w:color="auto" w:sz="4" w:space="0"/>
              <w:right w:val="single" w:color="auto" w:sz="4" w:space="0"/>
            </w:tcBorders>
            <w:noWrap/>
            <w:vAlign w:val="center"/>
          </w:tcPr>
          <w:p w14:paraId="0AD69AA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1464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82CE43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88</w:t>
            </w:r>
          </w:p>
        </w:tc>
        <w:tc>
          <w:tcPr>
            <w:tcW w:w="4536" w:type="dxa"/>
            <w:tcBorders>
              <w:top w:val="single" w:color="auto" w:sz="4" w:space="0"/>
              <w:left w:val="single" w:color="auto" w:sz="4" w:space="0"/>
              <w:bottom w:val="single" w:color="auto" w:sz="4" w:space="0"/>
              <w:right w:val="single" w:color="auto" w:sz="4" w:space="0"/>
            </w:tcBorders>
            <w:noWrap/>
            <w:vAlign w:val="center"/>
          </w:tcPr>
          <w:p w14:paraId="3D3B6B2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汕头仲裁委员会</w:t>
            </w:r>
          </w:p>
        </w:tc>
        <w:tc>
          <w:tcPr>
            <w:tcW w:w="2628" w:type="dxa"/>
            <w:tcBorders>
              <w:top w:val="single" w:color="auto" w:sz="4" w:space="0"/>
              <w:left w:val="single" w:color="auto" w:sz="4" w:space="0"/>
              <w:bottom w:val="single" w:color="auto" w:sz="4" w:space="0"/>
              <w:right w:val="single" w:color="auto" w:sz="4" w:space="0"/>
            </w:tcBorders>
            <w:noWrap/>
            <w:vAlign w:val="center"/>
          </w:tcPr>
          <w:p w14:paraId="2B8B270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303AA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FD4FA8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89</w:t>
            </w:r>
          </w:p>
        </w:tc>
        <w:tc>
          <w:tcPr>
            <w:tcW w:w="4536" w:type="dxa"/>
            <w:tcBorders>
              <w:top w:val="single" w:color="auto" w:sz="4" w:space="0"/>
              <w:left w:val="single" w:color="auto" w:sz="4" w:space="0"/>
              <w:bottom w:val="single" w:color="auto" w:sz="4" w:space="0"/>
              <w:right w:val="single" w:color="auto" w:sz="4" w:space="0"/>
            </w:tcBorders>
            <w:noWrap/>
            <w:vAlign w:val="center"/>
          </w:tcPr>
          <w:p w14:paraId="589CD69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汕头市住房和城乡建设局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3E0C03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2327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50A5A7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90</w:t>
            </w:r>
          </w:p>
        </w:tc>
        <w:tc>
          <w:tcPr>
            <w:tcW w:w="4536" w:type="dxa"/>
            <w:tcBorders>
              <w:top w:val="single" w:color="auto" w:sz="4" w:space="0"/>
              <w:left w:val="single" w:color="auto" w:sz="4" w:space="0"/>
              <w:bottom w:val="single" w:color="auto" w:sz="4" w:space="0"/>
              <w:right w:val="single" w:color="auto" w:sz="4" w:space="0"/>
            </w:tcBorders>
            <w:noWrap/>
            <w:vAlign w:val="center"/>
          </w:tcPr>
          <w:p w14:paraId="093CA10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汕头市自然资源局（海洋局）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75FA6CA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7DE2F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4D05396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91</w:t>
            </w:r>
          </w:p>
        </w:tc>
        <w:tc>
          <w:tcPr>
            <w:tcW w:w="4536" w:type="dxa"/>
            <w:tcBorders>
              <w:top w:val="single" w:color="auto" w:sz="4" w:space="0"/>
              <w:left w:val="single" w:color="auto" w:sz="4" w:space="0"/>
              <w:bottom w:val="single" w:color="auto" w:sz="4" w:space="0"/>
              <w:right w:val="single" w:color="auto" w:sz="4" w:space="0"/>
            </w:tcBorders>
            <w:noWrap/>
            <w:vAlign w:val="center"/>
          </w:tcPr>
          <w:p w14:paraId="5C78556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汕头综合保税区管理委员会</w:t>
            </w:r>
          </w:p>
        </w:tc>
        <w:tc>
          <w:tcPr>
            <w:tcW w:w="2628" w:type="dxa"/>
            <w:tcBorders>
              <w:top w:val="single" w:color="auto" w:sz="4" w:space="0"/>
              <w:left w:val="single" w:color="auto" w:sz="4" w:space="0"/>
              <w:bottom w:val="single" w:color="auto" w:sz="4" w:space="0"/>
              <w:right w:val="single" w:color="auto" w:sz="4" w:space="0"/>
            </w:tcBorders>
            <w:noWrap/>
            <w:vAlign w:val="center"/>
          </w:tcPr>
          <w:p w14:paraId="0F71053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77F5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73F1EB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92</w:t>
            </w:r>
          </w:p>
        </w:tc>
        <w:tc>
          <w:tcPr>
            <w:tcW w:w="4536" w:type="dxa"/>
            <w:tcBorders>
              <w:top w:val="single" w:color="auto" w:sz="4" w:space="0"/>
              <w:left w:val="single" w:color="auto" w:sz="4" w:space="0"/>
              <w:bottom w:val="single" w:color="auto" w:sz="4" w:space="0"/>
              <w:right w:val="single" w:color="auto" w:sz="4" w:space="0"/>
            </w:tcBorders>
            <w:noWrap/>
            <w:vAlign w:val="center"/>
          </w:tcPr>
          <w:p w14:paraId="1B89DAC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汕头市投资促进局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29BA42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66BD5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DC14C9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93</w:t>
            </w:r>
          </w:p>
        </w:tc>
        <w:tc>
          <w:tcPr>
            <w:tcW w:w="4536" w:type="dxa"/>
            <w:tcBorders>
              <w:top w:val="single" w:color="auto" w:sz="4" w:space="0"/>
              <w:left w:val="single" w:color="auto" w:sz="4" w:space="0"/>
              <w:bottom w:val="single" w:color="auto" w:sz="4" w:space="0"/>
              <w:right w:val="single" w:color="auto" w:sz="4" w:space="0"/>
            </w:tcBorders>
            <w:noWrap/>
            <w:vAlign w:val="center"/>
          </w:tcPr>
          <w:p w14:paraId="6BA42A2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潮南区文化广电旅游体育局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3F2DAB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3218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859F18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94</w:t>
            </w:r>
          </w:p>
        </w:tc>
        <w:tc>
          <w:tcPr>
            <w:tcW w:w="4536" w:type="dxa"/>
            <w:tcBorders>
              <w:top w:val="single" w:color="auto" w:sz="4" w:space="0"/>
              <w:left w:val="single" w:color="auto" w:sz="4" w:space="0"/>
              <w:bottom w:val="single" w:color="auto" w:sz="4" w:space="0"/>
              <w:right w:val="single" w:color="auto" w:sz="4" w:space="0"/>
            </w:tcBorders>
            <w:noWrap/>
            <w:vAlign w:val="center"/>
          </w:tcPr>
          <w:p w14:paraId="7D9403B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澄海区莲上镇人民政府</w:t>
            </w:r>
          </w:p>
        </w:tc>
        <w:tc>
          <w:tcPr>
            <w:tcW w:w="2628" w:type="dxa"/>
            <w:tcBorders>
              <w:top w:val="single" w:color="auto" w:sz="4" w:space="0"/>
              <w:left w:val="single" w:color="auto" w:sz="4" w:space="0"/>
              <w:bottom w:val="single" w:color="auto" w:sz="4" w:space="0"/>
              <w:right w:val="single" w:color="auto" w:sz="4" w:space="0"/>
            </w:tcBorders>
            <w:noWrap/>
            <w:vAlign w:val="center"/>
          </w:tcPr>
          <w:p w14:paraId="326043E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7D0E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91F1DD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95</w:t>
            </w:r>
          </w:p>
        </w:tc>
        <w:tc>
          <w:tcPr>
            <w:tcW w:w="4536" w:type="dxa"/>
            <w:tcBorders>
              <w:top w:val="single" w:color="auto" w:sz="4" w:space="0"/>
              <w:left w:val="single" w:color="auto" w:sz="4" w:space="0"/>
              <w:bottom w:val="single" w:color="auto" w:sz="4" w:space="0"/>
              <w:right w:val="single" w:color="auto" w:sz="4" w:space="0"/>
            </w:tcBorders>
            <w:noWrap/>
            <w:vAlign w:val="center"/>
          </w:tcPr>
          <w:p w14:paraId="39C81E1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澄海区盐鸿镇人民政府</w:t>
            </w:r>
          </w:p>
        </w:tc>
        <w:tc>
          <w:tcPr>
            <w:tcW w:w="2628" w:type="dxa"/>
            <w:tcBorders>
              <w:top w:val="single" w:color="auto" w:sz="4" w:space="0"/>
              <w:left w:val="single" w:color="auto" w:sz="4" w:space="0"/>
              <w:bottom w:val="single" w:color="auto" w:sz="4" w:space="0"/>
              <w:right w:val="single" w:color="auto" w:sz="4" w:space="0"/>
            </w:tcBorders>
            <w:noWrap/>
            <w:vAlign w:val="center"/>
          </w:tcPr>
          <w:p w14:paraId="4D381F1E">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5FAAF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53FCA6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96</w:t>
            </w:r>
          </w:p>
        </w:tc>
        <w:tc>
          <w:tcPr>
            <w:tcW w:w="4536" w:type="dxa"/>
            <w:tcBorders>
              <w:top w:val="single" w:color="auto" w:sz="4" w:space="0"/>
              <w:left w:val="single" w:color="auto" w:sz="4" w:space="0"/>
              <w:bottom w:val="single" w:color="auto" w:sz="4" w:space="0"/>
              <w:right w:val="single" w:color="auto" w:sz="4" w:space="0"/>
            </w:tcBorders>
            <w:noWrap/>
            <w:vAlign w:val="center"/>
          </w:tcPr>
          <w:p w14:paraId="6B44E7C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汕头市澄海区溪南镇人民政府</w:t>
            </w:r>
          </w:p>
        </w:tc>
        <w:tc>
          <w:tcPr>
            <w:tcW w:w="2628" w:type="dxa"/>
            <w:tcBorders>
              <w:top w:val="single" w:color="auto" w:sz="4" w:space="0"/>
              <w:left w:val="single" w:color="auto" w:sz="4" w:space="0"/>
              <w:bottom w:val="single" w:color="auto" w:sz="4" w:space="0"/>
              <w:right w:val="single" w:color="auto" w:sz="4" w:space="0"/>
            </w:tcBorders>
            <w:noWrap/>
            <w:vAlign w:val="center"/>
          </w:tcPr>
          <w:p w14:paraId="4D7D6C2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微信订阅号</w:t>
            </w:r>
          </w:p>
        </w:tc>
      </w:tr>
      <w:tr w14:paraId="08B78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C99077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97</w:t>
            </w:r>
          </w:p>
        </w:tc>
        <w:tc>
          <w:tcPr>
            <w:tcW w:w="4536" w:type="dxa"/>
            <w:tcBorders>
              <w:top w:val="single" w:color="auto" w:sz="4" w:space="0"/>
              <w:left w:val="single" w:color="auto" w:sz="4" w:space="0"/>
              <w:bottom w:val="single" w:color="auto" w:sz="4" w:space="0"/>
              <w:right w:val="single" w:color="auto" w:sz="4" w:space="0"/>
            </w:tcBorders>
            <w:noWrap/>
            <w:vAlign w:val="center"/>
          </w:tcPr>
          <w:p w14:paraId="55C0438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BEAC5E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微信服务号</w:t>
            </w:r>
          </w:p>
        </w:tc>
      </w:tr>
      <w:tr w14:paraId="5257E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4B1E78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98</w:t>
            </w:r>
          </w:p>
        </w:tc>
        <w:tc>
          <w:tcPr>
            <w:tcW w:w="4536" w:type="dxa"/>
            <w:tcBorders>
              <w:top w:val="single" w:color="auto" w:sz="4" w:space="0"/>
              <w:left w:val="single" w:color="auto" w:sz="4" w:space="0"/>
              <w:bottom w:val="single" w:color="auto" w:sz="4" w:space="0"/>
              <w:right w:val="single" w:color="auto" w:sz="4" w:space="0"/>
            </w:tcBorders>
            <w:noWrap/>
            <w:vAlign w:val="center"/>
          </w:tcPr>
          <w:p w14:paraId="380AF5E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汕头市人民政府办公室</w:t>
            </w:r>
          </w:p>
        </w:tc>
        <w:tc>
          <w:tcPr>
            <w:tcW w:w="2628" w:type="dxa"/>
            <w:tcBorders>
              <w:top w:val="single" w:color="auto" w:sz="4" w:space="0"/>
              <w:left w:val="single" w:color="auto" w:sz="4" w:space="0"/>
              <w:bottom w:val="single" w:color="auto" w:sz="4" w:space="0"/>
              <w:right w:val="single" w:color="auto" w:sz="4" w:space="0"/>
            </w:tcBorders>
            <w:noWrap/>
            <w:vAlign w:val="center"/>
          </w:tcPr>
          <w:p w14:paraId="1787DDE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微信服务号</w:t>
            </w:r>
          </w:p>
        </w:tc>
      </w:tr>
      <w:tr w14:paraId="2390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1579B3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99</w:t>
            </w:r>
          </w:p>
        </w:tc>
        <w:tc>
          <w:tcPr>
            <w:tcW w:w="4536" w:type="dxa"/>
            <w:tcBorders>
              <w:top w:val="single" w:color="auto" w:sz="4" w:space="0"/>
              <w:left w:val="single" w:color="auto" w:sz="4" w:space="0"/>
              <w:bottom w:val="single" w:color="auto" w:sz="4" w:space="0"/>
              <w:right w:val="single" w:color="auto" w:sz="4" w:space="0"/>
            </w:tcBorders>
            <w:noWrap/>
            <w:vAlign w:val="center"/>
          </w:tcPr>
          <w:p w14:paraId="68E9944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汕头市公安局潮南分局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63EA035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1F96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682F3E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100</w:t>
            </w:r>
          </w:p>
        </w:tc>
        <w:tc>
          <w:tcPr>
            <w:tcW w:w="4536" w:type="dxa"/>
            <w:tcBorders>
              <w:top w:val="single" w:color="auto" w:sz="4" w:space="0"/>
              <w:left w:val="single" w:color="auto" w:sz="4" w:space="0"/>
              <w:bottom w:val="single" w:color="auto" w:sz="4" w:space="0"/>
              <w:right w:val="single" w:color="auto" w:sz="4" w:space="0"/>
            </w:tcBorders>
            <w:noWrap/>
            <w:vAlign w:val="center"/>
          </w:tcPr>
          <w:p w14:paraId="48D4BB44">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汕头市公安局濠江分局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420F65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4574B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BD550B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101</w:t>
            </w:r>
          </w:p>
        </w:tc>
        <w:tc>
          <w:tcPr>
            <w:tcW w:w="4536" w:type="dxa"/>
            <w:tcBorders>
              <w:top w:val="single" w:color="auto" w:sz="4" w:space="0"/>
              <w:left w:val="single" w:color="auto" w:sz="4" w:space="0"/>
              <w:bottom w:val="single" w:color="auto" w:sz="4" w:space="0"/>
              <w:right w:val="single" w:color="auto" w:sz="4" w:space="0"/>
            </w:tcBorders>
            <w:noWrap/>
            <w:vAlign w:val="center"/>
          </w:tcPr>
          <w:p w14:paraId="71863A9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4582C963">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03B7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8D059F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102</w:t>
            </w:r>
          </w:p>
        </w:tc>
        <w:tc>
          <w:tcPr>
            <w:tcW w:w="4536" w:type="dxa"/>
            <w:tcBorders>
              <w:top w:val="single" w:color="auto" w:sz="4" w:space="0"/>
              <w:left w:val="single" w:color="auto" w:sz="4" w:space="0"/>
              <w:bottom w:val="single" w:color="auto" w:sz="4" w:space="0"/>
              <w:right w:val="single" w:color="auto" w:sz="4" w:space="0"/>
            </w:tcBorders>
            <w:noWrap/>
            <w:vAlign w:val="center"/>
          </w:tcPr>
          <w:p w14:paraId="5C17393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汕头市公安局龙湖分局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1FA8B1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1407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306BA5A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103</w:t>
            </w:r>
          </w:p>
        </w:tc>
        <w:tc>
          <w:tcPr>
            <w:tcW w:w="4536" w:type="dxa"/>
            <w:tcBorders>
              <w:top w:val="single" w:color="auto" w:sz="4" w:space="0"/>
              <w:left w:val="single" w:color="auto" w:sz="4" w:space="0"/>
              <w:bottom w:val="single" w:color="auto" w:sz="4" w:space="0"/>
              <w:right w:val="single" w:color="auto" w:sz="4" w:space="0"/>
            </w:tcBorders>
            <w:noWrap/>
            <w:vAlign w:val="center"/>
          </w:tcPr>
          <w:p w14:paraId="2CBEA0DF">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汕头市城市管理和综合执法局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282E51D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574C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0A2D2C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104</w:t>
            </w:r>
          </w:p>
        </w:tc>
        <w:tc>
          <w:tcPr>
            <w:tcW w:w="4536" w:type="dxa"/>
            <w:tcBorders>
              <w:top w:val="single" w:color="auto" w:sz="4" w:space="0"/>
              <w:left w:val="single" w:color="auto" w:sz="4" w:space="0"/>
              <w:bottom w:val="single" w:color="auto" w:sz="4" w:space="0"/>
              <w:right w:val="single" w:color="auto" w:sz="4" w:space="0"/>
            </w:tcBorders>
            <w:noWrap/>
            <w:vAlign w:val="center"/>
          </w:tcPr>
          <w:p w14:paraId="317C1875">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汕头市地震局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0C316C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6E0CB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2BEB593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105</w:t>
            </w:r>
          </w:p>
        </w:tc>
        <w:tc>
          <w:tcPr>
            <w:tcW w:w="4536" w:type="dxa"/>
            <w:tcBorders>
              <w:top w:val="single" w:color="auto" w:sz="4" w:space="0"/>
              <w:left w:val="single" w:color="auto" w:sz="4" w:space="0"/>
              <w:bottom w:val="single" w:color="auto" w:sz="4" w:space="0"/>
              <w:right w:val="single" w:color="auto" w:sz="4" w:space="0"/>
            </w:tcBorders>
            <w:noWrap/>
            <w:vAlign w:val="center"/>
          </w:tcPr>
          <w:p w14:paraId="7ECA810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9C5A30B">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138EA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78B8027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106</w:t>
            </w:r>
          </w:p>
        </w:tc>
        <w:tc>
          <w:tcPr>
            <w:tcW w:w="4536" w:type="dxa"/>
            <w:tcBorders>
              <w:top w:val="single" w:color="auto" w:sz="4" w:space="0"/>
              <w:left w:val="single" w:color="auto" w:sz="4" w:space="0"/>
              <w:bottom w:val="single" w:color="auto" w:sz="4" w:space="0"/>
              <w:right w:val="single" w:color="auto" w:sz="4" w:space="0"/>
            </w:tcBorders>
            <w:noWrap/>
            <w:vAlign w:val="center"/>
          </w:tcPr>
          <w:p w14:paraId="4642C9EC">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汕头金平公安分局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0B493BF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545C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6287542A">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107</w:t>
            </w:r>
          </w:p>
        </w:tc>
        <w:tc>
          <w:tcPr>
            <w:tcW w:w="4536" w:type="dxa"/>
            <w:tcBorders>
              <w:top w:val="single" w:color="auto" w:sz="4" w:space="0"/>
              <w:left w:val="single" w:color="auto" w:sz="4" w:space="0"/>
              <w:bottom w:val="single" w:color="auto" w:sz="4" w:space="0"/>
              <w:right w:val="single" w:color="auto" w:sz="4" w:space="0"/>
            </w:tcBorders>
            <w:noWrap/>
            <w:vAlign w:val="center"/>
          </w:tcPr>
          <w:p w14:paraId="7CB4C0D9">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汕头市生态环境局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3D572CC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582BA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0AED413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108</w:t>
            </w:r>
          </w:p>
        </w:tc>
        <w:tc>
          <w:tcPr>
            <w:tcW w:w="4536" w:type="dxa"/>
            <w:tcBorders>
              <w:top w:val="single" w:color="auto" w:sz="4" w:space="0"/>
              <w:left w:val="single" w:color="auto" w:sz="4" w:space="0"/>
              <w:bottom w:val="single" w:color="auto" w:sz="4" w:space="0"/>
              <w:right w:val="single" w:color="auto" w:sz="4" w:space="0"/>
            </w:tcBorders>
            <w:noWrap/>
            <w:vAlign w:val="center"/>
          </w:tcPr>
          <w:p w14:paraId="4AEC84F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汕头市人民政府办公室</w:t>
            </w:r>
          </w:p>
        </w:tc>
        <w:tc>
          <w:tcPr>
            <w:tcW w:w="2628" w:type="dxa"/>
            <w:tcBorders>
              <w:top w:val="single" w:color="auto" w:sz="4" w:space="0"/>
              <w:left w:val="single" w:color="auto" w:sz="4" w:space="0"/>
              <w:bottom w:val="single" w:color="auto" w:sz="4" w:space="0"/>
              <w:right w:val="single" w:color="auto" w:sz="4" w:space="0"/>
            </w:tcBorders>
            <w:noWrap/>
            <w:vAlign w:val="center"/>
          </w:tcPr>
          <w:p w14:paraId="6EB606B1">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6B55C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1D402710">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109</w:t>
            </w:r>
          </w:p>
        </w:tc>
        <w:tc>
          <w:tcPr>
            <w:tcW w:w="4536" w:type="dxa"/>
            <w:tcBorders>
              <w:top w:val="single" w:color="auto" w:sz="4" w:space="0"/>
              <w:left w:val="single" w:color="auto" w:sz="4" w:space="0"/>
              <w:bottom w:val="single" w:color="auto" w:sz="4" w:space="0"/>
              <w:right w:val="single" w:color="auto" w:sz="4" w:space="0"/>
            </w:tcBorders>
            <w:noWrap/>
            <w:vAlign w:val="center"/>
          </w:tcPr>
          <w:p w14:paraId="41276316">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汕头市公安局</w:t>
            </w:r>
          </w:p>
        </w:tc>
        <w:tc>
          <w:tcPr>
            <w:tcW w:w="2628" w:type="dxa"/>
            <w:tcBorders>
              <w:top w:val="single" w:color="auto" w:sz="4" w:space="0"/>
              <w:left w:val="single" w:color="auto" w:sz="4" w:space="0"/>
              <w:bottom w:val="single" w:color="auto" w:sz="4" w:space="0"/>
              <w:right w:val="single" w:color="auto" w:sz="4" w:space="0"/>
            </w:tcBorders>
            <w:noWrap/>
            <w:vAlign w:val="center"/>
          </w:tcPr>
          <w:p w14:paraId="1F110767">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新浪微博</w:t>
            </w:r>
          </w:p>
        </w:tc>
      </w:tr>
      <w:tr w14:paraId="6B2DB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32" w:type="dxa"/>
            <w:tcBorders>
              <w:top w:val="single" w:color="auto" w:sz="4" w:space="0"/>
              <w:left w:val="single" w:color="auto" w:sz="4" w:space="0"/>
              <w:bottom w:val="single" w:color="auto" w:sz="4" w:space="0"/>
              <w:right w:val="single" w:color="auto" w:sz="4" w:space="0"/>
            </w:tcBorders>
            <w:noWrap/>
            <w:vAlign w:val="center"/>
          </w:tcPr>
          <w:p w14:paraId="55CE2462">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110</w:t>
            </w:r>
          </w:p>
        </w:tc>
        <w:tc>
          <w:tcPr>
            <w:tcW w:w="4536" w:type="dxa"/>
            <w:tcBorders>
              <w:top w:val="single" w:color="auto" w:sz="4" w:space="0"/>
              <w:left w:val="single" w:color="auto" w:sz="4" w:space="0"/>
              <w:bottom w:val="single" w:color="auto" w:sz="4" w:space="0"/>
              <w:right w:val="single" w:color="auto" w:sz="4" w:space="0"/>
            </w:tcBorders>
            <w:noWrap/>
            <w:vAlign w:val="center"/>
          </w:tcPr>
          <w:p w14:paraId="605699D8">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汕头市龙湖区人民政府办公室</w:t>
            </w:r>
          </w:p>
        </w:tc>
        <w:tc>
          <w:tcPr>
            <w:tcW w:w="2628" w:type="dxa"/>
            <w:tcBorders>
              <w:top w:val="single" w:color="auto" w:sz="4" w:space="0"/>
              <w:left w:val="single" w:color="auto" w:sz="4" w:space="0"/>
              <w:bottom w:val="single" w:color="auto" w:sz="4" w:space="0"/>
              <w:right w:val="single" w:color="auto" w:sz="4" w:space="0"/>
            </w:tcBorders>
            <w:noWrap/>
            <w:vAlign w:val="center"/>
          </w:tcPr>
          <w:p w14:paraId="7558CFED">
            <w:pPr>
              <w:widowControl/>
              <w:spacing w:line="240" w:lineRule="auto"/>
              <w:ind w:firstLine="0" w:firstLineChars="0"/>
              <w:jc w:val="center"/>
              <w:rPr>
                <w:rFonts w:hint="eastAsia" w:cs="宋体"/>
                <w:b w:val="0"/>
                <w:bCs/>
                <w:color w:val="000000"/>
                <w:kern w:val="0"/>
                <w:szCs w:val="24"/>
                <w:highlight w:val="none"/>
              </w:rPr>
            </w:pPr>
            <w:r>
              <w:rPr>
                <w:rFonts w:hint="eastAsia" w:cs="宋体"/>
                <w:b w:val="0"/>
                <w:bCs/>
                <w:color w:val="000000"/>
                <w:kern w:val="0"/>
                <w:szCs w:val="24"/>
                <w:highlight w:val="none"/>
              </w:rPr>
              <w:t>移动客户端</w:t>
            </w:r>
          </w:p>
        </w:tc>
      </w:tr>
    </w:tbl>
    <w:p w14:paraId="7342A994">
      <w:pPr>
        <w:ind w:firstLine="0" w:firstLineChars="0"/>
        <w:rPr>
          <w:rFonts w:hint="eastAsia"/>
          <w:highlight w:val="none"/>
        </w:rPr>
      </w:pPr>
    </w:p>
    <w:p w14:paraId="5F7083FB">
      <w:pPr>
        <w:pStyle w:val="6"/>
        <w:rPr>
          <w:rFonts w:hint="eastAsia"/>
          <w:highlight w:val="none"/>
        </w:rPr>
      </w:pPr>
      <w:r>
        <w:rPr>
          <w:rFonts w:hint="eastAsia"/>
          <w:highlight w:val="none"/>
        </w:rPr>
        <w:t>网站内容安全监测服务范围</w:t>
      </w:r>
    </w:p>
    <w:p w14:paraId="7A841FB4">
      <w:pPr>
        <w:pStyle w:val="108"/>
        <w:numPr>
          <w:ilvl w:val="0"/>
          <w:numId w:val="10"/>
        </w:numPr>
        <w:ind w:firstLineChars="0"/>
        <w:rPr>
          <w:rFonts w:hint="eastAsia"/>
          <w:highlight w:val="none"/>
        </w:rPr>
      </w:pPr>
      <w:r>
        <w:rPr>
          <w:rFonts w:hint="eastAsia"/>
          <w:highlight w:val="none"/>
        </w:rPr>
        <w:t>政府网站</w:t>
      </w:r>
    </w:p>
    <w:tbl>
      <w:tblPr>
        <w:tblStyle w:val="33"/>
        <w:tblW w:w="5000" w:type="pct"/>
        <w:tblInd w:w="0" w:type="dxa"/>
        <w:tblLayout w:type="fixed"/>
        <w:tblCellMar>
          <w:top w:w="0" w:type="dxa"/>
          <w:left w:w="108" w:type="dxa"/>
          <w:bottom w:w="0" w:type="dxa"/>
          <w:right w:w="108" w:type="dxa"/>
        </w:tblCellMar>
      </w:tblPr>
      <w:tblGrid>
        <w:gridCol w:w="1460"/>
        <w:gridCol w:w="2443"/>
        <w:gridCol w:w="4403"/>
      </w:tblGrid>
      <w:tr w14:paraId="16DBA6E3">
        <w:tblPrEx>
          <w:tblCellMar>
            <w:top w:w="0" w:type="dxa"/>
            <w:left w:w="108" w:type="dxa"/>
            <w:bottom w:w="0" w:type="dxa"/>
            <w:right w:w="108" w:type="dxa"/>
          </w:tblCellMar>
        </w:tblPrEx>
        <w:trPr>
          <w:trHeight w:val="434" w:hRule="atLeast"/>
          <w:tblHeader/>
        </w:trPr>
        <w:tc>
          <w:tcPr>
            <w:tcW w:w="879" w:type="pc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9C12F55">
            <w:pPr>
              <w:widowControl/>
              <w:spacing w:line="240" w:lineRule="auto"/>
              <w:ind w:firstLine="0" w:firstLineChars="0"/>
              <w:jc w:val="center"/>
              <w:rPr>
                <w:rFonts w:hint="eastAsia" w:cs="宋体"/>
                <w:b/>
                <w:bCs/>
                <w:color w:val="000000"/>
                <w:kern w:val="0"/>
                <w:szCs w:val="24"/>
                <w:highlight w:val="none"/>
              </w:rPr>
            </w:pPr>
            <w:r>
              <w:rPr>
                <w:rFonts w:cs="宋体"/>
                <w:b/>
                <w:bCs/>
                <w:color w:val="000000"/>
                <w:kern w:val="0"/>
                <w:szCs w:val="24"/>
                <w:highlight w:val="none"/>
              </w:rPr>
              <w:t>序号</w:t>
            </w:r>
          </w:p>
        </w:tc>
        <w:tc>
          <w:tcPr>
            <w:tcW w:w="1471" w:type="pct"/>
            <w:tcBorders>
              <w:top w:val="single" w:color="000000" w:sz="4" w:space="0"/>
              <w:left w:val="nil"/>
              <w:bottom w:val="single" w:color="000000" w:sz="4" w:space="0"/>
              <w:right w:val="single" w:color="000000" w:sz="4" w:space="0"/>
            </w:tcBorders>
            <w:shd w:val="clear" w:color="auto" w:fill="F1F1F1"/>
            <w:noWrap/>
            <w:vAlign w:val="center"/>
          </w:tcPr>
          <w:p w14:paraId="43419BEE">
            <w:pPr>
              <w:widowControl/>
              <w:spacing w:line="240" w:lineRule="auto"/>
              <w:ind w:firstLine="0" w:firstLineChars="0"/>
              <w:jc w:val="center"/>
              <w:rPr>
                <w:rFonts w:hint="eastAsia" w:cs="宋体"/>
                <w:b/>
                <w:bCs/>
                <w:color w:val="000000"/>
                <w:kern w:val="0"/>
                <w:szCs w:val="24"/>
                <w:highlight w:val="none"/>
              </w:rPr>
            </w:pPr>
            <w:r>
              <w:rPr>
                <w:rFonts w:cs="宋体"/>
                <w:b/>
                <w:bCs/>
                <w:color w:val="000000"/>
                <w:kern w:val="0"/>
                <w:szCs w:val="24"/>
                <w:highlight w:val="none"/>
              </w:rPr>
              <w:t>网站标识</w:t>
            </w:r>
          </w:p>
        </w:tc>
        <w:tc>
          <w:tcPr>
            <w:tcW w:w="2650" w:type="pct"/>
            <w:tcBorders>
              <w:top w:val="single" w:color="000000" w:sz="4" w:space="0"/>
              <w:left w:val="nil"/>
              <w:bottom w:val="single" w:color="000000" w:sz="4" w:space="0"/>
              <w:right w:val="single" w:color="000000" w:sz="4" w:space="0"/>
            </w:tcBorders>
            <w:shd w:val="clear" w:color="auto" w:fill="F1F1F1"/>
            <w:noWrap/>
            <w:vAlign w:val="center"/>
          </w:tcPr>
          <w:p w14:paraId="4707E150">
            <w:pPr>
              <w:widowControl/>
              <w:spacing w:line="240" w:lineRule="auto"/>
              <w:ind w:firstLine="0" w:firstLineChars="0"/>
              <w:jc w:val="center"/>
              <w:rPr>
                <w:rFonts w:hint="eastAsia" w:cs="宋体"/>
                <w:b/>
                <w:bCs/>
                <w:color w:val="000000"/>
                <w:kern w:val="0"/>
                <w:szCs w:val="24"/>
                <w:highlight w:val="none"/>
              </w:rPr>
            </w:pPr>
            <w:r>
              <w:rPr>
                <w:rFonts w:cs="宋体"/>
                <w:b/>
                <w:bCs/>
                <w:color w:val="000000"/>
                <w:kern w:val="0"/>
                <w:szCs w:val="24"/>
                <w:highlight w:val="none"/>
              </w:rPr>
              <w:t>网站名称</w:t>
            </w:r>
          </w:p>
        </w:tc>
      </w:tr>
      <w:tr w14:paraId="67BC9657">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039E1A06">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w:t>
            </w:r>
          </w:p>
        </w:tc>
        <w:tc>
          <w:tcPr>
            <w:tcW w:w="1471" w:type="pct"/>
            <w:tcBorders>
              <w:top w:val="single" w:color="000000" w:sz="4" w:space="0"/>
              <w:left w:val="nil"/>
              <w:bottom w:val="single" w:color="000000" w:sz="4" w:space="0"/>
              <w:right w:val="single" w:color="000000" w:sz="4" w:space="0"/>
            </w:tcBorders>
            <w:noWrap/>
            <w:vAlign w:val="center"/>
          </w:tcPr>
          <w:p w14:paraId="63591D90">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4405000014</w:t>
            </w:r>
          </w:p>
        </w:tc>
        <w:tc>
          <w:tcPr>
            <w:tcW w:w="2650" w:type="pct"/>
            <w:tcBorders>
              <w:top w:val="single" w:color="000000" w:sz="4" w:space="0"/>
              <w:left w:val="nil"/>
              <w:bottom w:val="single" w:color="000000" w:sz="4" w:space="0"/>
              <w:right w:val="single" w:color="000000" w:sz="4" w:space="0"/>
            </w:tcBorders>
            <w:noWrap/>
            <w:vAlign w:val="center"/>
          </w:tcPr>
          <w:p w14:paraId="6CCFFECB">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汕头市人民政府门户网站</w:t>
            </w:r>
          </w:p>
        </w:tc>
      </w:tr>
      <w:tr w14:paraId="23879103">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48E07C0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w:t>
            </w:r>
          </w:p>
        </w:tc>
        <w:tc>
          <w:tcPr>
            <w:tcW w:w="1471" w:type="pct"/>
            <w:tcBorders>
              <w:top w:val="single" w:color="000000" w:sz="4" w:space="0"/>
              <w:left w:val="nil"/>
              <w:bottom w:val="single" w:color="000000" w:sz="4" w:space="0"/>
              <w:right w:val="single" w:color="000000" w:sz="4" w:space="0"/>
            </w:tcBorders>
            <w:noWrap/>
            <w:vAlign w:val="center"/>
          </w:tcPr>
          <w:p w14:paraId="6703AD2D">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4405000066</w:t>
            </w:r>
          </w:p>
        </w:tc>
        <w:tc>
          <w:tcPr>
            <w:tcW w:w="2650" w:type="pct"/>
            <w:tcBorders>
              <w:top w:val="single" w:color="000000" w:sz="4" w:space="0"/>
              <w:left w:val="nil"/>
              <w:bottom w:val="single" w:color="000000" w:sz="4" w:space="0"/>
              <w:right w:val="single" w:color="000000" w:sz="4" w:space="0"/>
            </w:tcBorders>
            <w:noWrap/>
            <w:vAlign w:val="center"/>
          </w:tcPr>
          <w:p w14:paraId="131788D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广东政务服务网汕头市</w:t>
            </w:r>
          </w:p>
        </w:tc>
      </w:tr>
      <w:tr w14:paraId="1623BA0C">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22D2F19D">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w:t>
            </w:r>
          </w:p>
        </w:tc>
        <w:tc>
          <w:tcPr>
            <w:tcW w:w="1471" w:type="pct"/>
            <w:tcBorders>
              <w:top w:val="single" w:color="000000" w:sz="4" w:space="0"/>
              <w:left w:val="nil"/>
              <w:bottom w:val="single" w:color="000000" w:sz="4" w:space="0"/>
              <w:right w:val="single" w:color="000000" w:sz="4" w:space="0"/>
            </w:tcBorders>
            <w:noWrap/>
            <w:vAlign w:val="center"/>
          </w:tcPr>
          <w:p w14:paraId="118BDF7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4405000067</w:t>
            </w:r>
          </w:p>
        </w:tc>
        <w:tc>
          <w:tcPr>
            <w:tcW w:w="2650" w:type="pct"/>
            <w:tcBorders>
              <w:top w:val="single" w:color="000000" w:sz="4" w:space="0"/>
              <w:left w:val="nil"/>
              <w:bottom w:val="single" w:color="000000" w:sz="4" w:space="0"/>
              <w:right w:val="single" w:color="000000" w:sz="4" w:space="0"/>
            </w:tcBorders>
            <w:noWrap/>
            <w:vAlign w:val="center"/>
          </w:tcPr>
          <w:p w14:paraId="3E0994E1">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信用中国（广东汕头）</w:t>
            </w:r>
          </w:p>
        </w:tc>
      </w:tr>
      <w:tr w14:paraId="6F828F83">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7F69F835">
            <w:pPr>
              <w:widowControl/>
              <w:spacing w:line="240" w:lineRule="auto"/>
              <w:ind w:firstLine="0" w:firstLineChars="0"/>
              <w:jc w:val="center"/>
              <w:rPr>
                <w:rFonts w:cs="宋体"/>
                <w:color w:val="000000"/>
                <w:kern w:val="0"/>
                <w:szCs w:val="24"/>
                <w:highlight w:val="none"/>
              </w:rPr>
            </w:pPr>
            <w:r>
              <w:rPr>
                <w:rFonts w:hint="eastAsia" w:cs="宋体"/>
                <w:color w:val="000000"/>
                <w:kern w:val="0"/>
                <w:szCs w:val="24"/>
                <w:highlight w:val="none"/>
              </w:rPr>
              <w:t>4</w:t>
            </w:r>
          </w:p>
        </w:tc>
        <w:tc>
          <w:tcPr>
            <w:tcW w:w="1471" w:type="pct"/>
            <w:tcBorders>
              <w:top w:val="single" w:color="000000" w:sz="4" w:space="0"/>
              <w:left w:val="nil"/>
              <w:bottom w:val="single" w:color="000000" w:sz="4" w:space="0"/>
              <w:right w:val="single" w:color="000000" w:sz="4" w:space="0"/>
            </w:tcBorders>
            <w:noWrap/>
            <w:vAlign w:val="center"/>
          </w:tcPr>
          <w:p w14:paraId="1F63FA49">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4405110002</w:t>
            </w:r>
          </w:p>
        </w:tc>
        <w:tc>
          <w:tcPr>
            <w:tcW w:w="2650" w:type="pct"/>
            <w:tcBorders>
              <w:top w:val="single" w:color="000000" w:sz="4" w:space="0"/>
              <w:left w:val="nil"/>
              <w:bottom w:val="single" w:color="000000" w:sz="4" w:space="0"/>
              <w:right w:val="single" w:color="000000" w:sz="4" w:space="0"/>
            </w:tcBorders>
            <w:noWrap/>
            <w:vAlign w:val="center"/>
          </w:tcPr>
          <w:p w14:paraId="59857266">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金平区人民政府</w:t>
            </w:r>
          </w:p>
        </w:tc>
      </w:tr>
      <w:tr w14:paraId="0E003469">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7EC89A55">
            <w:pPr>
              <w:widowControl/>
              <w:spacing w:line="240" w:lineRule="auto"/>
              <w:ind w:firstLine="0" w:firstLineChars="0"/>
              <w:jc w:val="center"/>
              <w:rPr>
                <w:rFonts w:cs="宋体"/>
                <w:color w:val="000000"/>
                <w:kern w:val="0"/>
                <w:szCs w:val="24"/>
                <w:highlight w:val="none"/>
              </w:rPr>
            </w:pPr>
            <w:r>
              <w:rPr>
                <w:rFonts w:hint="eastAsia" w:cs="宋体"/>
                <w:color w:val="000000"/>
                <w:kern w:val="0"/>
                <w:szCs w:val="24"/>
                <w:highlight w:val="none"/>
              </w:rPr>
              <w:t>5</w:t>
            </w:r>
          </w:p>
        </w:tc>
        <w:tc>
          <w:tcPr>
            <w:tcW w:w="1471" w:type="pct"/>
            <w:tcBorders>
              <w:top w:val="single" w:color="000000" w:sz="4" w:space="0"/>
              <w:left w:val="nil"/>
              <w:bottom w:val="single" w:color="000000" w:sz="4" w:space="0"/>
              <w:right w:val="single" w:color="000000" w:sz="4" w:space="0"/>
            </w:tcBorders>
            <w:noWrap/>
            <w:vAlign w:val="center"/>
          </w:tcPr>
          <w:p w14:paraId="70D5B7EC">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4405070001</w:t>
            </w:r>
          </w:p>
        </w:tc>
        <w:tc>
          <w:tcPr>
            <w:tcW w:w="2650" w:type="pct"/>
            <w:tcBorders>
              <w:top w:val="single" w:color="000000" w:sz="4" w:space="0"/>
              <w:left w:val="nil"/>
              <w:bottom w:val="single" w:color="000000" w:sz="4" w:space="0"/>
              <w:right w:val="single" w:color="000000" w:sz="4" w:space="0"/>
            </w:tcBorders>
            <w:noWrap/>
            <w:vAlign w:val="center"/>
          </w:tcPr>
          <w:p w14:paraId="51FDBB1D">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汕头市龙湖区人民政府门户网站</w:t>
            </w:r>
          </w:p>
        </w:tc>
      </w:tr>
      <w:tr w14:paraId="0B72DDCD">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38E750B3">
            <w:pPr>
              <w:widowControl/>
              <w:spacing w:line="240" w:lineRule="auto"/>
              <w:ind w:firstLine="0" w:firstLineChars="0"/>
              <w:jc w:val="center"/>
              <w:rPr>
                <w:rFonts w:cs="宋体"/>
                <w:color w:val="000000"/>
                <w:kern w:val="0"/>
                <w:szCs w:val="24"/>
                <w:highlight w:val="none"/>
              </w:rPr>
            </w:pPr>
            <w:r>
              <w:rPr>
                <w:rFonts w:hint="eastAsia" w:cs="宋体"/>
                <w:color w:val="000000"/>
                <w:kern w:val="0"/>
                <w:szCs w:val="24"/>
                <w:highlight w:val="none"/>
              </w:rPr>
              <w:t>6</w:t>
            </w:r>
          </w:p>
        </w:tc>
        <w:tc>
          <w:tcPr>
            <w:tcW w:w="1471" w:type="pct"/>
            <w:tcBorders>
              <w:top w:val="single" w:color="000000" w:sz="4" w:space="0"/>
              <w:left w:val="nil"/>
              <w:bottom w:val="single" w:color="000000" w:sz="4" w:space="0"/>
              <w:right w:val="single" w:color="000000" w:sz="4" w:space="0"/>
            </w:tcBorders>
            <w:noWrap/>
            <w:vAlign w:val="center"/>
          </w:tcPr>
          <w:p w14:paraId="1D0FB17B">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4405150002</w:t>
            </w:r>
          </w:p>
        </w:tc>
        <w:tc>
          <w:tcPr>
            <w:tcW w:w="2650" w:type="pct"/>
            <w:tcBorders>
              <w:top w:val="single" w:color="000000" w:sz="4" w:space="0"/>
              <w:left w:val="nil"/>
              <w:bottom w:val="single" w:color="000000" w:sz="4" w:space="0"/>
              <w:right w:val="single" w:color="000000" w:sz="4" w:space="0"/>
            </w:tcBorders>
            <w:noWrap/>
            <w:vAlign w:val="center"/>
          </w:tcPr>
          <w:p w14:paraId="7E1875F9">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澄海区人民政府门户网站</w:t>
            </w:r>
          </w:p>
        </w:tc>
      </w:tr>
      <w:tr w14:paraId="422112A7">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50B3BD31">
            <w:pPr>
              <w:widowControl/>
              <w:spacing w:line="240" w:lineRule="auto"/>
              <w:ind w:firstLine="0" w:firstLineChars="0"/>
              <w:jc w:val="center"/>
              <w:rPr>
                <w:rFonts w:cs="宋体"/>
                <w:color w:val="000000"/>
                <w:kern w:val="0"/>
                <w:szCs w:val="24"/>
                <w:highlight w:val="none"/>
              </w:rPr>
            </w:pPr>
            <w:r>
              <w:rPr>
                <w:rFonts w:hint="eastAsia" w:cs="宋体"/>
                <w:color w:val="000000"/>
                <w:kern w:val="0"/>
                <w:szCs w:val="24"/>
                <w:highlight w:val="none"/>
              </w:rPr>
              <w:t>7</w:t>
            </w:r>
          </w:p>
        </w:tc>
        <w:tc>
          <w:tcPr>
            <w:tcW w:w="1471" w:type="pct"/>
            <w:tcBorders>
              <w:top w:val="single" w:color="000000" w:sz="4" w:space="0"/>
              <w:left w:val="nil"/>
              <w:bottom w:val="single" w:color="000000" w:sz="4" w:space="0"/>
              <w:right w:val="single" w:color="000000" w:sz="4" w:space="0"/>
            </w:tcBorders>
            <w:noWrap/>
            <w:vAlign w:val="center"/>
          </w:tcPr>
          <w:p w14:paraId="1A6DD1BA">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4405120001</w:t>
            </w:r>
          </w:p>
        </w:tc>
        <w:tc>
          <w:tcPr>
            <w:tcW w:w="2650" w:type="pct"/>
            <w:tcBorders>
              <w:top w:val="single" w:color="000000" w:sz="4" w:space="0"/>
              <w:left w:val="nil"/>
              <w:bottom w:val="single" w:color="000000" w:sz="4" w:space="0"/>
              <w:right w:val="single" w:color="000000" w:sz="4" w:space="0"/>
            </w:tcBorders>
            <w:noWrap/>
            <w:vAlign w:val="center"/>
          </w:tcPr>
          <w:p w14:paraId="021386A5">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汕头市濠江区人民政府门户网站</w:t>
            </w:r>
          </w:p>
        </w:tc>
      </w:tr>
      <w:tr w14:paraId="51324C50">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09D558AE">
            <w:pPr>
              <w:widowControl/>
              <w:spacing w:line="240" w:lineRule="auto"/>
              <w:ind w:firstLine="0" w:firstLineChars="0"/>
              <w:jc w:val="center"/>
              <w:rPr>
                <w:rFonts w:cs="宋体"/>
                <w:color w:val="000000"/>
                <w:kern w:val="0"/>
                <w:szCs w:val="24"/>
                <w:highlight w:val="none"/>
              </w:rPr>
            </w:pPr>
            <w:r>
              <w:rPr>
                <w:rFonts w:hint="eastAsia" w:cs="宋体"/>
                <w:color w:val="000000"/>
                <w:kern w:val="0"/>
                <w:szCs w:val="24"/>
                <w:highlight w:val="none"/>
              </w:rPr>
              <w:t>8</w:t>
            </w:r>
          </w:p>
        </w:tc>
        <w:tc>
          <w:tcPr>
            <w:tcW w:w="1471" w:type="pct"/>
            <w:tcBorders>
              <w:top w:val="single" w:color="000000" w:sz="4" w:space="0"/>
              <w:left w:val="nil"/>
              <w:bottom w:val="single" w:color="000000" w:sz="4" w:space="0"/>
              <w:right w:val="single" w:color="000000" w:sz="4" w:space="0"/>
            </w:tcBorders>
            <w:noWrap/>
            <w:vAlign w:val="center"/>
          </w:tcPr>
          <w:p w14:paraId="58B7C4AE">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4405130001</w:t>
            </w:r>
          </w:p>
        </w:tc>
        <w:tc>
          <w:tcPr>
            <w:tcW w:w="2650" w:type="pct"/>
            <w:tcBorders>
              <w:top w:val="single" w:color="000000" w:sz="4" w:space="0"/>
              <w:left w:val="nil"/>
              <w:bottom w:val="single" w:color="000000" w:sz="4" w:space="0"/>
              <w:right w:val="single" w:color="000000" w:sz="4" w:space="0"/>
            </w:tcBorders>
            <w:noWrap/>
            <w:vAlign w:val="center"/>
          </w:tcPr>
          <w:p w14:paraId="1D012D44">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潮阳区人民政府门户网站</w:t>
            </w:r>
          </w:p>
        </w:tc>
      </w:tr>
      <w:tr w14:paraId="689FB3CA">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11A68543">
            <w:pPr>
              <w:widowControl/>
              <w:spacing w:line="240" w:lineRule="auto"/>
              <w:ind w:firstLine="0" w:firstLineChars="0"/>
              <w:jc w:val="center"/>
              <w:rPr>
                <w:rFonts w:cs="宋体"/>
                <w:color w:val="000000"/>
                <w:kern w:val="0"/>
                <w:szCs w:val="24"/>
                <w:highlight w:val="none"/>
              </w:rPr>
            </w:pPr>
            <w:r>
              <w:rPr>
                <w:rFonts w:hint="eastAsia" w:cs="宋体"/>
                <w:color w:val="000000"/>
                <w:kern w:val="0"/>
                <w:szCs w:val="24"/>
                <w:highlight w:val="none"/>
              </w:rPr>
              <w:t>9</w:t>
            </w:r>
          </w:p>
        </w:tc>
        <w:tc>
          <w:tcPr>
            <w:tcW w:w="1471" w:type="pct"/>
            <w:tcBorders>
              <w:top w:val="single" w:color="000000" w:sz="4" w:space="0"/>
              <w:left w:val="nil"/>
              <w:bottom w:val="single" w:color="000000" w:sz="4" w:space="0"/>
              <w:right w:val="single" w:color="000000" w:sz="4" w:space="0"/>
            </w:tcBorders>
            <w:noWrap/>
            <w:vAlign w:val="center"/>
          </w:tcPr>
          <w:p w14:paraId="3C5319E8">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4405140001</w:t>
            </w:r>
          </w:p>
        </w:tc>
        <w:tc>
          <w:tcPr>
            <w:tcW w:w="2650" w:type="pct"/>
            <w:tcBorders>
              <w:top w:val="single" w:color="000000" w:sz="4" w:space="0"/>
              <w:left w:val="nil"/>
              <w:bottom w:val="single" w:color="000000" w:sz="4" w:space="0"/>
              <w:right w:val="single" w:color="000000" w:sz="4" w:space="0"/>
            </w:tcBorders>
            <w:noWrap/>
            <w:vAlign w:val="center"/>
          </w:tcPr>
          <w:p w14:paraId="5B15A675">
            <w:pPr>
              <w:widowControl/>
              <w:spacing w:line="240" w:lineRule="auto"/>
              <w:ind w:firstLine="0" w:firstLineChars="0"/>
              <w:jc w:val="left"/>
              <w:rPr>
                <w:rFonts w:cs="Calibri"/>
                <w:color w:val="000000"/>
                <w:kern w:val="0"/>
                <w:szCs w:val="24"/>
                <w:highlight w:val="none"/>
              </w:rPr>
            </w:pPr>
            <w:r>
              <w:rPr>
                <w:rFonts w:cs="Calibri"/>
                <w:color w:val="000000"/>
                <w:kern w:val="0"/>
                <w:szCs w:val="24"/>
                <w:highlight w:val="none"/>
              </w:rPr>
              <w:t>潮南区政府门户网站</w:t>
            </w:r>
          </w:p>
        </w:tc>
      </w:tr>
      <w:tr w14:paraId="03C2460C">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1C5A39C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10</w:t>
            </w:r>
          </w:p>
        </w:tc>
        <w:tc>
          <w:tcPr>
            <w:tcW w:w="1471" w:type="pct"/>
            <w:tcBorders>
              <w:top w:val="single" w:color="000000" w:sz="4" w:space="0"/>
              <w:left w:val="nil"/>
              <w:bottom w:val="single" w:color="000000" w:sz="4" w:space="0"/>
              <w:right w:val="single" w:color="000000" w:sz="4" w:space="0"/>
            </w:tcBorders>
            <w:noWrap/>
            <w:vAlign w:val="center"/>
          </w:tcPr>
          <w:p w14:paraId="4C680872">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4405230001</w:t>
            </w:r>
          </w:p>
        </w:tc>
        <w:tc>
          <w:tcPr>
            <w:tcW w:w="2650" w:type="pct"/>
            <w:tcBorders>
              <w:top w:val="single" w:color="000000" w:sz="4" w:space="0"/>
              <w:left w:val="nil"/>
              <w:bottom w:val="single" w:color="000000" w:sz="4" w:space="0"/>
              <w:right w:val="single" w:color="000000" w:sz="4" w:space="0"/>
            </w:tcBorders>
            <w:noWrap/>
            <w:vAlign w:val="center"/>
          </w:tcPr>
          <w:p w14:paraId="4E18E63D">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南澳县人民政府门户网站</w:t>
            </w:r>
          </w:p>
        </w:tc>
      </w:tr>
      <w:tr w14:paraId="1A25FD5C">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4F05E06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11</w:t>
            </w:r>
          </w:p>
        </w:tc>
        <w:tc>
          <w:tcPr>
            <w:tcW w:w="1471" w:type="pct"/>
            <w:tcBorders>
              <w:top w:val="single" w:color="000000" w:sz="4" w:space="0"/>
              <w:left w:val="nil"/>
              <w:bottom w:val="single" w:color="000000" w:sz="4" w:space="0"/>
              <w:right w:val="single" w:color="000000" w:sz="4" w:space="0"/>
            </w:tcBorders>
            <w:noWrap/>
            <w:vAlign w:val="center"/>
          </w:tcPr>
          <w:p w14:paraId="2F7F7391">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N000010030</w:t>
            </w:r>
          </w:p>
        </w:tc>
        <w:tc>
          <w:tcPr>
            <w:tcW w:w="2650" w:type="pct"/>
            <w:tcBorders>
              <w:top w:val="single" w:color="000000" w:sz="4" w:space="0"/>
              <w:left w:val="nil"/>
              <w:bottom w:val="single" w:color="000000" w:sz="4" w:space="0"/>
              <w:right w:val="single" w:color="000000" w:sz="4" w:space="0"/>
            </w:tcBorders>
            <w:noWrap/>
            <w:vAlign w:val="center"/>
          </w:tcPr>
          <w:p w14:paraId="47813D78">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汕头市发展和改革局（粮食和物资储备局）</w:t>
            </w:r>
          </w:p>
        </w:tc>
      </w:tr>
      <w:tr w14:paraId="753C8D11">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3E7583DF">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12</w:t>
            </w:r>
          </w:p>
        </w:tc>
        <w:tc>
          <w:tcPr>
            <w:tcW w:w="1471" w:type="pct"/>
            <w:tcBorders>
              <w:top w:val="single" w:color="000000" w:sz="4" w:space="0"/>
              <w:left w:val="nil"/>
              <w:bottom w:val="single" w:color="000000" w:sz="4" w:space="0"/>
              <w:right w:val="single" w:color="000000" w:sz="4" w:space="0"/>
            </w:tcBorders>
            <w:noWrap/>
            <w:vAlign w:val="center"/>
          </w:tcPr>
          <w:p w14:paraId="3D50C67F">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N000010031</w:t>
            </w:r>
          </w:p>
        </w:tc>
        <w:tc>
          <w:tcPr>
            <w:tcW w:w="2650" w:type="pct"/>
            <w:tcBorders>
              <w:top w:val="single" w:color="000000" w:sz="4" w:space="0"/>
              <w:left w:val="nil"/>
              <w:bottom w:val="single" w:color="000000" w:sz="4" w:space="0"/>
              <w:right w:val="single" w:color="000000" w:sz="4" w:space="0"/>
            </w:tcBorders>
            <w:noWrap/>
            <w:vAlign w:val="center"/>
          </w:tcPr>
          <w:p w14:paraId="5EDBD0B9">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汕头市工业和信息化局</w:t>
            </w:r>
          </w:p>
        </w:tc>
      </w:tr>
      <w:tr w14:paraId="735BC48C">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2EFCBD83">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13</w:t>
            </w:r>
          </w:p>
        </w:tc>
        <w:tc>
          <w:tcPr>
            <w:tcW w:w="1471" w:type="pct"/>
            <w:tcBorders>
              <w:top w:val="single" w:color="000000" w:sz="4" w:space="0"/>
              <w:left w:val="nil"/>
              <w:bottom w:val="single" w:color="000000" w:sz="4" w:space="0"/>
              <w:right w:val="single" w:color="000000" w:sz="4" w:space="0"/>
            </w:tcBorders>
            <w:noWrap/>
            <w:vAlign w:val="center"/>
          </w:tcPr>
          <w:p w14:paraId="30FF19A4">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N000010032</w:t>
            </w:r>
          </w:p>
        </w:tc>
        <w:tc>
          <w:tcPr>
            <w:tcW w:w="2650" w:type="pct"/>
            <w:tcBorders>
              <w:top w:val="single" w:color="000000" w:sz="4" w:space="0"/>
              <w:left w:val="nil"/>
              <w:bottom w:val="single" w:color="000000" w:sz="4" w:space="0"/>
              <w:right w:val="single" w:color="000000" w:sz="4" w:space="0"/>
            </w:tcBorders>
            <w:noWrap/>
            <w:vAlign w:val="center"/>
          </w:tcPr>
          <w:p w14:paraId="45877441">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汕头市科学技术局</w:t>
            </w:r>
          </w:p>
        </w:tc>
      </w:tr>
      <w:tr w14:paraId="50868AEB">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2290295F">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14</w:t>
            </w:r>
          </w:p>
        </w:tc>
        <w:tc>
          <w:tcPr>
            <w:tcW w:w="1471" w:type="pct"/>
            <w:tcBorders>
              <w:top w:val="single" w:color="000000" w:sz="4" w:space="0"/>
              <w:left w:val="nil"/>
              <w:bottom w:val="single" w:color="000000" w:sz="4" w:space="0"/>
              <w:right w:val="single" w:color="000000" w:sz="4" w:space="0"/>
            </w:tcBorders>
            <w:noWrap/>
            <w:vAlign w:val="center"/>
          </w:tcPr>
          <w:p w14:paraId="0F8FD464">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N000010033</w:t>
            </w:r>
          </w:p>
        </w:tc>
        <w:tc>
          <w:tcPr>
            <w:tcW w:w="2650" w:type="pct"/>
            <w:tcBorders>
              <w:top w:val="single" w:color="000000" w:sz="4" w:space="0"/>
              <w:left w:val="nil"/>
              <w:bottom w:val="single" w:color="000000" w:sz="4" w:space="0"/>
              <w:right w:val="single" w:color="000000" w:sz="4" w:space="0"/>
            </w:tcBorders>
            <w:noWrap/>
            <w:vAlign w:val="center"/>
          </w:tcPr>
          <w:p w14:paraId="1BD3C09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汕头市民政局</w:t>
            </w:r>
          </w:p>
        </w:tc>
      </w:tr>
      <w:tr w14:paraId="7F430127">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548C414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15</w:t>
            </w:r>
          </w:p>
        </w:tc>
        <w:tc>
          <w:tcPr>
            <w:tcW w:w="1471" w:type="pct"/>
            <w:tcBorders>
              <w:top w:val="single" w:color="000000" w:sz="4" w:space="0"/>
              <w:left w:val="nil"/>
              <w:bottom w:val="single" w:color="000000" w:sz="4" w:space="0"/>
              <w:right w:val="single" w:color="000000" w:sz="4" w:space="0"/>
            </w:tcBorders>
            <w:noWrap/>
            <w:vAlign w:val="center"/>
          </w:tcPr>
          <w:p w14:paraId="23B1D7FA">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N000010034</w:t>
            </w:r>
          </w:p>
        </w:tc>
        <w:tc>
          <w:tcPr>
            <w:tcW w:w="2650" w:type="pct"/>
            <w:tcBorders>
              <w:top w:val="single" w:color="000000" w:sz="4" w:space="0"/>
              <w:left w:val="nil"/>
              <w:bottom w:val="single" w:color="000000" w:sz="4" w:space="0"/>
              <w:right w:val="single" w:color="000000" w:sz="4" w:space="0"/>
            </w:tcBorders>
            <w:noWrap/>
            <w:vAlign w:val="center"/>
          </w:tcPr>
          <w:p w14:paraId="78B763B7">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汕头市司法局</w:t>
            </w:r>
          </w:p>
        </w:tc>
      </w:tr>
      <w:tr w14:paraId="32D02FE7">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48902868">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16</w:t>
            </w:r>
          </w:p>
        </w:tc>
        <w:tc>
          <w:tcPr>
            <w:tcW w:w="1471" w:type="pct"/>
            <w:tcBorders>
              <w:top w:val="single" w:color="000000" w:sz="4" w:space="0"/>
              <w:left w:val="nil"/>
              <w:bottom w:val="single" w:color="000000" w:sz="4" w:space="0"/>
              <w:right w:val="single" w:color="000000" w:sz="4" w:space="0"/>
            </w:tcBorders>
            <w:noWrap/>
            <w:vAlign w:val="center"/>
          </w:tcPr>
          <w:p w14:paraId="5D6B05B5">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N000010035</w:t>
            </w:r>
          </w:p>
        </w:tc>
        <w:tc>
          <w:tcPr>
            <w:tcW w:w="2650" w:type="pct"/>
            <w:tcBorders>
              <w:top w:val="single" w:color="000000" w:sz="4" w:space="0"/>
              <w:left w:val="nil"/>
              <w:bottom w:val="single" w:color="000000" w:sz="4" w:space="0"/>
              <w:right w:val="single" w:color="000000" w:sz="4" w:space="0"/>
            </w:tcBorders>
            <w:noWrap/>
            <w:vAlign w:val="center"/>
          </w:tcPr>
          <w:p w14:paraId="6DC6C81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汕头市财政局</w:t>
            </w:r>
          </w:p>
        </w:tc>
      </w:tr>
      <w:tr w14:paraId="79C583AF">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77CA79D2">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17</w:t>
            </w:r>
          </w:p>
        </w:tc>
        <w:tc>
          <w:tcPr>
            <w:tcW w:w="1471" w:type="pct"/>
            <w:tcBorders>
              <w:top w:val="single" w:color="000000" w:sz="4" w:space="0"/>
              <w:left w:val="nil"/>
              <w:bottom w:val="single" w:color="000000" w:sz="4" w:space="0"/>
              <w:right w:val="single" w:color="000000" w:sz="4" w:space="0"/>
            </w:tcBorders>
            <w:noWrap/>
            <w:vAlign w:val="center"/>
          </w:tcPr>
          <w:p w14:paraId="2DB06361">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N000010036</w:t>
            </w:r>
          </w:p>
        </w:tc>
        <w:tc>
          <w:tcPr>
            <w:tcW w:w="2650" w:type="pct"/>
            <w:tcBorders>
              <w:top w:val="single" w:color="000000" w:sz="4" w:space="0"/>
              <w:left w:val="nil"/>
              <w:bottom w:val="single" w:color="000000" w:sz="4" w:space="0"/>
              <w:right w:val="single" w:color="000000" w:sz="4" w:space="0"/>
            </w:tcBorders>
            <w:noWrap/>
            <w:vAlign w:val="center"/>
          </w:tcPr>
          <w:p w14:paraId="62E13DE7">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汕头市人力资源和社会保障局</w:t>
            </w:r>
          </w:p>
        </w:tc>
      </w:tr>
      <w:tr w14:paraId="0A1FE989">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2959D1D4">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18</w:t>
            </w:r>
          </w:p>
        </w:tc>
        <w:tc>
          <w:tcPr>
            <w:tcW w:w="1471" w:type="pct"/>
            <w:tcBorders>
              <w:top w:val="single" w:color="000000" w:sz="4" w:space="0"/>
              <w:left w:val="nil"/>
              <w:bottom w:val="single" w:color="000000" w:sz="4" w:space="0"/>
              <w:right w:val="single" w:color="000000" w:sz="4" w:space="0"/>
            </w:tcBorders>
            <w:noWrap/>
            <w:vAlign w:val="center"/>
          </w:tcPr>
          <w:p w14:paraId="75D3723A">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N000010037</w:t>
            </w:r>
          </w:p>
        </w:tc>
        <w:tc>
          <w:tcPr>
            <w:tcW w:w="2650" w:type="pct"/>
            <w:tcBorders>
              <w:top w:val="single" w:color="000000" w:sz="4" w:space="0"/>
              <w:left w:val="nil"/>
              <w:bottom w:val="single" w:color="000000" w:sz="4" w:space="0"/>
              <w:right w:val="single" w:color="000000" w:sz="4" w:space="0"/>
            </w:tcBorders>
            <w:noWrap/>
            <w:vAlign w:val="center"/>
          </w:tcPr>
          <w:p w14:paraId="4BD20E76">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汕头市自然资源局（海洋局）</w:t>
            </w:r>
          </w:p>
        </w:tc>
      </w:tr>
      <w:tr w14:paraId="1E1E824D">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054EE14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19</w:t>
            </w:r>
          </w:p>
        </w:tc>
        <w:tc>
          <w:tcPr>
            <w:tcW w:w="1471" w:type="pct"/>
            <w:tcBorders>
              <w:top w:val="single" w:color="000000" w:sz="4" w:space="0"/>
              <w:left w:val="nil"/>
              <w:bottom w:val="single" w:color="000000" w:sz="4" w:space="0"/>
              <w:right w:val="single" w:color="000000" w:sz="4" w:space="0"/>
            </w:tcBorders>
            <w:noWrap/>
            <w:vAlign w:val="center"/>
          </w:tcPr>
          <w:p w14:paraId="3E25E0C0">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N000010038</w:t>
            </w:r>
          </w:p>
        </w:tc>
        <w:tc>
          <w:tcPr>
            <w:tcW w:w="2650" w:type="pct"/>
            <w:tcBorders>
              <w:top w:val="single" w:color="000000" w:sz="4" w:space="0"/>
              <w:left w:val="nil"/>
              <w:bottom w:val="single" w:color="000000" w:sz="4" w:space="0"/>
              <w:right w:val="single" w:color="000000" w:sz="4" w:space="0"/>
            </w:tcBorders>
            <w:noWrap/>
            <w:vAlign w:val="center"/>
          </w:tcPr>
          <w:p w14:paraId="4E2BEBCF">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汕头市生态环境局</w:t>
            </w:r>
          </w:p>
        </w:tc>
      </w:tr>
      <w:tr w14:paraId="69C16A2A">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13797C06">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20</w:t>
            </w:r>
          </w:p>
        </w:tc>
        <w:tc>
          <w:tcPr>
            <w:tcW w:w="1471" w:type="pct"/>
            <w:tcBorders>
              <w:top w:val="single" w:color="000000" w:sz="4" w:space="0"/>
              <w:left w:val="nil"/>
              <w:bottom w:val="single" w:color="000000" w:sz="4" w:space="0"/>
              <w:right w:val="single" w:color="000000" w:sz="4" w:space="0"/>
            </w:tcBorders>
            <w:noWrap/>
            <w:vAlign w:val="center"/>
          </w:tcPr>
          <w:p w14:paraId="3697A090">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N000010039</w:t>
            </w:r>
          </w:p>
        </w:tc>
        <w:tc>
          <w:tcPr>
            <w:tcW w:w="2650" w:type="pct"/>
            <w:tcBorders>
              <w:top w:val="single" w:color="000000" w:sz="4" w:space="0"/>
              <w:left w:val="nil"/>
              <w:bottom w:val="single" w:color="000000" w:sz="4" w:space="0"/>
              <w:right w:val="single" w:color="000000" w:sz="4" w:space="0"/>
            </w:tcBorders>
            <w:noWrap/>
            <w:vAlign w:val="center"/>
          </w:tcPr>
          <w:p w14:paraId="71F7787F">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汕头市住房和城乡建设局</w:t>
            </w:r>
          </w:p>
        </w:tc>
      </w:tr>
      <w:tr w14:paraId="7650EBCE">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3C12CFA2">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21</w:t>
            </w:r>
          </w:p>
        </w:tc>
        <w:tc>
          <w:tcPr>
            <w:tcW w:w="1471" w:type="pct"/>
            <w:tcBorders>
              <w:top w:val="single" w:color="000000" w:sz="4" w:space="0"/>
              <w:left w:val="nil"/>
              <w:bottom w:val="single" w:color="000000" w:sz="4" w:space="0"/>
              <w:right w:val="single" w:color="000000" w:sz="4" w:space="0"/>
            </w:tcBorders>
            <w:noWrap/>
            <w:vAlign w:val="center"/>
          </w:tcPr>
          <w:p w14:paraId="38B455CA">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N000010040</w:t>
            </w:r>
          </w:p>
        </w:tc>
        <w:tc>
          <w:tcPr>
            <w:tcW w:w="2650" w:type="pct"/>
            <w:tcBorders>
              <w:top w:val="single" w:color="000000" w:sz="4" w:space="0"/>
              <w:left w:val="nil"/>
              <w:bottom w:val="single" w:color="000000" w:sz="4" w:space="0"/>
              <w:right w:val="single" w:color="000000" w:sz="4" w:space="0"/>
            </w:tcBorders>
            <w:noWrap/>
            <w:vAlign w:val="center"/>
          </w:tcPr>
          <w:p w14:paraId="794BFB59">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汕头市交通运输局</w:t>
            </w:r>
          </w:p>
        </w:tc>
      </w:tr>
      <w:tr w14:paraId="42164B8F">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1973477B">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22</w:t>
            </w:r>
          </w:p>
        </w:tc>
        <w:tc>
          <w:tcPr>
            <w:tcW w:w="1471" w:type="pct"/>
            <w:tcBorders>
              <w:top w:val="single" w:color="000000" w:sz="4" w:space="0"/>
              <w:left w:val="nil"/>
              <w:bottom w:val="single" w:color="000000" w:sz="4" w:space="0"/>
              <w:right w:val="single" w:color="000000" w:sz="4" w:space="0"/>
            </w:tcBorders>
            <w:noWrap/>
            <w:vAlign w:val="center"/>
          </w:tcPr>
          <w:p w14:paraId="768A0715">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N000010041</w:t>
            </w:r>
          </w:p>
        </w:tc>
        <w:tc>
          <w:tcPr>
            <w:tcW w:w="2650" w:type="pct"/>
            <w:tcBorders>
              <w:top w:val="single" w:color="000000" w:sz="4" w:space="0"/>
              <w:left w:val="nil"/>
              <w:bottom w:val="single" w:color="000000" w:sz="4" w:space="0"/>
              <w:right w:val="single" w:color="000000" w:sz="4" w:space="0"/>
            </w:tcBorders>
            <w:noWrap/>
            <w:vAlign w:val="center"/>
          </w:tcPr>
          <w:p w14:paraId="283EA2D2">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汕头市水务局</w:t>
            </w:r>
          </w:p>
        </w:tc>
      </w:tr>
      <w:tr w14:paraId="32B31942">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6C5D81D7">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23</w:t>
            </w:r>
          </w:p>
        </w:tc>
        <w:tc>
          <w:tcPr>
            <w:tcW w:w="1471" w:type="pct"/>
            <w:tcBorders>
              <w:top w:val="single" w:color="000000" w:sz="4" w:space="0"/>
              <w:left w:val="nil"/>
              <w:bottom w:val="single" w:color="000000" w:sz="4" w:space="0"/>
              <w:right w:val="single" w:color="000000" w:sz="4" w:space="0"/>
            </w:tcBorders>
            <w:noWrap/>
            <w:vAlign w:val="center"/>
          </w:tcPr>
          <w:p w14:paraId="5A4B0D97">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N000010042</w:t>
            </w:r>
          </w:p>
        </w:tc>
        <w:tc>
          <w:tcPr>
            <w:tcW w:w="2650" w:type="pct"/>
            <w:tcBorders>
              <w:top w:val="single" w:color="000000" w:sz="4" w:space="0"/>
              <w:left w:val="nil"/>
              <w:bottom w:val="single" w:color="000000" w:sz="4" w:space="0"/>
              <w:right w:val="single" w:color="000000" w:sz="4" w:space="0"/>
            </w:tcBorders>
            <w:noWrap/>
            <w:vAlign w:val="center"/>
          </w:tcPr>
          <w:p w14:paraId="0C5536B2">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汕头市农业农村局（乡村振兴局）</w:t>
            </w:r>
          </w:p>
        </w:tc>
      </w:tr>
      <w:tr w14:paraId="3D5474EF">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1BDCD631">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24</w:t>
            </w:r>
          </w:p>
        </w:tc>
        <w:tc>
          <w:tcPr>
            <w:tcW w:w="1471" w:type="pct"/>
            <w:tcBorders>
              <w:top w:val="single" w:color="000000" w:sz="4" w:space="0"/>
              <w:left w:val="nil"/>
              <w:bottom w:val="single" w:color="000000" w:sz="4" w:space="0"/>
              <w:right w:val="single" w:color="000000" w:sz="4" w:space="0"/>
            </w:tcBorders>
            <w:noWrap/>
            <w:vAlign w:val="center"/>
          </w:tcPr>
          <w:p w14:paraId="0211C7C8">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N000010043</w:t>
            </w:r>
          </w:p>
        </w:tc>
        <w:tc>
          <w:tcPr>
            <w:tcW w:w="2650" w:type="pct"/>
            <w:tcBorders>
              <w:top w:val="single" w:color="000000" w:sz="4" w:space="0"/>
              <w:left w:val="nil"/>
              <w:bottom w:val="single" w:color="000000" w:sz="4" w:space="0"/>
              <w:right w:val="single" w:color="000000" w:sz="4" w:space="0"/>
            </w:tcBorders>
            <w:noWrap/>
            <w:vAlign w:val="center"/>
          </w:tcPr>
          <w:p w14:paraId="7F29FD0C">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汕头市商务局（口岸局）</w:t>
            </w:r>
          </w:p>
        </w:tc>
      </w:tr>
      <w:tr w14:paraId="2963F44A">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6C16D794">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25</w:t>
            </w:r>
          </w:p>
        </w:tc>
        <w:tc>
          <w:tcPr>
            <w:tcW w:w="1471" w:type="pct"/>
            <w:tcBorders>
              <w:top w:val="single" w:color="000000" w:sz="4" w:space="0"/>
              <w:left w:val="nil"/>
              <w:bottom w:val="single" w:color="000000" w:sz="4" w:space="0"/>
              <w:right w:val="single" w:color="000000" w:sz="4" w:space="0"/>
            </w:tcBorders>
            <w:noWrap/>
            <w:vAlign w:val="center"/>
          </w:tcPr>
          <w:p w14:paraId="4359320A">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N000010044</w:t>
            </w:r>
          </w:p>
        </w:tc>
        <w:tc>
          <w:tcPr>
            <w:tcW w:w="2650" w:type="pct"/>
            <w:tcBorders>
              <w:top w:val="single" w:color="000000" w:sz="4" w:space="0"/>
              <w:left w:val="nil"/>
              <w:bottom w:val="single" w:color="000000" w:sz="4" w:space="0"/>
              <w:right w:val="single" w:color="000000" w:sz="4" w:space="0"/>
            </w:tcBorders>
            <w:noWrap/>
            <w:vAlign w:val="center"/>
          </w:tcPr>
          <w:p w14:paraId="4FE18B6A">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汕头市文化广电旅游体育局（文物局）</w:t>
            </w:r>
          </w:p>
        </w:tc>
      </w:tr>
      <w:tr w14:paraId="1F465113">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7A9F8A74">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26</w:t>
            </w:r>
          </w:p>
        </w:tc>
        <w:tc>
          <w:tcPr>
            <w:tcW w:w="1471" w:type="pct"/>
            <w:tcBorders>
              <w:top w:val="single" w:color="000000" w:sz="4" w:space="0"/>
              <w:left w:val="nil"/>
              <w:bottom w:val="single" w:color="000000" w:sz="4" w:space="0"/>
              <w:right w:val="single" w:color="000000" w:sz="4" w:space="0"/>
            </w:tcBorders>
            <w:noWrap/>
            <w:vAlign w:val="center"/>
          </w:tcPr>
          <w:p w14:paraId="558F8098">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N000010045</w:t>
            </w:r>
          </w:p>
        </w:tc>
        <w:tc>
          <w:tcPr>
            <w:tcW w:w="2650" w:type="pct"/>
            <w:tcBorders>
              <w:top w:val="single" w:color="000000" w:sz="4" w:space="0"/>
              <w:left w:val="nil"/>
              <w:bottom w:val="single" w:color="000000" w:sz="4" w:space="0"/>
              <w:right w:val="single" w:color="000000" w:sz="4" w:space="0"/>
            </w:tcBorders>
            <w:noWrap/>
            <w:vAlign w:val="center"/>
          </w:tcPr>
          <w:p w14:paraId="7D453C2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汕头市卫生健康局（中医药局）</w:t>
            </w:r>
          </w:p>
        </w:tc>
      </w:tr>
      <w:tr w14:paraId="087A0ACE">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67A1024B">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27</w:t>
            </w:r>
          </w:p>
        </w:tc>
        <w:tc>
          <w:tcPr>
            <w:tcW w:w="1471" w:type="pct"/>
            <w:tcBorders>
              <w:top w:val="single" w:color="000000" w:sz="4" w:space="0"/>
              <w:left w:val="nil"/>
              <w:bottom w:val="single" w:color="000000" w:sz="4" w:space="0"/>
              <w:right w:val="single" w:color="000000" w:sz="4" w:space="0"/>
            </w:tcBorders>
            <w:noWrap/>
            <w:vAlign w:val="center"/>
          </w:tcPr>
          <w:p w14:paraId="26E1E086">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N000010046</w:t>
            </w:r>
          </w:p>
        </w:tc>
        <w:tc>
          <w:tcPr>
            <w:tcW w:w="2650" w:type="pct"/>
            <w:tcBorders>
              <w:top w:val="single" w:color="000000" w:sz="4" w:space="0"/>
              <w:left w:val="nil"/>
              <w:bottom w:val="single" w:color="000000" w:sz="4" w:space="0"/>
              <w:right w:val="single" w:color="000000" w:sz="4" w:space="0"/>
            </w:tcBorders>
            <w:noWrap/>
            <w:vAlign w:val="center"/>
          </w:tcPr>
          <w:p w14:paraId="426F3006">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汕头市审计局</w:t>
            </w:r>
          </w:p>
        </w:tc>
      </w:tr>
      <w:tr w14:paraId="5FE0BD9C">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4CFD29A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28</w:t>
            </w:r>
          </w:p>
        </w:tc>
        <w:tc>
          <w:tcPr>
            <w:tcW w:w="1471" w:type="pct"/>
            <w:tcBorders>
              <w:top w:val="single" w:color="000000" w:sz="4" w:space="0"/>
              <w:left w:val="nil"/>
              <w:bottom w:val="single" w:color="000000" w:sz="4" w:space="0"/>
              <w:right w:val="single" w:color="000000" w:sz="4" w:space="0"/>
            </w:tcBorders>
            <w:noWrap/>
            <w:vAlign w:val="center"/>
          </w:tcPr>
          <w:p w14:paraId="2734851A">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N000010048</w:t>
            </w:r>
          </w:p>
        </w:tc>
        <w:tc>
          <w:tcPr>
            <w:tcW w:w="2650" w:type="pct"/>
            <w:tcBorders>
              <w:top w:val="single" w:color="000000" w:sz="4" w:space="0"/>
              <w:left w:val="nil"/>
              <w:bottom w:val="single" w:color="000000" w:sz="4" w:space="0"/>
              <w:right w:val="single" w:color="000000" w:sz="4" w:space="0"/>
            </w:tcBorders>
            <w:noWrap/>
            <w:vAlign w:val="center"/>
          </w:tcPr>
          <w:p w14:paraId="24E2F337">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汕头市人民政府国有资产监督管理委员会</w:t>
            </w:r>
          </w:p>
        </w:tc>
      </w:tr>
      <w:tr w14:paraId="0454F43C">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4BD7065A">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29</w:t>
            </w:r>
          </w:p>
        </w:tc>
        <w:tc>
          <w:tcPr>
            <w:tcW w:w="1471" w:type="pct"/>
            <w:tcBorders>
              <w:top w:val="single" w:color="000000" w:sz="4" w:space="0"/>
              <w:left w:val="nil"/>
              <w:bottom w:val="single" w:color="000000" w:sz="4" w:space="0"/>
              <w:right w:val="single" w:color="000000" w:sz="4" w:space="0"/>
            </w:tcBorders>
            <w:noWrap/>
            <w:vAlign w:val="center"/>
          </w:tcPr>
          <w:p w14:paraId="131B8E21">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N000010051</w:t>
            </w:r>
          </w:p>
        </w:tc>
        <w:tc>
          <w:tcPr>
            <w:tcW w:w="2650" w:type="pct"/>
            <w:tcBorders>
              <w:top w:val="single" w:color="000000" w:sz="4" w:space="0"/>
              <w:left w:val="nil"/>
              <w:bottom w:val="single" w:color="000000" w:sz="4" w:space="0"/>
              <w:right w:val="single" w:color="000000" w:sz="4" w:space="0"/>
            </w:tcBorders>
            <w:noWrap/>
            <w:vAlign w:val="center"/>
          </w:tcPr>
          <w:p w14:paraId="23283CE4">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汕头市应急管理局</w:t>
            </w:r>
          </w:p>
        </w:tc>
      </w:tr>
      <w:tr w14:paraId="03409CB6">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4A2A50C7">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30</w:t>
            </w:r>
          </w:p>
        </w:tc>
        <w:tc>
          <w:tcPr>
            <w:tcW w:w="1471" w:type="pct"/>
            <w:tcBorders>
              <w:top w:val="single" w:color="000000" w:sz="4" w:space="0"/>
              <w:left w:val="nil"/>
              <w:bottom w:val="single" w:color="000000" w:sz="4" w:space="0"/>
              <w:right w:val="single" w:color="000000" w:sz="4" w:space="0"/>
            </w:tcBorders>
            <w:noWrap/>
            <w:vAlign w:val="center"/>
          </w:tcPr>
          <w:p w14:paraId="5469B7DC">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N000010053</w:t>
            </w:r>
          </w:p>
        </w:tc>
        <w:tc>
          <w:tcPr>
            <w:tcW w:w="2650" w:type="pct"/>
            <w:tcBorders>
              <w:top w:val="single" w:color="000000" w:sz="4" w:space="0"/>
              <w:left w:val="nil"/>
              <w:bottom w:val="single" w:color="000000" w:sz="4" w:space="0"/>
              <w:right w:val="single" w:color="000000" w:sz="4" w:space="0"/>
            </w:tcBorders>
            <w:noWrap/>
            <w:vAlign w:val="center"/>
          </w:tcPr>
          <w:p w14:paraId="76BF5D64">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汕头市统计局</w:t>
            </w:r>
          </w:p>
        </w:tc>
      </w:tr>
      <w:tr w14:paraId="12DA97C4">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60C8A06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31</w:t>
            </w:r>
          </w:p>
        </w:tc>
        <w:tc>
          <w:tcPr>
            <w:tcW w:w="1471" w:type="pct"/>
            <w:tcBorders>
              <w:top w:val="single" w:color="000000" w:sz="4" w:space="0"/>
              <w:left w:val="nil"/>
              <w:bottom w:val="single" w:color="000000" w:sz="4" w:space="0"/>
              <w:right w:val="single" w:color="000000" w:sz="4" w:space="0"/>
            </w:tcBorders>
            <w:noWrap/>
            <w:vAlign w:val="center"/>
          </w:tcPr>
          <w:p w14:paraId="0BBF32D2">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N000010058</w:t>
            </w:r>
          </w:p>
        </w:tc>
        <w:tc>
          <w:tcPr>
            <w:tcW w:w="2650" w:type="pct"/>
            <w:tcBorders>
              <w:top w:val="single" w:color="000000" w:sz="4" w:space="0"/>
              <w:left w:val="nil"/>
              <w:bottom w:val="single" w:color="000000" w:sz="4" w:space="0"/>
              <w:right w:val="single" w:color="000000" w:sz="4" w:space="0"/>
            </w:tcBorders>
            <w:noWrap/>
            <w:vAlign w:val="center"/>
          </w:tcPr>
          <w:p w14:paraId="410D55C4">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汕头市城市管理和综合执法局</w:t>
            </w:r>
          </w:p>
        </w:tc>
      </w:tr>
      <w:tr w14:paraId="137FB290">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66FD086D">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32</w:t>
            </w:r>
          </w:p>
        </w:tc>
        <w:tc>
          <w:tcPr>
            <w:tcW w:w="1471" w:type="pct"/>
            <w:tcBorders>
              <w:top w:val="single" w:color="000000" w:sz="4" w:space="0"/>
              <w:left w:val="nil"/>
              <w:bottom w:val="single" w:color="000000" w:sz="4" w:space="0"/>
              <w:right w:val="single" w:color="000000" w:sz="4" w:space="0"/>
            </w:tcBorders>
            <w:noWrap/>
            <w:vAlign w:val="center"/>
          </w:tcPr>
          <w:p w14:paraId="14392FB7">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N000010063</w:t>
            </w:r>
          </w:p>
        </w:tc>
        <w:tc>
          <w:tcPr>
            <w:tcW w:w="2650" w:type="pct"/>
            <w:tcBorders>
              <w:top w:val="single" w:color="000000" w:sz="4" w:space="0"/>
              <w:left w:val="nil"/>
              <w:bottom w:val="single" w:color="000000" w:sz="4" w:space="0"/>
              <w:right w:val="single" w:color="000000" w:sz="4" w:space="0"/>
            </w:tcBorders>
            <w:noWrap/>
            <w:vAlign w:val="center"/>
          </w:tcPr>
          <w:p w14:paraId="70E84B75">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汕头市政务服务和数据管理局</w:t>
            </w:r>
          </w:p>
        </w:tc>
      </w:tr>
      <w:tr w14:paraId="25A7DB02">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24F1F490">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33</w:t>
            </w:r>
          </w:p>
        </w:tc>
        <w:tc>
          <w:tcPr>
            <w:tcW w:w="1471" w:type="pct"/>
            <w:tcBorders>
              <w:top w:val="single" w:color="000000" w:sz="4" w:space="0"/>
              <w:left w:val="nil"/>
              <w:bottom w:val="single" w:color="000000" w:sz="4" w:space="0"/>
              <w:right w:val="single" w:color="000000" w:sz="4" w:space="0"/>
            </w:tcBorders>
            <w:noWrap/>
            <w:vAlign w:val="center"/>
          </w:tcPr>
          <w:p w14:paraId="713FFF44">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N000010064</w:t>
            </w:r>
          </w:p>
        </w:tc>
        <w:tc>
          <w:tcPr>
            <w:tcW w:w="2650" w:type="pct"/>
            <w:tcBorders>
              <w:top w:val="single" w:color="000000" w:sz="4" w:space="0"/>
              <w:left w:val="nil"/>
              <w:bottom w:val="single" w:color="000000" w:sz="4" w:space="0"/>
              <w:right w:val="single" w:color="000000" w:sz="4" w:space="0"/>
            </w:tcBorders>
            <w:noWrap/>
            <w:vAlign w:val="center"/>
          </w:tcPr>
          <w:p w14:paraId="3F30D46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汕头市机关事务管理局</w:t>
            </w:r>
          </w:p>
        </w:tc>
      </w:tr>
      <w:tr w14:paraId="39ED6235">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3389A455">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34</w:t>
            </w:r>
          </w:p>
        </w:tc>
        <w:tc>
          <w:tcPr>
            <w:tcW w:w="1471" w:type="pct"/>
            <w:tcBorders>
              <w:top w:val="single" w:color="000000" w:sz="4" w:space="0"/>
              <w:left w:val="nil"/>
              <w:bottom w:val="single" w:color="000000" w:sz="4" w:space="0"/>
              <w:right w:val="single" w:color="000000" w:sz="4" w:space="0"/>
            </w:tcBorders>
            <w:noWrap/>
            <w:vAlign w:val="center"/>
          </w:tcPr>
          <w:p w14:paraId="42722B18">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N000010066</w:t>
            </w:r>
          </w:p>
        </w:tc>
        <w:tc>
          <w:tcPr>
            <w:tcW w:w="2650" w:type="pct"/>
            <w:tcBorders>
              <w:top w:val="single" w:color="000000" w:sz="4" w:space="0"/>
              <w:left w:val="nil"/>
              <w:bottom w:val="single" w:color="000000" w:sz="4" w:space="0"/>
              <w:right w:val="single" w:color="000000" w:sz="4" w:space="0"/>
            </w:tcBorders>
            <w:noWrap/>
            <w:vAlign w:val="center"/>
          </w:tcPr>
          <w:p w14:paraId="30EC05DF">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汕头仲裁委员会</w:t>
            </w:r>
          </w:p>
        </w:tc>
      </w:tr>
      <w:tr w14:paraId="27AB5F22">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62DD6BC2">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35</w:t>
            </w:r>
          </w:p>
        </w:tc>
        <w:tc>
          <w:tcPr>
            <w:tcW w:w="1471" w:type="pct"/>
            <w:tcBorders>
              <w:top w:val="single" w:color="000000" w:sz="4" w:space="0"/>
              <w:left w:val="nil"/>
              <w:bottom w:val="single" w:color="000000" w:sz="4" w:space="0"/>
              <w:right w:val="single" w:color="000000" w:sz="4" w:space="0"/>
            </w:tcBorders>
            <w:noWrap/>
            <w:vAlign w:val="center"/>
          </w:tcPr>
          <w:p w14:paraId="637BEFE1">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N000010067</w:t>
            </w:r>
          </w:p>
        </w:tc>
        <w:tc>
          <w:tcPr>
            <w:tcW w:w="2650" w:type="pct"/>
            <w:tcBorders>
              <w:top w:val="single" w:color="000000" w:sz="4" w:space="0"/>
              <w:left w:val="nil"/>
              <w:bottom w:val="single" w:color="000000" w:sz="4" w:space="0"/>
              <w:right w:val="single" w:color="000000" w:sz="4" w:space="0"/>
            </w:tcBorders>
            <w:noWrap/>
            <w:vAlign w:val="center"/>
          </w:tcPr>
          <w:p w14:paraId="24AE74FD">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汕头市地震局</w:t>
            </w:r>
          </w:p>
        </w:tc>
      </w:tr>
      <w:tr w14:paraId="3E3DDB7D">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746D6EE5">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36</w:t>
            </w:r>
          </w:p>
        </w:tc>
        <w:tc>
          <w:tcPr>
            <w:tcW w:w="1471" w:type="pct"/>
            <w:tcBorders>
              <w:top w:val="single" w:color="000000" w:sz="4" w:space="0"/>
              <w:left w:val="nil"/>
              <w:bottom w:val="single" w:color="000000" w:sz="4" w:space="0"/>
              <w:right w:val="single" w:color="000000" w:sz="4" w:space="0"/>
            </w:tcBorders>
            <w:noWrap/>
            <w:vAlign w:val="center"/>
          </w:tcPr>
          <w:p w14:paraId="25443557">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N000010068</w:t>
            </w:r>
          </w:p>
        </w:tc>
        <w:tc>
          <w:tcPr>
            <w:tcW w:w="2650" w:type="pct"/>
            <w:tcBorders>
              <w:top w:val="single" w:color="000000" w:sz="4" w:space="0"/>
              <w:left w:val="nil"/>
              <w:bottom w:val="single" w:color="000000" w:sz="4" w:space="0"/>
              <w:right w:val="single" w:color="000000" w:sz="4" w:space="0"/>
            </w:tcBorders>
            <w:noWrap/>
            <w:vAlign w:val="center"/>
          </w:tcPr>
          <w:p w14:paraId="44BEFEA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汕头市供销合作总社</w:t>
            </w:r>
          </w:p>
        </w:tc>
      </w:tr>
      <w:tr w14:paraId="34A1BF08">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661A1BB5">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37</w:t>
            </w:r>
          </w:p>
        </w:tc>
        <w:tc>
          <w:tcPr>
            <w:tcW w:w="1471" w:type="pct"/>
            <w:tcBorders>
              <w:top w:val="single" w:color="000000" w:sz="4" w:space="0"/>
              <w:left w:val="nil"/>
              <w:bottom w:val="single" w:color="000000" w:sz="4" w:space="0"/>
              <w:right w:val="single" w:color="000000" w:sz="4" w:space="0"/>
            </w:tcBorders>
            <w:noWrap/>
            <w:vAlign w:val="center"/>
          </w:tcPr>
          <w:p w14:paraId="12A5CBAB">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N000010070</w:t>
            </w:r>
          </w:p>
        </w:tc>
        <w:tc>
          <w:tcPr>
            <w:tcW w:w="2650" w:type="pct"/>
            <w:tcBorders>
              <w:top w:val="single" w:color="000000" w:sz="4" w:space="0"/>
              <w:left w:val="nil"/>
              <w:bottom w:val="single" w:color="000000" w:sz="4" w:space="0"/>
              <w:right w:val="single" w:color="000000" w:sz="4" w:space="0"/>
            </w:tcBorders>
            <w:noWrap/>
            <w:vAlign w:val="center"/>
          </w:tcPr>
          <w:p w14:paraId="7D831B96">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汕头市公路事务中心</w:t>
            </w:r>
          </w:p>
        </w:tc>
      </w:tr>
      <w:tr w14:paraId="26137F8B">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3C2A78AA">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38</w:t>
            </w:r>
          </w:p>
        </w:tc>
        <w:tc>
          <w:tcPr>
            <w:tcW w:w="1471" w:type="pct"/>
            <w:tcBorders>
              <w:top w:val="single" w:color="000000" w:sz="4" w:space="0"/>
              <w:left w:val="nil"/>
              <w:bottom w:val="single" w:color="000000" w:sz="4" w:space="0"/>
              <w:right w:val="single" w:color="000000" w:sz="4" w:space="0"/>
            </w:tcBorders>
            <w:noWrap/>
            <w:vAlign w:val="center"/>
          </w:tcPr>
          <w:p w14:paraId="4463D4AB">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N000010071</w:t>
            </w:r>
          </w:p>
        </w:tc>
        <w:tc>
          <w:tcPr>
            <w:tcW w:w="2650" w:type="pct"/>
            <w:tcBorders>
              <w:top w:val="single" w:color="000000" w:sz="4" w:space="0"/>
              <w:left w:val="nil"/>
              <w:bottom w:val="single" w:color="000000" w:sz="4" w:space="0"/>
              <w:right w:val="single" w:color="000000" w:sz="4" w:space="0"/>
            </w:tcBorders>
            <w:noWrap/>
            <w:vAlign w:val="center"/>
          </w:tcPr>
          <w:p w14:paraId="44E285D4">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汕头市社会保险基金管理局</w:t>
            </w:r>
          </w:p>
        </w:tc>
      </w:tr>
      <w:tr w14:paraId="0FD43963">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5510C6B2">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39</w:t>
            </w:r>
          </w:p>
        </w:tc>
        <w:tc>
          <w:tcPr>
            <w:tcW w:w="1471" w:type="pct"/>
            <w:tcBorders>
              <w:top w:val="single" w:color="000000" w:sz="4" w:space="0"/>
              <w:left w:val="nil"/>
              <w:bottom w:val="single" w:color="000000" w:sz="4" w:space="0"/>
              <w:right w:val="single" w:color="000000" w:sz="4" w:space="0"/>
            </w:tcBorders>
            <w:noWrap/>
            <w:vAlign w:val="center"/>
          </w:tcPr>
          <w:p w14:paraId="7FA37446">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N000010074</w:t>
            </w:r>
          </w:p>
        </w:tc>
        <w:tc>
          <w:tcPr>
            <w:tcW w:w="2650" w:type="pct"/>
            <w:tcBorders>
              <w:top w:val="single" w:color="000000" w:sz="4" w:space="0"/>
              <w:left w:val="nil"/>
              <w:bottom w:val="single" w:color="000000" w:sz="4" w:space="0"/>
              <w:right w:val="single" w:color="000000" w:sz="4" w:space="0"/>
            </w:tcBorders>
            <w:noWrap/>
            <w:vAlign w:val="center"/>
          </w:tcPr>
          <w:p w14:paraId="3CB0AAEC">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汕头综合保税区管委会</w:t>
            </w:r>
          </w:p>
        </w:tc>
      </w:tr>
      <w:tr w14:paraId="6FFAF050">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5BAA36C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40</w:t>
            </w:r>
          </w:p>
        </w:tc>
        <w:tc>
          <w:tcPr>
            <w:tcW w:w="1471" w:type="pct"/>
            <w:tcBorders>
              <w:top w:val="single" w:color="000000" w:sz="4" w:space="0"/>
              <w:left w:val="nil"/>
              <w:bottom w:val="single" w:color="000000" w:sz="4" w:space="0"/>
              <w:right w:val="single" w:color="000000" w:sz="4" w:space="0"/>
            </w:tcBorders>
            <w:noWrap/>
            <w:vAlign w:val="center"/>
          </w:tcPr>
          <w:p w14:paraId="2C0513EA">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N000010075</w:t>
            </w:r>
          </w:p>
        </w:tc>
        <w:tc>
          <w:tcPr>
            <w:tcW w:w="2650" w:type="pct"/>
            <w:tcBorders>
              <w:top w:val="single" w:color="000000" w:sz="4" w:space="0"/>
              <w:left w:val="nil"/>
              <w:bottom w:val="single" w:color="000000" w:sz="4" w:space="0"/>
              <w:right w:val="single" w:color="000000" w:sz="4" w:space="0"/>
            </w:tcBorders>
            <w:noWrap/>
            <w:vAlign w:val="center"/>
          </w:tcPr>
          <w:p w14:paraId="59D9CFBF">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汕头高新技术产业开发区管理委员会</w:t>
            </w:r>
          </w:p>
        </w:tc>
      </w:tr>
      <w:tr w14:paraId="6859715C">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08E2172A">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41</w:t>
            </w:r>
          </w:p>
        </w:tc>
        <w:tc>
          <w:tcPr>
            <w:tcW w:w="1471" w:type="pct"/>
            <w:tcBorders>
              <w:top w:val="single" w:color="000000" w:sz="4" w:space="0"/>
              <w:left w:val="nil"/>
              <w:bottom w:val="single" w:color="000000" w:sz="4" w:space="0"/>
              <w:right w:val="single" w:color="000000" w:sz="4" w:space="0"/>
            </w:tcBorders>
            <w:noWrap/>
            <w:vAlign w:val="center"/>
          </w:tcPr>
          <w:p w14:paraId="649F6186">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N000010323</w:t>
            </w:r>
          </w:p>
        </w:tc>
        <w:tc>
          <w:tcPr>
            <w:tcW w:w="2650" w:type="pct"/>
            <w:tcBorders>
              <w:top w:val="single" w:color="000000" w:sz="4" w:space="0"/>
              <w:left w:val="nil"/>
              <w:bottom w:val="single" w:color="000000" w:sz="4" w:space="0"/>
              <w:right w:val="single" w:color="000000" w:sz="4" w:space="0"/>
            </w:tcBorders>
            <w:noWrap/>
            <w:vAlign w:val="center"/>
          </w:tcPr>
          <w:p w14:paraId="516D4585">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汕头市公安局</w:t>
            </w:r>
          </w:p>
        </w:tc>
      </w:tr>
      <w:tr w14:paraId="06122EA3">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4A5EB38F">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42</w:t>
            </w:r>
          </w:p>
        </w:tc>
        <w:tc>
          <w:tcPr>
            <w:tcW w:w="1471" w:type="pct"/>
            <w:tcBorders>
              <w:top w:val="single" w:color="000000" w:sz="4" w:space="0"/>
              <w:left w:val="nil"/>
              <w:bottom w:val="single" w:color="000000" w:sz="4" w:space="0"/>
              <w:right w:val="single" w:color="000000" w:sz="4" w:space="0"/>
            </w:tcBorders>
            <w:noWrap/>
            <w:vAlign w:val="center"/>
          </w:tcPr>
          <w:p w14:paraId="2E1B4653">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N000010395</w:t>
            </w:r>
          </w:p>
        </w:tc>
        <w:tc>
          <w:tcPr>
            <w:tcW w:w="2650" w:type="pct"/>
            <w:tcBorders>
              <w:top w:val="single" w:color="000000" w:sz="4" w:space="0"/>
              <w:left w:val="nil"/>
              <w:bottom w:val="single" w:color="000000" w:sz="4" w:space="0"/>
              <w:right w:val="single" w:color="000000" w:sz="4" w:space="0"/>
            </w:tcBorders>
            <w:noWrap/>
            <w:vAlign w:val="center"/>
          </w:tcPr>
          <w:p w14:paraId="67659BAB">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汕头市市场监督管理局（知识产权局）</w:t>
            </w:r>
          </w:p>
        </w:tc>
      </w:tr>
      <w:tr w14:paraId="145FAA8E">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0293D6EB">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43</w:t>
            </w:r>
          </w:p>
        </w:tc>
        <w:tc>
          <w:tcPr>
            <w:tcW w:w="1471" w:type="pct"/>
            <w:tcBorders>
              <w:top w:val="single" w:color="000000" w:sz="4" w:space="0"/>
              <w:left w:val="nil"/>
              <w:bottom w:val="single" w:color="000000" w:sz="4" w:space="0"/>
              <w:right w:val="single" w:color="000000" w:sz="4" w:space="0"/>
            </w:tcBorders>
            <w:noWrap/>
            <w:vAlign w:val="center"/>
          </w:tcPr>
          <w:p w14:paraId="7CA8B595">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N000010396</w:t>
            </w:r>
          </w:p>
        </w:tc>
        <w:tc>
          <w:tcPr>
            <w:tcW w:w="2650" w:type="pct"/>
            <w:tcBorders>
              <w:top w:val="single" w:color="000000" w:sz="4" w:space="0"/>
              <w:left w:val="nil"/>
              <w:bottom w:val="single" w:color="000000" w:sz="4" w:space="0"/>
              <w:right w:val="single" w:color="000000" w:sz="4" w:space="0"/>
            </w:tcBorders>
            <w:noWrap/>
            <w:vAlign w:val="center"/>
          </w:tcPr>
          <w:p w14:paraId="6F4B0885">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汕头市信访局</w:t>
            </w:r>
          </w:p>
        </w:tc>
      </w:tr>
      <w:tr w14:paraId="28131902">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351EC1C8">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44</w:t>
            </w:r>
          </w:p>
        </w:tc>
        <w:tc>
          <w:tcPr>
            <w:tcW w:w="1471" w:type="pct"/>
            <w:tcBorders>
              <w:top w:val="single" w:color="000000" w:sz="4" w:space="0"/>
              <w:left w:val="nil"/>
              <w:bottom w:val="single" w:color="000000" w:sz="4" w:space="0"/>
              <w:right w:val="single" w:color="000000" w:sz="4" w:space="0"/>
            </w:tcBorders>
            <w:noWrap/>
            <w:vAlign w:val="center"/>
          </w:tcPr>
          <w:p w14:paraId="77FCF855">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N000011006</w:t>
            </w:r>
          </w:p>
        </w:tc>
        <w:tc>
          <w:tcPr>
            <w:tcW w:w="2650" w:type="pct"/>
            <w:tcBorders>
              <w:top w:val="single" w:color="000000" w:sz="4" w:space="0"/>
              <w:left w:val="nil"/>
              <w:bottom w:val="single" w:color="000000" w:sz="4" w:space="0"/>
              <w:right w:val="single" w:color="000000" w:sz="4" w:space="0"/>
            </w:tcBorders>
            <w:noWrap/>
            <w:vAlign w:val="center"/>
          </w:tcPr>
          <w:p w14:paraId="3ECFDD8C">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汕头市教育局</w:t>
            </w:r>
          </w:p>
        </w:tc>
      </w:tr>
      <w:tr w14:paraId="2D297771">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7FB333EB">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45</w:t>
            </w:r>
          </w:p>
        </w:tc>
        <w:tc>
          <w:tcPr>
            <w:tcW w:w="1471" w:type="pct"/>
            <w:tcBorders>
              <w:top w:val="single" w:color="000000" w:sz="4" w:space="0"/>
              <w:left w:val="nil"/>
              <w:bottom w:val="single" w:color="000000" w:sz="4" w:space="0"/>
              <w:right w:val="single" w:color="000000" w:sz="4" w:space="0"/>
            </w:tcBorders>
            <w:noWrap/>
            <w:vAlign w:val="center"/>
          </w:tcPr>
          <w:p w14:paraId="18DBC88B">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N000011007</w:t>
            </w:r>
          </w:p>
        </w:tc>
        <w:tc>
          <w:tcPr>
            <w:tcW w:w="2650" w:type="pct"/>
            <w:tcBorders>
              <w:top w:val="single" w:color="000000" w:sz="4" w:space="0"/>
              <w:left w:val="nil"/>
              <w:bottom w:val="single" w:color="000000" w:sz="4" w:space="0"/>
              <w:right w:val="single" w:color="000000" w:sz="4" w:space="0"/>
            </w:tcBorders>
            <w:noWrap/>
            <w:vAlign w:val="center"/>
          </w:tcPr>
          <w:p w14:paraId="42A92DE0">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汕头市退役军人事务局</w:t>
            </w:r>
          </w:p>
        </w:tc>
      </w:tr>
      <w:tr w14:paraId="3608E15B">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2AD7EDDD">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46</w:t>
            </w:r>
          </w:p>
        </w:tc>
        <w:tc>
          <w:tcPr>
            <w:tcW w:w="1471" w:type="pct"/>
            <w:tcBorders>
              <w:top w:val="single" w:color="000000" w:sz="4" w:space="0"/>
              <w:left w:val="nil"/>
              <w:bottom w:val="single" w:color="000000" w:sz="4" w:space="0"/>
              <w:right w:val="single" w:color="000000" w:sz="4" w:space="0"/>
            </w:tcBorders>
            <w:noWrap/>
            <w:vAlign w:val="center"/>
          </w:tcPr>
          <w:p w14:paraId="38CCF986">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N000011008</w:t>
            </w:r>
          </w:p>
        </w:tc>
        <w:tc>
          <w:tcPr>
            <w:tcW w:w="2650" w:type="pct"/>
            <w:tcBorders>
              <w:top w:val="single" w:color="000000" w:sz="4" w:space="0"/>
              <w:left w:val="nil"/>
              <w:bottom w:val="single" w:color="000000" w:sz="4" w:space="0"/>
              <w:right w:val="single" w:color="000000" w:sz="4" w:space="0"/>
            </w:tcBorders>
            <w:noWrap/>
            <w:vAlign w:val="center"/>
          </w:tcPr>
          <w:p w14:paraId="2A8D5309">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汕头市医疗保障局</w:t>
            </w:r>
          </w:p>
        </w:tc>
      </w:tr>
      <w:tr w14:paraId="0746C73D">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0DBA2898">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47</w:t>
            </w:r>
          </w:p>
        </w:tc>
        <w:tc>
          <w:tcPr>
            <w:tcW w:w="1471" w:type="pct"/>
            <w:tcBorders>
              <w:top w:val="single" w:color="000000" w:sz="4" w:space="0"/>
              <w:left w:val="nil"/>
              <w:bottom w:val="single" w:color="000000" w:sz="4" w:space="0"/>
              <w:right w:val="single" w:color="000000" w:sz="4" w:space="0"/>
            </w:tcBorders>
            <w:noWrap/>
            <w:vAlign w:val="center"/>
          </w:tcPr>
          <w:p w14:paraId="39B3FC1A">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N000011009</w:t>
            </w:r>
          </w:p>
        </w:tc>
        <w:tc>
          <w:tcPr>
            <w:tcW w:w="2650" w:type="pct"/>
            <w:tcBorders>
              <w:top w:val="single" w:color="000000" w:sz="4" w:space="0"/>
              <w:left w:val="nil"/>
              <w:bottom w:val="single" w:color="000000" w:sz="4" w:space="0"/>
              <w:right w:val="single" w:color="000000" w:sz="4" w:space="0"/>
            </w:tcBorders>
            <w:noWrap/>
            <w:vAlign w:val="center"/>
          </w:tcPr>
          <w:p w14:paraId="48DB43B7">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汕头市投资促进局</w:t>
            </w:r>
          </w:p>
        </w:tc>
      </w:tr>
      <w:tr w14:paraId="3879A829">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4156178C">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48</w:t>
            </w:r>
          </w:p>
        </w:tc>
        <w:tc>
          <w:tcPr>
            <w:tcW w:w="1471" w:type="pct"/>
            <w:tcBorders>
              <w:top w:val="single" w:color="000000" w:sz="4" w:space="0"/>
              <w:left w:val="nil"/>
              <w:bottom w:val="single" w:color="000000" w:sz="4" w:space="0"/>
              <w:right w:val="single" w:color="000000" w:sz="4" w:space="0"/>
            </w:tcBorders>
            <w:noWrap/>
            <w:vAlign w:val="center"/>
          </w:tcPr>
          <w:p w14:paraId="1ED22C07">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N000011010</w:t>
            </w:r>
          </w:p>
        </w:tc>
        <w:tc>
          <w:tcPr>
            <w:tcW w:w="2650" w:type="pct"/>
            <w:tcBorders>
              <w:top w:val="single" w:color="000000" w:sz="4" w:space="0"/>
              <w:left w:val="nil"/>
              <w:bottom w:val="single" w:color="000000" w:sz="4" w:space="0"/>
              <w:right w:val="single" w:color="000000" w:sz="4" w:space="0"/>
            </w:tcBorders>
            <w:noWrap/>
            <w:vAlign w:val="center"/>
          </w:tcPr>
          <w:p w14:paraId="7FEFDE08">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汕头市生态环境保护综合执法局</w:t>
            </w:r>
          </w:p>
        </w:tc>
      </w:tr>
      <w:tr w14:paraId="40ECCFE8">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2E350BC1">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49</w:t>
            </w:r>
          </w:p>
        </w:tc>
        <w:tc>
          <w:tcPr>
            <w:tcW w:w="1471" w:type="pct"/>
            <w:tcBorders>
              <w:top w:val="single" w:color="000000" w:sz="4" w:space="0"/>
              <w:left w:val="nil"/>
              <w:bottom w:val="single" w:color="000000" w:sz="4" w:space="0"/>
              <w:right w:val="single" w:color="000000" w:sz="4" w:space="0"/>
            </w:tcBorders>
            <w:noWrap/>
            <w:vAlign w:val="center"/>
          </w:tcPr>
          <w:p w14:paraId="4410C34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N000011011</w:t>
            </w:r>
          </w:p>
        </w:tc>
        <w:tc>
          <w:tcPr>
            <w:tcW w:w="2650" w:type="pct"/>
            <w:tcBorders>
              <w:top w:val="single" w:color="000000" w:sz="4" w:space="0"/>
              <w:left w:val="nil"/>
              <w:bottom w:val="single" w:color="000000" w:sz="4" w:space="0"/>
              <w:right w:val="single" w:color="000000" w:sz="4" w:space="0"/>
            </w:tcBorders>
            <w:noWrap/>
            <w:vAlign w:val="center"/>
          </w:tcPr>
          <w:p w14:paraId="52215928">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汕头市交通运输综合执法局</w:t>
            </w:r>
          </w:p>
        </w:tc>
      </w:tr>
      <w:tr w14:paraId="4F9CC253">
        <w:tblPrEx>
          <w:tblCellMar>
            <w:top w:w="0" w:type="dxa"/>
            <w:left w:w="108" w:type="dxa"/>
            <w:bottom w:w="0" w:type="dxa"/>
            <w:right w:w="108" w:type="dxa"/>
          </w:tblCellMar>
        </w:tblPrEx>
        <w:trPr>
          <w:trHeight w:val="280" w:hRule="atLeast"/>
        </w:trPr>
        <w:tc>
          <w:tcPr>
            <w:tcW w:w="879" w:type="pct"/>
            <w:tcBorders>
              <w:top w:val="single" w:color="000000" w:sz="4" w:space="0"/>
              <w:left w:val="single" w:color="000000" w:sz="4" w:space="0"/>
              <w:bottom w:val="single" w:color="000000" w:sz="4" w:space="0"/>
              <w:right w:val="single" w:color="000000" w:sz="4" w:space="0"/>
            </w:tcBorders>
            <w:noWrap/>
            <w:vAlign w:val="center"/>
          </w:tcPr>
          <w:p w14:paraId="57F0C3C8">
            <w:pPr>
              <w:widowControl/>
              <w:spacing w:line="240" w:lineRule="auto"/>
              <w:ind w:firstLine="0" w:firstLineChars="0"/>
              <w:jc w:val="center"/>
              <w:rPr>
                <w:rFonts w:hint="eastAsia" w:cs="宋体"/>
                <w:color w:val="000000"/>
                <w:kern w:val="0"/>
                <w:szCs w:val="24"/>
                <w:highlight w:val="none"/>
              </w:rPr>
            </w:pPr>
            <w:r>
              <w:rPr>
                <w:rFonts w:cs="宋体"/>
                <w:color w:val="000000"/>
                <w:kern w:val="0"/>
                <w:szCs w:val="24"/>
                <w:highlight w:val="none"/>
              </w:rPr>
              <w:t>50</w:t>
            </w:r>
          </w:p>
        </w:tc>
        <w:tc>
          <w:tcPr>
            <w:tcW w:w="1471" w:type="pct"/>
            <w:tcBorders>
              <w:top w:val="single" w:color="000000" w:sz="4" w:space="0"/>
              <w:left w:val="nil"/>
              <w:bottom w:val="single" w:color="000000" w:sz="4" w:space="0"/>
              <w:right w:val="single" w:color="000000" w:sz="4" w:space="0"/>
            </w:tcBorders>
            <w:noWrap/>
            <w:vAlign w:val="center"/>
          </w:tcPr>
          <w:p w14:paraId="4A93BAF4">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N000055858</w:t>
            </w:r>
          </w:p>
        </w:tc>
        <w:tc>
          <w:tcPr>
            <w:tcW w:w="2650" w:type="pct"/>
            <w:tcBorders>
              <w:top w:val="single" w:color="000000" w:sz="4" w:space="0"/>
              <w:left w:val="nil"/>
              <w:bottom w:val="single" w:color="000000" w:sz="4" w:space="0"/>
              <w:right w:val="single" w:color="000000" w:sz="4" w:space="0"/>
            </w:tcBorders>
            <w:noWrap/>
            <w:vAlign w:val="center"/>
          </w:tcPr>
          <w:p w14:paraId="207800AE">
            <w:pPr>
              <w:widowControl/>
              <w:spacing w:line="240" w:lineRule="auto"/>
              <w:ind w:firstLine="0" w:firstLineChars="0"/>
              <w:jc w:val="left"/>
              <w:rPr>
                <w:rFonts w:hint="eastAsia" w:cs="Calibri"/>
                <w:color w:val="000000"/>
                <w:kern w:val="0"/>
                <w:szCs w:val="24"/>
                <w:highlight w:val="none"/>
              </w:rPr>
            </w:pPr>
            <w:r>
              <w:rPr>
                <w:rFonts w:cs="Calibri"/>
                <w:color w:val="000000"/>
                <w:kern w:val="0"/>
                <w:szCs w:val="24"/>
                <w:highlight w:val="none"/>
              </w:rPr>
              <w:t>汕头华侨经济文化合作试验区 汕头海湾新区管委会</w:t>
            </w:r>
          </w:p>
        </w:tc>
      </w:tr>
    </w:tbl>
    <w:p w14:paraId="4BD7CD5B">
      <w:pPr>
        <w:ind w:firstLine="0" w:firstLineChars="0"/>
        <w:rPr>
          <w:rFonts w:hint="eastAsia"/>
          <w:highlight w:val="none"/>
        </w:rPr>
      </w:pPr>
    </w:p>
    <w:p w14:paraId="30EE08C8">
      <w:pPr>
        <w:ind w:firstLine="480"/>
        <w:rPr>
          <w:rFonts w:hint="eastAsia"/>
          <w:highlight w:val="none"/>
        </w:rPr>
      </w:pPr>
      <w:r>
        <w:rPr>
          <w:rFonts w:hint="eastAsia"/>
          <w:highlight w:val="none"/>
        </w:rPr>
        <w:t>（2）</w:t>
      </w:r>
      <w:r>
        <w:rPr>
          <w:highlight w:val="none"/>
        </w:rPr>
        <w:t>党群网站</w:t>
      </w:r>
    </w:p>
    <w:tbl>
      <w:tblPr>
        <w:tblStyle w:val="33"/>
        <w:tblW w:w="0" w:type="auto"/>
        <w:tblInd w:w="0" w:type="dxa"/>
        <w:tblLayout w:type="fixed"/>
        <w:tblCellMar>
          <w:top w:w="0" w:type="dxa"/>
          <w:left w:w="108" w:type="dxa"/>
          <w:bottom w:w="0" w:type="dxa"/>
          <w:right w:w="108" w:type="dxa"/>
        </w:tblCellMar>
      </w:tblPr>
      <w:tblGrid>
        <w:gridCol w:w="846"/>
        <w:gridCol w:w="7450"/>
      </w:tblGrid>
      <w:tr w14:paraId="169D9A76">
        <w:tblPrEx>
          <w:tblCellMar>
            <w:top w:w="0" w:type="dxa"/>
            <w:left w:w="108" w:type="dxa"/>
            <w:bottom w:w="0" w:type="dxa"/>
            <w:right w:w="108" w:type="dxa"/>
          </w:tblCellMar>
        </w:tblPrEx>
        <w:trPr>
          <w:trHeight w:val="444" w:hRule="atLeast"/>
          <w:tblHeader/>
        </w:trPr>
        <w:tc>
          <w:tcPr>
            <w:tcW w:w="84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6D3A9A3">
            <w:pPr>
              <w:spacing w:line="240" w:lineRule="auto"/>
              <w:ind w:firstLine="0" w:firstLineChars="0"/>
              <w:jc w:val="center"/>
              <w:rPr>
                <w:rFonts w:hint="eastAsia" w:cs="Times New Roman"/>
                <w:b/>
                <w:bCs/>
                <w:szCs w:val="24"/>
                <w:highlight w:val="none"/>
              </w:rPr>
            </w:pPr>
            <w:r>
              <w:rPr>
                <w:rFonts w:cs="Times New Roman"/>
                <w:b/>
                <w:bCs/>
                <w:szCs w:val="24"/>
                <w:highlight w:val="none"/>
              </w:rPr>
              <w:t>序号</w:t>
            </w:r>
          </w:p>
        </w:tc>
        <w:tc>
          <w:tcPr>
            <w:tcW w:w="7450" w:type="dxa"/>
            <w:tcBorders>
              <w:top w:val="single" w:color="000000" w:sz="4" w:space="0"/>
              <w:left w:val="nil"/>
              <w:bottom w:val="single" w:color="000000" w:sz="4" w:space="0"/>
              <w:right w:val="single" w:color="000000" w:sz="4" w:space="0"/>
            </w:tcBorders>
            <w:shd w:val="clear" w:color="auto" w:fill="F1F1F1"/>
            <w:noWrap/>
            <w:vAlign w:val="center"/>
          </w:tcPr>
          <w:p w14:paraId="669FAC30">
            <w:pPr>
              <w:spacing w:line="240" w:lineRule="auto"/>
              <w:ind w:firstLine="0" w:firstLineChars="0"/>
              <w:jc w:val="center"/>
              <w:rPr>
                <w:rFonts w:hint="eastAsia" w:cs="Times New Roman"/>
                <w:b/>
                <w:bCs/>
                <w:szCs w:val="24"/>
                <w:highlight w:val="none"/>
              </w:rPr>
            </w:pPr>
            <w:r>
              <w:rPr>
                <w:rFonts w:cs="Times New Roman"/>
                <w:b/>
                <w:bCs/>
                <w:szCs w:val="24"/>
                <w:highlight w:val="none"/>
              </w:rPr>
              <w:t>部门名称</w:t>
            </w:r>
          </w:p>
        </w:tc>
      </w:tr>
      <w:tr w14:paraId="4D94AF20">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73B5F5C">
            <w:pPr>
              <w:spacing w:line="240" w:lineRule="auto"/>
              <w:ind w:firstLine="0" w:firstLineChars="0"/>
              <w:jc w:val="center"/>
              <w:rPr>
                <w:rFonts w:hint="eastAsia" w:cs="Times New Roman"/>
                <w:szCs w:val="24"/>
                <w:highlight w:val="none"/>
              </w:rPr>
            </w:pPr>
            <w:r>
              <w:rPr>
                <w:rFonts w:cs="Times New Roman"/>
                <w:szCs w:val="24"/>
                <w:highlight w:val="none"/>
              </w:rPr>
              <w:t>1</w:t>
            </w:r>
          </w:p>
        </w:tc>
        <w:tc>
          <w:tcPr>
            <w:tcW w:w="7450" w:type="dxa"/>
            <w:tcBorders>
              <w:top w:val="single" w:color="000000" w:sz="4" w:space="0"/>
              <w:left w:val="nil"/>
              <w:bottom w:val="single" w:color="000000" w:sz="4" w:space="0"/>
              <w:right w:val="single" w:color="000000" w:sz="4" w:space="0"/>
            </w:tcBorders>
            <w:noWrap/>
            <w:vAlign w:val="center"/>
          </w:tcPr>
          <w:p w14:paraId="78C58BE4">
            <w:pPr>
              <w:spacing w:line="240" w:lineRule="auto"/>
              <w:ind w:firstLine="0" w:firstLineChars="0"/>
              <w:rPr>
                <w:rFonts w:hint="eastAsia" w:cs="Times New Roman"/>
                <w:szCs w:val="24"/>
                <w:highlight w:val="none"/>
              </w:rPr>
            </w:pPr>
            <w:r>
              <w:rPr>
                <w:rFonts w:hint="eastAsia" w:cs="宋体"/>
                <w:color w:val="000000"/>
                <w:kern w:val="0"/>
                <w:szCs w:val="24"/>
                <w:highlight w:val="none"/>
              </w:rPr>
              <w:t>汕头市人大</w:t>
            </w:r>
          </w:p>
        </w:tc>
      </w:tr>
      <w:tr w14:paraId="1221DC87">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C0F3DDC">
            <w:pPr>
              <w:spacing w:line="240" w:lineRule="auto"/>
              <w:ind w:firstLine="0" w:firstLineChars="0"/>
              <w:jc w:val="center"/>
              <w:rPr>
                <w:rFonts w:hint="eastAsia" w:cs="Times New Roman"/>
                <w:szCs w:val="24"/>
                <w:highlight w:val="none"/>
              </w:rPr>
            </w:pPr>
            <w:r>
              <w:rPr>
                <w:rFonts w:cs="Times New Roman"/>
                <w:szCs w:val="24"/>
                <w:highlight w:val="none"/>
              </w:rPr>
              <w:t>2</w:t>
            </w:r>
          </w:p>
        </w:tc>
        <w:tc>
          <w:tcPr>
            <w:tcW w:w="7450" w:type="dxa"/>
            <w:tcBorders>
              <w:top w:val="single" w:color="000000" w:sz="4" w:space="0"/>
              <w:left w:val="nil"/>
              <w:bottom w:val="single" w:color="000000" w:sz="4" w:space="0"/>
              <w:right w:val="single" w:color="000000" w:sz="4" w:space="0"/>
            </w:tcBorders>
            <w:noWrap/>
            <w:vAlign w:val="center"/>
          </w:tcPr>
          <w:p w14:paraId="520E856F">
            <w:pPr>
              <w:spacing w:line="240" w:lineRule="auto"/>
              <w:ind w:firstLine="0" w:firstLineChars="0"/>
              <w:rPr>
                <w:rFonts w:hint="eastAsia" w:cs="Times New Roman"/>
                <w:szCs w:val="24"/>
                <w:highlight w:val="none"/>
              </w:rPr>
            </w:pPr>
            <w:r>
              <w:rPr>
                <w:rFonts w:hint="eastAsia" w:cs="宋体"/>
                <w:color w:val="000000"/>
                <w:kern w:val="0"/>
                <w:szCs w:val="24"/>
                <w:highlight w:val="none"/>
              </w:rPr>
              <w:t>汕头市政协</w:t>
            </w:r>
          </w:p>
        </w:tc>
      </w:tr>
      <w:tr w14:paraId="00852AA3">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815DB6B">
            <w:pPr>
              <w:spacing w:line="240" w:lineRule="auto"/>
              <w:ind w:firstLine="0" w:firstLineChars="0"/>
              <w:jc w:val="center"/>
              <w:rPr>
                <w:rFonts w:hint="eastAsia" w:cs="Times New Roman"/>
                <w:szCs w:val="24"/>
                <w:highlight w:val="none"/>
              </w:rPr>
            </w:pPr>
            <w:r>
              <w:rPr>
                <w:rFonts w:cs="Times New Roman"/>
                <w:szCs w:val="24"/>
                <w:highlight w:val="none"/>
              </w:rPr>
              <w:t>3</w:t>
            </w:r>
          </w:p>
        </w:tc>
        <w:tc>
          <w:tcPr>
            <w:tcW w:w="7450" w:type="dxa"/>
            <w:tcBorders>
              <w:top w:val="single" w:color="000000" w:sz="4" w:space="0"/>
              <w:left w:val="nil"/>
              <w:bottom w:val="single" w:color="000000" w:sz="4" w:space="0"/>
              <w:right w:val="single" w:color="000000" w:sz="4" w:space="0"/>
            </w:tcBorders>
            <w:noWrap/>
            <w:vAlign w:val="center"/>
          </w:tcPr>
          <w:p w14:paraId="4ED946FD">
            <w:pPr>
              <w:spacing w:line="240" w:lineRule="auto"/>
              <w:ind w:firstLine="0" w:firstLineChars="0"/>
              <w:rPr>
                <w:rFonts w:hint="eastAsia" w:cs="Times New Roman"/>
                <w:szCs w:val="24"/>
                <w:highlight w:val="none"/>
              </w:rPr>
            </w:pPr>
            <w:r>
              <w:rPr>
                <w:rFonts w:cs="宋体"/>
                <w:color w:val="000000"/>
                <w:kern w:val="0"/>
                <w:szCs w:val="24"/>
                <w:highlight w:val="none"/>
              </w:rPr>
              <w:t>中共汕头市委外事工作委员会办公室</w:t>
            </w:r>
          </w:p>
        </w:tc>
      </w:tr>
      <w:tr w14:paraId="481F7C8B">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FC150B6">
            <w:pPr>
              <w:spacing w:line="240" w:lineRule="auto"/>
              <w:ind w:firstLine="0" w:firstLineChars="0"/>
              <w:jc w:val="center"/>
              <w:rPr>
                <w:rFonts w:hint="eastAsia" w:cs="Times New Roman"/>
                <w:szCs w:val="24"/>
                <w:highlight w:val="none"/>
              </w:rPr>
            </w:pPr>
            <w:r>
              <w:rPr>
                <w:rFonts w:cs="Times New Roman"/>
                <w:szCs w:val="24"/>
                <w:highlight w:val="none"/>
              </w:rPr>
              <w:t>4</w:t>
            </w:r>
          </w:p>
        </w:tc>
        <w:tc>
          <w:tcPr>
            <w:tcW w:w="7450" w:type="dxa"/>
            <w:tcBorders>
              <w:top w:val="single" w:color="000000" w:sz="4" w:space="0"/>
              <w:left w:val="nil"/>
              <w:bottom w:val="single" w:color="000000" w:sz="4" w:space="0"/>
              <w:right w:val="single" w:color="000000" w:sz="4" w:space="0"/>
            </w:tcBorders>
            <w:noWrap/>
            <w:vAlign w:val="center"/>
          </w:tcPr>
          <w:p w14:paraId="2F937C97">
            <w:pPr>
              <w:spacing w:line="240" w:lineRule="auto"/>
              <w:ind w:firstLine="0" w:firstLineChars="0"/>
              <w:rPr>
                <w:rFonts w:hint="eastAsia" w:cs="Times New Roman"/>
                <w:szCs w:val="24"/>
                <w:highlight w:val="none"/>
              </w:rPr>
            </w:pPr>
            <w:r>
              <w:rPr>
                <w:rFonts w:cs="宋体"/>
                <w:color w:val="000000"/>
                <w:kern w:val="0"/>
                <w:szCs w:val="24"/>
                <w:highlight w:val="none"/>
              </w:rPr>
              <w:t>中共汕头市委机构编制委员会办公室</w:t>
            </w:r>
          </w:p>
        </w:tc>
      </w:tr>
      <w:tr w14:paraId="4589DA35">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AF9ADDB">
            <w:pPr>
              <w:spacing w:line="240" w:lineRule="auto"/>
              <w:ind w:firstLine="0" w:firstLineChars="0"/>
              <w:jc w:val="center"/>
              <w:rPr>
                <w:rFonts w:hint="eastAsia" w:cs="Times New Roman"/>
                <w:szCs w:val="24"/>
                <w:highlight w:val="none"/>
              </w:rPr>
            </w:pPr>
            <w:r>
              <w:rPr>
                <w:rFonts w:cs="Times New Roman"/>
                <w:szCs w:val="24"/>
                <w:highlight w:val="none"/>
              </w:rPr>
              <w:t>5</w:t>
            </w:r>
          </w:p>
        </w:tc>
        <w:tc>
          <w:tcPr>
            <w:tcW w:w="7450" w:type="dxa"/>
            <w:tcBorders>
              <w:top w:val="single" w:color="000000" w:sz="4" w:space="0"/>
              <w:left w:val="nil"/>
              <w:bottom w:val="single" w:color="000000" w:sz="4" w:space="0"/>
              <w:right w:val="single" w:color="000000" w:sz="4" w:space="0"/>
            </w:tcBorders>
            <w:noWrap/>
            <w:vAlign w:val="center"/>
          </w:tcPr>
          <w:p w14:paraId="3DD8E9B0">
            <w:pPr>
              <w:spacing w:line="240" w:lineRule="auto"/>
              <w:ind w:firstLine="0" w:firstLineChars="0"/>
              <w:rPr>
                <w:rFonts w:hint="eastAsia" w:cs="Times New Roman"/>
                <w:szCs w:val="24"/>
                <w:highlight w:val="none"/>
              </w:rPr>
            </w:pPr>
            <w:r>
              <w:rPr>
                <w:rFonts w:cs="宋体"/>
                <w:color w:val="000000"/>
                <w:kern w:val="0"/>
                <w:szCs w:val="24"/>
                <w:highlight w:val="none"/>
              </w:rPr>
              <w:t>中共汕头市委军民融合发展委员会办公室</w:t>
            </w:r>
            <w:r>
              <w:rPr>
                <w:rFonts w:hint="eastAsia" w:cs="宋体"/>
                <w:color w:val="000000"/>
                <w:kern w:val="0"/>
                <w:szCs w:val="24"/>
                <w:highlight w:val="none"/>
              </w:rPr>
              <w:t>（市国动办）</w:t>
            </w:r>
          </w:p>
        </w:tc>
      </w:tr>
      <w:tr w14:paraId="2E91EEA8">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484F1DA">
            <w:pPr>
              <w:spacing w:line="240" w:lineRule="auto"/>
              <w:ind w:firstLine="0" w:firstLineChars="0"/>
              <w:jc w:val="center"/>
              <w:rPr>
                <w:rFonts w:hint="eastAsia" w:cs="Times New Roman"/>
                <w:szCs w:val="24"/>
                <w:highlight w:val="none"/>
              </w:rPr>
            </w:pPr>
            <w:r>
              <w:rPr>
                <w:rFonts w:cs="Times New Roman"/>
                <w:szCs w:val="24"/>
                <w:highlight w:val="none"/>
              </w:rPr>
              <w:t>6</w:t>
            </w:r>
          </w:p>
        </w:tc>
        <w:tc>
          <w:tcPr>
            <w:tcW w:w="7450" w:type="dxa"/>
            <w:tcBorders>
              <w:top w:val="single" w:color="000000" w:sz="4" w:space="0"/>
              <w:left w:val="nil"/>
              <w:bottom w:val="single" w:color="000000" w:sz="4" w:space="0"/>
              <w:right w:val="single" w:color="000000" w:sz="4" w:space="0"/>
            </w:tcBorders>
            <w:noWrap/>
            <w:vAlign w:val="center"/>
          </w:tcPr>
          <w:p w14:paraId="10BFF11F">
            <w:pPr>
              <w:spacing w:line="240" w:lineRule="auto"/>
              <w:ind w:firstLine="0" w:firstLineChars="0"/>
              <w:rPr>
                <w:rFonts w:hint="eastAsia" w:cs="Times New Roman"/>
                <w:szCs w:val="24"/>
                <w:highlight w:val="none"/>
              </w:rPr>
            </w:pPr>
            <w:r>
              <w:rPr>
                <w:rFonts w:cs="宋体"/>
                <w:color w:val="000000"/>
                <w:kern w:val="0"/>
                <w:szCs w:val="24"/>
                <w:highlight w:val="none"/>
              </w:rPr>
              <w:t>中共汕头市直属机关工作委员会</w:t>
            </w:r>
          </w:p>
        </w:tc>
      </w:tr>
      <w:tr w14:paraId="3BC405FC">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F7D65F2">
            <w:pPr>
              <w:spacing w:line="240" w:lineRule="auto"/>
              <w:ind w:firstLine="0" w:firstLineChars="0"/>
              <w:jc w:val="center"/>
              <w:rPr>
                <w:rFonts w:hint="eastAsia" w:cs="Times New Roman"/>
                <w:szCs w:val="24"/>
                <w:highlight w:val="none"/>
              </w:rPr>
            </w:pPr>
            <w:r>
              <w:rPr>
                <w:rFonts w:cs="Times New Roman"/>
                <w:szCs w:val="24"/>
                <w:highlight w:val="none"/>
              </w:rPr>
              <w:t>7</w:t>
            </w:r>
          </w:p>
        </w:tc>
        <w:tc>
          <w:tcPr>
            <w:tcW w:w="7450" w:type="dxa"/>
            <w:tcBorders>
              <w:top w:val="single" w:color="000000" w:sz="4" w:space="0"/>
              <w:left w:val="nil"/>
              <w:bottom w:val="single" w:color="000000" w:sz="4" w:space="0"/>
              <w:right w:val="single" w:color="000000" w:sz="4" w:space="0"/>
            </w:tcBorders>
            <w:noWrap/>
            <w:vAlign w:val="center"/>
          </w:tcPr>
          <w:p w14:paraId="79C2A86B">
            <w:pPr>
              <w:spacing w:line="240" w:lineRule="auto"/>
              <w:ind w:firstLine="0" w:firstLineChars="0"/>
              <w:rPr>
                <w:rFonts w:hint="eastAsia" w:cs="Times New Roman"/>
                <w:szCs w:val="24"/>
                <w:highlight w:val="none"/>
              </w:rPr>
            </w:pPr>
            <w:r>
              <w:rPr>
                <w:rFonts w:hint="eastAsia" w:cs="宋体"/>
                <w:color w:val="000000"/>
                <w:kern w:val="0"/>
                <w:szCs w:val="24"/>
                <w:highlight w:val="none"/>
              </w:rPr>
              <w:t>汕头市国家保密局</w:t>
            </w:r>
          </w:p>
        </w:tc>
      </w:tr>
      <w:tr w14:paraId="7074B1CC">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A266AC9">
            <w:pPr>
              <w:spacing w:line="240" w:lineRule="auto"/>
              <w:ind w:firstLine="0" w:firstLineChars="0"/>
              <w:jc w:val="center"/>
              <w:rPr>
                <w:rFonts w:hint="eastAsia" w:cs="Times New Roman"/>
                <w:szCs w:val="24"/>
                <w:highlight w:val="none"/>
              </w:rPr>
            </w:pPr>
            <w:r>
              <w:rPr>
                <w:rFonts w:cs="Times New Roman"/>
                <w:szCs w:val="24"/>
                <w:highlight w:val="none"/>
              </w:rPr>
              <w:t>8</w:t>
            </w:r>
          </w:p>
        </w:tc>
        <w:tc>
          <w:tcPr>
            <w:tcW w:w="7450" w:type="dxa"/>
            <w:tcBorders>
              <w:top w:val="single" w:color="000000" w:sz="4" w:space="0"/>
              <w:left w:val="nil"/>
              <w:bottom w:val="single" w:color="000000" w:sz="4" w:space="0"/>
              <w:right w:val="single" w:color="000000" w:sz="4" w:space="0"/>
            </w:tcBorders>
            <w:noWrap/>
            <w:vAlign w:val="center"/>
          </w:tcPr>
          <w:p w14:paraId="2B2974DB">
            <w:pPr>
              <w:spacing w:line="240" w:lineRule="auto"/>
              <w:ind w:firstLine="0" w:firstLineChars="0"/>
              <w:rPr>
                <w:rFonts w:hint="eastAsia" w:cs="Times New Roman"/>
                <w:szCs w:val="24"/>
                <w:highlight w:val="none"/>
              </w:rPr>
            </w:pPr>
            <w:r>
              <w:rPr>
                <w:rFonts w:hint="eastAsia" w:cs="宋体"/>
                <w:color w:val="000000"/>
                <w:kern w:val="0"/>
                <w:szCs w:val="24"/>
                <w:highlight w:val="none"/>
              </w:rPr>
              <w:t>汕头市档案局</w:t>
            </w:r>
          </w:p>
        </w:tc>
      </w:tr>
      <w:tr w14:paraId="52FDC642">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7D5E0CF">
            <w:pPr>
              <w:spacing w:line="240" w:lineRule="auto"/>
              <w:ind w:firstLine="0" w:firstLineChars="0"/>
              <w:jc w:val="center"/>
              <w:rPr>
                <w:rFonts w:hint="eastAsia" w:cs="Times New Roman"/>
                <w:szCs w:val="24"/>
                <w:highlight w:val="none"/>
              </w:rPr>
            </w:pPr>
            <w:r>
              <w:rPr>
                <w:rFonts w:cs="Times New Roman"/>
                <w:szCs w:val="24"/>
                <w:highlight w:val="none"/>
              </w:rPr>
              <w:t>9</w:t>
            </w:r>
          </w:p>
        </w:tc>
        <w:tc>
          <w:tcPr>
            <w:tcW w:w="7450" w:type="dxa"/>
            <w:tcBorders>
              <w:top w:val="single" w:color="000000" w:sz="4" w:space="0"/>
              <w:left w:val="nil"/>
              <w:bottom w:val="single" w:color="000000" w:sz="4" w:space="0"/>
              <w:right w:val="single" w:color="000000" w:sz="4" w:space="0"/>
            </w:tcBorders>
            <w:noWrap/>
            <w:vAlign w:val="center"/>
          </w:tcPr>
          <w:p w14:paraId="6CD2185E">
            <w:pPr>
              <w:spacing w:line="240" w:lineRule="auto"/>
              <w:ind w:firstLine="0" w:firstLineChars="0"/>
              <w:rPr>
                <w:rFonts w:hint="eastAsia" w:cs="Times New Roman"/>
                <w:szCs w:val="24"/>
                <w:highlight w:val="none"/>
              </w:rPr>
            </w:pPr>
            <w:r>
              <w:rPr>
                <w:rFonts w:cs="宋体"/>
                <w:color w:val="000000"/>
                <w:kern w:val="0"/>
                <w:szCs w:val="24"/>
                <w:highlight w:val="none"/>
              </w:rPr>
              <w:t>共青团汕头市委</w:t>
            </w:r>
          </w:p>
        </w:tc>
      </w:tr>
      <w:tr w14:paraId="1F473045">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CABB268">
            <w:pPr>
              <w:spacing w:line="240" w:lineRule="auto"/>
              <w:ind w:firstLine="0" w:firstLineChars="0"/>
              <w:jc w:val="center"/>
              <w:rPr>
                <w:rFonts w:hint="eastAsia" w:cs="Times New Roman"/>
                <w:szCs w:val="24"/>
                <w:highlight w:val="none"/>
              </w:rPr>
            </w:pPr>
            <w:r>
              <w:rPr>
                <w:rFonts w:cs="Times New Roman"/>
                <w:szCs w:val="24"/>
                <w:highlight w:val="none"/>
              </w:rPr>
              <w:t>10</w:t>
            </w:r>
          </w:p>
        </w:tc>
        <w:tc>
          <w:tcPr>
            <w:tcW w:w="7450" w:type="dxa"/>
            <w:tcBorders>
              <w:top w:val="single" w:color="000000" w:sz="4" w:space="0"/>
              <w:left w:val="nil"/>
              <w:bottom w:val="single" w:color="000000" w:sz="4" w:space="0"/>
              <w:right w:val="single" w:color="000000" w:sz="4" w:space="0"/>
            </w:tcBorders>
            <w:noWrap/>
            <w:vAlign w:val="center"/>
          </w:tcPr>
          <w:p w14:paraId="149B2781">
            <w:pPr>
              <w:spacing w:line="240" w:lineRule="auto"/>
              <w:ind w:firstLine="0" w:firstLineChars="0"/>
              <w:rPr>
                <w:rFonts w:hint="eastAsia" w:cs="Times New Roman"/>
                <w:szCs w:val="24"/>
                <w:highlight w:val="none"/>
              </w:rPr>
            </w:pPr>
            <w:r>
              <w:rPr>
                <w:rFonts w:hint="eastAsia" w:cs="宋体"/>
                <w:color w:val="000000"/>
                <w:kern w:val="0"/>
                <w:szCs w:val="24"/>
                <w:highlight w:val="none"/>
              </w:rPr>
              <w:t>汕头市妇女联合会</w:t>
            </w:r>
          </w:p>
        </w:tc>
      </w:tr>
      <w:tr w14:paraId="7DBABB98">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9138795">
            <w:pPr>
              <w:spacing w:line="240" w:lineRule="auto"/>
              <w:ind w:firstLine="0" w:firstLineChars="0"/>
              <w:jc w:val="center"/>
              <w:rPr>
                <w:rFonts w:hint="eastAsia" w:cs="Times New Roman"/>
                <w:szCs w:val="24"/>
                <w:highlight w:val="none"/>
              </w:rPr>
            </w:pPr>
            <w:r>
              <w:rPr>
                <w:rFonts w:cs="Times New Roman"/>
                <w:szCs w:val="24"/>
                <w:highlight w:val="none"/>
              </w:rPr>
              <w:t>11</w:t>
            </w:r>
          </w:p>
        </w:tc>
        <w:tc>
          <w:tcPr>
            <w:tcW w:w="7450" w:type="dxa"/>
            <w:tcBorders>
              <w:top w:val="single" w:color="000000" w:sz="4" w:space="0"/>
              <w:left w:val="nil"/>
              <w:bottom w:val="single" w:color="000000" w:sz="4" w:space="0"/>
              <w:right w:val="single" w:color="000000" w:sz="4" w:space="0"/>
            </w:tcBorders>
            <w:noWrap/>
            <w:vAlign w:val="center"/>
          </w:tcPr>
          <w:p w14:paraId="70295BFC">
            <w:pPr>
              <w:spacing w:line="240" w:lineRule="auto"/>
              <w:ind w:firstLine="0" w:firstLineChars="0"/>
              <w:rPr>
                <w:rFonts w:hint="eastAsia" w:cs="Times New Roman"/>
                <w:szCs w:val="24"/>
                <w:highlight w:val="none"/>
              </w:rPr>
            </w:pPr>
            <w:r>
              <w:rPr>
                <w:rFonts w:hint="eastAsia" w:cs="宋体"/>
                <w:color w:val="000000"/>
                <w:kern w:val="0"/>
                <w:szCs w:val="24"/>
                <w:highlight w:val="none"/>
              </w:rPr>
              <w:t>汕头市社会科学界联合会</w:t>
            </w:r>
          </w:p>
        </w:tc>
      </w:tr>
      <w:tr w14:paraId="1D639299">
        <w:tblPrEx>
          <w:tblCellMar>
            <w:top w:w="0" w:type="dxa"/>
            <w:left w:w="108" w:type="dxa"/>
            <w:bottom w:w="0" w:type="dxa"/>
            <w:right w:w="108" w:type="dxa"/>
          </w:tblCellMar>
        </w:tblPrEx>
        <w:trPr>
          <w:trHeight w:val="33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FBBA988">
            <w:pPr>
              <w:spacing w:line="240" w:lineRule="auto"/>
              <w:ind w:firstLine="0" w:firstLineChars="0"/>
              <w:jc w:val="center"/>
              <w:rPr>
                <w:rFonts w:hint="eastAsia" w:cs="Times New Roman"/>
                <w:szCs w:val="24"/>
                <w:highlight w:val="none"/>
              </w:rPr>
            </w:pPr>
            <w:r>
              <w:rPr>
                <w:rFonts w:cs="Times New Roman"/>
                <w:szCs w:val="24"/>
                <w:highlight w:val="none"/>
              </w:rPr>
              <w:t>12</w:t>
            </w:r>
          </w:p>
        </w:tc>
        <w:tc>
          <w:tcPr>
            <w:tcW w:w="7450" w:type="dxa"/>
            <w:tcBorders>
              <w:top w:val="single" w:color="000000" w:sz="4" w:space="0"/>
              <w:left w:val="nil"/>
              <w:bottom w:val="single" w:color="000000" w:sz="4" w:space="0"/>
              <w:right w:val="single" w:color="000000" w:sz="4" w:space="0"/>
            </w:tcBorders>
            <w:noWrap/>
            <w:vAlign w:val="center"/>
          </w:tcPr>
          <w:p w14:paraId="552C3E6C">
            <w:pPr>
              <w:spacing w:line="240" w:lineRule="auto"/>
              <w:ind w:firstLine="0" w:firstLineChars="0"/>
              <w:rPr>
                <w:rFonts w:hint="eastAsia" w:cs="Times New Roman"/>
                <w:szCs w:val="24"/>
                <w:highlight w:val="none"/>
              </w:rPr>
            </w:pPr>
            <w:r>
              <w:rPr>
                <w:rFonts w:hint="eastAsia" w:cs="宋体"/>
                <w:color w:val="000000"/>
                <w:kern w:val="0"/>
                <w:szCs w:val="24"/>
                <w:highlight w:val="none"/>
              </w:rPr>
              <w:t>汕头市工商业联合会</w:t>
            </w:r>
          </w:p>
        </w:tc>
      </w:tr>
    </w:tbl>
    <w:p w14:paraId="0FFBB780">
      <w:pPr>
        <w:ind w:firstLine="0" w:firstLineChars="0"/>
        <w:rPr>
          <w:rFonts w:hint="eastAsia"/>
          <w:highlight w:val="none"/>
        </w:rPr>
      </w:pPr>
    </w:p>
    <w:p w14:paraId="46BB5AA7">
      <w:pPr>
        <w:pStyle w:val="5"/>
        <w:rPr>
          <w:rFonts w:hint="eastAsia"/>
          <w:highlight w:val="none"/>
        </w:rPr>
      </w:pPr>
      <w:bookmarkStart w:id="159" w:name="_Toc4866"/>
      <w:bookmarkStart w:id="160" w:name="_Toc3377"/>
      <w:bookmarkStart w:id="161" w:name="_Toc17334"/>
      <w:bookmarkStart w:id="162" w:name="_Toc233795188"/>
      <w:bookmarkStart w:id="163" w:name="_Toc29941"/>
      <w:r>
        <w:rPr>
          <w:rFonts w:hint="eastAsia"/>
          <w:highlight w:val="none"/>
        </w:rPr>
        <w:t>监测指标</w:t>
      </w:r>
      <w:bookmarkEnd w:id="159"/>
      <w:bookmarkEnd w:id="160"/>
      <w:bookmarkEnd w:id="161"/>
      <w:bookmarkEnd w:id="162"/>
      <w:bookmarkEnd w:id="163"/>
    </w:p>
    <w:p w14:paraId="1C919881">
      <w:pPr>
        <w:ind w:firstLine="0" w:firstLineChars="0"/>
        <w:rPr>
          <w:rFonts w:hint="eastAsia"/>
          <w:highlight w:val="none"/>
        </w:rPr>
      </w:pPr>
      <w:r>
        <w:rPr>
          <w:rFonts w:hint="eastAsia"/>
          <w:highlight w:val="none"/>
          <w:lang w:val="en-US" w:eastAsia="zh-CN"/>
        </w:rPr>
        <w:t>(1)</w:t>
      </w:r>
      <w:r>
        <w:rPr>
          <w:highlight w:val="none"/>
        </w:rPr>
        <w:t>按照《国务院办公厅秘书局关于印发政府网站与政务新媒体检查指标、监管工作年度考核指标》（国办秘函〔2019〕19号）文件全指标（单项否决、扣分指标、加分指标）进行监测。</w:t>
      </w:r>
      <w:r>
        <w:rPr>
          <w:rFonts w:hint="eastAsia"/>
          <w:highlight w:val="none"/>
          <w:lang w:val="en-US" w:eastAsia="zh-CN"/>
        </w:rPr>
        <w:t>若有最新指标文件，按最新指标文件执行</w:t>
      </w:r>
      <w:r>
        <w:rPr>
          <w:rFonts w:hint="eastAsia"/>
          <w:highlight w:val="none"/>
        </w:rPr>
        <w:t>。</w:t>
      </w:r>
    </w:p>
    <w:p w14:paraId="0A708969">
      <w:pPr>
        <w:pStyle w:val="6"/>
        <w:numPr>
          <w:ilvl w:val="-1"/>
          <w:numId w:val="0"/>
        </w:numPr>
        <w:rPr>
          <w:rFonts w:hint="eastAsia"/>
          <w:highlight w:val="none"/>
        </w:rPr>
      </w:pPr>
      <w:r>
        <w:rPr>
          <w:rFonts w:hint="eastAsia"/>
          <w:highlight w:val="none"/>
          <w:lang w:val="en-US" w:eastAsia="zh-CN"/>
        </w:rPr>
        <w:t>(2)政府</w:t>
      </w:r>
      <w:r>
        <w:rPr>
          <w:rFonts w:hint="eastAsia"/>
          <w:highlight w:val="none"/>
        </w:rPr>
        <w:t>网站内容安全监测指标</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4"/>
        <w:gridCol w:w="6282"/>
      </w:tblGrid>
      <w:tr w14:paraId="28887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14" w:type="pct"/>
            <w:tcBorders>
              <w:top w:val="single" w:color="auto" w:sz="4" w:space="0"/>
              <w:left w:val="single" w:color="auto" w:sz="4" w:space="0"/>
              <w:bottom w:val="single" w:color="auto" w:sz="4" w:space="0"/>
              <w:right w:val="single" w:color="auto" w:sz="4" w:space="0"/>
            </w:tcBorders>
            <w:shd w:val="clear" w:color="auto" w:fill="F1F1F1"/>
            <w:vAlign w:val="center"/>
          </w:tcPr>
          <w:p w14:paraId="57E1549D">
            <w:pPr>
              <w:spacing w:line="240" w:lineRule="auto"/>
              <w:ind w:firstLine="0" w:firstLineChars="0"/>
              <w:rPr>
                <w:rFonts w:hint="eastAsia"/>
                <w:b/>
                <w:bCs/>
                <w:highlight w:val="none"/>
              </w:rPr>
            </w:pPr>
            <w:r>
              <w:rPr>
                <w:b/>
                <w:bCs/>
                <w:highlight w:val="none"/>
              </w:rPr>
              <w:t>监测类型</w:t>
            </w:r>
          </w:p>
        </w:tc>
        <w:tc>
          <w:tcPr>
            <w:tcW w:w="3786" w:type="pct"/>
            <w:tcBorders>
              <w:top w:val="single" w:color="auto" w:sz="4" w:space="0"/>
              <w:left w:val="single" w:color="auto" w:sz="4" w:space="0"/>
              <w:bottom w:val="single" w:color="auto" w:sz="4" w:space="0"/>
              <w:right w:val="single" w:color="auto" w:sz="4" w:space="0"/>
            </w:tcBorders>
            <w:shd w:val="clear" w:color="auto" w:fill="F1F1F1"/>
            <w:vAlign w:val="center"/>
          </w:tcPr>
          <w:p w14:paraId="5E5CB4F2">
            <w:pPr>
              <w:spacing w:line="240" w:lineRule="auto"/>
              <w:ind w:firstLine="0" w:firstLineChars="0"/>
              <w:rPr>
                <w:rFonts w:hint="eastAsia"/>
                <w:b/>
                <w:bCs/>
                <w:highlight w:val="none"/>
              </w:rPr>
            </w:pPr>
            <w:r>
              <w:rPr>
                <w:b/>
                <w:bCs/>
                <w:highlight w:val="none"/>
              </w:rPr>
              <w:t>主要监测指标</w:t>
            </w:r>
          </w:p>
        </w:tc>
      </w:tr>
      <w:tr w14:paraId="59CC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214" w:type="pct"/>
            <w:tcBorders>
              <w:top w:val="single" w:color="auto" w:sz="4" w:space="0"/>
              <w:left w:val="single" w:color="auto" w:sz="4" w:space="0"/>
              <w:bottom w:val="single" w:color="auto" w:sz="4" w:space="0"/>
              <w:right w:val="single" w:color="auto" w:sz="4" w:space="0"/>
            </w:tcBorders>
            <w:vAlign w:val="center"/>
          </w:tcPr>
          <w:p w14:paraId="0E2DC3B1">
            <w:pPr>
              <w:spacing w:line="240" w:lineRule="auto"/>
              <w:ind w:firstLine="0" w:firstLineChars="0"/>
              <w:rPr>
                <w:rFonts w:hint="eastAsia"/>
                <w:highlight w:val="none"/>
              </w:rPr>
            </w:pPr>
            <w:r>
              <w:rPr>
                <w:highlight w:val="none"/>
              </w:rPr>
              <w:t>信息泄密</w:t>
            </w:r>
          </w:p>
        </w:tc>
        <w:tc>
          <w:tcPr>
            <w:tcW w:w="3786" w:type="pct"/>
            <w:tcBorders>
              <w:top w:val="single" w:color="auto" w:sz="4" w:space="0"/>
              <w:left w:val="single" w:color="auto" w:sz="4" w:space="0"/>
              <w:bottom w:val="single" w:color="auto" w:sz="4" w:space="0"/>
              <w:right w:val="single" w:color="auto" w:sz="4" w:space="0"/>
            </w:tcBorders>
            <w:vAlign w:val="center"/>
          </w:tcPr>
          <w:p w14:paraId="54C0C2AE">
            <w:pPr>
              <w:spacing w:line="240" w:lineRule="auto"/>
              <w:ind w:firstLine="0" w:firstLineChars="0"/>
              <w:rPr>
                <w:rFonts w:hint="eastAsia"/>
                <w:highlight w:val="none"/>
              </w:rPr>
            </w:pPr>
            <w:r>
              <w:rPr>
                <w:highlight w:val="none"/>
              </w:rPr>
              <w:t>（1）军队番号泄露监测</w:t>
            </w:r>
            <w:r>
              <w:rPr>
                <w:highlight w:val="none"/>
              </w:rPr>
              <w:br w:type="textWrapping"/>
            </w:r>
            <w:r>
              <w:rPr>
                <w:highlight w:val="none"/>
              </w:rPr>
              <w:t>（2）涉密文件泄露监测</w:t>
            </w:r>
            <w:r>
              <w:rPr>
                <w:highlight w:val="none"/>
              </w:rPr>
              <w:br w:type="textWrapping"/>
            </w:r>
            <w:r>
              <w:rPr>
                <w:highlight w:val="none"/>
              </w:rPr>
              <w:t>（3）内部日常性信息泄露监测</w:t>
            </w:r>
          </w:p>
        </w:tc>
      </w:tr>
      <w:tr w14:paraId="26AC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214" w:type="pct"/>
            <w:tcBorders>
              <w:top w:val="single" w:color="auto" w:sz="4" w:space="0"/>
              <w:left w:val="single" w:color="auto" w:sz="4" w:space="0"/>
              <w:bottom w:val="single" w:color="auto" w:sz="4" w:space="0"/>
              <w:right w:val="single" w:color="auto" w:sz="4" w:space="0"/>
            </w:tcBorders>
            <w:vAlign w:val="center"/>
          </w:tcPr>
          <w:p w14:paraId="662C7B1D">
            <w:pPr>
              <w:spacing w:line="240" w:lineRule="auto"/>
              <w:ind w:firstLine="0" w:firstLineChars="0"/>
              <w:rPr>
                <w:rFonts w:hint="eastAsia"/>
                <w:highlight w:val="none"/>
              </w:rPr>
            </w:pPr>
            <w:r>
              <w:rPr>
                <w:highlight w:val="none"/>
              </w:rPr>
              <w:t>隐私泄露</w:t>
            </w:r>
          </w:p>
        </w:tc>
        <w:tc>
          <w:tcPr>
            <w:tcW w:w="3786" w:type="pct"/>
            <w:tcBorders>
              <w:top w:val="single" w:color="auto" w:sz="4" w:space="0"/>
              <w:left w:val="single" w:color="auto" w:sz="4" w:space="0"/>
              <w:bottom w:val="single" w:color="auto" w:sz="4" w:space="0"/>
              <w:right w:val="single" w:color="auto" w:sz="4" w:space="0"/>
            </w:tcBorders>
            <w:vAlign w:val="center"/>
          </w:tcPr>
          <w:p w14:paraId="252E6F52">
            <w:pPr>
              <w:spacing w:line="240" w:lineRule="auto"/>
              <w:ind w:firstLine="0" w:firstLineChars="0"/>
              <w:rPr>
                <w:rFonts w:hint="eastAsia"/>
                <w:highlight w:val="none"/>
              </w:rPr>
            </w:pPr>
            <w:r>
              <w:rPr>
                <w:highlight w:val="none"/>
              </w:rPr>
              <w:t>（1）个人隐私监测</w:t>
            </w:r>
            <w:r>
              <w:rPr>
                <w:highlight w:val="none"/>
              </w:rPr>
              <w:br w:type="textWrapping"/>
            </w:r>
            <w:r>
              <w:rPr>
                <w:highlight w:val="none"/>
              </w:rPr>
              <w:t>（2）姓名监测（不能公开报道真实姓名的群体）</w:t>
            </w:r>
          </w:p>
        </w:tc>
      </w:tr>
      <w:tr w14:paraId="7476B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trPr>
        <w:tc>
          <w:tcPr>
            <w:tcW w:w="1214" w:type="pct"/>
            <w:tcBorders>
              <w:top w:val="single" w:color="auto" w:sz="4" w:space="0"/>
              <w:left w:val="single" w:color="auto" w:sz="4" w:space="0"/>
              <w:bottom w:val="single" w:color="auto" w:sz="4" w:space="0"/>
              <w:right w:val="single" w:color="auto" w:sz="4" w:space="0"/>
            </w:tcBorders>
            <w:vAlign w:val="center"/>
          </w:tcPr>
          <w:p w14:paraId="7ED65C5E">
            <w:pPr>
              <w:spacing w:line="240" w:lineRule="auto"/>
              <w:ind w:firstLine="0" w:firstLineChars="0"/>
              <w:rPr>
                <w:rFonts w:hint="eastAsia"/>
                <w:highlight w:val="none"/>
              </w:rPr>
            </w:pPr>
            <w:r>
              <w:rPr>
                <w:highlight w:val="none"/>
              </w:rPr>
              <w:t>错敏信息</w:t>
            </w:r>
          </w:p>
        </w:tc>
        <w:tc>
          <w:tcPr>
            <w:tcW w:w="3786" w:type="pct"/>
            <w:tcBorders>
              <w:top w:val="single" w:color="auto" w:sz="4" w:space="0"/>
              <w:left w:val="single" w:color="auto" w:sz="4" w:space="0"/>
              <w:bottom w:val="single" w:color="auto" w:sz="4" w:space="0"/>
              <w:right w:val="single" w:color="auto" w:sz="4" w:space="0"/>
            </w:tcBorders>
            <w:vAlign w:val="center"/>
          </w:tcPr>
          <w:p w14:paraId="61AB9FC2">
            <w:pPr>
              <w:spacing w:line="240" w:lineRule="auto"/>
              <w:ind w:firstLine="0" w:firstLineChars="0"/>
              <w:rPr>
                <w:rFonts w:hint="eastAsia"/>
                <w:highlight w:val="none"/>
              </w:rPr>
            </w:pPr>
            <w:r>
              <w:rPr>
                <w:highlight w:val="none"/>
              </w:rPr>
              <w:t>（1）领导人姓名、职务和领导人排序错误监测</w:t>
            </w:r>
            <w:r>
              <w:rPr>
                <w:highlight w:val="none"/>
              </w:rPr>
              <w:br w:type="textWrapping"/>
            </w:r>
            <w:r>
              <w:rPr>
                <w:highlight w:val="none"/>
              </w:rPr>
              <w:t>（2）领导人负面词监测</w:t>
            </w:r>
            <w:r>
              <w:rPr>
                <w:highlight w:val="none"/>
              </w:rPr>
              <w:br w:type="textWrapping"/>
            </w:r>
            <w:r>
              <w:rPr>
                <w:highlight w:val="none"/>
              </w:rPr>
              <w:t>（3）涉及港澳台领土、主权类词监测</w:t>
            </w:r>
            <w:r>
              <w:rPr>
                <w:highlight w:val="none"/>
              </w:rPr>
              <w:br w:type="textWrapping"/>
            </w:r>
            <w:r>
              <w:rPr>
                <w:highlight w:val="none"/>
              </w:rPr>
              <w:t>（4）迷信邪教类词监测</w:t>
            </w:r>
            <w:r>
              <w:rPr>
                <w:highlight w:val="none"/>
              </w:rPr>
              <w:br w:type="textWrapping"/>
            </w:r>
            <w:r>
              <w:rPr>
                <w:highlight w:val="none"/>
              </w:rPr>
              <w:t>（5）法律法规类词监测</w:t>
            </w:r>
            <w:r>
              <w:rPr>
                <w:highlight w:val="none"/>
              </w:rPr>
              <w:br w:type="textWrapping"/>
            </w:r>
            <w:r>
              <w:rPr>
                <w:highlight w:val="none"/>
              </w:rPr>
              <w:t>（6）广告法违禁词监测</w:t>
            </w:r>
            <w:r>
              <w:rPr>
                <w:highlight w:val="none"/>
              </w:rPr>
              <w:br w:type="textWrapping"/>
            </w:r>
            <w:r>
              <w:rPr>
                <w:highlight w:val="none"/>
              </w:rPr>
              <w:t>（7）民族宗教类词监测</w:t>
            </w:r>
            <w:r>
              <w:rPr>
                <w:highlight w:val="none"/>
              </w:rPr>
              <w:br w:type="textWrapping"/>
            </w:r>
            <w:r>
              <w:rPr>
                <w:highlight w:val="none"/>
              </w:rPr>
              <w:t>（8）国际关系类词监测</w:t>
            </w:r>
            <w:r>
              <w:rPr>
                <w:highlight w:val="none"/>
              </w:rPr>
              <w:br w:type="textWrapping"/>
            </w:r>
            <w:r>
              <w:rPr>
                <w:highlight w:val="none"/>
              </w:rPr>
              <w:t>（9）不文明用语监测</w:t>
            </w:r>
            <w:r>
              <w:rPr>
                <w:highlight w:val="none"/>
              </w:rPr>
              <w:br w:type="textWrapping"/>
            </w:r>
            <w:r>
              <w:rPr>
                <w:highlight w:val="none"/>
              </w:rPr>
              <w:t>（10）黄赌毒类词监测</w:t>
            </w:r>
            <w:r>
              <w:rPr>
                <w:highlight w:val="none"/>
              </w:rPr>
              <w:br w:type="textWrapping"/>
            </w:r>
            <w:r>
              <w:rPr>
                <w:highlight w:val="none"/>
              </w:rPr>
              <w:t>（11）暴恐类词监测</w:t>
            </w:r>
            <w:r>
              <w:rPr>
                <w:highlight w:val="none"/>
              </w:rPr>
              <w:br w:type="textWrapping"/>
            </w:r>
            <w:r>
              <w:rPr>
                <w:highlight w:val="none"/>
              </w:rPr>
              <w:t>（12）常见错误词监测</w:t>
            </w:r>
            <w:r>
              <w:rPr>
                <w:highlight w:val="none"/>
              </w:rPr>
              <w:br w:type="textWrapping"/>
            </w:r>
            <w:r>
              <w:rPr>
                <w:highlight w:val="none"/>
              </w:rPr>
              <w:t>（13）政治类监测</w:t>
            </w:r>
            <w:r>
              <w:rPr>
                <w:highlight w:val="none"/>
              </w:rPr>
              <w:br w:type="textWrapping"/>
            </w:r>
            <w:r>
              <w:rPr>
                <w:highlight w:val="none"/>
              </w:rPr>
              <w:t>（14）语法性错误</w:t>
            </w:r>
            <w:r>
              <w:rPr>
                <w:highlight w:val="none"/>
              </w:rPr>
              <w:br w:type="textWrapping"/>
            </w:r>
            <w:r>
              <w:rPr>
                <w:highlight w:val="none"/>
              </w:rPr>
              <w:t>（15）落马官员</w:t>
            </w:r>
          </w:p>
        </w:tc>
      </w:tr>
      <w:tr w14:paraId="04DD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214" w:type="pct"/>
            <w:tcBorders>
              <w:top w:val="single" w:color="auto" w:sz="4" w:space="0"/>
              <w:left w:val="single" w:color="auto" w:sz="4" w:space="0"/>
              <w:bottom w:val="single" w:color="auto" w:sz="4" w:space="0"/>
              <w:right w:val="single" w:color="auto" w:sz="4" w:space="0"/>
            </w:tcBorders>
            <w:vAlign w:val="center"/>
          </w:tcPr>
          <w:p w14:paraId="35F40FC3">
            <w:pPr>
              <w:spacing w:line="240" w:lineRule="auto"/>
              <w:ind w:firstLine="0" w:firstLineChars="0"/>
              <w:rPr>
                <w:rFonts w:hint="eastAsia"/>
                <w:highlight w:val="none"/>
              </w:rPr>
            </w:pPr>
            <w:r>
              <w:rPr>
                <w:highlight w:val="none"/>
              </w:rPr>
              <w:t>篡改监测</w:t>
            </w:r>
          </w:p>
        </w:tc>
        <w:tc>
          <w:tcPr>
            <w:tcW w:w="3786" w:type="pct"/>
            <w:tcBorders>
              <w:top w:val="single" w:color="auto" w:sz="4" w:space="0"/>
              <w:left w:val="single" w:color="auto" w:sz="4" w:space="0"/>
              <w:bottom w:val="single" w:color="auto" w:sz="4" w:space="0"/>
              <w:right w:val="single" w:color="auto" w:sz="4" w:space="0"/>
            </w:tcBorders>
            <w:vAlign w:val="center"/>
          </w:tcPr>
          <w:p w14:paraId="2AC8D118">
            <w:pPr>
              <w:spacing w:line="240" w:lineRule="auto"/>
              <w:ind w:firstLine="0" w:firstLineChars="0"/>
              <w:rPr>
                <w:rFonts w:hint="eastAsia"/>
                <w:highlight w:val="none"/>
              </w:rPr>
            </w:pPr>
            <w:r>
              <w:rPr>
                <w:highlight w:val="none"/>
              </w:rPr>
              <w:t>（1）DNS监测</w:t>
            </w:r>
            <w:r>
              <w:rPr>
                <w:highlight w:val="none"/>
              </w:rPr>
              <w:br w:type="textWrapping"/>
            </w:r>
            <w:r>
              <w:rPr>
                <w:highlight w:val="none"/>
              </w:rPr>
              <w:t>（2）首页篡改监测</w:t>
            </w:r>
            <w:r>
              <w:rPr>
                <w:highlight w:val="none"/>
              </w:rPr>
              <w:br w:type="textWrapping"/>
            </w:r>
            <w:r>
              <w:rPr>
                <w:highlight w:val="none"/>
              </w:rPr>
              <w:t>（3）敏感图片监测</w:t>
            </w:r>
          </w:p>
        </w:tc>
      </w:tr>
      <w:tr w14:paraId="71884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214" w:type="pct"/>
            <w:tcBorders>
              <w:top w:val="single" w:color="auto" w:sz="4" w:space="0"/>
              <w:left w:val="single" w:color="auto" w:sz="4" w:space="0"/>
              <w:bottom w:val="single" w:color="auto" w:sz="4" w:space="0"/>
              <w:right w:val="single" w:color="auto" w:sz="4" w:space="0"/>
            </w:tcBorders>
            <w:vAlign w:val="center"/>
          </w:tcPr>
          <w:p w14:paraId="2D3D9B2A">
            <w:pPr>
              <w:spacing w:line="240" w:lineRule="auto"/>
              <w:ind w:firstLine="0" w:firstLineChars="0"/>
              <w:rPr>
                <w:rFonts w:hint="eastAsia"/>
                <w:highlight w:val="none"/>
              </w:rPr>
            </w:pPr>
            <w:r>
              <w:rPr>
                <w:highlight w:val="none"/>
              </w:rPr>
              <w:t>外链/暗链监测</w:t>
            </w:r>
          </w:p>
        </w:tc>
        <w:tc>
          <w:tcPr>
            <w:tcW w:w="3786" w:type="pct"/>
            <w:tcBorders>
              <w:top w:val="single" w:color="auto" w:sz="4" w:space="0"/>
              <w:left w:val="single" w:color="auto" w:sz="4" w:space="0"/>
              <w:bottom w:val="single" w:color="auto" w:sz="4" w:space="0"/>
              <w:right w:val="single" w:color="auto" w:sz="4" w:space="0"/>
            </w:tcBorders>
            <w:vAlign w:val="center"/>
          </w:tcPr>
          <w:p w14:paraId="617BF4CE">
            <w:pPr>
              <w:spacing w:line="240" w:lineRule="auto"/>
              <w:ind w:firstLine="0" w:firstLineChars="0"/>
              <w:rPr>
                <w:rFonts w:hint="eastAsia"/>
                <w:highlight w:val="none"/>
              </w:rPr>
            </w:pPr>
            <w:r>
              <w:rPr>
                <w:highlight w:val="none"/>
              </w:rPr>
              <w:t>（1）异常外链监测</w:t>
            </w:r>
            <w:r>
              <w:rPr>
                <w:highlight w:val="none"/>
              </w:rPr>
              <w:br w:type="textWrapping"/>
            </w:r>
            <w:r>
              <w:rPr>
                <w:highlight w:val="none"/>
              </w:rPr>
              <w:t>（2）可信任外链监测</w:t>
            </w:r>
            <w:r>
              <w:rPr>
                <w:highlight w:val="none"/>
              </w:rPr>
              <w:br w:type="textWrapping"/>
            </w:r>
            <w:r>
              <w:rPr>
                <w:highlight w:val="none"/>
              </w:rPr>
              <w:t>（3）暗链监测</w:t>
            </w:r>
          </w:p>
        </w:tc>
      </w:tr>
      <w:tr w14:paraId="6DFA3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214" w:type="pct"/>
            <w:tcBorders>
              <w:top w:val="single" w:color="auto" w:sz="4" w:space="0"/>
              <w:left w:val="single" w:color="auto" w:sz="4" w:space="0"/>
              <w:bottom w:val="single" w:color="auto" w:sz="4" w:space="0"/>
              <w:right w:val="single" w:color="auto" w:sz="4" w:space="0"/>
            </w:tcBorders>
            <w:vAlign w:val="center"/>
          </w:tcPr>
          <w:p w14:paraId="108807A8">
            <w:pPr>
              <w:spacing w:line="240" w:lineRule="auto"/>
              <w:ind w:firstLine="0" w:firstLineChars="0"/>
              <w:rPr>
                <w:rFonts w:hint="eastAsia"/>
                <w:highlight w:val="none"/>
              </w:rPr>
            </w:pPr>
            <w:r>
              <w:rPr>
                <w:highlight w:val="none"/>
              </w:rPr>
              <w:t>其他问题</w:t>
            </w:r>
          </w:p>
        </w:tc>
        <w:tc>
          <w:tcPr>
            <w:tcW w:w="3786" w:type="pct"/>
            <w:tcBorders>
              <w:top w:val="single" w:color="auto" w:sz="4" w:space="0"/>
              <w:left w:val="single" w:color="auto" w:sz="4" w:space="0"/>
              <w:bottom w:val="single" w:color="auto" w:sz="4" w:space="0"/>
              <w:right w:val="single" w:color="auto" w:sz="4" w:space="0"/>
            </w:tcBorders>
            <w:vAlign w:val="center"/>
          </w:tcPr>
          <w:p w14:paraId="5AD1B8AA">
            <w:pPr>
              <w:spacing w:line="240" w:lineRule="auto"/>
              <w:ind w:firstLine="0" w:firstLineChars="0"/>
              <w:rPr>
                <w:rFonts w:hint="eastAsia"/>
                <w:highlight w:val="none"/>
              </w:rPr>
            </w:pPr>
            <w:r>
              <w:rPr>
                <w:highlight w:val="none"/>
              </w:rPr>
              <w:t>（1）0Iframe嵌入监测</w:t>
            </w:r>
            <w:r>
              <w:rPr>
                <w:highlight w:val="none"/>
              </w:rPr>
              <w:br w:type="textWrapping"/>
            </w:r>
            <w:r>
              <w:rPr>
                <w:highlight w:val="none"/>
              </w:rPr>
              <w:t>（2）HTTP(S)监测</w:t>
            </w:r>
            <w:r>
              <w:rPr>
                <w:highlight w:val="none"/>
              </w:rPr>
              <w:br w:type="textWrapping"/>
            </w:r>
            <w:r>
              <w:rPr>
                <w:highlight w:val="none"/>
              </w:rPr>
              <w:t>（3）域名使用期限监测</w:t>
            </w:r>
          </w:p>
        </w:tc>
      </w:tr>
      <w:tr w14:paraId="514A9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214" w:type="pct"/>
            <w:tcBorders>
              <w:top w:val="single" w:color="auto" w:sz="4" w:space="0"/>
              <w:left w:val="single" w:color="auto" w:sz="4" w:space="0"/>
              <w:bottom w:val="single" w:color="auto" w:sz="4" w:space="0"/>
              <w:right w:val="single" w:color="auto" w:sz="4" w:space="0"/>
            </w:tcBorders>
            <w:vAlign w:val="center"/>
          </w:tcPr>
          <w:p w14:paraId="57A1FDC6">
            <w:pPr>
              <w:spacing w:line="240" w:lineRule="auto"/>
              <w:ind w:firstLine="0" w:firstLineChars="0"/>
              <w:rPr>
                <w:rFonts w:hint="eastAsia"/>
                <w:highlight w:val="none"/>
              </w:rPr>
            </w:pPr>
            <w:r>
              <w:rPr>
                <w:highlight w:val="none"/>
              </w:rPr>
              <w:t>自助功能</w:t>
            </w:r>
          </w:p>
        </w:tc>
        <w:tc>
          <w:tcPr>
            <w:tcW w:w="3786" w:type="pct"/>
            <w:tcBorders>
              <w:top w:val="single" w:color="auto" w:sz="4" w:space="0"/>
              <w:left w:val="single" w:color="auto" w:sz="4" w:space="0"/>
              <w:bottom w:val="single" w:color="auto" w:sz="4" w:space="0"/>
              <w:right w:val="single" w:color="auto" w:sz="4" w:space="0"/>
            </w:tcBorders>
            <w:vAlign w:val="center"/>
          </w:tcPr>
          <w:p w14:paraId="33E006BE">
            <w:pPr>
              <w:spacing w:line="240" w:lineRule="auto"/>
              <w:ind w:firstLine="0" w:firstLineChars="0"/>
              <w:rPr>
                <w:rFonts w:hint="eastAsia"/>
                <w:highlight w:val="none"/>
              </w:rPr>
            </w:pPr>
            <w:r>
              <w:rPr>
                <w:highlight w:val="none"/>
              </w:rPr>
              <w:t>（1）错敏自查</w:t>
            </w:r>
            <w:r>
              <w:rPr>
                <w:highlight w:val="none"/>
              </w:rPr>
              <w:br w:type="textWrapping"/>
            </w:r>
            <w:r>
              <w:rPr>
                <w:highlight w:val="none"/>
              </w:rPr>
              <w:t>（2）自定义词库</w:t>
            </w:r>
            <w:r>
              <w:rPr>
                <w:highlight w:val="none"/>
              </w:rPr>
              <w:br w:type="textWrapping"/>
            </w:r>
            <w:r>
              <w:rPr>
                <w:highlight w:val="none"/>
              </w:rPr>
              <w:t>（3）白名单链接</w:t>
            </w:r>
          </w:p>
        </w:tc>
      </w:tr>
    </w:tbl>
    <w:p w14:paraId="5CF77EA5">
      <w:pPr>
        <w:ind w:firstLine="480"/>
        <w:rPr>
          <w:rFonts w:hint="eastAsia"/>
          <w:highlight w:val="none"/>
        </w:rPr>
      </w:pPr>
    </w:p>
    <w:p w14:paraId="69A0CA3D">
      <w:pPr>
        <w:pStyle w:val="5"/>
        <w:rPr>
          <w:rFonts w:hint="eastAsia"/>
          <w:highlight w:val="none"/>
        </w:rPr>
      </w:pPr>
      <w:bookmarkStart w:id="164" w:name="_Toc26696"/>
      <w:bookmarkStart w:id="165" w:name="_Toc6523"/>
      <w:bookmarkStart w:id="166" w:name="_Toc16104"/>
      <w:bookmarkStart w:id="167" w:name="_Toc233795189"/>
      <w:bookmarkStart w:id="168" w:name="_Toc5344"/>
      <w:r>
        <w:rPr>
          <w:rFonts w:hint="eastAsia"/>
          <w:highlight w:val="none"/>
        </w:rPr>
        <w:t>服务要求</w:t>
      </w:r>
      <w:bookmarkEnd w:id="164"/>
      <w:bookmarkEnd w:id="165"/>
      <w:bookmarkEnd w:id="166"/>
      <w:bookmarkEnd w:id="167"/>
      <w:bookmarkEnd w:id="168"/>
    </w:p>
    <w:p w14:paraId="587B73C8">
      <w:pPr>
        <w:pStyle w:val="6"/>
        <w:rPr>
          <w:rFonts w:hint="eastAsia"/>
          <w:highlight w:val="none"/>
        </w:rPr>
      </w:pPr>
      <w:r>
        <w:rPr>
          <w:highlight w:val="none"/>
        </w:rPr>
        <w:t>网站及新媒体监测服务</w:t>
      </w:r>
      <w:r>
        <w:rPr>
          <w:rFonts w:hint="eastAsia"/>
          <w:highlight w:val="none"/>
        </w:rPr>
        <w:t>要求</w:t>
      </w:r>
    </w:p>
    <w:p w14:paraId="1315A689">
      <w:pPr>
        <w:ind w:firstLine="480"/>
        <w:rPr>
          <w:rFonts w:hint="eastAsia"/>
          <w:highlight w:val="none"/>
        </w:rPr>
      </w:pPr>
      <w:r>
        <w:rPr>
          <w:rFonts w:hint="eastAsia"/>
          <w:highlight w:val="none"/>
        </w:rPr>
        <w:t>投标人应采用监测平台与人工核查相结合的方式，对政府网站、政务新媒体及网站内容安全开展常态化监测，及时发现可用性、更新维护、内容准确性、互动回应、链接异常、错敏信息、内容安全等问题。投标人应按要求形成问题清单、监测报告和整改建议，协助采购人做好问题反馈、整改跟进和复核确认，推动问题闭环处理。服务成果包括政府网站监测报告、政务新媒体监测报告、政务新媒体更新情况监测材料、网站内容安全监测报告等。</w:t>
      </w:r>
    </w:p>
    <w:p w14:paraId="40A2984E">
      <w:pPr>
        <w:ind w:firstLine="480"/>
        <w:rPr>
          <w:rFonts w:hint="eastAsia"/>
          <w:highlight w:val="none"/>
        </w:rPr>
      </w:pPr>
      <w:r>
        <w:rPr>
          <w:rFonts w:hint="eastAsia"/>
          <w:highlight w:val="none"/>
        </w:rPr>
        <w:t>本项目具体监测对象和数量以采购人确认的实际清单为准。服务期内如因网站整合、账号新增或注销、栏目调整、平台迁移、机构改革等原因导致监测对象变化，具体监测数量根据项目实际开展情况进行调整。</w:t>
      </w:r>
    </w:p>
    <w:bookmarkEnd w:id="116"/>
    <w:bookmarkEnd w:id="117"/>
    <w:bookmarkEnd w:id="118"/>
    <w:p w14:paraId="38B9CD91">
      <w:pPr>
        <w:pStyle w:val="6"/>
        <w:rPr>
          <w:rFonts w:hint="eastAsia"/>
          <w:highlight w:val="none"/>
        </w:rPr>
      </w:pPr>
      <w:bookmarkStart w:id="169" w:name="_Toc7460"/>
      <w:bookmarkStart w:id="170" w:name="_Toc32651"/>
      <w:bookmarkStart w:id="171" w:name="_Toc17053"/>
      <w:r>
        <w:rPr>
          <w:rFonts w:hint="eastAsia"/>
          <w:highlight w:val="none"/>
        </w:rPr>
        <w:t>监测工具要求</w:t>
      </w:r>
    </w:p>
    <w:p w14:paraId="4B0FF65D">
      <w:pPr>
        <w:ind w:firstLine="480"/>
        <w:rPr>
          <w:rFonts w:hint="eastAsia"/>
          <w:highlight w:val="none"/>
        </w:rPr>
      </w:pPr>
      <w:r>
        <w:rPr>
          <w:rFonts w:hint="eastAsia"/>
          <w:highlight w:val="none"/>
        </w:rPr>
        <w:t>★</w:t>
      </w:r>
      <w:r>
        <w:rPr>
          <w:highlight w:val="none"/>
        </w:rPr>
        <w:t>监测工具</w:t>
      </w:r>
      <w:r>
        <w:rPr>
          <w:rFonts w:hint="eastAsia"/>
          <w:highlight w:val="none"/>
        </w:rPr>
        <w:t>需</w:t>
      </w:r>
      <w:r>
        <w:rPr>
          <w:highlight w:val="none"/>
        </w:rPr>
        <w:t>严格对标国办检查指标，对政府网站和政务新媒体账号开展全方位常态化监测：通过“单项否决项”实时发现安全、泄密、无法访问、不更新、互动差等严重问题；运用“扣分项”和“加分项”对信息发布、办事服务、互动交流、功能设计及创新等方面进行量化评估；同时以人工方式补充系统盲区，重点核查政策解读、办事指南、表格样表、IPv6改造、页面兼容性及错敏信息等内容，并通过微信、短信、邮件等多渠道预警，确保问题及时发现、快速响应、有效整改。</w:t>
      </w:r>
      <w:r>
        <w:rPr>
          <w:rFonts w:hint="eastAsia"/>
          <w:highlight w:val="none"/>
        </w:rPr>
        <w:t>（投标时提供承诺函，可参照“投标文件格式”中《承诺函》格式）</w:t>
      </w:r>
    </w:p>
    <w:p w14:paraId="15424ED5">
      <w:pPr>
        <w:ind w:firstLine="480"/>
        <w:rPr>
          <w:rFonts w:hint="eastAsia"/>
          <w:highlight w:val="none"/>
        </w:rPr>
      </w:pPr>
      <w:r>
        <w:rPr>
          <w:highlight w:val="none"/>
        </w:rPr>
        <w:t>监测工具应具备政府网站、政务新媒体及网站内容安全监测能力，支持对网站可用性、栏目更新、链接状态、互动回应、政府信息公开、监督考核等内容开展自动化诊断和分析；支持对政务新媒体账号运行情况、内容更新情况进行监测；支持基于规则库、知识库或智能识别能力，对网站及新媒体发布内容中的错敏信息、图片文字、附件内容等进行识别、预警和核查；支持对多语种内容、图片OCR识别结果、公开信息规范性等进行辅助检查，并能够形成问题清单、监测报告和整改建议，满足本项目日常监测、问题整改跟进和考核评估需要。</w:t>
      </w:r>
      <w:r>
        <w:rPr>
          <w:rFonts w:hint="eastAsia"/>
        </w:rPr>
        <w:t>投标人</w:t>
      </w:r>
      <w:r>
        <w:rPr>
          <w:rFonts w:hint="eastAsia"/>
          <w:lang w:val="en-US" w:eastAsia="zh-CN"/>
        </w:rPr>
        <w:t>应</w:t>
      </w:r>
      <w:r>
        <w:rPr>
          <w:rFonts w:hint="eastAsia"/>
        </w:rPr>
        <w:t>具有</w:t>
      </w:r>
      <w:r>
        <w:rPr>
          <w:rFonts w:hint="eastAsia"/>
          <w:lang w:val="en-US" w:eastAsia="zh-CN"/>
        </w:rPr>
        <w:t>以上相关</w:t>
      </w:r>
      <w:r>
        <w:rPr>
          <w:rFonts w:hint="eastAsia"/>
        </w:rPr>
        <w:t>类别</w:t>
      </w:r>
      <w:r>
        <w:rPr>
          <w:rFonts w:hint="eastAsia"/>
          <w:lang w:val="en-US" w:eastAsia="zh-CN"/>
        </w:rPr>
        <w:t>产品的</w:t>
      </w:r>
      <w:r>
        <w:rPr>
          <w:rFonts w:hint="eastAsia"/>
        </w:rPr>
        <w:t>软件著作权，或以书面形式获得</w:t>
      </w:r>
      <w:r>
        <w:rPr>
          <w:rFonts w:hint="eastAsia"/>
          <w:lang w:val="en-US" w:eastAsia="zh-CN"/>
        </w:rPr>
        <w:t>以上</w:t>
      </w:r>
      <w:r>
        <w:rPr>
          <w:rFonts w:hint="eastAsia"/>
        </w:rPr>
        <w:t>类别</w:t>
      </w:r>
      <w:r>
        <w:rPr>
          <w:rFonts w:hint="eastAsia"/>
          <w:lang w:val="en-US" w:eastAsia="zh-CN"/>
        </w:rPr>
        <w:t>产品的</w:t>
      </w:r>
      <w:r>
        <w:rPr>
          <w:rFonts w:hint="eastAsia"/>
        </w:rPr>
        <w:t>软件产权人授权。</w:t>
      </w:r>
    </w:p>
    <w:p w14:paraId="3E6B1A96">
      <w:pPr>
        <w:pStyle w:val="4"/>
        <w:rPr>
          <w:rFonts w:hint="eastAsia"/>
          <w:highlight w:val="none"/>
        </w:rPr>
      </w:pPr>
      <w:bookmarkStart w:id="172" w:name="_Toc13091"/>
      <w:bookmarkStart w:id="173" w:name="_Toc27556"/>
      <w:bookmarkStart w:id="174" w:name="_Toc17291"/>
      <w:bookmarkStart w:id="175" w:name="_Toc233795190"/>
      <w:bookmarkStart w:id="176" w:name="_Toc19929"/>
      <w:r>
        <w:rPr>
          <w:rFonts w:hint="eastAsia"/>
          <w:highlight w:val="none"/>
        </w:rPr>
        <w:t>绩效评估要求</w:t>
      </w:r>
      <w:bookmarkEnd w:id="169"/>
      <w:bookmarkEnd w:id="170"/>
      <w:bookmarkEnd w:id="171"/>
      <w:bookmarkEnd w:id="172"/>
      <w:bookmarkEnd w:id="173"/>
      <w:bookmarkEnd w:id="174"/>
      <w:bookmarkEnd w:id="175"/>
      <w:bookmarkEnd w:id="176"/>
    </w:p>
    <w:p w14:paraId="2DE7CD4D">
      <w:pPr>
        <w:pStyle w:val="32"/>
        <w:ind w:firstLine="480"/>
        <w:rPr>
          <w:rFonts w:hint="eastAsia"/>
          <w:highlight w:val="none"/>
        </w:rPr>
      </w:pPr>
      <w:r>
        <w:rPr>
          <w:rFonts w:hint="eastAsia"/>
          <w:highlight w:val="none"/>
        </w:rPr>
        <w:t>参照《广东省省级财政预算绩效目标管理办法》要求，并结合汕头实际工作需要，中标人需要在服务期内完成本项目绩效评估目标，目标要求如下：</w:t>
      </w:r>
    </w:p>
    <w:p w14:paraId="30BBD086">
      <w:pPr>
        <w:pStyle w:val="27"/>
        <w:ind w:left="0" w:leftChars="0" w:firstLine="482"/>
        <w:jc w:val="center"/>
        <w:rPr>
          <w:rFonts w:hint="eastAsia"/>
          <w:b/>
          <w:bCs/>
          <w:highlight w:val="none"/>
        </w:rPr>
      </w:pPr>
      <w:r>
        <w:rPr>
          <w:rFonts w:hint="eastAsia"/>
          <w:b/>
          <w:bCs/>
          <w:highlight w:val="none"/>
        </w:rPr>
        <w:t>绩效评估目标表</w:t>
      </w:r>
    </w:p>
    <w:tbl>
      <w:tblPr>
        <w:tblStyle w:val="33"/>
        <w:tblW w:w="4998" w:type="pct"/>
        <w:tblInd w:w="0" w:type="dxa"/>
        <w:tblLayout w:type="autofit"/>
        <w:tblCellMar>
          <w:top w:w="0" w:type="dxa"/>
          <w:left w:w="108" w:type="dxa"/>
          <w:bottom w:w="0" w:type="dxa"/>
          <w:right w:w="108" w:type="dxa"/>
        </w:tblCellMar>
      </w:tblPr>
      <w:tblGrid>
        <w:gridCol w:w="771"/>
        <w:gridCol w:w="940"/>
        <w:gridCol w:w="1648"/>
        <w:gridCol w:w="2532"/>
        <w:gridCol w:w="1294"/>
        <w:gridCol w:w="1118"/>
      </w:tblGrid>
      <w:tr w14:paraId="7472B327">
        <w:tblPrEx>
          <w:tblCellMar>
            <w:top w:w="0" w:type="dxa"/>
            <w:left w:w="108" w:type="dxa"/>
            <w:bottom w:w="0" w:type="dxa"/>
            <w:right w:w="108" w:type="dxa"/>
          </w:tblCellMar>
        </w:tblPrEx>
        <w:trPr>
          <w:trHeight w:val="280" w:hRule="atLeast"/>
        </w:trPr>
        <w:tc>
          <w:tcPr>
            <w:tcW w:w="464" w:type="pct"/>
            <w:vMerge w:val="restart"/>
            <w:tcBorders>
              <w:top w:val="single" w:color="000000" w:sz="4" w:space="0"/>
              <w:left w:val="single" w:color="000000" w:sz="4" w:space="0"/>
              <w:bottom w:val="single" w:color="000000" w:sz="4" w:space="0"/>
              <w:right w:val="single" w:color="000000" w:sz="4" w:space="0"/>
            </w:tcBorders>
            <w:vAlign w:val="center"/>
          </w:tcPr>
          <w:p w14:paraId="303B7E72">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绩效指标</w:t>
            </w:r>
          </w:p>
        </w:tc>
        <w:tc>
          <w:tcPr>
            <w:tcW w:w="566" w:type="pct"/>
            <w:tcBorders>
              <w:top w:val="single" w:color="000000" w:sz="4" w:space="0"/>
              <w:left w:val="single" w:color="000000" w:sz="4" w:space="0"/>
              <w:bottom w:val="single" w:color="000000" w:sz="4" w:space="0"/>
              <w:right w:val="single" w:color="000000" w:sz="4" w:space="0"/>
            </w:tcBorders>
            <w:vAlign w:val="center"/>
          </w:tcPr>
          <w:p w14:paraId="756EA61D">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一级指标</w:t>
            </w:r>
          </w:p>
        </w:tc>
        <w:tc>
          <w:tcPr>
            <w:tcW w:w="992" w:type="pct"/>
            <w:tcBorders>
              <w:top w:val="single" w:color="000000" w:sz="4" w:space="0"/>
              <w:left w:val="single" w:color="000000" w:sz="4" w:space="0"/>
              <w:bottom w:val="single" w:color="000000" w:sz="4" w:space="0"/>
              <w:right w:val="single" w:color="000000" w:sz="4" w:space="0"/>
            </w:tcBorders>
            <w:vAlign w:val="center"/>
          </w:tcPr>
          <w:p w14:paraId="30E7AA69">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二级指标</w:t>
            </w:r>
          </w:p>
        </w:tc>
        <w:tc>
          <w:tcPr>
            <w:tcW w:w="1524" w:type="pct"/>
            <w:tcBorders>
              <w:top w:val="single" w:color="000000" w:sz="4" w:space="0"/>
              <w:left w:val="single" w:color="000000" w:sz="4" w:space="0"/>
              <w:bottom w:val="single" w:color="000000" w:sz="4" w:space="0"/>
              <w:right w:val="single" w:color="000000" w:sz="4" w:space="0"/>
            </w:tcBorders>
            <w:vAlign w:val="center"/>
          </w:tcPr>
          <w:p w14:paraId="42814BFF">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三级指标</w:t>
            </w:r>
          </w:p>
        </w:tc>
        <w:tc>
          <w:tcPr>
            <w:tcW w:w="779" w:type="pct"/>
            <w:tcBorders>
              <w:top w:val="single" w:color="000000" w:sz="4" w:space="0"/>
              <w:left w:val="single" w:color="000000" w:sz="4" w:space="0"/>
              <w:bottom w:val="single" w:color="000000" w:sz="4" w:space="0"/>
              <w:right w:val="single" w:color="000000" w:sz="4" w:space="0"/>
            </w:tcBorders>
            <w:vAlign w:val="center"/>
          </w:tcPr>
          <w:p w14:paraId="754D44E8">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实施周期指标值</w:t>
            </w:r>
          </w:p>
        </w:tc>
        <w:tc>
          <w:tcPr>
            <w:tcW w:w="672" w:type="pct"/>
            <w:tcBorders>
              <w:top w:val="single" w:color="000000" w:sz="4" w:space="0"/>
              <w:left w:val="single" w:color="000000" w:sz="4" w:space="0"/>
              <w:bottom w:val="single" w:color="000000" w:sz="4" w:space="0"/>
              <w:right w:val="single" w:color="000000" w:sz="4" w:space="0"/>
            </w:tcBorders>
            <w:vAlign w:val="center"/>
          </w:tcPr>
          <w:p w14:paraId="30597F3A">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当年度指标值</w:t>
            </w:r>
          </w:p>
        </w:tc>
      </w:tr>
      <w:tr w14:paraId="1D6D7882">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6F4FCC43">
            <w:pPr>
              <w:widowControl/>
              <w:spacing w:line="240" w:lineRule="auto"/>
              <w:ind w:firstLine="0" w:firstLineChars="0"/>
              <w:jc w:val="center"/>
              <w:rPr>
                <w:rFonts w:hint="eastAsia" w:cs="宋体"/>
                <w:color w:val="000000"/>
                <w:sz w:val="22"/>
                <w:szCs w:val="22"/>
                <w:highlight w:val="none"/>
              </w:rPr>
            </w:pPr>
          </w:p>
        </w:tc>
        <w:tc>
          <w:tcPr>
            <w:tcW w:w="566" w:type="pct"/>
            <w:vMerge w:val="restart"/>
            <w:tcBorders>
              <w:top w:val="single" w:color="000000" w:sz="4" w:space="0"/>
              <w:left w:val="single" w:color="000000" w:sz="4" w:space="0"/>
              <w:bottom w:val="single" w:color="000000" w:sz="4" w:space="0"/>
              <w:right w:val="single" w:color="000000" w:sz="4" w:space="0"/>
            </w:tcBorders>
            <w:vAlign w:val="center"/>
          </w:tcPr>
          <w:p w14:paraId="635C1229">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产出指标</w:t>
            </w:r>
          </w:p>
        </w:tc>
        <w:tc>
          <w:tcPr>
            <w:tcW w:w="992" w:type="pct"/>
            <w:vMerge w:val="restart"/>
            <w:tcBorders>
              <w:top w:val="single" w:color="000000" w:sz="4" w:space="0"/>
              <w:left w:val="single" w:color="000000" w:sz="4" w:space="0"/>
              <w:bottom w:val="single" w:color="000000" w:sz="4" w:space="0"/>
              <w:right w:val="single" w:color="000000" w:sz="4" w:space="0"/>
            </w:tcBorders>
            <w:vAlign w:val="center"/>
          </w:tcPr>
          <w:p w14:paraId="5E31976B">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数量指标</w:t>
            </w:r>
          </w:p>
        </w:tc>
        <w:tc>
          <w:tcPr>
            <w:tcW w:w="1524" w:type="pct"/>
            <w:tcBorders>
              <w:top w:val="single" w:color="000000" w:sz="4" w:space="0"/>
              <w:left w:val="single" w:color="000000" w:sz="4" w:space="0"/>
              <w:bottom w:val="single" w:color="000000" w:sz="4" w:space="0"/>
              <w:right w:val="single" w:color="000000" w:sz="4" w:space="0"/>
            </w:tcBorders>
            <w:vAlign w:val="center"/>
          </w:tcPr>
          <w:p w14:paraId="2F8ACC9F">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服务团队人员数量（人）</w:t>
            </w:r>
          </w:p>
        </w:tc>
        <w:tc>
          <w:tcPr>
            <w:tcW w:w="779" w:type="pct"/>
            <w:tcBorders>
              <w:top w:val="single" w:color="000000" w:sz="4" w:space="0"/>
              <w:left w:val="single" w:color="000000" w:sz="4" w:space="0"/>
              <w:bottom w:val="single" w:color="000000" w:sz="4" w:space="0"/>
              <w:right w:val="single" w:color="000000" w:sz="4" w:space="0"/>
            </w:tcBorders>
            <w:vAlign w:val="center"/>
          </w:tcPr>
          <w:p w14:paraId="7AD8C70D">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≥8</w:t>
            </w:r>
          </w:p>
        </w:tc>
        <w:tc>
          <w:tcPr>
            <w:tcW w:w="672" w:type="pct"/>
            <w:tcBorders>
              <w:top w:val="single" w:color="000000" w:sz="4" w:space="0"/>
              <w:left w:val="single" w:color="000000" w:sz="4" w:space="0"/>
              <w:bottom w:val="single" w:color="000000" w:sz="4" w:space="0"/>
              <w:right w:val="single" w:color="000000" w:sz="4" w:space="0"/>
            </w:tcBorders>
            <w:vAlign w:val="center"/>
          </w:tcPr>
          <w:p w14:paraId="69592F03">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≥8</w:t>
            </w:r>
          </w:p>
        </w:tc>
      </w:tr>
      <w:tr w14:paraId="459ECC73">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0BB4D4B8">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335140E1">
            <w:pPr>
              <w:widowControl/>
              <w:spacing w:line="240" w:lineRule="auto"/>
              <w:ind w:firstLine="0" w:firstLineChars="0"/>
              <w:jc w:val="center"/>
              <w:rPr>
                <w:rFonts w:hint="eastAsia" w:cs="宋体"/>
                <w:color w:val="000000"/>
                <w:sz w:val="22"/>
                <w:szCs w:val="22"/>
                <w:highlight w:val="none"/>
              </w:rPr>
            </w:pPr>
          </w:p>
        </w:tc>
        <w:tc>
          <w:tcPr>
            <w:tcW w:w="992" w:type="pct"/>
            <w:vMerge w:val="continue"/>
            <w:tcBorders>
              <w:top w:val="single" w:color="000000" w:sz="4" w:space="0"/>
              <w:left w:val="single" w:color="000000" w:sz="4" w:space="0"/>
              <w:bottom w:val="single" w:color="000000" w:sz="4" w:space="0"/>
              <w:right w:val="single" w:color="000000" w:sz="4" w:space="0"/>
            </w:tcBorders>
            <w:vAlign w:val="center"/>
          </w:tcPr>
          <w:p w14:paraId="4F32CDC1">
            <w:pPr>
              <w:widowControl/>
              <w:spacing w:line="240" w:lineRule="auto"/>
              <w:ind w:firstLine="0" w:firstLineChars="0"/>
              <w:jc w:val="center"/>
              <w:rPr>
                <w:rFonts w:hint="eastAsia" w:cs="宋体"/>
                <w:color w:val="000000"/>
                <w:sz w:val="22"/>
                <w:szCs w:val="22"/>
                <w:highlight w:val="none"/>
              </w:rPr>
            </w:pPr>
          </w:p>
        </w:tc>
        <w:tc>
          <w:tcPr>
            <w:tcW w:w="1524" w:type="pct"/>
            <w:tcBorders>
              <w:top w:val="single" w:color="000000" w:sz="4" w:space="0"/>
              <w:left w:val="single" w:color="000000" w:sz="4" w:space="0"/>
              <w:bottom w:val="single" w:color="000000" w:sz="4" w:space="0"/>
              <w:right w:val="single" w:color="000000" w:sz="4" w:space="0"/>
            </w:tcBorders>
            <w:vAlign w:val="center"/>
          </w:tcPr>
          <w:p w14:paraId="6B0C5308">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驻场人员投入数量（人）</w:t>
            </w:r>
          </w:p>
        </w:tc>
        <w:tc>
          <w:tcPr>
            <w:tcW w:w="779" w:type="pct"/>
            <w:tcBorders>
              <w:top w:val="single" w:color="000000" w:sz="4" w:space="0"/>
              <w:left w:val="single" w:color="000000" w:sz="4" w:space="0"/>
              <w:bottom w:val="single" w:color="000000" w:sz="4" w:space="0"/>
              <w:right w:val="single" w:color="000000" w:sz="4" w:space="0"/>
            </w:tcBorders>
            <w:vAlign w:val="center"/>
          </w:tcPr>
          <w:p w14:paraId="52DA45A7">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≥2</w:t>
            </w:r>
          </w:p>
        </w:tc>
        <w:tc>
          <w:tcPr>
            <w:tcW w:w="672" w:type="pct"/>
            <w:tcBorders>
              <w:top w:val="single" w:color="000000" w:sz="4" w:space="0"/>
              <w:left w:val="single" w:color="000000" w:sz="4" w:space="0"/>
              <w:bottom w:val="single" w:color="000000" w:sz="4" w:space="0"/>
              <w:right w:val="single" w:color="000000" w:sz="4" w:space="0"/>
            </w:tcBorders>
            <w:vAlign w:val="center"/>
          </w:tcPr>
          <w:p w14:paraId="1AAEF94D">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≥2</w:t>
            </w:r>
          </w:p>
        </w:tc>
      </w:tr>
      <w:tr w14:paraId="6BC5B227">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78162A92">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056C183B">
            <w:pPr>
              <w:widowControl/>
              <w:spacing w:line="240" w:lineRule="auto"/>
              <w:ind w:firstLine="0" w:firstLineChars="0"/>
              <w:jc w:val="center"/>
              <w:rPr>
                <w:rFonts w:hint="eastAsia" w:cs="宋体"/>
                <w:color w:val="000000"/>
                <w:sz w:val="22"/>
                <w:szCs w:val="22"/>
                <w:highlight w:val="none"/>
              </w:rPr>
            </w:pPr>
          </w:p>
        </w:tc>
        <w:tc>
          <w:tcPr>
            <w:tcW w:w="992" w:type="pct"/>
            <w:vMerge w:val="continue"/>
            <w:tcBorders>
              <w:top w:val="single" w:color="000000" w:sz="4" w:space="0"/>
              <w:left w:val="single" w:color="000000" w:sz="4" w:space="0"/>
              <w:bottom w:val="single" w:color="000000" w:sz="4" w:space="0"/>
              <w:right w:val="single" w:color="000000" w:sz="4" w:space="0"/>
            </w:tcBorders>
            <w:vAlign w:val="center"/>
          </w:tcPr>
          <w:p w14:paraId="1EEA4635">
            <w:pPr>
              <w:widowControl/>
              <w:spacing w:line="240" w:lineRule="auto"/>
              <w:ind w:firstLine="0" w:firstLineChars="0"/>
              <w:jc w:val="center"/>
              <w:rPr>
                <w:rFonts w:hint="eastAsia" w:cs="宋体"/>
                <w:color w:val="000000"/>
                <w:sz w:val="22"/>
                <w:szCs w:val="22"/>
                <w:highlight w:val="none"/>
              </w:rPr>
            </w:pPr>
          </w:p>
        </w:tc>
        <w:tc>
          <w:tcPr>
            <w:tcW w:w="1524" w:type="pct"/>
            <w:tcBorders>
              <w:top w:val="single" w:color="000000" w:sz="4" w:space="0"/>
              <w:left w:val="single" w:color="000000" w:sz="4" w:space="0"/>
              <w:bottom w:val="single" w:color="000000" w:sz="4" w:space="0"/>
              <w:right w:val="single" w:color="000000" w:sz="4" w:space="0"/>
            </w:tcBorders>
            <w:vAlign w:val="center"/>
          </w:tcPr>
          <w:p w14:paraId="1C9430A1">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运维运营系统数量（个）</w:t>
            </w:r>
          </w:p>
        </w:tc>
        <w:tc>
          <w:tcPr>
            <w:tcW w:w="779" w:type="pct"/>
            <w:tcBorders>
              <w:top w:val="single" w:color="000000" w:sz="4" w:space="0"/>
              <w:left w:val="single" w:color="000000" w:sz="4" w:space="0"/>
              <w:bottom w:val="single" w:color="000000" w:sz="4" w:space="0"/>
              <w:right w:val="single" w:color="000000" w:sz="4" w:space="0"/>
            </w:tcBorders>
            <w:vAlign w:val="center"/>
          </w:tcPr>
          <w:p w14:paraId="7C1A4E00">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≥2</w:t>
            </w:r>
          </w:p>
        </w:tc>
        <w:tc>
          <w:tcPr>
            <w:tcW w:w="672" w:type="pct"/>
            <w:tcBorders>
              <w:top w:val="single" w:color="000000" w:sz="4" w:space="0"/>
              <w:left w:val="single" w:color="000000" w:sz="4" w:space="0"/>
              <w:bottom w:val="single" w:color="000000" w:sz="4" w:space="0"/>
              <w:right w:val="single" w:color="000000" w:sz="4" w:space="0"/>
            </w:tcBorders>
            <w:vAlign w:val="center"/>
          </w:tcPr>
          <w:p w14:paraId="182F5B13">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≥2</w:t>
            </w:r>
          </w:p>
        </w:tc>
      </w:tr>
      <w:tr w14:paraId="1902B9E0">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1A508299">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1DAEE7F3">
            <w:pPr>
              <w:widowControl/>
              <w:spacing w:line="240" w:lineRule="auto"/>
              <w:ind w:firstLine="0" w:firstLineChars="0"/>
              <w:jc w:val="center"/>
              <w:rPr>
                <w:rFonts w:hint="eastAsia" w:cs="宋体"/>
                <w:color w:val="000000"/>
                <w:sz w:val="22"/>
                <w:szCs w:val="22"/>
                <w:highlight w:val="none"/>
              </w:rPr>
            </w:pPr>
          </w:p>
        </w:tc>
        <w:tc>
          <w:tcPr>
            <w:tcW w:w="992" w:type="pct"/>
            <w:vMerge w:val="continue"/>
            <w:tcBorders>
              <w:top w:val="single" w:color="000000" w:sz="4" w:space="0"/>
              <w:left w:val="single" w:color="000000" w:sz="4" w:space="0"/>
              <w:bottom w:val="single" w:color="000000" w:sz="4" w:space="0"/>
              <w:right w:val="single" w:color="000000" w:sz="4" w:space="0"/>
            </w:tcBorders>
            <w:vAlign w:val="center"/>
          </w:tcPr>
          <w:p w14:paraId="5A0509E0">
            <w:pPr>
              <w:widowControl/>
              <w:spacing w:line="240" w:lineRule="auto"/>
              <w:ind w:firstLine="0" w:firstLineChars="0"/>
              <w:jc w:val="center"/>
              <w:rPr>
                <w:rFonts w:hint="eastAsia" w:cs="宋体"/>
                <w:color w:val="000000"/>
                <w:sz w:val="22"/>
                <w:szCs w:val="22"/>
                <w:highlight w:val="none"/>
              </w:rPr>
            </w:pPr>
          </w:p>
        </w:tc>
        <w:tc>
          <w:tcPr>
            <w:tcW w:w="1524" w:type="pct"/>
            <w:tcBorders>
              <w:top w:val="single" w:color="000000" w:sz="4" w:space="0"/>
              <w:left w:val="single" w:color="000000" w:sz="4" w:space="0"/>
              <w:bottom w:val="single" w:color="000000" w:sz="4" w:space="0"/>
              <w:right w:val="single" w:color="000000" w:sz="4" w:space="0"/>
            </w:tcBorders>
            <w:vAlign w:val="center"/>
          </w:tcPr>
          <w:p w14:paraId="0E58C3D9">
            <w:pPr>
              <w:widowControl/>
              <w:spacing w:line="240" w:lineRule="auto"/>
              <w:ind w:firstLine="0" w:firstLineChars="0"/>
              <w:jc w:val="left"/>
              <w:textAlignment w:val="center"/>
              <w:rPr>
                <w:rFonts w:hint="eastAsia" w:cs="宋体"/>
                <w:sz w:val="22"/>
                <w:szCs w:val="22"/>
                <w:highlight w:val="none"/>
              </w:rPr>
            </w:pPr>
            <w:r>
              <w:rPr>
                <w:rFonts w:hint="eastAsia" w:cs="宋体"/>
                <w:kern w:val="0"/>
                <w:sz w:val="22"/>
                <w:szCs w:val="22"/>
                <w:highlight w:val="none"/>
                <w:lang w:bidi="ar"/>
              </w:rPr>
              <w:t>运维报告数量（份/月）</w:t>
            </w:r>
          </w:p>
        </w:tc>
        <w:tc>
          <w:tcPr>
            <w:tcW w:w="779" w:type="pct"/>
            <w:tcBorders>
              <w:top w:val="single" w:color="000000" w:sz="4" w:space="0"/>
              <w:left w:val="single" w:color="000000" w:sz="4" w:space="0"/>
              <w:bottom w:val="single" w:color="000000" w:sz="4" w:space="0"/>
              <w:right w:val="single" w:color="000000" w:sz="4" w:space="0"/>
            </w:tcBorders>
            <w:vAlign w:val="center"/>
          </w:tcPr>
          <w:p w14:paraId="7E5E1DC4">
            <w:pPr>
              <w:widowControl/>
              <w:spacing w:line="240" w:lineRule="auto"/>
              <w:ind w:firstLine="0" w:firstLineChars="0"/>
              <w:jc w:val="center"/>
              <w:textAlignment w:val="center"/>
              <w:rPr>
                <w:rFonts w:hint="eastAsia" w:cs="宋体"/>
                <w:sz w:val="22"/>
                <w:szCs w:val="22"/>
                <w:highlight w:val="none"/>
              </w:rPr>
            </w:pPr>
            <w:r>
              <w:rPr>
                <w:rFonts w:hint="eastAsia" w:cs="宋体"/>
                <w:kern w:val="0"/>
                <w:sz w:val="22"/>
                <w:szCs w:val="22"/>
                <w:highlight w:val="none"/>
                <w:lang w:bidi="ar"/>
              </w:rPr>
              <w:t>1</w:t>
            </w:r>
          </w:p>
        </w:tc>
        <w:tc>
          <w:tcPr>
            <w:tcW w:w="672" w:type="pct"/>
            <w:tcBorders>
              <w:top w:val="single" w:color="000000" w:sz="4" w:space="0"/>
              <w:left w:val="single" w:color="000000" w:sz="4" w:space="0"/>
              <w:bottom w:val="single" w:color="000000" w:sz="4" w:space="0"/>
              <w:right w:val="single" w:color="000000" w:sz="4" w:space="0"/>
            </w:tcBorders>
            <w:vAlign w:val="center"/>
          </w:tcPr>
          <w:p w14:paraId="7BA8E268">
            <w:pPr>
              <w:widowControl/>
              <w:spacing w:line="240" w:lineRule="auto"/>
              <w:ind w:firstLine="0" w:firstLineChars="0"/>
              <w:jc w:val="center"/>
              <w:textAlignment w:val="center"/>
              <w:rPr>
                <w:rFonts w:hint="eastAsia" w:cs="宋体"/>
                <w:sz w:val="22"/>
                <w:szCs w:val="22"/>
                <w:highlight w:val="none"/>
              </w:rPr>
            </w:pPr>
            <w:r>
              <w:rPr>
                <w:rFonts w:hint="eastAsia" w:cs="宋体"/>
                <w:kern w:val="0"/>
                <w:sz w:val="22"/>
                <w:szCs w:val="22"/>
                <w:highlight w:val="none"/>
                <w:lang w:bidi="ar"/>
              </w:rPr>
              <w:t>1</w:t>
            </w:r>
          </w:p>
        </w:tc>
      </w:tr>
      <w:tr w14:paraId="44A14B3B">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18A1973A">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0A333F2D">
            <w:pPr>
              <w:widowControl/>
              <w:spacing w:line="240" w:lineRule="auto"/>
              <w:ind w:firstLine="0" w:firstLineChars="0"/>
              <w:jc w:val="center"/>
              <w:rPr>
                <w:rFonts w:hint="eastAsia" w:cs="宋体"/>
                <w:color w:val="000000"/>
                <w:sz w:val="22"/>
                <w:szCs w:val="22"/>
                <w:highlight w:val="none"/>
              </w:rPr>
            </w:pPr>
          </w:p>
        </w:tc>
        <w:tc>
          <w:tcPr>
            <w:tcW w:w="992" w:type="pct"/>
            <w:vMerge w:val="restart"/>
            <w:tcBorders>
              <w:top w:val="single" w:color="000000" w:sz="4" w:space="0"/>
              <w:left w:val="single" w:color="000000" w:sz="4" w:space="0"/>
              <w:bottom w:val="single" w:color="000000" w:sz="4" w:space="0"/>
              <w:right w:val="single" w:color="000000" w:sz="4" w:space="0"/>
            </w:tcBorders>
            <w:vAlign w:val="center"/>
          </w:tcPr>
          <w:p w14:paraId="6B0B502D">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质量指标</w:t>
            </w:r>
          </w:p>
        </w:tc>
        <w:tc>
          <w:tcPr>
            <w:tcW w:w="1524" w:type="pct"/>
            <w:tcBorders>
              <w:top w:val="single" w:color="000000" w:sz="4" w:space="0"/>
              <w:left w:val="single" w:color="000000" w:sz="4" w:space="0"/>
              <w:bottom w:val="single" w:color="000000" w:sz="4" w:space="0"/>
              <w:right w:val="single" w:color="000000" w:sz="4" w:space="0"/>
            </w:tcBorders>
            <w:vAlign w:val="center"/>
          </w:tcPr>
          <w:p w14:paraId="2C0FBC58">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平台正常运行率</w:t>
            </w:r>
          </w:p>
        </w:tc>
        <w:tc>
          <w:tcPr>
            <w:tcW w:w="779" w:type="pct"/>
            <w:tcBorders>
              <w:top w:val="single" w:color="000000" w:sz="4" w:space="0"/>
              <w:left w:val="single" w:color="000000" w:sz="4" w:space="0"/>
              <w:bottom w:val="single" w:color="000000" w:sz="4" w:space="0"/>
              <w:right w:val="single" w:color="000000" w:sz="4" w:space="0"/>
            </w:tcBorders>
            <w:vAlign w:val="center"/>
          </w:tcPr>
          <w:p w14:paraId="72B94851">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≥99%</w:t>
            </w:r>
          </w:p>
        </w:tc>
        <w:tc>
          <w:tcPr>
            <w:tcW w:w="672" w:type="pct"/>
            <w:tcBorders>
              <w:top w:val="single" w:color="000000" w:sz="4" w:space="0"/>
              <w:left w:val="single" w:color="000000" w:sz="4" w:space="0"/>
              <w:bottom w:val="single" w:color="000000" w:sz="4" w:space="0"/>
              <w:right w:val="single" w:color="000000" w:sz="4" w:space="0"/>
            </w:tcBorders>
            <w:vAlign w:val="center"/>
          </w:tcPr>
          <w:p w14:paraId="49184F26">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≥99%</w:t>
            </w:r>
          </w:p>
        </w:tc>
      </w:tr>
      <w:tr w14:paraId="45E999DB">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7ACFFBE2">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17FF0B0F">
            <w:pPr>
              <w:widowControl/>
              <w:spacing w:line="240" w:lineRule="auto"/>
              <w:ind w:firstLine="0" w:firstLineChars="0"/>
              <w:jc w:val="center"/>
              <w:rPr>
                <w:rFonts w:hint="eastAsia" w:cs="宋体"/>
                <w:color w:val="000000"/>
                <w:sz w:val="22"/>
                <w:szCs w:val="22"/>
                <w:highlight w:val="none"/>
              </w:rPr>
            </w:pPr>
          </w:p>
        </w:tc>
        <w:tc>
          <w:tcPr>
            <w:tcW w:w="992" w:type="pct"/>
            <w:vMerge w:val="continue"/>
            <w:tcBorders>
              <w:top w:val="single" w:color="000000" w:sz="4" w:space="0"/>
              <w:left w:val="single" w:color="000000" w:sz="4" w:space="0"/>
              <w:bottom w:val="single" w:color="000000" w:sz="4" w:space="0"/>
              <w:right w:val="single" w:color="000000" w:sz="4" w:space="0"/>
            </w:tcBorders>
            <w:vAlign w:val="center"/>
          </w:tcPr>
          <w:p w14:paraId="2E57FEF7">
            <w:pPr>
              <w:widowControl/>
              <w:spacing w:line="240" w:lineRule="auto"/>
              <w:ind w:firstLine="0" w:firstLineChars="0"/>
              <w:jc w:val="center"/>
              <w:rPr>
                <w:rFonts w:hint="eastAsia" w:cs="宋体"/>
                <w:color w:val="000000"/>
                <w:sz w:val="22"/>
                <w:szCs w:val="22"/>
                <w:highlight w:val="none"/>
              </w:rPr>
            </w:pPr>
          </w:p>
        </w:tc>
        <w:tc>
          <w:tcPr>
            <w:tcW w:w="1524" w:type="pct"/>
            <w:tcBorders>
              <w:top w:val="single" w:color="000000" w:sz="4" w:space="0"/>
              <w:left w:val="single" w:color="000000" w:sz="4" w:space="0"/>
              <w:bottom w:val="single" w:color="000000" w:sz="4" w:space="0"/>
              <w:right w:val="single" w:color="000000" w:sz="4" w:space="0"/>
            </w:tcBorders>
            <w:vAlign w:val="center"/>
          </w:tcPr>
          <w:p w14:paraId="00DD0C45">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平台总体可用率</w:t>
            </w:r>
          </w:p>
        </w:tc>
        <w:tc>
          <w:tcPr>
            <w:tcW w:w="779" w:type="pct"/>
            <w:tcBorders>
              <w:top w:val="single" w:color="000000" w:sz="4" w:space="0"/>
              <w:left w:val="single" w:color="000000" w:sz="4" w:space="0"/>
              <w:bottom w:val="single" w:color="000000" w:sz="4" w:space="0"/>
              <w:right w:val="single" w:color="000000" w:sz="4" w:space="0"/>
            </w:tcBorders>
            <w:vAlign w:val="center"/>
          </w:tcPr>
          <w:p w14:paraId="3B2C71EF">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≥99.9%</w:t>
            </w:r>
          </w:p>
        </w:tc>
        <w:tc>
          <w:tcPr>
            <w:tcW w:w="672" w:type="pct"/>
            <w:tcBorders>
              <w:top w:val="single" w:color="000000" w:sz="4" w:space="0"/>
              <w:left w:val="single" w:color="000000" w:sz="4" w:space="0"/>
              <w:bottom w:val="single" w:color="000000" w:sz="4" w:space="0"/>
              <w:right w:val="single" w:color="000000" w:sz="4" w:space="0"/>
            </w:tcBorders>
            <w:vAlign w:val="center"/>
          </w:tcPr>
          <w:p w14:paraId="331BA083">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≥99.9%</w:t>
            </w:r>
          </w:p>
        </w:tc>
      </w:tr>
      <w:tr w14:paraId="59C7B00B">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2DC03F5A">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434B1C8A">
            <w:pPr>
              <w:widowControl/>
              <w:spacing w:line="240" w:lineRule="auto"/>
              <w:ind w:firstLine="0" w:firstLineChars="0"/>
              <w:jc w:val="center"/>
              <w:rPr>
                <w:rFonts w:hint="eastAsia" w:cs="宋体"/>
                <w:color w:val="000000"/>
                <w:sz w:val="22"/>
                <w:szCs w:val="22"/>
                <w:highlight w:val="none"/>
              </w:rPr>
            </w:pPr>
          </w:p>
        </w:tc>
        <w:tc>
          <w:tcPr>
            <w:tcW w:w="992" w:type="pct"/>
            <w:vMerge w:val="continue"/>
            <w:tcBorders>
              <w:top w:val="single" w:color="000000" w:sz="4" w:space="0"/>
              <w:left w:val="single" w:color="000000" w:sz="4" w:space="0"/>
              <w:bottom w:val="single" w:color="000000" w:sz="4" w:space="0"/>
              <w:right w:val="single" w:color="000000" w:sz="4" w:space="0"/>
            </w:tcBorders>
            <w:vAlign w:val="center"/>
          </w:tcPr>
          <w:p w14:paraId="3392A07E">
            <w:pPr>
              <w:widowControl/>
              <w:spacing w:line="240" w:lineRule="auto"/>
              <w:ind w:firstLine="0" w:firstLineChars="0"/>
              <w:jc w:val="center"/>
              <w:rPr>
                <w:rFonts w:hint="eastAsia" w:cs="宋体"/>
                <w:color w:val="000000"/>
                <w:sz w:val="22"/>
                <w:szCs w:val="22"/>
                <w:highlight w:val="none"/>
              </w:rPr>
            </w:pPr>
          </w:p>
        </w:tc>
        <w:tc>
          <w:tcPr>
            <w:tcW w:w="1524" w:type="pct"/>
            <w:tcBorders>
              <w:top w:val="single" w:color="000000" w:sz="4" w:space="0"/>
              <w:left w:val="single" w:color="000000" w:sz="4" w:space="0"/>
              <w:bottom w:val="single" w:color="000000" w:sz="4" w:space="0"/>
              <w:right w:val="single" w:color="000000" w:sz="4" w:space="0"/>
            </w:tcBorders>
            <w:vAlign w:val="center"/>
          </w:tcPr>
          <w:p w14:paraId="1B23CAC2">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平台核心功能故障解决率</w:t>
            </w:r>
          </w:p>
        </w:tc>
        <w:tc>
          <w:tcPr>
            <w:tcW w:w="779" w:type="pct"/>
            <w:tcBorders>
              <w:top w:val="single" w:color="000000" w:sz="4" w:space="0"/>
              <w:left w:val="single" w:color="000000" w:sz="4" w:space="0"/>
              <w:bottom w:val="single" w:color="000000" w:sz="4" w:space="0"/>
              <w:right w:val="single" w:color="000000" w:sz="4" w:space="0"/>
            </w:tcBorders>
            <w:vAlign w:val="center"/>
          </w:tcPr>
          <w:p w14:paraId="472624CE">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100%</w:t>
            </w:r>
          </w:p>
        </w:tc>
        <w:tc>
          <w:tcPr>
            <w:tcW w:w="672" w:type="pct"/>
            <w:tcBorders>
              <w:top w:val="single" w:color="000000" w:sz="4" w:space="0"/>
              <w:left w:val="single" w:color="000000" w:sz="4" w:space="0"/>
              <w:bottom w:val="single" w:color="000000" w:sz="4" w:space="0"/>
              <w:right w:val="single" w:color="000000" w:sz="4" w:space="0"/>
            </w:tcBorders>
            <w:vAlign w:val="center"/>
          </w:tcPr>
          <w:p w14:paraId="1D5ED2BF">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100%</w:t>
            </w:r>
          </w:p>
        </w:tc>
      </w:tr>
      <w:tr w14:paraId="222B94BE">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5CB97AD9">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52AAC367">
            <w:pPr>
              <w:widowControl/>
              <w:spacing w:line="240" w:lineRule="auto"/>
              <w:ind w:firstLine="0" w:firstLineChars="0"/>
              <w:jc w:val="center"/>
              <w:rPr>
                <w:rFonts w:hint="eastAsia" w:cs="宋体"/>
                <w:color w:val="000000"/>
                <w:sz w:val="22"/>
                <w:szCs w:val="22"/>
                <w:highlight w:val="none"/>
              </w:rPr>
            </w:pPr>
          </w:p>
        </w:tc>
        <w:tc>
          <w:tcPr>
            <w:tcW w:w="992" w:type="pct"/>
            <w:vMerge w:val="restart"/>
            <w:tcBorders>
              <w:top w:val="single" w:color="000000" w:sz="4" w:space="0"/>
              <w:left w:val="single" w:color="000000" w:sz="4" w:space="0"/>
              <w:bottom w:val="single" w:color="000000" w:sz="4" w:space="0"/>
              <w:right w:val="single" w:color="000000" w:sz="4" w:space="0"/>
            </w:tcBorders>
            <w:vAlign w:val="center"/>
          </w:tcPr>
          <w:p w14:paraId="7C1727D2">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时效指标</w:t>
            </w:r>
          </w:p>
        </w:tc>
        <w:tc>
          <w:tcPr>
            <w:tcW w:w="1524" w:type="pct"/>
            <w:tcBorders>
              <w:top w:val="single" w:color="000000" w:sz="4" w:space="0"/>
              <w:left w:val="single" w:color="000000" w:sz="4" w:space="0"/>
              <w:bottom w:val="single" w:color="000000" w:sz="4" w:space="0"/>
              <w:right w:val="single" w:color="000000" w:sz="4" w:space="0"/>
            </w:tcBorders>
            <w:vAlign w:val="center"/>
          </w:tcPr>
          <w:p w14:paraId="1F5FA897">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平台本地故障平均处理时间</w:t>
            </w:r>
          </w:p>
        </w:tc>
        <w:tc>
          <w:tcPr>
            <w:tcW w:w="779" w:type="pct"/>
            <w:tcBorders>
              <w:top w:val="single" w:color="000000" w:sz="4" w:space="0"/>
              <w:left w:val="single" w:color="000000" w:sz="4" w:space="0"/>
              <w:bottom w:val="single" w:color="000000" w:sz="4" w:space="0"/>
              <w:right w:val="single" w:color="000000" w:sz="4" w:space="0"/>
            </w:tcBorders>
            <w:vAlign w:val="center"/>
          </w:tcPr>
          <w:p w14:paraId="33D361BA">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≤4小时</w:t>
            </w:r>
          </w:p>
        </w:tc>
        <w:tc>
          <w:tcPr>
            <w:tcW w:w="672" w:type="pct"/>
            <w:tcBorders>
              <w:top w:val="single" w:color="000000" w:sz="4" w:space="0"/>
              <w:left w:val="single" w:color="000000" w:sz="4" w:space="0"/>
              <w:bottom w:val="single" w:color="000000" w:sz="4" w:space="0"/>
              <w:right w:val="single" w:color="000000" w:sz="4" w:space="0"/>
            </w:tcBorders>
            <w:vAlign w:val="center"/>
          </w:tcPr>
          <w:p w14:paraId="4F58F13D">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≤4小时</w:t>
            </w:r>
          </w:p>
        </w:tc>
      </w:tr>
      <w:tr w14:paraId="3BFE3BC7">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7CF5FFDB">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046575AA">
            <w:pPr>
              <w:widowControl/>
              <w:spacing w:line="240" w:lineRule="auto"/>
              <w:ind w:firstLine="0" w:firstLineChars="0"/>
              <w:jc w:val="center"/>
              <w:rPr>
                <w:rFonts w:hint="eastAsia" w:cs="宋体"/>
                <w:color w:val="000000"/>
                <w:sz w:val="22"/>
                <w:szCs w:val="22"/>
                <w:highlight w:val="none"/>
              </w:rPr>
            </w:pPr>
          </w:p>
        </w:tc>
        <w:tc>
          <w:tcPr>
            <w:tcW w:w="992" w:type="pct"/>
            <w:vMerge w:val="continue"/>
            <w:tcBorders>
              <w:top w:val="single" w:color="000000" w:sz="4" w:space="0"/>
              <w:left w:val="single" w:color="000000" w:sz="4" w:space="0"/>
              <w:bottom w:val="single" w:color="000000" w:sz="4" w:space="0"/>
              <w:right w:val="single" w:color="000000" w:sz="4" w:space="0"/>
            </w:tcBorders>
            <w:vAlign w:val="center"/>
          </w:tcPr>
          <w:p w14:paraId="435FAD09">
            <w:pPr>
              <w:widowControl/>
              <w:spacing w:line="240" w:lineRule="auto"/>
              <w:ind w:firstLine="0" w:firstLineChars="0"/>
              <w:jc w:val="center"/>
              <w:rPr>
                <w:rFonts w:hint="eastAsia" w:cs="宋体"/>
                <w:color w:val="000000"/>
                <w:sz w:val="22"/>
                <w:szCs w:val="22"/>
                <w:highlight w:val="none"/>
              </w:rPr>
            </w:pPr>
          </w:p>
        </w:tc>
        <w:tc>
          <w:tcPr>
            <w:tcW w:w="1524" w:type="pct"/>
            <w:tcBorders>
              <w:top w:val="single" w:color="000000" w:sz="4" w:space="0"/>
              <w:left w:val="single" w:color="000000" w:sz="4" w:space="0"/>
              <w:bottom w:val="single" w:color="000000" w:sz="4" w:space="0"/>
              <w:right w:val="single" w:color="000000" w:sz="4" w:space="0"/>
            </w:tcBorders>
            <w:vAlign w:val="center"/>
          </w:tcPr>
          <w:p w14:paraId="487E078A">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平台运行维护响应时间</w:t>
            </w:r>
          </w:p>
        </w:tc>
        <w:tc>
          <w:tcPr>
            <w:tcW w:w="779" w:type="pct"/>
            <w:tcBorders>
              <w:top w:val="single" w:color="000000" w:sz="4" w:space="0"/>
              <w:left w:val="single" w:color="000000" w:sz="4" w:space="0"/>
              <w:bottom w:val="single" w:color="000000" w:sz="4" w:space="0"/>
              <w:right w:val="single" w:color="000000" w:sz="4" w:space="0"/>
            </w:tcBorders>
            <w:vAlign w:val="center"/>
          </w:tcPr>
          <w:p w14:paraId="25F407BC">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≤1小时</w:t>
            </w:r>
          </w:p>
        </w:tc>
        <w:tc>
          <w:tcPr>
            <w:tcW w:w="672" w:type="pct"/>
            <w:tcBorders>
              <w:top w:val="single" w:color="000000" w:sz="4" w:space="0"/>
              <w:left w:val="single" w:color="000000" w:sz="4" w:space="0"/>
              <w:bottom w:val="single" w:color="000000" w:sz="4" w:space="0"/>
              <w:right w:val="single" w:color="000000" w:sz="4" w:space="0"/>
            </w:tcBorders>
            <w:vAlign w:val="center"/>
          </w:tcPr>
          <w:p w14:paraId="1DD97F88">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≤1小时</w:t>
            </w:r>
          </w:p>
        </w:tc>
      </w:tr>
      <w:tr w14:paraId="097F0AD7">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2348240D">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219BC9A3">
            <w:pPr>
              <w:widowControl/>
              <w:spacing w:line="240" w:lineRule="auto"/>
              <w:ind w:firstLine="0" w:firstLineChars="0"/>
              <w:jc w:val="center"/>
              <w:rPr>
                <w:rFonts w:hint="eastAsia" w:cs="宋体"/>
                <w:color w:val="000000"/>
                <w:sz w:val="22"/>
                <w:szCs w:val="22"/>
                <w:highlight w:val="none"/>
              </w:rPr>
            </w:pPr>
          </w:p>
        </w:tc>
        <w:tc>
          <w:tcPr>
            <w:tcW w:w="992" w:type="pct"/>
            <w:tcBorders>
              <w:top w:val="single" w:color="000000" w:sz="4" w:space="0"/>
              <w:left w:val="single" w:color="000000" w:sz="4" w:space="0"/>
              <w:bottom w:val="single" w:color="000000" w:sz="4" w:space="0"/>
              <w:right w:val="single" w:color="000000" w:sz="4" w:space="0"/>
            </w:tcBorders>
            <w:vAlign w:val="center"/>
          </w:tcPr>
          <w:p w14:paraId="70932D8E">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成本指标</w:t>
            </w:r>
          </w:p>
        </w:tc>
        <w:tc>
          <w:tcPr>
            <w:tcW w:w="1524" w:type="pct"/>
            <w:tcBorders>
              <w:top w:val="single" w:color="000000" w:sz="4" w:space="0"/>
              <w:left w:val="single" w:color="000000" w:sz="4" w:space="0"/>
              <w:bottom w:val="single" w:color="000000" w:sz="4" w:space="0"/>
              <w:right w:val="single" w:color="000000" w:sz="4" w:space="0"/>
            </w:tcBorders>
            <w:noWrap/>
            <w:vAlign w:val="center"/>
          </w:tcPr>
          <w:p w14:paraId="59479B64">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项目投资总额（万元）</w:t>
            </w:r>
          </w:p>
        </w:tc>
        <w:tc>
          <w:tcPr>
            <w:tcW w:w="779" w:type="pct"/>
            <w:tcBorders>
              <w:top w:val="single" w:color="000000" w:sz="4" w:space="0"/>
              <w:left w:val="single" w:color="000000" w:sz="4" w:space="0"/>
              <w:bottom w:val="single" w:color="000000" w:sz="4" w:space="0"/>
              <w:right w:val="single" w:color="000000" w:sz="4" w:space="0"/>
            </w:tcBorders>
            <w:vAlign w:val="center"/>
          </w:tcPr>
          <w:p w14:paraId="2B214071">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w:t>
            </w:r>
            <w:r>
              <w:rPr>
                <w:rFonts w:cs="宋体"/>
                <w:color w:val="000000"/>
                <w:kern w:val="0"/>
                <w:sz w:val="22"/>
                <w:szCs w:val="22"/>
                <w:highlight w:val="none"/>
                <w:lang w:bidi="ar"/>
              </w:rPr>
              <w:t>125.916</w:t>
            </w:r>
          </w:p>
        </w:tc>
        <w:tc>
          <w:tcPr>
            <w:tcW w:w="672" w:type="pct"/>
            <w:tcBorders>
              <w:top w:val="single" w:color="000000" w:sz="4" w:space="0"/>
              <w:left w:val="single" w:color="000000" w:sz="4" w:space="0"/>
              <w:bottom w:val="single" w:color="000000" w:sz="4" w:space="0"/>
              <w:right w:val="single" w:color="000000" w:sz="4" w:space="0"/>
            </w:tcBorders>
            <w:vAlign w:val="center"/>
          </w:tcPr>
          <w:p w14:paraId="35B20538">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w:t>
            </w:r>
            <w:r>
              <w:rPr>
                <w:rFonts w:cs="宋体"/>
                <w:color w:val="000000"/>
                <w:kern w:val="0"/>
                <w:sz w:val="22"/>
                <w:szCs w:val="22"/>
                <w:highlight w:val="none"/>
                <w:lang w:bidi="ar"/>
              </w:rPr>
              <w:t>125.916</w:t>
            </w:r>
          </w:p>
        </w:tc>
      </w:tr>
      <w:tr w14:paraId="73FEBFB8">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69CF973F">
            <w:pPr>
              <w:widowControl/>
              <w:spacing w:line="240" w:lineRule="auto"/>
              <w:ind w:firstLine="0" w:firstLineChars="0"/>
              <w:jc w:val="center"/>
              <w:rPr>
                <w:rFonts w:hint="eastAsia" w:cs="宋体"/>
                <w:color w:val="000000"/>
                <w:sz w:val="22"/>
                <w:szCs w:val="22"/>
                <w:highlight w:val="none"/>
              </w:rPr>
            </w:pPr>
          </w:p>
        </w:tc>
        <w:tc>
          <w:tcPr>
            <w:tcW w:w="566" w:type="pct"/>
            <w:vMerge w:val="restart"/>
            <w:tcBorders>
              <w:top w:val="single" w:color="000000" w:sz="4" w:space="0"/>
              <w:left w:val="single" w:color="000000" w:sz="4" w:space="0"/>
              <w:bottom w:val="single" w:color="000000" w:sz="4" w:space="0"/>
              <w:right w:val="single" w:color="000000" w:sz="4" w:space="0"/>
            </w:tcBorders>
            <w:vAlign w:val="center"/>
          </w:tcPr>
          <w:p w14:paraId="5BEA2E1E">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效益指标</w:t>
            </w:r>
          </w:p>
        </w:tc>
        <w:tc>
          <w:tcPr>
            <w:tcW w:w="992" w:type="pct"/>
            <w:tcBorders>
              <w:top w:val="single" w:color="000000" w:sz="4" w:space="0"/>
              <w:left w:val="single" w:color="000000" w:sz="4" w:space="0"/>
              <w:bottom w:val="single" w:color="000000" w:sz="4" w:space="0"/>
              <w:right w:val="single" w:color="000000" w:sz="4" w:space="0"/>
            </w:tcBorders>
            <w:vAlign w:val="center"/>
          </w:tcPr>
          <w:p w14:paraId="41F813C2">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社会效益指标</w:t>
            </w:r>
          </w:p>
        </w:tc>
        <w:tc>
          <w:tcPr>
            <w:tcW w:w="1524" w:type="pct"/>
            <w:tcBorders>
              <w:top w:val="single" w:color="000000" w:sz="4" w:space="0"/>
              <w:left w:val="single" w:color="000000" w:sz="4" w:space="0"/>
              <w:bottom w:val="single" w:color="000000" w:sz="4" w:space="0"/>
              <w:right w:val="single" w:color="000000" w:sz="4" w:space="0"/>
            </w:tcBorders>
            <w:vAlign w:val="center"/>
          </w:tcPr>
          <w:p w14:paraId="651AD1AA">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服务覆盖单位数量</w:t>
            </w:r>
          </w:p>
        </w:tc>
        <w:tc>
          <w:tcPr>
            <w:tcW w:w="779" w:type="pct"/>
            <w:tcBorders>
              <w:top w:val="single" w:color="000000" w:sz="4" w:space="0"/>
              <w:left w:val="single" w:color="000000" w:sz="4" w:space="0"/>
              <w:bottom w:val="single" w:color="000000" w:sz="4" w:space="0"/>
              <w:right w:val="single" w:color="000000" w:sz="4" w:space="0"/>
            </w:tcBorders>
            <w:vAlign w:val="center"/>
          </w:tcPr>
          <w:p w14:paraId="50EA5EF1">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≥40个</w:t>
            </w:r>
          </w:p>
        </w:tc>
        <w:tc>
          <w:tcPr>
            <w:tcW w:w="672" w:type="pct"/>
            <w:tcBorders>
              <w:top w:val="single" w:color="000000" w:sz="4" w:space="0"/>
              <w:left w:val="single" w:color="000000" w:sz="4" w:space="0"/>
              <w:bottom w:val="single" w:color="000000" w:sz="4" w:space="0"/>
              <w:right w:val="single" w:color="000000" w:sz="4" w:space="0"/>
            </w:tcBorders>
            <w:vAlign w:val="center"/>
          </w:tcPr>
          <w:p w14:paraId="4A492AE0">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≥40个</w:t>
            </w:r>
          </w:p>
        </w:tc>
      </w:tr>
      <w:tr w14:paraId="144E76D5">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0F0DE8B6">
            <w:pPr>
              <w:widowControl/>
              <w:spacing w:line="240" w:lineRule="auto"/>
              <w:ind w:firstLine="0" w:firstLineChars="0"/>
              <w:jc w:val="center"/>
              <w:rPr>
                <w:rFonts w:hint="eastAsia" w:cs="宋体"/>
                <w:color w:val="000000"/>
                <w:sz w:val="22"/>
                <w:szCs w:val="22"/>
                <w:highlight w:val="none"/>
              </w:rPr>
            </w:pPr>
          </w:p>
        </w:tc>
        <w:tc>
          <w:tcPr>
            <w:tcW w:w="566" w:type="pct"/>
            <w:vMerge w:val="continue"/>
            <w:tcBorders>
              <w:top w:val="single" w:color="000000" w:sz="4" w:space="0"/>
              <w:left w:val="single" w:color="000000" w:sz="4" w:space="0"/>
              <w:bottom w:val="single" w:color="000000" w:sz="4" w:space="0"/>
              <w:right w:val="single" w:color="000000" w:sz="4" w:space="0"/>
            </w:tcBorders>
            <w:vAlign w:val="center"/>
          </w:tcPr>
          <w:p w14:paraId="23A55321">
            <w:pPr>
              <w:widowControl/>
              <w:spacing w:line="240" w:lineRule="auto"/>
              <w:ind w:firstLine="0" w:firstLineChars="0"/>
              <w:jc w:val="center"/>
              <w:rPr>
                <w:rFonts w:hint="eastAsia" w:cs="宋体"/>
                <w:color w:val="000000"/>
                <w:sz w:val="22"/>
                <w:szCs w:val="22"/>
                <w:highlight w:val="none"/>
              </w:rPr>
            </w:pPr>
          </w:p>
        </w:tc>
        <w:tc>
          <w:tcPr>
            <w:tcW w:w="992" w:type="pct"/>
            <w:tcBorders>
              <w:top w:val="single" w:color="000000" w:sz="4" w:space="0"/>
              <w:left w:val="single" w:color="000000" w:sz="4" w:space="0"/>
              <w:bottom w:val="single" w:color="000000" w:sz="4" w:space="0"/>
              <w:right w:val="single" w:color="000000" w:sz="4" w:space="0"/>
            </w:tcBorders>
            <w:vAlign w:val="center"/>
          </w:tcPr>
          <w:p w14:paraId="1872D7A2">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可持续影响指标</w:t>
            </w:r>
          </w:p>
        </w:tc>
        <w:tc>
          <w:tcPr>
            <w:tcW w:w="1524" w:type="pct"/>
            <w:tcBorders>
              <w:top w:val="single" w:color="000000" w:sz="4" w:space="0"/>
              <w:left w:val="single" w:color="000000" w:sz="4" w:space="0"/>
              <w:bottom w:val="single" w:color="000000" w:sz="4" w:space="0"/>
              <w:right w:val="single" w:color="000000" w:sz="4" w:space="0"/>
            </w:tcBorders>
            <w:vAlign w:val="center"/>
          </w:tcPr>
          <w:p w14:paraId="08C70FA3">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项目持续发挥作用的期限</w:t>
            </w:r>
          </w:p>
        </w:tc>
        <w:tc>
          <w:tcPr>
            <w:tcW w:w="779" w:type="pct"/>
            <w:tcBorders>
              <w:top w:val="single" w:color="000000" w:sz="4" w:space="0"/>
              <w:left w:val="single" w:color="000000" w:sz="4" w:space="0"/>
              <w:bottom w:val="single" w:color="000000" w:sz="4" w:space="0"/>
              <w:right w:val="single" w:color="000000" w:sz="4" w:space="0"/>
            </w:tcBorders>
            <w:noWrap/>
            <w:vAlign w:val="center"/>
          </w:tcPr>
          <w:p w14:paraId="57AF9304">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长期</w:t>
            </w:r>
          </w:p>
        </w:tc>
        <w:tc>
          <w:tcPr>
            <w:tcW w:w="672" w:type="pct"/>
            <w:tcBorders>
              <w:top w:val="single" w:color="000000" w:sz="4" w:space="0"/>
              <w:left w:val="single" w:color="000000" w:sz="4" w:space="0"/>
              <w:bottom w:val="single" w:color="000000" w:sz="4" w:space="0"/>
              <w:right w:val="single" w:color="000000" w:sz="4" w:space="0"/>
            </w:tcBorders>
            <w:noWrap/>
            <w:vAlign w:val="center"/>
          </w:tcPr>
          <w:p w14:paraId="05A7E024">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长期</w:t>
            </w:r>
          </w:p>
        </w:tc>
      </w:tr>
      <w:tr w14:paraId="022B59D4">
        <w:tblPrEx>
          <w:tblCellMar>
            <w:top w:w="0" w:type="dxa"/>
            <w:left w:w="108" w:type="dxa"/>
            <w:bottom w:w="0" w:type="dxa"/>
            <w:right w:w="108" w:type="dxa"/>
          </w:tblCellMar>
        </w:tblPrEx>
        <w:trPr>
          <w:trHeight w:val="280" w:hRule="atLeast"/>
        </w:trPr>
        <w:tc>
          <w:tcPr>
            <w:tcW w:w="464" w:type="pct"/>
            <w:vMerge w:val="continue"/>
            <w:tcBorders>
              <w:top w:val="single" w:color="000000" w:sz="4" w:space="0"/>
              <w:left w:val="single" w:color="000000" w:sz="4" w:space="0"/>
              <w:bottom w:val="single" w:color="000000" w:sz="4" w:space="0"/>
              <w:right w:val="single" w:color="000000" w:sz="4" w:space="0"/>
            </w:tcBorders>
            <w:vAlign w:val="center"/>
          </w:tcPr>
          <w:p w14:paraId="2131943C">
            <w:pPr>
              <w:widowControl/>
              <w:spacing w:line="240" w:lineRule="auto"/>
              <w:ind w:firstLine="0" w:firstLineChars="0"/>
              <w:jc w:val="center"/>
              <w:rPr>
                <w:rFonts w:hint="eastAsia" w:cs="宋体"/>
                <w:color w:val="000000"/>
                <w:sz w:val="22"/>
                <w:szCs w:val="22"/>
                <w:highlight w:val="none"/>
              </w:rPr>
            </w:pPr>
          </w:p>
        </w:tc>
        <w:tc>
          <w:tcPr>
            <w:tcW w:w="566" w:type="pct"/>
            <w:tcBorders>
              <w:top w:val="single" w:color="000000" w:sz="4" w:space="0"/>
              <w:left w:val="single" w:color="000000" w:sz="4" w:space="0"/>
              <w:bottom w:val="single" w:color="000000" w:sz="4" w:space="0"/>
              <w:right w:val="single" w:color="000000" w:sz="4" w:space="0"/>
            </w:tcBorders>
            <w:vAlign w:val="center"/>
          </w:tcPr>
          <w:p w14:paraId="061086E2">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满意度指标</w:t>
            </w:r>
          </w:p>
        </w:tc>
        <w:tc>
          <w:tcPr>
            <w:tcW w:w="992" w:type="pct"/>
            <w:tcBorders>
              <w:top w:val="single" w:color="000000" w:sz="4" w:space="0"/>
              <w:left w:val="single" w:color="000000" w:sz="4" w:space="0"/>
              <w:bottom w:val="single" w:color="000000" w:sz="4" w:space="0"/>
              <w:right w:val="single" w:color="000000" w:sz="4" w:space="0"/>
            </w:tcBorders>
            <w:vAlign w:val="center"/>
          </w:tcPr>
          <w:p w14:paraId="431351B6">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服务对象满意度指标</w:t>
            </w:r>
          </w:p>
        </w:tc>
        <w:tc>
          <w:tcPr>
            <w:tcW w:w="1524" w:type="pct"/>
            <w:tcBorders>
              <w:top w:val="single" w:color="000000" w:sz="4" w:space="0"/>
              <w:left w:val="single" w:color="000000" w:sz="4" w:space="0"/>
              <w:bottom w:val="single" w:color="000000" w:sz="4" w:space="0"/>
              <w:right w:val="single" w:color="000000" w:sz="4" w:space="0"/>
            </w:tcBorders>
            <w:vAlign w:val="center"/>
          </w:tcPr>
          <w:p w14:paraId="57328324">
            <w:pPr>
              <w:widowControl/>
              <w:spacing w:line="240" w:lineRule="auto"/>
              <w:ind w:firstLine="0" w:firstLineChars="0"/>
              <w:jc w:val="left"/>
              <w:textAlignment w:val="center"/>
              <w:rPr>
                <w:rFonts w:hint="eastAsia" w:cs="宋体"/>
                <w:color w:val="000000"/>
                <w:sz w:val="22"/>
                <w:szCs w:val="22"/>
                <w:highlight w:val="none"/>
              </w:rPr>
            </w:pPr>
            <w:r>
              <w:rPr>
                <w:rFonts w:hint="eastAsia" w:cs="宋体"/>
                <w:color w:val="000000"/>
                <w:kern w:val="0"/>
                <w:sz w:val="22"/>
                <w:szCs w:val="22"/>
                <w:highlight w:val="none"/>
                <w:lang w:bidi="ar"/>
              </w:rPr>
              <w:t>用户满意度</w:t>
            </w:r>
          </w:p>
        </w:tc>
        <w:tc>
          <w:tcPr>
            <w:tcW w:w="779" w:type="pct"/>
            <w:tcBorders>
              <w:top w:val="single" w:color="000000" w:sz="4" w:space="0"/>
              <w:left w:val="single" w:color="000000" w:sz="4" w:space="0"/>
              <w:bottom w:val="single" w:color="000000" w:sz="4" w:space="0"/>
              <w:right w:val="single" w:color="000000" w:sz="4" w:space="0"/>
            </w:tcBorders>
            <w:vAlign w:val="center"/>
          </w:tcPr>
          <w:p w14:paraId="47DDD59E">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≥90%</w:t>
            </w:r>
          </w:p>
        </w:tc>
        <w:tc>
          <w:tcPr>
            <w:tcW w:w="672" w:type="pct"/>
            <w:tcBorders>
              <w:top w:val="single" w:color="000000" w:sz="4" w:space="0"/>
              <w:left w:val="single" w:color="000000" w:sz="4" w:space="0"/>
              <w:bottom w:val="single" w:color="000000" w:sz="4" w:space="0"/>
              <w:right w:val="single" w:color="000000" w:sz="4" w:space="0"/>
            </w:tcBorders>
            <w:vAlign w:val="center"/>
          </w:tcPr>
          <w:p w14:paraId="2458EA90">
            <w:pPr>
              <w:widowControl/>
              <w:spacing w:line="240" w:lineRule="auto"/>
              <w:ind w:firstLine="0" w:firstLineChars="0"/>
              <w:jc w:val="center"/>
              <w:textAlignment w:val="center"/>
              <w:rPr>
                <w:rFonts w:hint="eastAsia" w:cs="宋体"/>
                <w:color w:val="000000"/>
                <w:sz w:val="22"/>
                <w:szCs w:val="22"/>
                <w:highlight w:val="none"/>
              </w:rPr>
            </w:pPr>
            <w:r>
              <w:rPr>
                <w:rFonts w:hint="eastAsia" w:cs="宋体"/>
                <w:color w:val="000000"/>
                <w:kern w:val="0"/>
                <w:sz w:val="22"/>
                <w:szCs w:val="22"/>
                <w:highlight w:val="none"/>
                <w:lang w:bidi="ar"/>
              </w:rPr>
              <w:t>≥90%</w:t>
            </w:r>
          </w:p>
        </w:tc>
      </w:tr>
    </w:tbl>
    <w:p w14:paraId="5421C061">
      <w:pPr>
        <w:pStyle w:val="4"/>
        <w:rPr>
          <w:rFonts w:hint="eastAsia"/>
          <w:highlight w:val="none"/>
        </w:rPr>
      </w:pPr>
      <w:bookmarkStart w:id="177" w:name="_Toc29230"/>
      <w:bookmarkStart w:id="178" w:name="_Toc13921"/>
      <w:bookmarkStart w:id="179" w:name="_Toc16254"/>
      <w:bookmarkStart w:id="180" w:name="_Toc18582"/>
      <w:bookmarkStart w:id="181" w:name="_Toc31192"/>
      <w:bookmarkStart w:id="182" w:name="_Toc14736"/>
      <w:bookmarkStart w:id="183" w:name="_Toc233795191"/>
      <w:bookmarkStart w:id="184" w:name="_Toc24621"/>
      <w:r>
        <w:rPr>
          <w:rFonts w:hint="eastAsia"/>
          <w:highlight w:val="none"/>
        </w:rPr>
        <w:t>其他要求</w:t>
      </w:r>
      <w:bookmarkEnd w:id="177"/>
      <w:bookmarkEnd w:id="178"/>
      <w:bookmarkEnd w:id="179"/>
      <w:bookmarkEnd w:id="180"/>
      <w:bookmarkEnd w:id="181"/>
      <w:bookmarkEnd w:id="182"/>
      <w:bookmarkEnd w:id="183"/>
      <w:bookmarkEnd w:id="184"/>
    </w:p>
    <w:p w14:paraId="2DDE2315">
      <w:pPr>
        <w:pStyle w:val="5"/>
        <w:rPr>
          <w:rFonts w:hint="eastAsia"/>
          <w:highlight w:val="none"/>
        </w:rPr>
      </w:pPr>
      <w:bookmarkStart w:id="185" w:name="_Toc4861"/>
      <w:bookmarkStart w:id="186" w:name="_Toc24822"/>
      <w:bookmarkStart w:id="187" w:name="_Toc22698"/>
      <w:bookmarkStart w:id="188" w:name="_Toc6950"/>
      <w:r>
        <w:rPr>
          <w:rFonts w:hint="eastAsia"/>
          <w:highlight w:val="none"/>
        </w:rPr>
        <w:t>安全等级保护要求</w:t>
      </w:r>
      <w:bookmarkEnd w:id="185"/>
      <w:bookmarkEnd w:id="186"/>
      <w:bookmarkEnd w:id="187"/>
      <w:bookmarkEnd w:id="188"/>
    </w:p>
    <w:p w14:paraId="3DF49EF1">
      <w:pPr>
        <w:pStyle w:val="32"/>
        <w:ind w:firstLine="480"/>
        <w:rPr>
          <w:rFonts w:hint="eastAsia"/>
          <w:highlight w:val="none"/>
        </w:rPr>
      </w:pPr>
      <w:r>
        <w:rPr>
          <w:rFonts w:hint="eastAsia"/>
          <w:highlight w:val="none"/>
        </w:rPr>
        <w:t>★投标人应标的网站集约化平台是按照安全等级保护测评二级要求设计建设，投标人须承诺，系统保障及维护等技术方面，要按照安全等级保护二级要求进行，并协助采购人在管理方面达到安全等级保护二级要求；在系统使用过程中，若采购人对系统进行安全等级保护二级测评，对于技术方面需要整改的，中标人应进行整改。（投标时提供承诺函，可参照“投标文件格式”中《承诺函》格式）</w:t>
      </w:r>
    </w:p>
    <w:p w14:paraId="6C8253DF">
      <w:pPr>
        <w:pStyle w:val="5"/>
        <w:rPr>
          <w:rFonts w:hint="eastAsia"/>
          <w:highlight w:val="none"/>
        </w:rPr>
      </w:pPr>
      <w:bookmarkStart w:id="189" w:name="_Toc18842"/>
      <w:bookmarkStart w:id="190" w:name="_Toc10103"/>
      <w:bookmarkStart w:id="191" w:name="_Toc20700"/>
      <w:bookmarkStart w:id="192" w:name="_Toc233795192"/>
      <w:bookmarkStart w:id="193" w:name="_Toc8227"/>
      <w:bookmarkStart w:id="194" w:name="_Toc20678"/>
      <w:bookmarkStart w:id="195" w:name="_Toc22350"/>
      <w:bookmarkStart w:id="196" w:name="_Toc21965"/>
      <w:r>
        <w:rPr>
          <w:rFonts w:hint="eastAsia"/>
          <w:highlight w:val="none"/>
        </w:rPr>
        <w:t>采购要求</w:t>
      </w:r>
      <w:bookmarkEnd w:id="189"/>
      <w:bookmarkEnd w:id="190"/>
      <w:bookmarkEnd w:id="191"/>
      <w:bookmarkEnd w:id="192"/>
      <w:bookmarkEnd w:id="193"/>
      <w:bookmarkEnd w:id="194"/>
      <w:bookmarkEnd w:id="195"/>
    </w:p>
    <w:p w14:paraId="5ED8876C">
      <w:pPr>
        <w:ind w:firstLine="480"/>
        <w:rPr>
          <w:rFonts w:hint="default"/>
          <w:highlight w:val="none"/>
          <w:lang w:val="en-US"/>
        </w:rPr>
      </w:pPr>
      <w:r>
        <w:rPr>
          <w:rFonts w:hint="eastAsia"/>
          <w:highlight w:val="none"/>
        </w:rPr>
        <w:t>1、本项目非主体、非关键性工作允许分包，包括以下内容：①</w:t>
      </w:r>
      <w:r>
        <w:rPr>
          <w:highlight w:val="none"/>
        </w:rPr>
        <w:t>集约化平台运维服务</w:t>
      </w:r>
      <w:r>
        <w:rPr>
          <w:rFonts w:hint="eastAsia"/>
          <w:highlight w:val="none"/>
        </w:rPr>
        <w:t>：省政府</w:t>
      </w:r>
      <w:r>
        <w:rPr>
          <w:highlight w:val="none"/>
        </w:rPr>
        <w:t>网站集约化平台汕头分平台服务器巡检</w:t>
      </w:r>
      <w:r>
        <w:rPr>
          <w:rFonts w:hint="eastAsia"/>
          <w:highlight w:val="none"/>
        </w:rPr>
        <w:t>、</w:t>
      </w:r>
      <w:r>
        <w:rPr>
          <w:highlight w:val="none"/>
        </w:rPr>
        <w:t>平台配套应用软件巡检和维护</w:t>
      </w:r>
      <w:r>
        <w:rPr>
          <w:rFonts w:hint="eastAsia"/>
          <w:highlight w:val="none"/>
          <w:lang w:eastAsia="zh-CN"/>
        </w:rPr>
        <w:t>、</w:t>
      </w:r>
      <w:r>
        <w:rPr>
          <w:highlight w:val="none"/>
        </w:rPr>
        <w:t>党群网站集约化平台运维中日常巡检服务</w:t>
      </w:r>
      <w:r>
        <w:rPr>
          <w:rFonts w:hint="eastAsia"/>
          <w:highlight w:val="none"/>
        </w:rPr>
        <w:t>；②</w:t>
      </w:r>
      <w:r>
        <w:rPr>
          <w:highlight w:val="none"/>
        </w:rPr>
        <w:t>适老化无障碍维护服务</w:t>
      </w:r>
      <w:r>
        <w:rPr>
          <w:rFonts w:hint="eastAsia"/>
          <w:highlight w:val="none"/>
        </w:rPr>
        <w:t>：</w:t>
      </w:r>
      <w:r>
        <w:rPr>
          <w:highlight w:val="none"/>
        </w:rPr>
        <w:t>日常巡检服务</w:t>
      </w:r>
      <w:r>
        <w:rPr>
          <w:rFonts w:hint="eastAsia"/>
          <w:highlight w:val="none"/>
        </w:rPr>
        <w:t>；③</w:t>
      </w:r>
      <w:r>
        <w:rPr>
          <w:highlight w:val="none"/>
        </w:rPr>
        <w:t>网站及新媒体监测服务</w:t>
      </w:r>
      <w:r>
        <w:rPr>
          <w:rFonts w:hint="eastAsia"/>
          <w:highlight w:val="none"/>
        </w:rPr>
        <w:t>。</w:t>
      </w:r>
      <w:r>
        <w:rPr>
          <w:rFonts w:hint="default" w:ascii="宋体" w:hAnsi="宋体" w:eastAsia="宋体" w:cstheme="minorBidi"/>
          <w:spacing w:val="0"/>
          <w:sz w:val="24"/>
          <w:szCs w:val="21"/>
          <w:highlight w:val="none"/>
          <w:lang w:eastAsia="zh-CN"/>
        </w:rPr>
        <w:t>分包内容的金额比例</w:t>
      </w:r>
      <w:r>
        <w:rPr>
          <w:rFonts w:hint="eastAsia" w:cstheme="minorBidi"/>
          <w:spacing w:val="0"/>
          <w:sz w:val="24"/>
          <w:szCs w:val="21"/>
          <w:highlight w:val="none"/>
          <w:lang w:val="en-US" w:eastAsia="zh-CN"/>
        </w:rPr>
        <w:t>为42.18%。</w:t>
      </w:r>
    </w:p>
    <w:p w14:paraId="33D02C5A">
      <w:pPr>
        <w:ind w:firstLine="480"/>
        <w:rPr>
          <w:rFonts w:hint="eastAsia"/>
          <w:highlight w:val="none"/>
        </w:rPr>
      </w:pPr>
      <w:r>
        <w:rPr>
          <w:rFonts w:hint="eastAsia"/>
          <w:highlight w:val="none"/>
        </w:rPr>
        <w:t>2、★本项目除采购人明确允许分包的服务内容外，其他服务内容投标人必须承诺中标后不得进行转包、分包，一经发现，采购人有权按合同规定执行单方面解除合同、罚款、扣除未支付款项、上报政府采购监管部门等反制手段。（投标时提供承诺函，可参照“投标文件格式”中《承诺函》格式）</w:t>
      </w:r>
    </w:p>
    <w:p w14:paraId="544244AC">
      <w:pPr>
        <w:ind w:firstLine="480"/>
        <w:rPr>
          <w:rFonts w:hint="eastAsia"/>
          <w:highlight w:val="none"/>
        </w:rPr>
      </w:pPr>
      <w:r>
        <w:rPr>
          <w:rFonts w:hint="eastAsia"/>
          <w:highlight w:val="none"/>
        </w:rPr>
        <w:t>3、★投标人承诺如中标（成交），投标（响应）文件所提供的材料，如果有效期（包括需要年审、继续教育等完成后才能执业的行政许可、人员证书等情形）未能覆盖项目（包组）合同履行期的，将提前按规定办理延期手续，确保合同顺利履行。（投标时提供承诺函，可参照“投标文件格式”中《承诺函》格式）</w:t>
      </w:r>
    </w:p>
    <w:p w14:paraId="0D515B5F">
      <w:pPr>
        <w:ind w:firstLine="480"/>
        <w:rPr>
          <w:rFonts w:hint="eastAsia"/>
          <w:highlight w:val="none"/>
        </w:rPr>
      </w:pPr>
      <w:r>
        <w:rPr>
          <w:rFonts w:hint="eastAsia"/>
          <w:highlight w:val="none"/>
        </w:rPr>
        <w:t>4、采购文件所要求的证书、资质等材料，如有有效期限制的，供应商所提供的资质、证书等材料均应处于有效期内，否则按无效材料处理。</w:t>
      </w:r>
    </w:p>
    <w:p w14:paraId="052AF9AC">
      <w:pPr>
        <w:ind w:firstLine="480"/>
        <w:rPr>
          <w:rFonts w:hint="eastAsia"/>
          <w:highlight w:val="none"/>
        </w:rPr>
      </w:pPr>
      <w:r>
        <w:rPr>
          <w:rFonts w:hint="eastAsia"/>
          <w:highlight w:val="none"/>
        </w:rPr>
        <w:t>5、本项目属于服务类，中小企业划分标准所属行业为：软件和信息技术服务业。需要落实的政府采购政策：《政府采购促进中小企业发展管理办法》（财库〔2020〕46号）、《关于政府采购支持监狱企业发展有关问题的通知》(财库〔2014〕68号)、《关于促进残疾人就业政府采购政策的通知》（财库〔2017〕141号)等。</w:t>
      </w:r>
    </w:p>
    <w:p w14:paraId="5CB8EAC3">
      <w:pPr>
        <w:pStyle w:val="5"/>
        <w:rPr>
          <w:rFonts w:hint="eastAsia"/>
          <w:highlight w:val="none"/>
        </w:rPr>
      </w:pPr>
      <w:bookmarkStart w:id="197" w:name="_Toc233795193"/>
      <w:bookmarkStart w:id="198" w:name="_Toc31778"/>
      <w:bookmarkStart w:id="199" w:name="_Toc781"/>
      <w:bookmarkStart w:id="200" w:name="_Toc16590"/>
      <w:bookmarkStart w:id="201" w:name="_Toc31145"/>
      <w:bookmarkStart w:id="202" w:name="_Toc11527"/>
      <w:bookmarkStart w:id="203" w:name="_Toc21193"/>
      <w:r>
        <w:rPr>
          <w:rFonts w:hint="eastAsia"/>
          <w:highlight w:val="none"/>
        </w:rPr>
        <w:t>管理要求</w:t>
      </w:r>
      <w:bookmarkEnd w:id="197"/>
      <w:bookmarkEnd w:id="198"/>
      <w:bookmarkEnd w:id="199"/>
      <w:bookmarkEnd w:id="200"/>
      <w:bookmarkEnd w:id="201"/>
      <w:bookmarkEnd w:id="202"/>
      <w:bookmarkEnd w:id="203"/>
    </w:p>
    <w:p w14:paraId="3D132C48">
      <w:pPr>
        <w:pStyle w:val="6"/>
        <w:rPr>
          <w:rFonts w:hint="eastAsia"/>
          <w:highlight w:val="none"/>
        </w:rPr>
      </w:pPr>
      <w:r>
        <w:rPr>
          <w:rFonts w:hint="eastAsia"/>
          <w:highlight w:val="none"/>
        </w:rPr>
        <w:t>管理总体要求</w:t>
      </w:r>
    </w:p>
    <w:p w14:paraId="2396A026">
      <w:pPr>
        <w:ind w:firstLine="480"/>
        <w:rPr>
          <w:rFonts w:hint="eastAsia"/>
          <w:highlight w:val="none"/>
        </w:rPr>
      </w:pPr>
      <w:r>
        <w:rPr>
          <w:rFonts w:hint="eastAsia"/>
          <w:highlight w:val="none"/>
        </w:rPr>
        <w:t>中标人在项目正式投入运维运营前，需提供但不限于如下相关管理制度：</w:t>
      </w:r>
    </w:p>
    <w:p w14:paraId="648A8B0C">
      <w:pPr>
        <w:ind w:firstLine="480"/>
        <w:rPr>
          <w:rFonts w:hint="eastAsia"/>
          <w:highlight w:val="none"/>
        </w:rPr>
      </w:pPr>
      <w:r>
        <w:rPr>
          <w:rFonts w:hint="eastAsia"/>
          <w:highlight w:val="none"/>
        </w:rPr>
        <w:t>1、项目人员管理制度，包括项目经理、运维经理、技术人员、运维人员、驻点人员岗位职责，人员分工，人员调配等内容；</w:t>
      </w:r>
    </w:p>
    <w:p w14:paraId="320542DF">
      <w:pPr>
        <w:ind w:firstLine="480"/>
        <w:rPr>
          <w:rFonts w:hint="eastAsia"/>
          <w:highlight w:val="none"/>
        </w:rPr>
      </w:pPr>
      <w:r>
        <w:rPr>
          <w:rFonts w:hint="eastAsia"/>
          <w:highlight w:val="none"/>
        </w:rPr>
        <w:t>2、项目风险管理制度，包括系统升级改造、系统运维、系统业务运营存在的潜在风险分析，应对措施及解决方案等；</w:t>
      </w:r>
    </w:p>
    <w:p w14:paraId="0EE333FD">
      <w:pPr>
        <w:ind w:firstLine="480"/>
        <w:rPr>
          <w:rFonts w:hint="eastAsia"/>
          <w:highlight w:val="none"/>
        </w:rPr>
      </w:pPr>
      <w:r>
        <w:rPr>
          <w:rFonts w:hint="eastAsia"/>
          <w:highlight w:val="none"/>
        </w:rPr>
        <w:t>3、项目应急管理制度，针对系统升级、系统故障等情况，提出相应的应急预案及处置办法；</w:t>
      </w:r>
    </w:p>
    <w:p w14:paraId="3D4E359F">
      <w:pPr>
        <w:ind w:firstLine="480"/>
        <w:rPr>
          <w:rFonts w:hint="eastAsia"/>
          <w:highlight w:val="none"/>
        </w:rPr>
      </w:pPr>
      <w:r>
        <w:rPr>
          <w:rFonts w:hint="eastAsia"/>
          <w:highlight w:val="none"/>
        </w:rPr>
        <w:t>4、项目变更管理制度，针对项目实施过程中出现的需求、人员、进度、成本等方面的变更，需要指定变更流程和准则；</w:t>
      </w:r>
    </w:p>
    <w:p w14:paraId="7C6BDDE3">
      <w:pPr>
        <w:ind w:firstLine="480"/>
        <w:rPr>
          <w:rFonts w:hint="eastAsia"/>
          <w:highlight w:val="none"/>
        </w:rPr>
      </w:pPr>
      <w:r>
        <w:rPr>
          <w:rFonts w:hint="eastAsia"/>
          <w:highlight w:val="none"/>
        </w:rPr>
        <w:t>5、数据安全管理制度，提出数据安全保障制度及相关措施；</w:t>
      </w:r>
    </w:p>
    <w:p w14:paraId="512C5875">
      <w:pPr>
        <w:ind w:firstLine="480"/>
        <w:rPr>
          <w:rFonts w:hint="eastAsia"/>
          <w:highlight w:val="none"/>
        </w:rPr>
      </w:pPr>
      <w:r>
        <w:rPr>
          <w:rFonts w:hint="eastAsia"/>
          <w:highlight w:val="none"/>
        </w:rPr>
        <w:t>6、项目文档管理制度，提出系统优化、系统运维、业务运营各阶段的文档成果，文档管理流程、审核流程、交付流程等；</w:t>
      </w:r>
    </w:p>
    <w:p w14:paraId="2D4A583F">
      <w:pPr>
        <w:ind w:firstLine="480"/>
        <w:rPr>
          <w:rFonts w:hint="eastAsia"/>
          <w:highlight w:val="none"/>
        </w:rPr>
      </w:pPr>
      <w:r>
        <w:rPr>
          <w:rFonts w:hint="eastAsia"/>
          <w:highlight w:val="none"/>
        </w:rPr>
        <w:t>7、系统运维管理制度，提出系统运维范围、对象、内容，运维方法、应急响应等内容；</w:t>
      </w:r>
    </w:p>
    <w:p w14:paraId="18283744">
      <w:pPr>
        <w:ind w:firstLine="480"/>
        <w:rPr>
          <w:rFonts w:hint="eastAsia"/>
          <w:highlight w:val="none"/>
        </w:rPr>
      </w:pPr>
      <w:r>
        <w:rPr>
          <w:rFonts w:hint="eastAsia"/>
          <w:highlight w:val="none"/>
        </w:rPr>
        <w:t>具体以采购人项目实际需求为准，满足采购人项目管理要求。</w:t>
      </w:r>
    </w:p>
    <w:p w14:paraId="59DCDF07">
      <w:pPr>
        <w:pStyle w:val="6"/>
        <w:rPr>
          <w:rFonts w:hint="eastAsia"/>
          <w:highlight w:val="none"/>
        </w:rPr>
      </w:pPr>
      <w:r>
        <w:rPr>
          <w:rFonts w:hint="eastAsia"/>
          <w:highlight w:val="none"/>
        </w:rPr>
        <w:t>质量管理要求</w:t>
      </w:r>
    </w:p>
    <w:p w14:paraId="0964F9A5">
      <w:pPr>
        <w:pStyle w:val="32"/>
        <w:ind w:firstLine="480"/>
        <w:rPr>
          <w:rFonts w:hint="eastAsia"/>
          <w:highlight w:val="none"/>
        </w:rPr>
      </w:pPr>
      <w:r>
        <w:rPr>
          <w:rFonts w:hint="eastAsia"/>
          <w:highlight w:val="none"/>
        </w:rPr>
        <w:t>★中标人须按采购人制定的项目质量管理要求开展服务，无条件接受采购人对项目质量管理要求落实情况的监督考核。包括但不限于：根据采购人提出的项目运维期需重点解决问题清单合理制定解决方案，在项目实施过程中将问题予以解决，确保项目服务质量；根据采购人提出的项目管理制度清单，编制相应的项目管理制度文件，进一步规范项目实施过程；根据采购人提出服务团队岗位职责清单，制定岗位职责手册，定岗定人，确保各核心岗位均指派能胜任的专人提供服务。（投标时提供承诺函，可参照“投标文件格式”中《承诺函》格式）</w:t>
      </w:r>
    </w:p>
    <w:p w14:paraId="01C9EA37">
      <w:pPr>
        <w:pStyle w:val="32"/>
        <w:ind w:firstLine="480"/>
        <w:rPr>
          <w:rFonts w:hint="eastAsia"/>
          <w:highlight w:val="none"/>
        </w:rPr>
      </w:pPr>
      <w:r>
        <w:rPr>
          <w:rFonts w:hint="eastAsia"/>
          <w:highlight w:val="none"/>
        </w:rPr>
        <w:t>为保证本项目能按时高质量的顺利完成，规避项目风险或将风险降至最低程度，中标人应建立项目质量管理体系，包括但不限于质量目标、质量指标、岗位责任、问题处理计划、质量评价、整改完善等内容，并建立团队内部奖惩制度。</w:t>
      </w:r>
    </w:p>
    <w:p w14:paraId="3A2AE718">
      <w:pPr>
        <w:ind w:firstLine="480"/>
        <w:rPr>
          <w:rFonts w:hint="eastAsia"/>
          <w:highlight w:val="none"/>
        </w:rPr>
      </w:pPr>
      <w:r>
        <w:rPr>
          <w:rFonts w:hint="eastAsia"/>
          <w:highlight w:val="none"/>
        </w:rPr>
        <w:t>质量管理专项工作要求：</w:t>
      </w:r>
    </w:p>
    <w:tbl>
      <w:tblPr>
        <w:tblStyle w:val="33"/>
        <w:tblW w:w="4998"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1218"/>
        <w:gridCol w:w="1239"/>
        <w:gridCol w:w="2708"/>
        <w:gridCol w:w="2363"/>
      </w:tblGrid>
      <w:tr w14:paraId="161F4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trPr>
        <w:tc>
          <w:tcPr>
            <w:tcW w:w="461" w:type="pct"/>
            <w:shd w:val="clear" w:color="auto" w:fill="F1F1F1" w:themeFill="background1" w:themeFillShade="F2"/>
            <w:vAlign w:val="center"/>
          </w:tcPr>
          <w:p w14:paraId="1AF05685">
            <w:pPr>
              <w:spacing w:line="240" w:lineRule="auto"/>
              <w:ind w:firstLine="0" w:firstLineChars="0"/>
              <w:rPr>
                <w:rFonts w:hint="eastAsia"/>
                <w:b/>
                <w:bCs/>
                <w:highlight w:val="none"/>
              </w:rPr>
            </w:pPr>
            <w:r>
              <w:rPr>
                <w:b/>
                <w:bCs/>
                <w:highlight w:val="none"/>
              </w:rPr>
              <w:t>序号</w:t>
            </w:r>
          </w:p>
        </w:tc>
        <w:tc>
          <w:tcPr>
            <w:tcW w:w="734" w:type="pct"/>
            <w:shd w:val="clear" w:color="auto" w:fill="F1F1F1" w:themeFill="background1" w:themeFillShade="F2"/>
            <w:vAlign w:val="center"/>
          </w:tcPr>
          <w:p w14:paraId="1133EBC9">
            <w:pPr>
              <w:spacing w:line="240" w:lineRule="auto"/>
              <w:ind w:firstLine="0" w:firstLineChars="0"/>
              <w:rPr>
                <w:rFonts w:hint="eastAsia"/>
                <w:b/>
                <w:bCs/>
                <w:highlight w:val="none"/>
              </w:rPr>
            </w:pPr>
            <w:r>
              <w:rPr>
                <w:b/>
                <w:bCs/>
                <w:highlight w:val="none"/>
              </w:rPr>
              <w:t>需求分类</w:t>
            </w:r>
          </w:p>
        </w:tc>
        <w:tc>
          <w:tcPr>
            <w:tcW w:w="747" w:type="pct"/>
            <w:shd w:val="clear" w:color="auto" w:fill="F1F1F1" w:themeFill="background1" w:themeFillShade="F2"/>
            <w:vAlign w:val="center"/>
          </w:tcPr>
          <w:p w14:paraId="0FE92BBB">
            <w:pPr>
              <w:spacing w:line="240" w:lineRule="auto"/>
              <w:ind w:firstLine="0" w:firstLineChars="0"/>
              <w:rPr>
                <w:rFonts w:hint="eastAsia"/>
                <w:b/>
                <w:bCs/>
                <w:highlight w:val="none"/>
              </w:rPr>
            </w:pPr>
            <w:r>
              <w:rPr>
                <w:b/>
                <w:bCs/>
                <w:highlight w:val="none"/>
              </w:rPr>
              <w:t>优化方向</w:t>
            </w:r>
          </w:p>
        </w:tc>
        <w:tc>
          <w:tcPr>
            <w:tcW w:w="1632" w:type="pct"/>
            <w:shd w:val="clear" w:color="auto" w:fill="F1F1F1" w:themeFill="background1" w:themeFillShade="F2"/>
            <w:vAlign w:val="center"/>
          </w:tcPr>
          <w:p w14:paraId="7F3F50C3">
            <w:pPr>
              <w:spacing w:line="240" w:lineRule="auto"/>
              <w:ind w:firstLine="0" w:firstLineChars="0"/>
              <w:rPr>
                <w:rFonts w:hint="eastAsia"/>
                <w:b/>
                <w:bCs/>
                <w:highlight w:val="none"/>
              </w:rPr>
            </w:pPr>
            <w:r>
              <w:rPr>
                <w:b/>
                <w:bCs/>
                <w:highlight w:val="none"/>
              </w:rPr>
              <w:t>具体描述</w:t>
            </w:r>
          </w:p>
        </w:tc>
        <w:tc>
          <w:tcPr>
            <w:tcW w:w="1424" w:type="pct"/>
            <w:shd w:val="clear" w:color="auto" w:fill="F1F1F1" w:themeFill="background1" w:themeFillShade="F2"/>
            <w:vAlign w:val="center"/>
          </w:tcPr>
          <w:p w14:paraId="3B0A5302">
            <w:pPr>
              <w:spacing w:line="240" w:lineRule="auto"/>
              <w:ind w:firstLine="0" w:firstLineChars="0"/>
              <w:rPr>
                <w:rFonts w:hint="eastAsia"/>
                <w:b/>
                <w:bCs/>
                <w:highlight w:val="none"/>
              </w:rPr>
            </w:pPr>
            <w:r>
              <w:rPr>
                <w:b/>
                <w:bCs/>
                <w:highlight w:val="none"/>
              </w:rPr>
              <w:t>需要达到的目标</w:t>
            </w:r>
          </w:p>
        </w:tc>
      </w:tr>
      <w:tr w14:paraId="1F3A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61" w:type="pct"/>
            <w:vAlign w:val="center"/>
          </w:tcPr>
          <w:p w14:paraId="499F08F8">
            <w:pPr>
              <w:spacing w:line="240" w:lineRule="auto"/>
              <w:ind w:firstLine="0" w:firstLineChars="0"/>
              <w:rPr>
                <w:rFonts w:hint="eastAsia"/>
                <w:highlight w:val="none"/>
              </w:rPr>
            </w:pPr>
            <w:r>
              <w:rPr>
                <w:highlight w:val="none"/>
              </w:rPr>
              <w:t>1</w:t>
            </w:r>
          </w:p>
        </w:tc>
        <w:tc>
          <w:tcPr>
            <w:tcW w:w="734" w:type="pct"/>
            <w:vMerge w:val="restart"/>
            <w:vAlign w:val="center"/>
          </w:tcPr>
          <w:p w14:paraId="7527EBC8">
            <w:pPr>
              <w:spacing w:line="240" w:lineRule="auto"/>
              <w:ind w:firstLine="0" w:firstLineChars="0"/>
              <w:rPr>
                <w:rFonts w:hint="eastAsia"/>
                <w:highlight w:val="none"/>
              </w:rPr>
            </w:pPr>
            <w:r>
              <w:rPr>
                <w:highlight w:val="none"/>
              </w:rPr>
              <w:t>进一步</w:t>
            </w:r>
            <w:r>
              <w:rPr>
                <w:rFonts w:hint="eastAsia"/>
                <w:highlight w:val="none"/>
              </w:rPr>
              <w:t>提升</w:t>
            </w:r>
            <w:r>
              <w:rPr>
                <w:highlight w:val="none"/>
              </w:rPr>
              <w:t>系统运维</w:t>
            </w:r>
            <w:r>
              <w:rPr>
                <w:rFonts w:hint="eastAsia"/>
                <w:highlight w:val="none"/>
              </w:rPr>
              <w:t>水平</w:t>
            </w:r>
          </w:p>
          <w:p w14:paraId="178D41C2">
            <w:pPr>
              <w:spacing w:line="240" w:lineRule="auto"/>
              <w:ind w:firstLine="0" w:firstLineChars="0"/>
              <w:rPr>
                <w:rFonts w:hint="eastAsia"/>
                <w:highlight w:val="none"/>
              </w:rPr>
            </w:pPr>
          </w:p>
        </w:tc>
        <w:tc>
          <w:tcPr>
            <w:tcW w:w="747" w:type="pct"/>
            <w:vAlign w:val="center"/>
          </w:tcPr>
          <w:p w14:paraId="21206ABF">
            <w:pPr>
              <w:spacing w:line="240" w:lineRule="auto"/>
              <w:ind w:firstLine="0" w:firstLineChars="0"/>
              <w:rPr>
                <w:rFonts w:hint="eastAsia"/>
                <w:highlight w:val="none"/>
              </w:rPr>
            </w:pPr>
            <w:r>
              <w:rPr>
                <w:highlight w:val="none"/>
              </w:rPr>
              <w:t>强化运维人员运维服务支撑能力</w:t>
            </w:r>
          </w:p>
        </w:tc>
        <w:tc>
          <w:tcPr>
            <w:tcW w:w="1632" w:type="pct"/>
            <w:vAlign w:val="center"/>
          </w:tcPr>
          <w:p w14:paraId="73ABEEDC">
            <w:pPr>
              <w:spacing w:line="240" w:lineRule="auto"/>
              <w:ind w:firstLine="0" w:firstLineChars="0"/>
              <w:rPr>
                <w:rFonts w:hint="eastAsia"/>
                <w:highlight w:val="none"/>
              </w:rPr>
            </w:pPr>
            <w:r>
              <w:rPr>
                <w:highlight w:val="none"/>
              </w:rPr>
              <w:t>加强运维人员培训，提高运维能力，提升驻点支撑服务水平</w:t>
            </w:r>
          </w:p>
        </w:tc>
        <w:tc>
          <w:tcPr>
            <w:tcW w:w="1424" w:type="pct"/>
            <w:vAlign w:val="center"/>
          </w:tcPr>
          <w:p w14:paraId="25F76715">
            <w:pPr>
              <w:spacing w:line="240" w:lineRule="auto"/>
              <w:ind w:firstLine="0" w:firstLineChars="0"/>
              <w:rPr>
                <w:rFonts w:hint="eastAsia"/>
                <w:highlight w:val="none"/>
              </w:rPr>
            </w:pPr>
            <w:r>
              <w:rPr>
                <w:highlight w:val="none"/>
              </w:rPr>
              <w:t>根据人员培训计划， 完成相应培训工作，并定期组织人员加强相关工作技能学习</w:t>
            </w:r>
            <w:r>
              <w:rPr>
                <w:rFonts w:hint="eastAsia"/>
                <w:highlight w:val="none"/>
              </w:rPr>
              <w:t>。</w:t>
            </w:r>
          </w:p>
        </w:tc>
      </w:tr>
      <w:tr w14:paraId="6D8B5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61" w:type="pct"/>
            <w:vAlign w:val="center"/>
          </w:tcPr>
          <w:p w14:paraId="1D6FA226">
            <w:pPr>
              <w:spacing w:line="240" w:lineRule="auto"/>
              <w:ind w:firstLine="0" w:firstLineChars="0"/>
              <w:rPr>
                <w:rFonts w:hint="eastAsia"/>
                <w:highlight w:val="none"/>
              </w:rPr>
            </w:pPr>
            <w:r>
              <w:rPr>
                <w:highlight w:val="none"/>
              </w:rPr>
              <w:t>2</w:t>
            </w:r>
          </w:p>
        </w:tc>
        <w:tc>
          <w:tcPr>
            <w:tcW w:w="734" w:type="pct"/>
            <w:vMerge w:val="continue"/>
            <w:vAlign w:val="center"/>
          </w:tcPr>
          <w:p w14:paraId="5EAC590E">
            <w:pPr>
              <w:spacing w:line="240" w:lineRule="auto"/>
              <w:ind w:firstLine="0" w:firstLineChars="0"/>
              <w:rPr>
                <w:rFonts w:hint="eastAsia"/>
                <w:highlight w:val="none"/>
              </w:rPr>
            </w:pPr>
          </w:p>
        </w:tc>
        <w:tc>
          <w:tcPr>
            <w:tcW w:w="747" w:type="pct"/>
            <w:vAlign w:val="center"/>
          </w:tcPr>
          <w:p w14:paraId="14E15258">
            <w:pPr>
              <w:spacing w:line="240" w:lineRule="auto"/>
              <w:ind w:firstLine="0" w:firstLineChars="0"/>
              <w:rPr>
                <w:rFonts w:hint="eastAsia"/>
                <w:highlight w:val="none"/>
              </w:rPr>
            </w:pPr>
            <w:r>
              <w:rPr>
                <w:highlight w:val="none"/>
              </w:rPr>
              <w:t>提</w:t>
            </w:r>
            <w:r>
              <w:rPr>
                <w:rFonts w:hint="eastAsia"/>
                <w:sz w:val="21"/>
                <w:highlight w:val="none"/>
              </w:rPr>
              <w:t>高采购人需</w:t>
            </w:r>
            <w:r>
              <w:rPr>
                <w:highlight w:val="none"/>
              </w:rPr>
              <w:t>求响应速度</w:t>
            </w:r>
          </w:p>
        </w:tc>
        <w:tc>
          <w:tcPr>
            <w:tcW w:w="1632" w:type="pct"/>
            <w:vAlign w:val="center"/>
          </w:tcPr>
          <w:p w14:paraId="2320AECC">
            <w:pPr>
              <w:spacing w:line="240" w:lineRule="auto"/>
              <w:ind w:firstLine="0" w:firstLineChars="0"/>
              <w:rPr>
                <w:rFonts w:hint="eastAsia"/>
                <w:highlight w:val="none"/>
              </w:rPr>
            </w:pPr>
            <w:r>
              <w:rPr>
                <w:highlight w:val="none"/>
              </w:rPr>
              <w:t>对于采购人提出的项目运维工作要求，如数据统计、报表输出、工作阶段性总结、系统安全阶段性报告，进一步提高响应速度。</w:t>
            </w:r>
          </w:p>
        </w:tc>
        <w:tc>
          <w:tcPr>
            <w:tcW w:w="1424" w:type="pct"/>
            <w:vAlign w:val="center"/>
          </w:tcPr>
          <w:p w14:paraId="37DE7DC2">
            <w:pPr>
              <w:spacing w:line="240" w:lineRule="auto"/>
              <w:ind w:firstLine="0" w:firstLineChars="0"/>
              <w:rPr>
                <w:rFonts w:hint="eastAsia"/>
                <w:highlight w:val="none"/>
              </w:rPr>
            </w:pPr>
            <w:r>
              <w:rPr>
                <w:highlight w:val="none"/>
              </w:rPr>
              <w:t>对于采购人提出的项目运维工作要求，</w:t>
            </w:r>
            <w:r>
              <w:rPr>
                <w:rFonts w:hint="eastAsia"/>
                <w:highlight w:val="none"/>
              </w:rPr>
              <w:t>驻场人员</w:t>
            </w:r>
            <w:r>
              <w:rPr>
                <w:highlight w:val="none"/>
              </w:rPr>
              <w:t>应当第一时间进行响应，</w:t>
            </w:r>
            <w:r>
              <w:rPr>
                <w:rFonts w:hint="eastAsia"/>
                <w:highlight w:val="none"/>
              </w:rPr>
              <w:t>对于驻场人员无法解决的，应当由有专业能力的技术人员介入，在60分钟内响应，</w:t>
            </w:r>
            <w:r>
              <w:rPr>
                <w:highlight w:val="none"/>
              </w:rPr>
              <w:t>明确</w:t>
            </w:r>
            <w:r>
              <w:rPr>
                <w:rFonts w:hint="eastAsia"/>
                <w:highlight w:val="none"/>
              </w:rPr>
              <w:t>材料</w:t>
            </w:r>
            <w:r>
              <w:rPr>
                <w:highlight w:val="none"/>
              </w:rPr>
              <w:t>提交时间期限，保障材料质量</w:t>
            </w:r>
            <w:r>
              <w:rPr>
                <w:rFonts w:hint="eastAsia"/>
                <w:highlight w:val="none"/>
              </w:rPr>
              <w:t>。</w:t>
            </w:r>
          </w:p>
        </w:tc>
      </w:tr>
      <w:tr w14:paraId="79CE5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61" w:type="pct"/>
            <w:vAlign w:val="center"/>
          </w:tcPr>
          <w:p w14:paraId="15A5527B">
            <w:pPr>
              <w:spacing w:line="240" w:lineRule="auto"/>
              <w:ind w:firstLine="0" w:firstLineChars="0"/>
              <w:rPr>
                <w:rFonts w:hint="eastAsia"/>
                <w:highlight w:val="none"/>
              </w:rPr>
            </w:pPr>
            <w:r>
              <w:rPr>
                <w:rFonts w:hint="eastAsia"/>
                <w:highlight w:val="none"/>
              </w:rPr>
              <w:t>3</w:t>
            </w:r>
          </w:p>
        </w:tc>
        <w:tc>
          <w:tcPr>
            <w:tcW w:w="734" w:type="pct"/>
            <w:vMerge w:val="continue"/>
            <w:vAlign w:val="center"/>
          </w:tcPr>
          <w:p w14:paraId="0259EB90">
            <w:pPr>
              <w:spacing w:line="240" w:lineRule="auto"/>
              <w:ind w:firstLine="0" w:firstLineChars="0"/>
              <w:rPr>
                <w:rFonts w:hint="eastAsia"/>
                <w:highlight w:val="none"/>
              </w:rPr>
            </w:pPr>
          </w:p>
        </w:tc>
        <w:tc>
          <w:tcPr>
            <w:tcW w:w="747" w:type="pct"/>
            <w:vAlign w:val="center"/>
          </w:tcPr>
          <w:p w14:paraId="4EAEB39A">
            <w:pPr>
              <w:spacing w:line="240" w:lineRule="auto"/>
              <w:ind w:firstLine="0" w:firstLineChars="0"/>
              <w:rPr>
                <w:rFonts w:hint="eastAsia"/>
                <w:highlight w:val="none"/>
              </w:rPr>
            </w:pPr>
            <w:r>
              <w:rPr>
                <w:rFonts w:hint="eastAsia"/>
                <w:highlight w:val="none"/>
              </w:rPr>
              <w:t>进一步提升网站运维操作规范</w:t>
            </w:r>
          </w:p>
        </w:tc>
        <w:tc>
          <w:tcPr>
            <w:tcW w:w="1632" w:type="pct"/>
            <w:vAlign w:val="center"/>
          </w:tcPr>
          <w:p w14:paraId="1F2CEEF2">
            <w:pPr>
              <w:spacing w:line="240" w:lineRule="auto"/>
              <w:ind w:firstLine="0" w:firstLineChars="0"/>
              <w:rPr>
                <w:rFonts w:hint="eastAsia"/>
                <w:highlight w:val="none"/>
              </w:rPr>
            </w:pPr>
            <w:r>
              <w:rPr>
                <w:rFonts w:hint="eastAsia"/>
                <w:highlight w:val="none"/>
              </w:rPr>
              <w:t>落实“先审后发”原则，在网站维护上严把政治关、法律关、政策关、保密关、文字关，杜绝涉密、敏感信息上网，转载信息须注明来源并使用权威稿源。在落实版面、图文、链接、栏目、频道等维护时应当对问题形成清单化管理机制，做到有效的闭环管理。</w:t>
            </w:r>
          </w:p>
        </w:tc>
        <w:tc>
          <w:tcPr>
            <w:tcW w:w="1424" w:type="pct"/>
            <w:vAlign w:val="center"/>
          </w:tcPr>
          <w:p w14:paraId="19D775C9">
            <w:pPr>
              <w:spacing w:line="240" w:lineRule="auto"/>
              <w:ind w:firstLine="0" w:firstLineChars="0"/>
              <w:rPr>
                <w:rFonts w:hint="eastAsia"/>
                <w:highlight w:val="none"/>
              </w:rPr>
            </w:pPr>
            <w:r>
              <w:rPr>
                <w:rFonts w:hint="eastAsia"/>
                <w:highlight w:val="none"/>
              </w:rPr>
              <w:t>维护工作应遵循落实政府网站管理有关要求，对问题进行闭环管理。</w:t>
            </w:r>
          </w:p>
        </w:tc>
      </w:tr>
      <w:tr w14:paraId="786D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61" w:type="pct"/>
            <w:vAlign w:val="center"/>
          </w:tcPr>
          <w:p w14:paraId="7C269824">
            <w:pPr>
              <w:spacing w:line="240" w:lineRule="auto"/>
              <w:ind w:firstLine="0" w:firstLineChars="0"/>
              <w:rPr>
                <w:rFonts w:hint="eastAsia"/>
                <w:highlight w:val="none"/>
              </w:rPr>
            </w:pPr>
            <w:r>
              <w:rPr>
                <w:rFonts w:hint="eastAsia"/>
                <w:highlight w:val="none"/>
              </w:rPr>
              <w:t>4</w:t>
            </w:r>
          </w:p>
        </w:tc>
        <w:tc>
          <w:tcPr>
            <w:tcW w:w="734" w:type="pct"/>
            <w:vMerge w:val="continue"/>
            <w:vAlign w:val="center"/>
          </w:tcPr>
          <w:p w14:paraId="6FA79556">
            <w:pPr>
              <w:spacing w:line="240" w:lineRule="auto"/>
              <w:ind w:firstLine="0" w:firstLineChars="0"/>
              <w:rPr>
                <w:rFonts w:hint="eastAsia"/>
                <w:highlight w:val="none"/>
              </w:rPr>
            </w:pPr>
          </w:p>
        </w:tc>
        <w:tc>
          <w:tcPr>
            <w:tcW w:w="747" w:type="pct"/>
            <w:vAlign w:val="center"/>
          </w:tcPr>
          <w:p w14:paraId="0B18F29D">
            <w:pPr>
              <w:spacing w:line="240" w:lineRule="auto"/>
              <w:ind w:firstLine="0" w:firstLineChars="0"/>
              <w:rPr>
                <w:rFonts w:hint="eastAsia"/>
                <w:highlight w:val="none"/>
              </w:rPr>
            </w:pPr>
            <w:r>
              <w:rPr>
                <w:rFonts w:hint="eastAsia"/>
                <w:highlight w:val="none"/>
              </w:rPr>
              <w:t>进一步强化政府网站和新媒体监测管理</w:t>
            </w:r>
          </w:p>
        </w:tc>
        <w:tc>
          <w:tcPr>
            <w:tcW w:w="1632" w:type="pct"/>
            <w:vAlign w:val="center"/>
          </w:tcPr>
          <w:p w14:paraId="572039F0">
            <w:pPr>
              <w:spacing w:line="240" w:lineRule="auto"/>
              <w:ind w:firstLine="0" w:firstLineChars="0"/>
              <w:rPr>
                <w:rFonts w:hint="eastAsia"/>
                <w:highlight w:val="none"/>
              </w:rPr>
            </w:pPr>
            <w:r>
              <w:rPr>
                <w:rFonts w:hint="eastAsia"/>
                <w:highlight w:val="none"/>
              </w:rPr>
              <w:t>通过驻场服务、监测报告、问题台账、整改复核、资料归档等机制，推动问题发现、反馈、整改、复核和汇总形成闭环管理，提升全市政府网站和政务新媒体运维监测工作的规范化、精细化和可追溯水平。</w:t>
            </w:r>
          </w:p>
        </w:tc>
        <w:tc>
          <w:tcPr>
            <w:tcW w:w="1424" w:type="pct"/>
            <w:vAlign w:val="center"/>
          </w:tcPr>
          <w:p w14:paraId="0A5BA247">
            <w:pPr>
              <w:spacing w:line="240" w:lineRule="auto"/>
              <w:ind w:firstLine="0" w:firstLineChars="0"/>
              <w:rPr>
                <w:rFonts w:hint="eastAsia"/>
                <w:highlight w:val="none"/>
              </w:rPr>
            </w:pPr>
            <w:r>
              <w:rPr>
                <w:rFonts w:hint="eastAsia"/>
                <w:highlight w:val="none"/>
              </w:rPr>
              <w:t>形成监测闭环管理，确保监测工作规范化、精细化和可追溯。</w:t>
            </w:r>
          </w:p>
        </w:tc>
      </w:tr>
      <w:tr w14:paraId="0DB9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61" w:type="pct"/>
            <w:vAlign w:val="center"/>
          </w:tcPr>
          <w:p w14:paraId="118EE427">
            <w:pPr>
              <w:spacing w:line="240" w:lineRule="auto"/>
              <w:ind w:firstLine="0" w:firstLineChars="0"/>
              <w:rPr>
                <w:rFonts w:hint="eastAsia"/>
                <w:highlight w:val="none"/>
              </w:rPr>
            </w:pPr>
            <w:r>
              <w:rPr>
                <w:rFonts w:hint="eastAsia"/>
                <w:highlight w:val="none"/>
              </w:rPr>
              <w:t>5</w:t>
            </w:r>
          </w:p>
        </w:tc>
        <w:tc>
          <w:tcPr>
            <w:tcW w:w="734" w:type="pct"/>
            <w:vMerge w:val="restart"/>
            <w:vAlign w:val="center"/>
          </w:tcPr>
          <w:p w14:paraId="173C7545">
            <w:pPr>
              <w:spacing w:line="240" w:lineRule="auto"/>
              <w:ind w:firstLine="0" w:firstLineChars="0"/>
              <w:rPr>
                <w:rFonts w:hint="eastAsia"/>
                <w:highlight w:val="none"/>
              </w:rPr>
            </w:pPr>
            <w:r>
              <w:rPr>
                <w:rFonts w:hint="eastAsia"/>
                <w:highlight w:val="none"/>
              </w:rPr>
              <w:t>进一步落实系统运维</w:t>
            </w:r>
            <w:r>
              <w:rPr>
                <w:highlight w:val="none"/>
              </w:rPr>
              <w:t>管理要求</w:t>
            </w:r>
          </w:p>
        </w:tc>
        <w:tc>
          <w:tcPr>
            <w:tcW w:w="747" w:type="pct"/>
            <w:vAlign w:val="center"/>
          </w:tcPr>
          <w:p w14:paraId="056B8900">
            <w:pPr>
              <w:spacing w:line="240" w:lineRule="auto"/>
              <w:ind w:firstLine="0" w:firstLineChars="0"/>
              <w:rPr>
                <w:rFonts w:hint="eastAsia"/>
                <w:highlight w:val="none"/>
              </w:rPr>
            </w:pPr>
            <w:r>
              <w:rPr>
                <w:highlight w:val="none"/>
              </w:rPr>
              <w:t>形成项目</w:t>
            </w:r>
            <w:r>
              <w:rPr>
                <w:rFonts w:hint="eastAsia"/>
                <w:highlight w:val="none"/>
              </w:rPr>
              <w:t>季度</w:t>
            </w:r>
            <w:r>
              <w:rPr>
                <w:highlight w:val="none"/>
              </w:rPr>
              <w:t>例会制度</w:t>
            </w:r>
          </w:p>
        </w:tc>
        <w:tc>
          <w:tcPr>
            <w:tcW w:w="1632" w:type="pct"/>
            <w:vAlign w:val="center"/>
          </w:tcPr>
          <w:p w14:paraId="09736992">
            <w:pPr>
              <w:spacing w:line="240" w:lineRule="auto"/>
              <w:ind w:firstLine="0" w:firstLineChars="0"/>
              <w:rPr>
                <w:rFonts w:hint="eastAsia"/>
                <w:highlight w:val="none"/>
              </w:rPr>
            </w:pPr>
            <w:r>
              <w:rPr>
                <w:highlight w:val="none"/>
              </w:rPr>
              <w:t>运维单位应当每</w:t>
            </w:r>
            <w:r>
              <w:rPr>
                <w:rFonts w:hint="eastAsia"/>
                <w:highlight w:val="none"/>
              </w:rPr>
              <w:t>季度</w:t>
            </w:r>
            <w:r>
              <w:rPr>
                <w:highlight w:val="none"/>
              </w:rPr>
              <w:t>整理总结项目运维情况，至少应包含系统运行基础情况，系统安全运维情况，系统故障情况，系统变更或优化情况，系统运营情况等内容</w:t>
            </w:r>
            <w:r>
              <w:rPr>
                <w:rFonts w:hint="eastAsia"/>
                <w:highlight w:val="none"/>
              </w:rPr>
              <w:t>。</w:t>
            </w:r>
          </w:p>
        </w:tc>
        <w:tc>
          <w:tcPr>
            <w:tcW w:w="1424" w:type="pct"/>
            <w:vAlign w:val="center"/>
          </w:tcPr>
          <w:p w14:paraId="2BA5ABBB">
            <w:pPr>
              <w:spacing w:line="240" w:lineRule="auto"/>
              <w:ind w:firstLine="0" w:firstLineChars="0"/>
              <w:rPr>
                <w:rFonts w:hint="eastAsia"/>
                <w:highlight w:val="none"/>
              </w:rPr>
            </w:pPr>
            <w:r>
              <w:rPr>
                <w:highlight w:val="none"/>
              </w:rPr>
              <w:t>召开项目</w:t>
            </w:r>
            <w:r>
              <w:rPr>
                <w:rFonts w:hint="eastAsia"/>
                <w:highlight w:val="none"/>
              </w:rPr>
              <w:t>季</w:t>
            </w:r>
            <w:r>
              <w:rPr>
                <w:highlight w:val="none"/>
              </w:rPr>
              <w:t>度例会</w:t>
            </w:r>
            <w:r>
              <w:rPr>
                <w:rFonts w:hint="eastAsia"/>
                <w:highlight w:val="none"/>
              </w:rPr>
              <w:t>。</w:t>
            </w:r>
          </w:p>
        </w:tc>
      </w:tr>
      <w:tr w14:paraId="0589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61" w:type="pct"/>
            <w:vAlign w:val="center"/>
          </w:tcPr>
          <w:p w14:paraId="2FC98DA2">
            <w:pPr>
              <w:spacing w:line="240" w:lineRule="auto"/>
              <w:ind w:firstLine="0" w:firstLineChars="0"/>
              <w:rPr>
                <w:rFonts w:hint="eastAsia"/>
                <w:highlight w:val="none"/>
              </w:rPr>
            </w:pPr>
            <w:r>
              <w:rPr>
                <w:rFonts w:hint="eastAsia"/>
                <w:highlight w:val="none"/>
              </w:rPr>
              <w:t>6</w:t>
            </w:r>
          </w:p>
        </w:tc>
        <w:tc>
          <w:tcPr>
            <w:tcW w:w="734" w:type="pct"/>
            <w:vMerge w:val="continue"/>
            <w:vAlign w:val="center"/>
          </w:tcPr>
          <w:p w14:paraId="624B55DE">
            <w:pPr>
              <w:spacing w:line="240" w:lineRule="auto"/>
              <w:ind w:firstLine="0" w:firstLineChars="0"/>
              <w:rPr>
                <w:rFonts w:hint="eastAsia"/>
                <w:highlight w:val="none"/>
              </w:rPr>
            </w:pPr>
          </w:p>
        </w:tc>
        <w:tc>
          <w:tcPr>
            <w:tcW w:w="747" w:type="pct"/>
            <w:vAlign w:val="center"/>
          </w:tcPr>
          <w:p w14:paraId="7F2A1391">
            <w:pPr>
              <w:spacing w:line="240" w:lineRule="auto"/>
              <w:ind w:firstLine="0" w:firstLineChars="0"/>
              <w:rPr>
                <w:rFonts w:hint="eastAsia"/>
                <w:highlight w:val="none"/>
              </w:rPr>
            </w:pPr>
            <w:r>
              <w:rPr>
                <w:highlight w:val="none"/>
              </w:rPr>
              <w:t>协助制定系统安全运维管理制度</w:t>
            </w:r>
          </w:p>
        </w:tc>
        <w:tc>
          <w:tcPr>
            <w:tcW w:w="1632" w:type="pct"/>
            <w:vAlign w:val="center"/>
          </w:tcPr>
          <w:p w14:paraId="0C3D8D6D">
            <w:pPr>
              <w:spacing w:line="240" w:lineRule="auto"/>
              <w:ind w:firstLine="0" w:firstLineChars="0"/>
              <w:rPr>
                <w:rFonts w:hint="eastAsia"/>
                <w:highlight w:val="none"/>
              </w:rPr>
            </w:pPr>
            <w:r>
              <w:rPr>
                <w:highlight w:val="none"/>
              </w:rPr>
              <w:t>协助采购人制定系统安全运维管理制度，规范系统运维管理要求。</w:t>
            </w:r>
          </w:p>
        </w:tc>
        <w:tc>
          <w:tcPr>
            <w:tcW w:w="1424" w:type="pct"/>
            <w:vAlign w:val="center"/>
          </w:tcPr>
          <w:p w14:paraId="306749DE">
            <w:pPr>
              <w:spacing w:line="240" w:lineRule="auto"/>
              <w:ind w:firstLine="0" w:firstLineChars="0"/>
              <w:rPr>
                <w:rFonts w:hint="eastAsia"/>
                <w:highlight w:val="none"/>
              </w:rPr>
            </w:pPr>
            <w:r>
              <w:rPr>
                <w:highlight w:val="none"/>
              </w:rPr>
              <w:t>制定并适时出台系统安全运维管理办法。</w:t>
            </w:r>
          </w:p>
        </w:tc>
      </w:tr>
      <w:tr w14:paraId="42B07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61" w:type="pct"/>
            <w:vAlign w:val="center"/>
          </w:tcPr>
          <w:p w14:paraId="0A77796D">
            <w:pPr>
              <w:spacing w:line="240" w:lineRule="auto"/>
              <w:ind w:firstLine="0" w:firstLineChars="0"/>
              <w:rPr>
                <w:rFonts w:hint="eastAsia"/>
                <w:highlight w:val="none"/>
              </w:rPr>
            </w:pPr>
            <w:r>
              <w:rPr>
                <w:rFonts w:hint="eastAsia"/>
                <w:highlight w:val="none"/>
              </w:rPr>
              <w:t>7</w:t>
            </w:r>
          </w:p>
        </w:tc>
        <w:tc>
          <w:tcPr>
            <w:tcW w:w="734" w:type="pct"/>
            <w:vMerge w:val="continue"/>
            <w:vAlign w:val="center"/>
          </w:tcPr>
          <w:p w14:paraId="2479F310">
            <w:pPr>
              <w:spacing w:line="240" w:lineRule="auto"/>
              <w:ind w:firstLine="0" w:firstLineChars="0"/>
              <w:rPr>
                <w:rFonts w:hint="eastAsia"/>
                <w:highlight w:val="none"/>
              </w:rPr>
            </w:pPr>
          </w:p>
        </w:tc>
        <w:tc>
          <w:tcPr>
            <w:tcW w:w="747" w:type="pct"/>
            <w:vAlign w:val="center"/>
          </w:tcPr>
          <w:p w14:paraId="756E6395">
            <w:pPr>
              <w:spacing w:line="240" w:lineRule="auto"/>
              <w:ind w:firstLine="0" w:firstLineChars="0"/>
              <w:rPr>
                <w:rFonts w:hint="eastAsia"/>
                <w:highlight w:val="none"/>
              </w:rPr>
            </w:pPr>
            <w:r>
              <w:rPr>
                <w:highlight w:val="none"/>
              </w:rPr>
              <w:t>进一步细化系统运维具体管理规范</w:t>
            </w:r>
          </w:p>
        </w:tc>
        <w:tc>
          <w:tcPr>
            <w:tcW w:w="1632" w:type="pct"/>
            <w:vAlign w:val="center"/>
          </w:tcPr>
          <w:p w14:paraId="26EF42DE">
            <w:pPr>
              <w:spacing w:line="240" w:lineRule="auto"/>
              <w:ind w:firstLine="0" w:firstLineChars="0"/>
              <w:rPr>
                <w:rFonts w:hint="eastAsia"/>
                <w:highlight w:val="none"/>
              </w:rPr>
            </w:pPr>
            <w:r>
              <w:rPr>
                <w:highlight w:val="none"/>
              </w:rPr>
              <w:t>运维单位对运维工作的具体流程、操作规程、标准和责任划分需进一步明确，避免影响运维工作的质量和效率。</w:t>
            </w:r>
          </w:p>
        </w:tc>
        <w:tc>
          <w:tcPr>
            <w:tcW w:w="1424" w:type="pct"/>
            <w:vAlign w:val="center"/>
          </w:tcPr>
          <w:p w14:paraId="43E4FC51">
            <w:pPr>
              <w:spacing w:line="240" w:lineRule="auto"/>
              <w:ind w:firstLine="0" w:firstLineChars="0"/>
              <w:rPr>
                <w:rFonts w:hint="eastAsia"/>
                <w:highlight w:val="none"/>
              </w:rPr>
            </w:pPr>
            <w:r>
              <w:rPr>
                <w:highlight w:val="none"/>
              </w:rPr>
              <w:t>运维单位细化运维具体管理规范，明确工作流程、标准和责任，提高运维工作质量和效率。</w:t>
            </w:r>
          </w:p>
        </w:tc>
      </w:tr>
    </w:tbl>
    <w:p w14:paraId="25F41335">
      <w:pPr>
        <w:pStyle w:val="6"/>
        <w:rPr>
          <w:rFonts w:hint="eastAsia"/>
          <w:highlight w:val="none"/>
          <w:lang w:val="en-US" w:eastAsia="zh-CN"/>
        </w:rPr>
      </w:pPr>
      <w:r>
        <w:rPr>
          <w:rFonts w:hint="eastAsia"/>
          <w:highlight w:val="none"/>
          <w:lang w:val="en-US" w:eastAsia="zh-CN"/>
        </w:rPr>
        <w:t>知识产权要求</w:t>
      </w:r>
    </w:p>
    <w:p w14:paraId="41DC71BF">
      <w:pPr>
        <w:ind w:firstLine="480"/>
        <w:rPr>
          <w:rFonts w:hint="eastAsia"/>
          <w:highlight w:val="none"/>
          <w:lang w:val="en-US" w:eastAsia="zh-CN"/>
        </w:rPr>
      </w:pPr>
      <w:r>
        <w:rPr>
          <w:rFonts w:hint="eastAsia"/>
          <w:highlight w:val="none"/>
          <w:lang w:val="en-US" w:eastAsia="zh-CN"/>
        </w:rPr>
        <w:t>本项目实施过程中涉及软件系统运维服务、监测服务和相关技术工具使用，相关服务成果交付需满足知识产权识别、授权使用、成果权属确认、第三方侵权风险防范和技术资料保护等管理需求。</w:t>
      </w:r>
    </w:p>
    <w:p w14:paraId="40E14C09">
      <w:pPr>
        <w:ind w:firstLine="480"/>
        <w:rPr>
          <w:rFonts w:hint="default"/>
          <w:highlight w:val="none"/>
          <w:lang w:val="en-US" w:eastAsia="zh-CN"/>
        </w:rPr>
      </w:pPr>
      <w:r>
        <w:rPr>
          <w:rFonts w:hint="eastAsia"/>
          <w:highlight w:val="none"/>
          <w:lang w:val="en-US" w:eastAsia="zh-CN"/>
        </w:rPr>
        <w:t>要求投标人具备有效的企业知识产权合规管理体系认证，用于评价投标人是否建立规范的知识产权管理制度和风险防控机制，能够在项目实施过程中对自有技术工具、采购人提供的技术资料、第三方软件和服务成果进行有效管理，避免因软件授权不明、第三方工具使用不当、成果归属不清等问题影响项目正常履行，保障采购人按照合同约定取得相关服务成果及使用权，降低知识产权纠纷风险。</w:t>
      </w:r>
    </w:p>
    <w:p w14:paraId="06A08922">
      <w:pPr>
        <w:pStyle w:val="6"/>
        <w:rPr>
          <w:rFonts w:hint="eastAsia"/>
          <w:highlight w:val="none"/>
        </w:rPr>
      </w:pPr>
      <w:r>
        <w:rPr>
          <w:rFonts w:hint="eastAsia"/>
          <w:highlight w:val="none"/>
        </w:rPr>
        <w:t>故障处理要求</w:t>
      </w:r>
    </w:p>
    <w:p w14:paraId="57B991CD">
      <w:pPr>
        <w:ind w:firstLine="480"/>
        <w:rPr>
          <w:rFonts w:hint="eastAsia"/>
          <w:highlight w:val="none"/>
        </w:rPr>
      </w:pPr>
      <w:r>
        <w:rPr>
          <w:highlight w:val="none"/>
        </w:rPr>
        <w:t>中标人应建立故障响应和闭环处理机制，按照“故障受理、初步研判、分级派单、处置修复、复核确认、反馈归档”的流程开展故障处理工作。接到采购人或用户单位反馈的问题后，应及时记录故障信息，核实影响范围和紧急程度，安排驻点人员或后台技术人员处理；涉及第三方系统或厂商配合的，应同步协调支撑。故障处理完成后，应复核处理结果并向采购人反馈，形成故障处理记录。系统故障修复平均响应时间和系统运行维护平均响应时间均应不超过60分钟，系统本地故障平均处理时间应不超过4小时；暂时无法完成处理的，应说明原因并提出临时处置措施和后续处理计划。</w:t>
      </w:r>
    </w:p>
    <w:p w14:paraId="051B4503">
      <w:pPr>
        <w:ind w:firstLine="0" w:firstLineChars="0"/>
        <w:rPr>
          <w:rFonts w:hint="eastAsia"/>
          <w:highlight w:val="none"/>
        </w:rPr>
      </w:pPr>
      <w:r>
        <w:rPr>
          <w:highlight w:val="none"/>
        </w:rPr>
        <w:drawing>
          <wp:inline distT="0" distB="0" distL="0" distR="0">
            <wp:extent cx="5274310" cy="1330960"/>
            <wp:effectExtent l="0" t="0" r="2540" b="2540"/>
            <wp:docPr id="2648017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01769" name="图片 1"/>
                    <pic:cNvPicPr>
                      <a:picLocks noChangeAspect="1"/>
                    </pic:cNvPicPr>
                  </pic:nvPicPr>
                  <pic:blipFill>
                    <a:blip r:embed="rId11"/>
                    <a:stretch>
                      <a:fillRect/>
                    </a:stretch>
                  </pic:blipFill>
                  <pic:spPr>
                    <a:xfrm>
                      <a:off x="0" y="0"/>
                      <a:ext cx="5274310" cy="1330960"/>
                    </a:xfrm>
                    <a:prstGeom prst="rect">
                      <a:avLst/>
                    </a:prstGeom>
                  </pic:spPr>
                </pic:pic>
              </a:graphicData>
            </a:graphic>
          </wp:inline>
        </w:drawing>
      </w:r>
    </w:p>
    <w:p w14:paraId="023327E9">
      <w:pPr>
        <w:ind w:firstLine="480"/>
        <w:rPr>
          <w:rFonts w:hint="eastAsia"/>
          <w:highlight w:val="none"/>
        </w:rPr>
      </w:pPr>
      <w:r>
        <w:rPr>
          <w:highlight w:val="none"/>
        </w:rPr>
        <w:t>★当出现重大故障、安全事件、突发异常、</w:t>
      </w:r>
      <w:r>
        <w:rPr>
          <w:rFonts w:hint="eastAsia"/>
          <w:highlight w:val="none"/>
        </w:rPr>
        <w:t>应急演练、</w:t>
      </w:r>
      <w:r>
        <w:rPr>
          <w:highlight w:val="none"/>
        </w:rPr>
        <w:t>重要保障任务，或采购人提出现场技术支撑要求时，中标人须立即响应，并指派具备相应处理能力的技术人员在接到采购人通知后60分钟内到达采购人指定现场，开展问题排查、应急处置和沟通协调工作，并持续跟进直至问题闭环。（投标时提供承诺函，可参照“投标文件格式”中《承诺函》格式）</w:t>
      </w:r>
    </w:p>
    <w:p w14:paraId="7F8EC260">
      <w:pPr>
        <w:pStyle w:val="6"/>
        <w:rPr>
          <w:rFonts w:hint="eastAsia"/>
          <w:highlight w:val="none"/>
        </w:rPr>
      </w:pPr>
      <w:r>
        <w:rPr>
          <w:rFonts w:hint="eastAsia"/>
          <w:highlight w:val="none"/>
        </w:rPr>
        <w:t>服务频次和交付要求</w:t>
      </w:r>
    </w:p>
    <w:tbl>
      <w:tblPr>
        <w:tblStyle w:val="33"/>
        <w:tblW w:w="5000" w:type="pct"/>
        <w:tblInd w:w="0" w:type="dxa"/>
        <w:tblLayout w:type="autofit"/>
        <w:tblCellMar>
          <w:top w:w="0" w:type="dxa"/>
          <w:left w:w="108" w:type="dxa"/>
          <w:bottom w:w="0" w:type="dxa"/>
          <w:right w:w="108" w:type="dxa"/>
        </w:tblCellMar>
      </w:tblPr>
      <w:tblGrid>
        <w:gridCol w:w="576"/>
        <w:gridCol w:w="812"/>
        <w:gridCol w:w="1045"/>
        <w:gridCol w:w="1045"/>
        <w:gridCol w:w="1771"/>
        <w:gridCol w:w="1447"/>
        <w:gridCol w:w="1610"/>
      </w:tblGrid>
      <w:tr w14:paraId="54EB1EE4">
        <w:tblPrEx>
          <w:tblCellMar>
            <w:top w:w="0" w:type="dxa"/>
            <w:left w:w="108" w:type="dxa"/>
            <w:bottom w:w="0" w:type="dxa"/>
            <w:right w:w="108" w:type="dxa"/>
          </w:tblCellMar>
        </w:tblPrEx>
        <w:trPr>
          <w:trHeight w:val="485" w:hRule="atLeast"/>
          <w:tblHeader/>
        </w:trPr>
        <w:tc>
          <w:tcPr>
            <w:tcW w:w="347"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22C3C794">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序号</w:t>
            </w:r>
          </w:p>
        </w:tc>
        <w:tc>
          <w:tcPr>
            <w:tcW w:w="489"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4BCC3622">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服务项</w:t>
            </w:r>
          </w:p>
        </w:tc>
        <w:tc>
          <w:tcPr>
            <w:tcW w:w="629"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7445871F">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一级分类</w:t>
            </w:r>
          </w:p>
        </w:tc>
        <w:tc>
          <w:tcPr>
            <w:tcW w:w="629"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2A5DA91F">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二级分类</w:t>
            </w:r>
          </w:p>
        </w:tc>
        <w:tc>
          <w:tcPr>
            <w:tcW w:w="1066"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662DE3A6">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项目</w:t>
            </w:r>
          </w:p>
        </w:tc>
        <w:tc>
          <w:tcPr>
            <w:tcW w:w="871"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09834BE6">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服务频次</w:t>
            </w:r>
          </w:p>
        </w:tc>
        <w:tc>
          <w:tcPr>
            <w:tcW w:w="970"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0D035BF3">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服务产出</w:t>
            </w:r>
          </w:p>
        </w:tc>
      </w:tr>
      <w:tr w14:paraId="16ABB135">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5B0CF1B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w:t>
            </w:r>
          </w:p>
        </w:tc>
        <w:tc>
          <w:tcPr>
            <w:tcW w:w="489" w:type="pct"/>
            <w:vMerge w:val="restart"/>
            <w:tcBorders>
              <w:top w:val="single" w:color="000000" w:sz="4" w:space="0"/>
              <w:left w:val="single" w:color="000000" w:sz="4" w:space="0"/>
              <w:bottom w:val="single" w:color="000000" w:sz="4" w:space="0"/>
              <w:right w:val="single" w:color="000000" w:sz="4" w:space="0"/>
            </w:tcBorders>
            <w:vAlign w:val="center"/>
          </w:tcPr>
          <w:p w14:paraId="1AA1A7A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集约化平台运维服务</w:t>
            </w: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46A8EDDC">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省政府网站集约化平台汕头分平台运维</w:t>
            </w: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59B9DC0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日常巡检维护和故障处置</w:t>
            </w:r>
          </w:p>
        </w:tc>
        <w:tc>
          <w:tcPr>
            <w:tcW w:w="1066" w:type="pct"/>
            <w:tcBorders>
              <w:top w:val="single" w:color="000000" w:sz="4" w:space="0"/>
              <w:left w:val="single" w:color="000000" w:sz="4" w:space="0"/>
              <w:bottom w:val="single" w:color="000000" w:sz="4" w:space="0"/>
              <w:right w:val="single" w:color="000000" w:sz="4" w:space="0"/>
            </w:tcBorders>
            <w:vAlign w:val="center"/>
          </w:tcPr>
          <w:p w14:paraId="4A39C5F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网站集约化平台汕头分平台服务器巡检</w:t>
            </w:r>
          </w:p>
        </w:tc>
        <w:tc>
          <w:tcPr>
            <w:tcW w:w="871" w:type="pct"/>
            <w:tcBorders>
              <w:top w:val="single" w:color="000000" w:sz="4" w:space="0"/>
              <w:left w:val="single" w:color="000000" w:sz="4" w:space="0"/>
              <w:bottom w:val="single" w:color="000000" w:sz="4" w:space="0"/>
              <w:right w:val="single" w:color="000000" w:sz="4" w:space="0"/>
            </w:tcBorders>
            <w:vAlign w:val="center"/>
          </w:tcPr>
          <w:p w14:paraId="256D5A8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每月，重保、节假日期间每日</w:t>
            </w:r>
          </w:p>
        </w:tc>
        <w:tc>
          <w:tcPr>
            <w:tcW w:w="970" w:type="pct"/>
            <w:tcBorders>
              <w:top w:val="single" w:color="000000" w:sz="4" w:space="0"/>
              <w:left w:val="single" w:color="000000" w:sz="4" w:space="0"/>
              <w:bottom w:val="single" w:color="000000" w:sz="4" w:space="0"/>
              <w:right w:val="single" w:color="000000" w:sz="4" w:space="0"/>
            </w:tcBorders>
            <w:vAlign w:val="center"/>
          </w:tcPr>
          <w:p w14:paraId="6F36717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巡检报告</w:t>
            </w:r>
          </w:p>
        </w:tc>
      </w:tr>
      <w:tr w14:paraId="707E6CE7">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53BA031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2216469B">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4B9F5E55">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3BF2BB4B">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6A0812F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网站集约化平台配套应用软件巡检和维护</w:t>
            </w:r>
          </w:p>
        </w:tc>
        <w:tc>
          <w:tcPr>
            <w:tcW w:w="871" w:type="pct"/>
            <w:tcBorders>
              <w:top w:val="single" w:color="000000" w:sz="4" w:space="0"/>
              <w:left w:val="single" w:color="000000" w:sz="4" w:space="0"/>
              <w:bottom w:val="single" w:color="000000" w:sz="4" w:space="0"/>
              <w:right w:val="single" w:color="000000" w:sz="4" w:space="0"/>
            </w:tcBorders>
            <w:vAlign w:val="center"/>
          </w:tcPr>
          <w:p w14:paraId="52CCB56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每周，重保、节假日期间每日</w:t>
            </w:r>
          </w:p>
        </w:tc>
        <w:tc>
          <w:tcPr>
            <w:tcW w:w="970" w:type="pct"/>
            <w:tcBorders>
              <w:top w:val="single" w:color="000000" w:sz="4" w:space="0"/>
              <w:left w:val="single" w:color="000000" w:sz="4" w:space="0"/>
              <w:bottom w:val="single" w:color="000000" w:sz="4" w:space="0"/>
              <w:right w:val="single" w:color="000000" w:sz="4" w:space="0"/>
            </w:tcBorders>
            <w:vAlign w:val="center"/>
          </w:tcPr>
          <w:p w14:paraId="1258B75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巡检报告</w:t>
            </w:r>
          </w:p>
        </w:tc>
      </w:tr>
      <w:tr w14:paraId="3B871359">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3D24D42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3</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48EAB35B">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6EEF7AD4">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74480FDF">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0B95DDC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性能调优评估</w:t>
            </w:r>
          </w:p>
        </w:tc>
        <w:tc>
          <w:tcPr>
            <w:tcW w:w="871" w:type="pct"/>
            <w:tcBorders>
              <w:top w:val="single" w:color="000000" w:sz="4" w:space="0"/>
              <w:left w:val="single" w:color="000000" w:sz="4" w:space="0"/>
              <w:bottom w:val="single" w:color="000000" w:sz="4" w:space="0"/>
              <w:right w:val="single" w:color="000000" w:sz="4" w:space="0"/>
            </w:tcBorders>
            <w:vAlign w:val="center"/>
          </w:tcPr>
          <w:p w14:paraId="0F69768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每季度</w:t>
            </w:r>
          </w:p>
        </w:tc>
        <w:tc>
          <w:tcPr>
            <w:tcW w:w="970" w:type="pct"/>
            <w:tcBorders>
              <w:top w:val="single" w:color="000000" w:sz="4" w:space="0"/>
              <w:left w:val="single" w:color="000000" w:sz="4" w:space="0"/>
              <w:bottom w:val="single" w:color="000000" w:sz="4" w:space="0"/>
              <w:right w:val="single" w:color="000000" w:sz="4" w:space="0"/>
            </w:tcBorders>
            <w:vAlign w:val="center"/>
          </w:tcPr>
          <w:p w14:paraId="5BF4059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性能评估报告</w:t>
            </w:r>
          </w:p>
        </w:tc>
      </w:tr>
      <w:tr w14:paraId="53FE8767">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47FE1E9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4</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7AE857DA">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3E7F2D99">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30051389">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4DCB372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网站集约化平台汕头分平台核心应用软件故障处理</w:t>
            </w:r>
          </w:p>
        </w:tc>
        <w:tc>
          <w:tcPr>
            <w:tcW w:w="871" w:type="pct"/>
            <w:tcBorders>
              <w:top w:val="single" w:color="000000" w:sz="4" w:space="0"/>
              <w:left w:val="single" w:color="000000" w:sz="4" w:space="0"/>
              <w:bottom w:val="single" w:color="000000" w:sz="4" w:space="0"/>
              <w:right w:val="single" w:color="000000" w:sz="4" w:space="0"/>
            </w:tcBorders>
            <w:vAlign w:val="center"/>
          </w:tcPr>
          <w:p w14:paraId="080F987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按需</w:t>
            </w:r>
          </w:p>
        </w:tc>
        <w:tc>
          <w:tcPr>
            <w:tcW w:w="970" w:type="pct"/>
            <w:tcBorders>
              <w:top w:val="single" w:color="000000" w:sz="4" w:space="0"/>
              <w:left w:val="single" w:color="000000" w:sz="4" w:space="0"/>
              <w:bottom w:val="single" w:color="000000" w:sz="4" w:space="0"/>
              <w:right w:val="single" w:color="000000" w:sz="4" w:space="0"/>
            </w:tcBorders>
            <w:vAlign w:val="center"/>
          </w:tcPr>
          <w:p w14:paraId="59595AD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故障处理报告</w:t>
            </w:r>
          </w:p>
        </w:tc>
      </w:tr>
      <w:tr w14:paraId="30179D12">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669D551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5</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3CD5D83A">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72D4FB7D">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6FC0E31E">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55D5E7B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数据备份与恢复</w:t>
            </w:r>
          </w:p>
        </w:tc>
        <w:tc>
          <w:tcPr>
            <w:tcW w:w="871" w:type="pct"/>
            <w:tcBorders>
              <w:top w:val="single" w:color="000000" w:sz="4" w:space="0"/>
              <w:left w:val="single" w:color="000000" w:sz="4" w:space="0"/>
              <w:bottom w:val="single" w:color="000000" w:sz="4" w:space="0"/>
              <w:right w:val="single" w:color="000000" w:sz="4" w:space="0"/>
            </w:tcBorders>
            <w:vAlign w:val="center"/>
          </w:tcPr>
          <w:p w14:paraId="0A272E0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按需</w:t>
            </w:r>
          </w:p>
        </w:tc>
        <w:tc>
          <w:tcPr>
            <w:tcW w:w="970" w:type="pct"/>
            <w:tcBorders>
              <w:top w:val="single" w:color="000000" w:sz="4" w:space="0"/>
              <w:left w:val="single" w:color="000000" w:sz="4" w:space="0"/>
              <w:bottom w:val="single" w:color="000000" w:sz="4" w:space="0"/>
              <w:right w:val="single" w:color="000000" w:sz="4" w:space="0"/>
            </w:tcBorders>
            <w:vAlign w:val="center"/>
          </w:tcPr>
          <w:p w14:paraId="1C1D6E2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根据实际情况提供</w:t>
            </w:r>
          </w:p>
        </w:tc>
      </w:tr>
      <w:tr w14:paraId="67B05F66">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14F1794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6</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0EC68C69">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72055608">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51C27275">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2BADCE9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技术咨询服务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45DB59C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常态</w:t>
            </w:r>
          </w:p>
        </w:tc>
        <w:tc>
          <w:tcPr>
            <w:tcW w:w="970" w:type="pct"/>
            <w:tcBorders>
              <w:top w:val="single" w:color="000000" w:sz="4" w:space="0"/>
              <w:left w:val="single" w:color="000000" w:sz="4" w:space="0"/>
              <w:bottom w:val="single" w:color="000000" w:sz="4" w:space="0"/>
              <w:right w:val="single" w:color="000000" w:sz="4" w:space="0"/>
            </w:tcBorders>
            <w:vAlign w:val="center"/>
          </w:tcPr>
          <w:p w14:paraId="0B0F5EB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服务台账</w:t>
            </w:r>
          </w:p>
        </w:tc>
      </w:tr>
      <w:tr w14:paraId="60256B96">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7448C79C">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7</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271E99AB">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5BFA0179">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21175C5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安全整改服务</w:t>
            </w:r>
          </w:p>
        </w:tc>
        <w:tc>
          <w:tcPr>
            <w:tcW w:w="1066" w:type="pct"/>
            <w:tcBorders>
              <w:top w:val="single" w:color="000000" w:sz="4" w:space="0"/>
              <w:left w:val="single" w:color="000000" w:sz="4" w:space="0"/>
              <w:bottom w:val="single" w:color="000000" w:sz="4" w:space="0"/>
              <w:right w:val="single" w:color="000000" w:sz="4" w:space="0"/>
            </w:tcBorders>
            <w:vAlign w:val="center"/>
          </w:tcPr>
          <w:p w14:paraId="183D75B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安全问题评估及整改</w:t>
            </w:r>
          </w:p>
        </w:tc>
        <w:tc>
          <w:tcPr>
            <w:tcW w:w="871" w:type="pct"/>
            <w:tcBorders>
              <w:top w:val="single" w:color="000000" w:sz="4" w:space="0"/>
              <w:left w:val="single" w:color="000000" w:sz="4" w:space="0"/>
              <w:bottom w:val="single" w:color="000000" w:sz="4" w:space="0"/>
              <w:right w:val="single" w:color="000000" w:sz="4" w:space="0"/>
            </w:tcBorders>
            <w:vAlign w:val="center"/>
          </w:tcPr>
          <w:p w14:paraId="08D951E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常态</w:t>
            </w:r>
          </w:p>
        </w:tc>
        <w:tc>
          <w:tcPr>
            <w:tcW w:w="970" w:type="pct"/>
            <w:tcBorders>
              <w:top w:val="single" w:color="000000" w:sz="4" w:space="0"/>
              <w:left w:val="single" w:color="000000" w:sz="4" w:space="0"/>
              <w:bottom w:val="single" w:color="000000" w:sz="4" w:space="0"/>
              <w:right w:val="single" w:color="000000" w:sz="4" w:space="0"/>
            </w:tcBorders>
            <w:vAlign w:val="center"/>
          </w:tcPr>
          <w:p w14:paraId="1428111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安全整改报告</w:t>
            </w:r>
          </w:p>
        </w:tc>
      </w:tr>
      <w:tr w14:paraId="27D17ABD">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169D427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8</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2A0BBB6E">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1F222987">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7C9FED3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应急保障服务</w:t>
            </w:r>
          </w:p>
        </w:tc>
        <w:tc>
          <w:tcPr>
            <w:tcW w:w="1066" w:type="pct"/>
            <w:tcBorders>
              <w:top w:val="single" w:color="000000" w:sz="4" w:space="0"/>
              <w:left w:val="single" w:color="000000" w:sz="4" w:space="0"/>
              <w:bottom w:val="single" w:color="000000" w:sz="4" w:space="0"/>
              <w:right w:val="single" w:color="000000" w:sz="4" w:space="0"/>
            </w:tcBorders>
            <w:vAlign w:val="center"/>
          </w:tcPr>
          <w:p w14:paraId="1E5C5AA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应急预案及演练</w:t>
            </w:r>
          </w:p>
        </w:tc>
        <w:tc>
          <w:tcPr>
            <w:tcW w:w="871" w:type="pct"/>
            <w:tcBorders>
              <w:top w:val="single" w:color="000000" w:sz="4" w:space="0"/>
              <w:left w:val="single" w:color="000000" w:sz="4" w:space="0"/>
              <w:bottom w:val="single" w:color="000000" w:sz="4" w:space="0"/>
              <w:right w:val="single" w:color="000000" w:sz="4" w:space="0"/>
            </w:tcBorders>
            <w:vAlign w:val="center"/>
          </w:tcPr>
          <w:p w14:paraId="580DB1D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每半年</w:t>
            </w:r>
          </w:p>
        </w:tc>
        <w:tc>
          <w:tcPr>
            <w:tcW w:w="970" w:type="pct"/>
            <w:tcBorders>
              <w:top w:val="single" w:color="000000" w:sz="4" w:space="0"/>
              <w:left w:val="single" w:color="000000" w:sz="4" w:space="0"/>
              <w:bottom w:val="single" w:color="000000" w:sz="4" w:space="0"/>
              <w:right w:val="single" w:color="000000" w:sz="4" w:space="0"/>
            </w:tcBorders>
            <w:vAlign w:val="center"/>
          </w:tcPr>
          <w:p w14:paraId="206D9A9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应急演练总结报告</w:t>
            </w:r>
          </w:p>
        </w:tc>
      </w:tr>
      <w:tr w14:paraId="0A5507E3">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2A5E683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9</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02D20C96">
            <w:pPr>
              <w:widowControl/>
              <w:spacing w:line="240" w:lineRule="auto"/>
              <w:ind w:firstLine="0" w:firstLineChars="0"/>
              <w:jc w:val="left"/>
              <w:rPr>
                <w:rFonts w:hint="eastAsia" w:cs="宋体"/>
                <w:color w:val="000000"/>
                <w:kern w:val="0"/>
                <w:szCs w:val="24"/>
                <w:highlight w:val="none"/>
              </w:rPr>
            </w:pP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4F3985D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党群网站集约化平台运维</w:t>
            </w: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6CD0A7E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日常巡检服务</w:t>
            </w:r>
          </w:p>
        </w:tc>
        <w:tc>
          <w:tcPr>
            <w:tcW w:w="1066" w:type="pct"/>
            <w:tcBorders>
              <w:top w:val="single" w:color="000000" w:sz="4" w:space="0"/>
              <w:left w:val="single" w:color="000000" w:sz="4" w:space="0"/>
              <w:bottom w:val="single" w:color="000000" w:sz="4" w:space="0"/>
              <w:right w:val="single" w:color="000000" w:sz="4" w:space="0"/>
            </w:tcBorders>
            <w:vAlign w:val="center"/>
          </w:tcPr>
          <w:p w14:paraId="1BC54F9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服务器巡检服务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7B8BEAA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每月，重保、节假日期间每日</w:t>
            </w:r>
          </w:p>
        </w:tc>
        <w:tc>
          <w:tcPr>
            <w:tcW w:w="970" w:type="pct"/>
            <w:tcBorders>
              <w:top w:val="single" w:color="000000" w:sz="4" w:space="0"/>
              <w:left w:val="single" w:color="000000" w:sz="4" w:space="0"/>
              <w:bottom w:val="single" w:color="000000" w:sz="4" w:space="0"/>
              <w:right w:val="single" w:color="000000" w:sz="4" w:space="0"/>
            </w:tcBorders>
            <w:vAlign w:val="center"/>
          </w:tcPr>
          <w:p w14:paraId="41B6512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巡检报告</w:t>
            </w:r>
          </w:p>
        </w:tc>
      </w:tr>
      <w:tr w14:paraId="6B508521">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7B1C4F7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10</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0820F3A1">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732F1CE9">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7175040A">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3128D4F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应用软件巡检和维护</w:t>
            </w:r>
          </w:p>
        </w:tc>
        <w:tc>
          <w:tcPr>
            <w:tcW w:w="871" w:type="pct"/>
            <w:tcBorders>
              <w:top w:val="single" w:color="000000" w:sz="4" w:space="0"/>
              <w:left w:val="single" w:color="000000" w:sz="4" w:space="0"/>
              <w:bottom w:val="single" w:color="000000" w:sz="4" w:space="0"/>
              <w:right w:val="single" w:color="000000" w:sz="4" w:space="0"/>
            </w:tcBorders>
            <w:vAlign w:val="center"/>
          </w:tcPr>
          <w:p w14:paraId="067EDFC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每周，重保、节假日期间每日</w:t>
            </w:r>
          </w:p>
        </w:tc>
        <w:tc>
          <w:tcPr>
            <w:tcW w:w="970" w:type="pct"/>
            <w:tcBorders>
              <w:top w:val="single" w:color="000000" w:sz="4" w:space="0"/>
              <w:left w:val="single" w:color="000000" w:sz="4" w:space="0"/>
              <w:bottom w:val="single" w:color="000000" w:sz="4" w:space="0"/>
              <w:right w:val="single" w:color="000000" w:sz="4" w:space="0"/>
            </w:tcBorders>
            <w:vAlign w:val="center"/>
          </w:tcPr>
          <w:p w14:paraId="4C5B72D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巡检报告</w:t>
            </w:r>
          </w:p>
        </w:tc>
      </w:tr>
      <w:tr w14:paraId="16AB0D93">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0B102E9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11</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06D8040B">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281FBB6A">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6465ABC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故障处理服务</w:t>
            </w:r>
          </w:p>
        </w:tc>
        <w:tc>
          <w:tcPr>
            <w:tcW w:w="1066" w:type="pct"/>
            <w:tcBorders>
              <w:top w:val="single" w:color="000000" w:sz="4" w:space="0"/>
              <w:left w:val="single" w:color="000000" w:sz="4" w:space="0"/>
              <w:bottom w:val="single" w:color="000000" w:sz="4" w:space="0"/>
              <w:right w:val="single" w:color="000000" w:sz="4" w:space="0"/>
            </w:tcBorders>
            <w:vAlign w:val="center"/>
          </w:tcPr>
          <w:p w14:paraId="2B7C863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w:t>
            </w:r>
          </w:p>
        </w:tc>
        <w:tc>
          <w:tcPr>
            <w:tcW w:w="871" w:type="pct"/>
            <w:tcBorders>
              <w:top w:val="single" w:color="000000" w:sz="4" w:space="0"/>
              <w:left w:val="single" w:color="000000" w:sz="4" w:space="0"/>
              <w:bottom w:val="single" w:color="000000" w:sz="4" w:space="0"/>
              <w:right w:val="single" w:color="000000" w:sz="4" w:space="0"/>
            </w:tcBorders>
            <w:vAlign w:val="center"/>
          </w:tcPr>
          <w:p w14:paraId="6336461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按需</w:t>
            </w:r>
          </w:p>
        </w:tc>
        <w:tc>
          <w:tcPr>
            <w:tcW w:w="970" w:type="pct"/>
            <w:tcBorders>
              <w:top w:val="single" w:color="000000" w:sz="4" w:space="0"/>
              <w:left w:val="single" w:color="000000" w:sz="4" w:space="0"/>
              <w:bottom w:val="single" w:color="000000" w:sz="4" w:space="0"/>
              <w:right w:val="single" w:color="000000" w:sz="4" w:space="0"/>
            </w:tcBorders>
            <w:vAlign w:val="center"/>
          </w:tcPr>
          <w:p w14:paraId="342BFD8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故障处理报告</w:t>
            </w:r>
          </w:p>
        </w:tc>
      </w:tr>
      <w:tr w14:paraId="528AFE7C">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3B3483D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12</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68B294DD">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2605C03F">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45AD022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安全整改服务</w:t>
            </w:r>
          </w:p>
        </w:tc>
        <w:tc>
          <w:tcPr>
            <w:tcW w:w="1066" w:type="pct"/>
            <w:tcBorders>
              <w:top w:val="single" w:color="000000" w:sz="4" w:space="0"/>
              <w:left w:val="single" w:color="000000" w:sz="4" w:space="0"/>
              <w:bottom w:val="single" w:color="000000" w:sz="4" w:space="0"/>
              <w:right w:val="single" w:color="000000" w:sz="4" w:space="0"/>
            </w:tcBorders>
            <w:vAlign w:val="center"/>
          </w:tcPr>
          <w:p w14:paraId="1939A1F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w:t>
            </w:r>
          </w:p>
        </w:tc>
        <w:tc>
          <w:tcPr>
            <w:tcW w:w="871" w:type="pct"/>
            <w:tcBorders>
              <w:top w:val="single" w:color="000000" w:sz="4" w:space="0"/>
              <w:left w:val="single" w:color="000000" w:sz="4" w:space="0"/>
              <w:bottom w:val="single" w:color="000000" w:sz="4" w:space="0"/>
              <w:right w:val="single" w:color="000000" w:sz="4" w:space="0"/>
            </w:tcBorders>
            <w:vAlign w:val="center"/>
          </w:tcPr>
          <w:p w14:paraId="5308236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常态</w:t>
            </w:r>
          </w:p>
        </w:tc>
        <w:tc>
          <w:tcPr>
            <w:tcW w:w="970" w:type="pct"/>
            <w:tcBorders>
              <w:top w:val="single" w:color="000000" w:sz="4" w:space="0"/>
              <w:left w:val="single" w:color="000000" w:sz="4" w:space="0"/>
              <w:bottom w:val="single" w:color="000000" w:sz="4" w:space="0"/>
              <w:right w:val="single" w:color="000000" w:sz="4" w:space="0"/>
            </w:tcBorders>
            <w:vAlign w:val="center"/>
          </w:tcPr>
          <w:p w14:paraId="7A420A1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安全整改报告</w:t>
            </w:r>
          </w:p>
        </w:tc>
      </w:tr>
      <w:tr w14:paraId="36EB7C1A">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3951AFF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13</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0DD782AD">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1FBCDD53">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2B836EA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平台更新完善服务</w:t>
            </w:r>
          </w:p>
        </w:tc>
        <w:tc>
          <w:tcPr>
            <w:tcW w:w="1066" w:type="pct"/>
            <w:tcBorders>
              <w:top w:val="single" w:color="000000" w:sz="4" w:space="0"/>
              <w:left w:val="single" w:color="000000" w:sz="4" w:space="0"/>
              <w:bottom w:val="single" w:color="000000" w:sz="4" w:space="0"/>
              <w:right w:val="single" w:color="000000" w:sz="4" w:space="0"/>
            </w:tcBorders>
            <w:vAlign w:val="center"/>
          </w:tcPr>
          <w:p w14:paraId="6C38CAAA">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w:t>
            </w:r>
          </w:p>
        </w:tc>
        <w:tc>
          <w:tcPr>
            <w:tcW w:w="871" w:type="pct"/>
            <w:tcBorders>
              <w:top w:val="single" w:color="000000" w:sz="4" w:space="0"/>
              <w:left w:val="single" w:color="000000" w:sz="4" w:space="0"/>
              <w:bottom w:val="single" w:color="000000" w:sz="4" w:space="0"/>
              <w:right w:val="single" w:color="000000" w:sz="4" w:space="0"/>
            </w:tcBorders>
            <w:vAlign w:val="center"/>
          </w:tcPr>
          <w:p w14:paraId="59C3DF5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按需</w:t>
            </w:r>
          </w:p>
        </w:tc>
        <w:tc>
          <w:tcPr>
            <w:tcW w:w="970" w:type="pct"/>
            <w:tcBorders>
              <w:top w:val="single" w:color="000000" w:sz="4" w:space="0"/>
              <w:left w:val="single" w:color="000000" w:sz="4" w:space="0"/>
              <w:bottom w:val="single" w:color="000000" w:sz="4" w:space="0"/>
              <w:right w:val="single" w:color="000000" w:sz="4" w:space="0"/>
            </w:tcBorders>
            <w:vAlign w:val="center"/>
          </w:tcPr>
          <w:p w14:paraId="4A5B983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根据实际情况提供</w:t>
            </w:r>
          </w:p>
        </w:tc>
      </w:tr>
      <w:tr w14:paraId="66084092">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0304D08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14</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6AC0B823">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7E650289">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041F413A">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数据备份与恢复</w:t>
            </w:r>
          </w:p>
        </w:tc>
        <w:tc>
          <w:tcPr>
            <w:tcW w:w="1066" w:type="pct"/>
            <w:tcBorders>
              <w:top w:val="single" w:color="000000" w:sz="4" w:space="0"/>
              <w:left w:val="single" w:color="000000" w:sz="4" w:space="0"/>
              <w:bottom w:val="single" w:color="000000" w:sz="4" w:space="0"/>
              <w:right w:val="single" w:color="000000" w:sz="4" w:space="0"/>
            </w:tcBorders>
            <w:vAlign w:val="center"/>
          </w:tcPr>
          <w:p w14:paraId="3E16007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w:t>
            </w:r>
          </w:p>
        </w:tc>
        <w:tc>
          <w:tcPr>
            <w:tcW w:w="871" w:type="pct"/>
            <w:tcBorders>
              <w:top w:val="single" w:color="000000" w:sz="4" w:space="0"/>
              <w:left w:val="single" w:color="000000" w:sz="4" w:space="0"/>
              <w:bottom w:val="single" w:color="000000" w:sz="4" w:space="0"/>
              <w:right w:val="single" w:color="000000" w:sz="4" w:space="0"/>
            </w:tcBorders>
            <w:vAlign w:val="center"/>
          </w:tcPr>
          <w:p w14:paraId="6D1DEB5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按需</w:t>
            </w:r>
          </w:p>
        </w:tc>
        <w:tc>
          <w:tcPr>
            <w:tcW w:w="970" w:type="pct"/>
            <w:tcBorders>
              <w:top w:val="single" w:color="000000" w:sz="4" w:space="0"/>
              <w:left w:val="single" w:color="000000" w:sz="4" w:space="0"/>
              <w:bottom w:val="single" w:color="000000" w:sz="4" w:space="0"/>
              <w:right w:val="single" w:color="000000" w:sz="4" w:space="0"/>
            </w:tcBorders>
            <w:vAlign w:val="center"/>
          </w:tcPr>
          <w:p w14:paraId="2FDA555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根据实际情况提供</w:t>
            </w:r>
          </w:p>
        </w:tc>
      </w:tr>
      <w:tr w14:paraId="1A4783E4">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65A1FEB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15</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12B4F4D1">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4320BCF5">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59FDE45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技术咨询服务</w:t>
            </w:r>
          </w:p>
        </w:tc>
        <w:tc>
          <w:tcPr>
            <w:tcW w:w="1066" w:type="pct"/>
            <w:tcBorders>
              <w:top w:val="single" w:color="000000" w:sz="4" w:space="0"/>
              <w:left w:val="single" w:color="000000" w:sz="4" w:space="0"/>
              <w:bottom w:val="single" w:color="000000" w:sz="4" w:space="0"/>
              <w:right w:val="single" w:color="000000" w:sz="4" w:space="0"/>
            </w:tcBorders>
            <w:vAlign w:val="center"/>
          </w:tcPr>
          <w:p w14:paraId="7C2D8F3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w:t>
            </w:r>
          </w:p>
        </w:tc>
        <w:tc>
          <w:tcPr>
            <w:tcW w:w="871" w:type="pct"/>
            <w:tcBorders>
              <w:top w:val="single" w:color="000000" w:sz="4" w:space="0"/>
              <w:left w:val="single" w:color="000000" w:sz="4" w:space="0"/>
              <w:bottom w:val="single" w:color="000000" w:sz="4" w:space="0"/>
              <w:right w:val="single" w:color="000000" w:sz="4" w:space="0"/>
            </w:tcBorders>
            <w:vAlign w:val="center"/>
          </w:tcPr>
          <w:p w14:paraId="7ADBC78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常态</w:t>
            </w:r>
          </w:p>
        </w:tc>
        <w:tc>
          <w:tcPr>
            <w:tcW w:w="970" w:type="pct"/>
            <w:tcBorders>
              <w:top w:val="single" w:color="000000" w:sz="4" w:space="0"/>
              <w:left w:val="single" w:color="000000" w:sz="4" w:space="0"/>
              <w:bottom w:val="single" w:color="000000" w:sz="4" w:space="0"/>
              <w:right w:val="single" w:color="000000" w:sz="4" w:space="0"/>
            </w:tcBorders>
            <w:vAlign w:val="center"/>
          </w:tcPr>
          <w:p w14:paraId="5C82A02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服务台账</w:t>
            </w:r>
          </w:p>
        </w:tc>
      </w:tr>
      <w:tr w14:paraId="558645D2">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449B756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16</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1AF2E2E2">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72F6A701">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7B71C65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应急预案及演练</w:t>
            </w:r>
          </w:p>
        </w:tc>
        <w:tc>
          <w:tcPr>
            <w:tcW w:w="1066" w:type="pct"/>
            <w:tcBorders>
              <w:top w:val="single" w:color="000000" w:sz="4" w:space="0"/>
              <w:left w:val="single" w:color="000000" w:sz="4" w:space="0"/>
              <w:bottom w:val="single" w:color="000000" w:sz="4" w:space="0"/>
              <w:right w:val="single" w:color="000000" w:sz="4" w:space="0"/>
            </w:tcBorders>
            <w:vAlign w:val="center"/>
          </w:tcPr>
          <w:p w14:paraId="56D24CD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w:t>
            </w:r>
          </w:p>
        </w:tc>
        <w:tc>
          <w:tcPr>
            <w:tcW w:w="871" w:type="pct"/>
            <w:tcBorders>
              <w:top w:val="single" w:color="000000" w:sz="4" w:space="0"/>
              <w:left w:val="single" w:color="000000" w:sz="4" w:space="0"/>
              <w:bottom w:val="single" w:color="000000" w:sz="4" w:space="0"/>
              <w:right w:val="single" w:color="000000" w:sz="4" w:space="0"/>
            </w:tcBorders>
            <w:vAlign w:val="center"/>
          </w:tcPr>
          <w:p w14:paraId="5CD9F91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每半年</w:t>
            </w:r>
          </w:p>
        </w:tc>
        <w:tc>
          <w:tcPr>
            <w:tcW w:w="970" w:type="pct"/>
            <w:tcBorders>
              <w:top w:val="single" w:color="000000" w:sz="4" w:space="0"/>
              <w:left w:val="single" w:color="000000" w:sz="4" w:space="0"/>
              <w:bottom w:val="single" w:color="000000" w:sz="4" w:space="0"/>
              <w:right w:val="single" w:color="000000" w:sz="4" w:space="0"/>
            </w:tcBorders>
            <w:vAlign w:val="center"/>
          </w:tcPr>
          <w:p w14:paraId="3134E6C8">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应急演练总结报告</w:t>
            </w:r>
          </w:p>
        </w:tc>
      </w:tr>
      <w:tr w14:paraId="24F00C45">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1B3167DA">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17</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5169D283">
            <w:pPr>
              <w:widowControl/>
              <w:spacing w:line="240" w:lineRule="auto"/>
              <w:ind w:firstLine="0" w:firstLineChars="0"/>
              <w:jc w:val="left"/>
              <w:rPr>
                <w:rFonts w:hint="eastAsia" w:cs="宋体"/>
                <w:color w:val="000000"/>
                <w:kern w:val="0"/>
                <w:szCs w:val="24"/>
                <w:highlight w:val="none"/>
              </w:rPr>
            </w:pP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63BDCDE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网站运维服务</w:t>
            </w: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0390B00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市政府门户网站维护</w:t>
            </w:r>
          </w:p>
        </w:tc>
        <w:tc>
          <w:tcPr>
            <w:tcW w:w="1066" w:type="pct"/>
            <w:tcBorders>
              <w:top w:val="single" w:color="000000" w:sz="4" w:space="0"/>
              <w:left w:val="single" w:color="000000" w:sz="4" w:space="0"/>
              <w:bottom w:val="single" w:color="000000" w:sz="4" w:space="0"/>
              <w:right w:val="single" w:color="000000" w:sz="4" w:space="0"/>
            </w:tcBorders>
            <w:vAlign w:val="center"/>
          </w:tcPr>
          <w:p w14:paraId="60BD83E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市政府门户网站日常巡检服务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61796DA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按需</w:t>
            </w:r>
          </w:p>
        </w:tc>
        <w:tc>
          <w:tcPr>
            <w:tcW w:w="970" w:type="pct"/>
            <w:tcBorders>
              <w:top w:val="single" w:color="000000" w:sz="4" w:space="0"/>
              <w:left w:val="single" w:color="000000" w:sz="4" w:space="0"/>
              <w:bottom w:val="single" w:color="000000" w:sz="4" w:space="0"/>
              <w:right w:val="single" w:color="000000" w:sz="4" w:space="0"/>
            </w:tcBorders>
            <w:vAlign w:val="center"/>
          </w:tcPr>
          <w:p w14:paraId="0A70D03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巡检报告</w:t>
            </w:r>
          </w:p>
        </w:tc>
      </w:tr>
      <w:tr w14:paraId="5D3AB54B">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2813817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18</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0F59A5BE">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7D382DC1">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6F404D1B">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10DAF8BA">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市政府门户网站前端页面日常维护服务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3B84AB0C">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常态</w:t>
            </w:r>
          </w:p>
        </w:tc>
        <w:tc>
          <w:tcPr>
            <w:tcW w:w="970" w:type="pct"/>
            <w:tcBorders>
              <w:top w:val="single" w:color="000000" w:sz="4" w:space="0"/>
              <w:left w:val="single" w:color="000000" w:sz="4" w:space="0"/>
              <w:bottom w:val="single" w:color="000000" w:sz="4" w:space="0"/>
              <w:right w:val="single" w:color="000000" w:sz="4" w:space="0"/>
            </w:tcBorders>
            <w:vAlign w:val="center"/>
          </w:tcPr>
          <w:p w14:paraId="6BA2BD07">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服务台账</w:t>
            </w:r>
          </w:p>
        </w:tc>
      </w:tr>
      <w:tr w14:paraId="229983AF">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3049F2E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19</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1FF8A75E">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21398902">
            <w:pPr>
              <w:widowControl/>
              <w:spacing w:line="240" w:lineRule="auto"/>
              <w:ind w:firstLine="0" w:firstLineChars="0"/>
              <w:jc w:val="left"/>
              <w:rPr>
                <w:rFonts w:hint="eastAsia" w:cs="宋体"/>
                <w:color w:val="000000"/>
                <w:kern w:val="0"/>
                <w:szCs w:val="24"/>
                <w:highlight w:val="none"/>
              </w:rPr>
            </w:pP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3749CC9F">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部门网站维护</w:t>
            </w:r>
          </w:p>
        </w:tc>
        <w:tc>
          <w:tcPr>
            <w:tcW w:w="1066" w:type="pct"/>
            <w:tcBorders>
              <w:top w:val="single" w:color="000000" w:sz="4" w:space="0"/>
              <w:left w:val="single" w:color="000000" w:sz="4" w:space="0"/>
              <w:bottom w:val="single" w:color="000000" w:sz="4" w:space="0"/>
              <w:right w:val="single" w:color="000000" w:sz="4" w:space="0"/>
            </w:tcBorders>
            <w:vAlign w:val="center"/>
          </w:tcPr>
          <w:p w14:paraId="253BC0C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政府部门频道前端页面日常维护服务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005EB9E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常态</w:t>
            </w:r>
          </w:p>
        </w:tc>
        <w:tc>
          <w:tcPr>
            <w:tcW w:w="970" w:type="pct"/>
            <w:tcBorders>
              <w:top w:val="single" w:color="000000" w:sz="4" w:space="0"/>
              <w:left w:val="single" w:color="000000" w:sz="4" w:space="0"/>
              <w:bottom w:val="single" w:color="000000" w:sz="4" w:space="0"/>
              <w:right w:val="single" w:color="000000" w:sz="4" w:space="0"/>
            </w:tcBorders>
            <w:vAlign w:val="center"/>
          </w:tcPr>
          <w:p w14:paraId="4D0DB9B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服务台账</w:t>
            </w:r>
          </w:p>
        </w:tc>
      </w:tr>
      <w:tr w14:paraId="13CC696F">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765DA44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20</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0173C0CA">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50B7B111">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3210AF0C">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4518247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党群网站前端页面日常维护服务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4A3AEF0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常态</w:t>
            </w:r>
          </w:p>
        </w:tc>
        <w:tc>
          <w:tcPr>
            <w:tcW w:w="970" w:type="pct"/>
            <w:tcBorders>
              <w:top w:val="single" w:color="000000" w:sz="4" w:space="0"/>
              <w:left w:val="single" w:color="000000" w:sz="4" w:space="0"/>
              <w:bottom w:val="single" w:color="000000" w:sz="4" w:space="0"/>
              <w:right w:val="single" w:color="000000" w:sz="4" w:space="0"/>
            </w:tcBorders>
            <w:vAlign w:val="center"/>
          </w:tcPr>
          <w:p w14:paraId="51F0893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服务台账</w:t>
            </w:r>
          </w:p>
        </w:tc>
      </w:tr>
      <w:tr w14:paraId="605E73D6">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23F57D20">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21</w:t>
            </w:r>
          </w:p>
        </w:tc>
        <w:tc>
          <w:tcPr>
            <w:tcW w:w="489" w:type="pct"/>
            <w:vMerge w:val="restart"/>
            <w:tcBorders>
              <w:top w:val="single" w:color="000000" w:sz="4" w:space="0"/>
              <w:left w:val="single" w:color="000000" w:sz="4" w:space="0"/>
              <w:bottom w:val="single" w:color="000000" w:sz="4" w:space="0"/>
              <w:right w:val="single" w:color="000000" w:sz="4" w:space="0"/>
            </w:tcBorders>
            <w:vAlign w:val="center"/>
          </w:tcPr>
          <w:p w14:paraId="1BCDF82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适老化无障碍维护服务</w:t>
            </w: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47B5237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适老化无障碍维护服务</w:t>
            </w:r>
          </w:p>
        </w:tc>
        <w:tc>
          <w:tcPr>
            <w:tcW w:w="629" w:type="pct"/>
            <w:vMerge w:val="restart"/>
            <w:tcBorders>
              <w:top w:val="single" w:color="000000" w:sz="4" w:space="0"/>
              <w:left w:val="single" w:color="000000" w:sz="4" w:space="0"/>
              <w:bottom w:val="single" w:color="000000" w:sz="4" w:space="0"/>
              <w:right w:val="single" w:color="000000" w:sz="4" w:space="0"/>
            </w:tcBorders>
            <w:vAlign w:val="center"/>
          </w:tcPr>
          <w:p w14:paraId="0B1D7FE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市级政府网站适老化及无障碍运维服务</w:t>
            </w:r>
          </w:p>
        </w:tc>
        <w:tc>
          <w:tcPr>
            <w:tcW w:w="1066" w:type="pct"/>
            <w:tcBorders>
              <w:top w:val="single" w:color="000000" w:sz="4" w:space="0"/>
              <w:left w:val="single" w:color="000000" w:sz="4" w:space="0"/>
              <w:bottom w:val="single" w:color="000000" w:sz="4" w:space="0"/>
              <w:right w:val="single" w:color="000000" w:sz="4" w:space="0"/>
            </w:tcBorders>
            <w:vAlign w:val="center"/>
          </w:tcPr>
          <w:p w14:paraId="05C01F8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日常巡检</w:t>
            </w:r>
          </w:p>
        </w:tc>
        <w:tc>
          <w:tcPr>
            <w:tcW w:w="871" w:type="pct"/>
            <w:tcBorders>
              <w:top w:val="single" w:color="000000" w:sz="4" w:space="0"/>
              <w:left w:val="single" w:color="000000" w:sz="4" w:space="0"/>
              <w:bottom w:val="single" w:color="000000" w:sz="4" w:space="0"/>
              <w:right w:val="single" w:color="000000" w:sz="4" w:space="0"/>
            </w:tcBorders>
            <w:vAlign w:val="center"/>
          </w:tcPr>
          <w:p w14:paraId="36854AE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每季度</w:t>
            </w:r>
          </w:p>
        </w:tc>
        <w:tc>
          <w:tcPr>
            <w:tcW w:w="970" w:type="pct"/>
            <w:tcBorders>
              <w:top w:val="single" w:color="000000" w:sz="4" w:space="0"/>
              <w:left w:val="single" w:color="000000" w:sz="4" w:space="0"/>
              <w:bottom w:val="single" w:color="000000" w:sz="4" w:space="0"/>
              <w:right w:val="single" w:color="000000" w:sz="4" w:space="0"/>
            </w:tcBorders>
            <w:vAlign w:val="center"/>
          </w:tcPr>
          <w:p w14:paraId="3296DB0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运维报告</w:t>
            </w:r>
          </w:p>
        </w:tc>
      </w:tr>
      <w:tr w14:paraId="4146B07C">
        <w:tblPrEx>
          <w:tblCellMar>
            <w:top w:w="0" w:type="dxa"/>
            <w:left w:w="108" w:type="dxa"/>
            <w:bottom w:w="0" w:type="dxa"/>
            <w:right w:w="108" w:type="dxa"/>
          </w:tblCellMar>
        </w:tblPrEx>
        <w:trPr>
          <w:trHeight w:val="2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228ECB1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22</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5B11C583">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53D3071C">
            <w:pPr>
              <w:widowControl/>
              <w:spacing w:line="240" w:lineRule="auto"/>
              <w:ind w:firstLine="0" w:firstLineChars="0"/>
              <w:jc w:val="left"/>
              <w:rPr>
                <w:rFonts w:hint="eastAsia" w:cs="宋体"/>
                <w:color w:val="000000"/>
                <w:kern w:val="0"/>
                <w:szCs w:val="24"/>
                <w:highlight w:val="none"/>
              </w:rPr>
            </w:pPr>
          </w:p>
        </w:tc>
        <w:tc>
          <w:tcPr>
            <w:tcW w:w="629" w:type="pct"/>
            <w:vMerge w:val="continue"/>
            <w:tcBorders>
              <w:top w:val="single" w:color="000000" w:sz="4" w:space="0"/>
              <w:left w:val="single" w:color="000000" w:sz="4" w:space="0"/>
              <w:bottom w:val="single" w:color="000000" w:sz="4" w:space="0"/>
              <w:right w:val="single" w:color="000000" w:sz="4" w:space="0"/>
            </w:tcBorders>
            <w:vAlign w:val="center"/>
          </w:tcPr>
          <w:p w14:paraId="61C492D0">
            <w:pPr>
              <w:widowControl/>
              <w:spacing w:line="240" w:lineRule="auto"/>
              <w:ind w:firstLine="0" w:firstLineChars="0"/>
              <w:jc w:val="left"/>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4D41270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技术支持与故障处置</w:t>
            </w:r>
          </w:p>
        </w:tc>
        <w:tc>
          <w:tcPr>
            <w:tcW w:w="871" w:type="pct"/>
            <w:tcBorders>
              <w:top w:val="single" w:color="000000" w:sz="4" w:space="0"/>
              <w:left w:val="single" w:color="000000" w:sz="4" w:space="0"/>
              <w:bottom w:val="single" w:color="000000" w:sz="4" w:space="0"/>
              <w:right w:val="single" w:color="000000" w:sz="4" w:space="0"/>
            </w:tcBorders>
            <w:vAlign w:val="center"/>
          </w:tcPr>
          <w:p w14:paraId="57822B5A">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按需</w:t>
            </w:r>
          </w:p>
        </w:tc>
        <w:tc>
          <w:tcPr>
            <w:tcW w:w="970" w:type="pct"/>
            <w:tcBorders>
              <w:top w:val="single" w:color="000000" w:sz="4" w:space="0"/>
              <w:left w:val="single" w:color="000000" w:sz="4" w:space="0"/>
              <w:bottom w:val="single" w:color="000000" w:sz="4" w:space="0"/>
              <w:right w:val="single" w:color="000000" w:sz="4" w:space="0"/>
            </w:tcBorders>
            <w:vAlign w:val="center"/>
          </w:tcPr>
          <w:p w14:paraId="37C5FB4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按实际情况提供</w:t>
            </w:r>
          </w:p>
        </w:tc>
      </w:tr>
      <w:tr w14:paraId="7150112D">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4FED540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23</w:t>
            </w:r>
          </w:p>
        </w:tc>
        <w:tc>
          <w:tcPr>
            <w:tcW w:w="489" w:type="pct"/>
            <w:vMerge w:val="restart"/>
            <w:tcBorders>
              <w:top w:val="single" w:color="000000" w:sz="4" w:space="0"/>
              <w:left w:val="single" w:color="000000" w:sz="4" w:space="0"/>
              <w:bottom w:val="single" w:color="000000" w:sz="4" w:space="0"/>
              <w:right w:val="single" w:color="000000" w:sz="4" w:space="0"/>
            </w:tcBorders>
            <w:vAlign w:val="center"/>
          </w:tcPr>
          <w:p w14:paraId="5EBD2EE3">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网站及新媒体监测服务</w:t>
            </w:r>
          </w:p>
        </w:tc>
        <w:tc>
          <w:tcPr>
            <w:tcW w:w="629" w:type="pct"/>
            <w:tcBorders>
              <w:top w:val="single" w:color="000000" w:sz="4" w:space="0"/>
              <w:left w:val="single" w:color="000000" w:sz="4" w:space="0"/>
              <w:bottom w:val="single" w:color="000000" w:sz="4" w:space="0"/>
              <w:right w:val="single" w:color="000000" w:sz="4" w:space="0"/>
            </w:tcBorders>
            <w:vAlign w:val="center"/>
          </w:tcPr>
          <w:p w14:paraId="1ABCA9F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政府网站监测服务</w:t>
            </w:r>
          </w:p>
        </w:tc>
        <w:tc>
          <w:tcPr>
            <w:tcW w:w="629" w:type="pct"/>
            <w:tcBorders>
              <w:top w:val="single" w:color="000000" w:sz="4" w:space="0"/>
              <w:left w:val="single" w:color="000000" w:sz="4" w:space="0"/>
              <w:bottom w:val="single" w:color="000000" w:sz="4" w:space="0"/>
              <w:right w:val="single" w:color="000000" w:sz="4" w:space="0"/>
            </w:tcBorders>
            <w:vAlign w:val="center"/>
          </w:tcPr>
          <w:p w14:paraId="52D100A2">
            <w:pPr>
              <w:widowControl/>
              <w:spacing w:line="240" w:lineRule="auto"/>
              <w:ind w:firstLine="0" w:firstLineChars="0"/>
              <w:jc w:val="center"/>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37121E8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政府网站监测服务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4D299BB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每月</w:t>
            </w:r>
          </w:p>
        </w:tc>
        <w:tc>
          <w:tcPr>
            <w:tcW w:w="970" w:type="pct"/>
            <w:tcBorders>
              <w:top w:val="single" w:color="000000" w:sz="4" w:space="0"/>
              <w:left w:val="single" w:color="000000" w:sz="4" w:space="0"/>
              <w:bottom w:val="single" w:color="000000" w:sz="4" w:space="0"/>
              <w:right w:val="single" w:color="000000" w:sz="4" w:space="0"/>
            </w:tcBorders>
            <w:vAlign w:val="center"/>
          </w:tcPr>
          <w:p w14:paraId="5047E604">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监测报告及</w:t>
            </w:r>
            <w:r>
              <w:rPr>
                <w:rFonts w:cs="宋体"/>
                <w:color w:val="000000"/>
                <w:kern w:val="0"/>
                <w:szCs w:val="24"/>
                <w:highlight w:val="none"/>
              </w:rPr>
              <w:t>问题整改跟进台账</w:t>
            </w:r>
          </w:p>
        </w:tc>
      </w:tr>
      <w:tr w14:paraId="5DA089E9">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27AFD08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24</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1EDEA0BC">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5DC904CB">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政务新媒体监测服务</w:t>
            </w:r>
          </w:p>
        </w:tc>
        <w:tc>
          <w:tcPr>
            <w:tcW w:w="629" w:type="pct"/>
            <w:tcBorders>
              <w:top w:val="single" w:color="000000" w:sz="4" w:space="0"/>
              <w:left w:val="single" w:color="000000" w:sz="4" w:space="0"/>
              <w:bottom w:val="single" w:color="000000" w:sz="4" w:space="0"/>
              <w:right w:val="single" w:color="000000" w:sz="4" w:space="0"/>
            </w:tcBorders>
            <w:vAlign w:val="center"/>
          </w:tcPr>
          <w:p w14:paraId="03C9B7F1">
            <w:pPr>
              <w:widowControl/>
              <w:spacing w:line="240" w:lineRule="auto"/>
              <w:ind w:firstLine="0" w:firstLineChars="0"/>
              <w:jc w:val="center"/>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6CA24402">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政务新媒体监测服务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2817E80E">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每周、每月</w:t>
            </w:r>
          </w:p>
        </w:tc>
        <w:tc>
          <w:tcPr>
            <w:tcW w:w="970" w:type="pct"/>
            <w:tcBorders>
              <w:top w:val="single" w:color="000000" w:sz="4" w:space="0"/>
              <w:left w:val="single" w:color="000000" w:sz="4" w:space="0"/>
              <w:bottom w:val="single" w:color="000000" w:sz="4" w:space="0"/>
              <w:right w:val="single" w:color="000000" w:sz="4" w:space="0"/>
            </w:tcBorders>
            <w:vAlign w:val="center"/>
          </w:tcPr>
          <w:p w14:paraId="382E272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监测报告及</w:t>
            </w:r>
            <w:r>
              <w:rPr>
                <w:rFonts w:cs="宋体"/>
                <w:color w:val="000000"/>
                <w:kern w:val="0"/>
                <w:szCs w:val="24"/>
                <w:highlight w:val="none"/>
              </w:rPr>
              <w:t>问题整改跟进台账</w:t>
            </w:r>
          </w:p>
        </w:tc>
      </w:tr>
      <w:tr w14:paraId="13F1F4E5">
        <w:tblPrEx>
          <w:tblCellMar>
            <w:top w:w="0" w:type="dxa"/>
            <w:left w:w="108" w:type="dxa"/>
            <w:bottom w:w="0" w:type="dxa"/>
            <w:right w:w="108" w:type="dxa"/>
          </w:tblCellMar>
        </w:tblPrEx>
        <w:trPr>
          <w:trHeight w:val="380" w:hRule="atLeast"/>
        </w:trPr>
        <w:tc>
          <w:tcPr>
            <w:tcW w:w="347" w:type="pct"/>
            <w:tcBorders>
              <w:top w:val="single" w:color="000000" w:sz="4" w:space="0"/>
              <w:left w:val="single" w:color="000000" w:sz="4" w:space="0"/>
              <w:bottom w:val="single" w:color="000000" w:sz="4" w:space="0"/>
              <w:right w:val="single" w:color="000000" w:sz="4" w:space="0"/>
            </w:tcBorders>
            <w:vAlign w:val="center"/>
          </w:tcPr>
          <w:p w14:paraId="72D796D1">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25</w:t>
            </w:r>
          </w:p>
        </w:tc>
        <w:tc>
          <w:tcPr>
            <w:tcW w:w="489" w:type="pct"/>
            <w:vMerge w:val="continue"/>
            <w:tcBorders>
              <w:top w:val="single" w:color="000000" w:sz="4" w:space="0"/>
              <w:left w:val="single" w:color="000000" w:sz="4" w:space="0"/>
              <w:bottom w:val="single" w:color="000000" w:sz="4" w:space="0"/>
              <w:right w:val="single" w:color="000000" w:sz="4" w:space="0"/>
            </w:tcBorders>
            <w:vAlign w:val="center"/>
          </w:tcPr>
          <w:p w14:paraId="53C1D4B3">
            <w:pPr>
              <w:widowControl/>
              <w:spacing w:line="240" w:lineRule="auto"/>
              <w:ind w:firstLine="0" w:firstLineChars="0"/>
              <w:jc w:val="left"/>
              <w:rPr>
                <w:rFonts w:hint="eastAsia" w:cs="宋体"/>
                <w:color w:val="000000"/>
                <w:kern w:val="0"/>
                <w:szCs w:val="24"/>
                <w:highlight w:val="none"/>
              </w:rPr>
            </w:pPr>
          </w:p>
        </w:tc>
        <w:tc>
          <w:tcPr>
            <w:tcW w:w="629" w:type="pct"/>
            <w:tcBorders>
              <w:top w:val="single" w:color="000000" w:sz="4" w:space="0"/>
              <w:left w:val="single" w:color="000000" w:sz="4" w:space="0"/>
              <w:bottom w:val="single" w:color="000000" w:sz="4" w:space="0"/>
              <w:right w:val="single" w:color="000000" w:sz="4" w:space="0"/>
            </w:tcBorders>
            <w:vAlign w:val="center"/>
          </w:tcPr>
          <w:p w14:paraId="4E09ABC5">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网站内容安全监测服务</w:t>
            </w:r>
          </w:p>
        </w:tc>
        <w:tc>
          <w:tcPr>
            <w:tcW w:w="629" w:type="pct"/>
            <w:tcBorders>
              <w:top w:val="single" w:color="000000" w:sz="4" w:space="0"/>
              <w:left w:val="single" w:color="000000" w:sz="4" w:space="0"/>
              <w:bottom w:val="single" w:color="000000" w:sz="4" w:space="0"/>
              <w:right w:val="single" w:color="000000" w:sz="4" w:space="0"/>
            </w:tcBorders>
            <w:vAlign w:val="center"/>
          </w:tcPr>
          <w:p w14:paraId="640F8F1D">
            <w:pPr>
              <w:widowControl/>
              <w:spacing w:line="240" w:lineRule="auto"/>
              <w:ind w:firstLine="0" w:firstLineChars="0"/>
              <w:jc w:val="center"/>
              <w:rPr>
                <w:rFonts w:hint="eastAsia" w:cs="宋体"/>
                <w:color w:val="000000"/>
                <w:kern w:val="0"/>
                <w:szCs w:val="24"/>
                <w:highlight w:val="none"/>
              </w:rPr>
            </w:pPr>
          </w:p>
        </w:tc>
        <w:tc>
          <w:tcPr>
            <w:tcW w:w="1066" w:type="pct"/>
            <w:tcBorders>
              <w:top w:val="single" w:color="000000" w:sz="4" w:space="0"/>
              <w:left w:val="single" w:color="000000" w:sz="4" w:space="0"/>
              <w:bottom w:val="single" w:color="000000" w:sz="4" w:space="0"/>
              <w:right w:val="single" w:color="000000" w:sz="4" w:space="0"/>
            </w:tcBorders>
            <w:vAlign w:val="center"/>
          </w:tcPr>
          <w:p w14:paraId="43F2309D">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网站内容安全监测服务</w:t>
            </w:r>
          </w:p>
        </w:tc>
        <w:tc>
          <w:tcPr>
            <w:tcW w:w="871" w:type="pct"/>
            <w:tcBorders>
              <w:top w:val="single" w:color="000000" w:sz="4" w:space="0"/>
              <w:left w:val="single" w:color="000000" w:sz="4" w:space="0"/>
              <w:bottom w:val="single" w:color="000000" w:sz="4" w:space="0"/>
              <w:right w:val="single" w:color="000000" w:sz="4" w:space="0"/>
            </w:tcBorders>
            <w:vAlign w:val="center"/>
          </w:tcPr>
          <w:p w14:paraId="3D3FD226">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每月</w:t>
            </w:r>
          </w:p>
        </w:tc>
        <w:tc>
          <w:tcPr>
            <w:tcW w:w="970" w:type="pct"/>
            <w:tcBorders>
              <w:top w:val="single" w:color="000000" w:sz="4" w:space="0"/>
              <w:left w:val="single" w:color="000000" w:sz="4" w:space="0"/>
              <w:bottom w:val="single" w:color="000000" w:sz="4" w:space="0"/>
              <w:right w:val="single" w:color="000000" w:sz="4" w:space="0"/>
            </w:tcBorders>
            <w:vAlign w:val="center"/>
          </w:tcPr>
          <w:p w14:paraId="546DD0D9">
            <w:pPr>
              <w:widowControl/>
              <w:spacing w:line="240" w:lineRule="auto"/>
              <w:ind w:firstLine="0" w:firstLineChars="0"/>
              <w:jc w:val="center"/>
              <w:rPr>
                <w:rFonts w:hint="eastAsia" w:cs="宋体"/>
                <w:color w:val="000000"/>
                <w:kern w:val="0"/>
                <w:szCs w:val="24"/>
                <w:highlight w:val="none"/>
              </w:rPr>
            </w:pPr>
            <w:r>
              <w:rPr>
                <w:rFonts w:hint="eastAsia" w:cs="宋体"/>
                <w:color w:val="000000"/>
                <w:kern w:val="0"/>
                <w:szCs w:val="24"/>
                <w:highlight w:val="none"/>
              </w:rPr>
              <w:t>监测报告及</w:t>
            </w:r>
            <w:r>
              <w:rPr>
                <w:rFonts w:cs="宋体"/>
                <w:color w:val="000000"/>
                <w:kern w:val="0"/>
                <w:szCs w:val="24"/>
                <w:highlight w:val="none"/>
              </w:rPr>
              <w:t>问题整改跟进台账</w:t>
            </w:r>
          </w:p>
        </w:tc>
      </w:tr>
    </w:tbl>
    <w:p w14:paraId="444CA36C">
      <w:pPr>
        <w:ind w:firstLine="0" w:firstLineChars="0"/>
        <w:rPr>
          <w:rFonts w:hint="eastAsia"/>
          <w:highlight w:val="none"/>
        </w:rPr>
      </w:pPr>
    </w:p>
    <w:p w14:paraId="4B2642D8">
      <w:pPr>
        <w:pStyle w:val="5"/>
        <w:rPr>
          <w:rFonts w:hint="eastAsia"/>
          <w:highlight w:val="none"/>
        </w:rPr>
      </w:pPr>
      <w:bookmarkStart w:id="204" w:name="_Toc19869"/>
      <w:bookmarkStart w:id="205" w:name="_Toc3040"/>
      <w:bookmarkStart w:id="206" w:name="_Toc767"/>
      <w:bookmarkStart w:id="207" w:name="_Toc233795194"/>
      <w:bookmarkStart w:id="208" w:name="_Toc10989"/>
      <w:r>
        <w:rPr>
          <w:rFonts w:hint="eastAsia"/>
          <w:highlight w:val="none"/>
        </w:rPr>
        <w:t>服务团队要求</w:t>
      </w:r>
      <w:bookmarkEnd w:id="204"/>
      <w:bookmarkEnd w:id="205"/>
      <w:bookmarkEnd w:id="206"/>
      <w:bookmarkEnd w:id="207"/>
      <w:bookmarkEnd w:id="208"/>
    </w:p>
    <w:p w14:paraId="15DF45CB">
      <w:pPr>
        <w:pStyle w:val="6"/>
        <w:rPr>
          <w:rFonts w:hint="eastAsia"/>
          <w:highlight w:val="none"/>
        </w:rPr>
      </w:pPr>
      <w:r>
        <w:rPr>
          <w:rFonts w:hint="eastAsia"/>
          <w:highlight w:val="none"/>
        </w:rPr>
        <w:t>团队总体要求</w:t>
      </w:r>
    </w:p>
    <w:p w14:paraId="318530BF">
      <w:pPr>
        <w:ind w:firstLine="480"/>
        <w:rPr>
          <w:rFonts w:hint="eastAsia"/>
          <w:highlight w:val="none"/>
        </w:rPr>
      </w:pPr>
      <w:r>
        <w:rPr>
          <w:rFonts w:hint="eastAsia"/>
          <w:highlight w:val="none"/>
        </w:rPr>
        <w:t>投标人应结合本项目集约化平台运维、网站运维、适老化无障碍维护、政府网站及政务新媒体监测、内容安全监测等服务内容，组建稳定、专业的项目服务团队。项目服务团队拟投入不少于8人，其中包括项目经理1人、驻点服务人员不少于2人、后台服务人员不少于5人。驻点服务人员应按采购人要求提供工作日5×8小时现场服务；后台服务人员可根据服务事项采取远程支撑、专项支撑或必要时现场支撑等方式提供服务。</w:t>
      </w:r>
    </w:p>
    <w:p w14:paraId="5DABEB79">
      <w:pPr>
        <w:ind w:firstLine="480"/>
        <w:rPr>
          <w:rFonts w:hint="eastAsia"/>
          <w:highlight w:val="none"/>
        </w:rPr>
      </w:pPr>
      <w:r>
        <w:rPr>
          <w:rFonts w:hint="eastAsia"/>
          <w:highlight w:val="none"/>
        </w:rPr>
        <w:t>投标人应建立项目经理统一协调、驻点人员现场受理、后台服务人员专业支撑的服务机制，确保日常巡检、故障处理、安全整改、监测报告、问题整改跟进、应急保障、资料归档等工作有明确分工、有过程记录、有处理结果、有复核反馈。</w:t>
      </w:r>
    </w:p>
    <w:p w14:paraId="277563DD">
      <w:pPr>
        <w:pStyle w:val="6"/>
        <w:rPr>
          <w:rFonts w:hint="eastAsia"/>
          <w:highlight w:val="none"/>
        </w:rPr>
      </w:pPr>
      <w:r>
        <w:rPr>
          <w:rFonts w:hint="eastAsia"/>
          <w:highlight w:val="none"/>
        </w:rPr>
        <w:t>团队架构要求</w:t>
      </w:r>
    </w:p>
    <w:p w14:paraId="5D84E622">
      <w:pPr>
        <w:ind w:firstLine="480"/>
        <w:rPr>
          <w:rFonts w:hint="eastAsia"/>
          <w:highlight w:val="none"/>
        </w:rPr>
      </w:pPr>
      <w:r>
        <w:rPr>
          <w:rFonts w:hint="eastAsia"/>
          <w:highlight w:val="none"/>
        </w:rPr>
        <w:t>★</w:t>
      </w:r>
      <w:r>
        <w:rPr>
          <w:highlight w:val="none"/>
        </w:rPr>
        <w:t>投标人应结合本项目服务内容，组建不少于8人的项目服务团队，团队包括项目经理1人、驻点服务人员</w:t>
      </w:r>
      <w:r>
        <w:rPr>
          <w:rFonts w:hint="eastAsia"/>
          <w:highlight w:val="none"/>
        </w:rPr>
        <w:t>不少于</w:t>
      </w:r>
      <w:r>
        <w:rPr>
          <w:highlight w:val="none"/>
        </w:rPr>
        <w:t>2人、后台服务人员</w:t>
      </w:r>
      <w:r>
        <w:rPr>
          <w:rFonts w:hint="eastAsia"/>
          <w:highlight w:val="none"/>
        </w:rPr>
        <w:t>不少于</w:t>
      </w:r>
      <w:r>
        <w:rPr>
          <w:highlight w:val="none"/>
        </w:rPr>
        <w:t>5人。</w:t>
      </w:r>
      <w:r>
        <w:rPr>
          <w:rFonts w:hint="eastAsia"/>
          <w:highlight w:val="none"/>
        </w:rPr>
        <w:t>投标人须书面承诺，如在项目实际执行过程中发生项目经理等服务团队成员不能按采购文件要求胜任相关工作的，采购人有权要求更换项目经理等服务团队成员，中标人必须在两周内调整为符合采购文件要求且能胜任相关工作的项目经理等服务团队成员并到位开展工作，否则采购人有权终止合同并报相关管理部门进行处理。（</w:t>
      </w:r>
      <w:r>
        <w:rPr>
          <w:highlight w:val="none"/>
        </w:rPr>
        <w:t>投标时提供承诺函，可参照“投标文件格式”中《承诺函》格式</w:t>
      </w:r>
      <w:r>
        <w:rPr>
          <w:rFonts w:hint="eastAsia"/>
          <w:highlight w:val="none"/>
        </w:rPr>
        <w:t>）</w:t>
      </w:r>
    </w:p>
    <w:p w14:paraId="4E7D7FD1">
      <w:pPr>
        <w:ind w:firstLine="480"/>
        <w:rPr>
          <w:rFonts w:hint="eastAsia"/>
          <w:highlight w:val="none"/>
        </w:rPr>
      </w:pPr>
      <w:r>
        <w:rPr>
          <w:highlight w:val="none"/>
        </w:rPr>
        <w:t>项目服务团队实行项目经理统一统筹、驻点服务人员现场支撑、后台服务人员专业协同的工作机制，保障集约化平台运维、网站日常维护、适老化无障碍维护、政府网站及政务新媒体监测、内容安全监测、问题整改跟进、资料归档等工作有序开展。</w:t>
      </w:r>
    </w:p>
    <w:p w14:paraId="3F9D4A1F">
      <w:pPr>
        <w:ind w:firstLine="0" w:firstLineChars="0"/>
        <w:jc w:val="center"/>
        <w:rPr>
          <w:rFonts w:hint="eastAsia"/>
          <w:highlight w:val="none"/>
        </w:rPr>
      </w:pPr>
      <w:r>
        <w:rPr>
          <w:highlight w:val="none"/>
        </w:rPr>
        <w:drawing>
          <wp:inline distT="0" distB="0" distL="0" distR="0">
            <wp:extent cx="3968115" cy="1888490"/>
            <wp:effectExtent l="0" t="0" r="0" b="0"/>
            <wp:docPr id="9299998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99864" name="图片 1"/>
                    <pic:cNvPicPr>
                      <a:picLocks noChangeAspect="1"/>
                    </pic:cNvPicPr>
                  </pic:nvPicPr>
                  <pic:blipFill>
                    <a:blip r:embed="rId12"/>
                    <a:stretch>
                      <a:fillRect/>
                    </a:stretch>
                  </pic:blipFill>
                  <pic:spPr>
                    <a:xfrm>
                      <a:off x="0" y="0"/>
                      <a:ext cx="3978687" cy="1894019"/>
                    </a:xfrm>
                    <a:prstGeom prst="rect">
                      <a:avLst/>
                    </a:prstGeom>
                  </pic:spPr>
                </pic:pic>
              </a:graphicData>
            </a:graphic>
          </wp:inline>
        </w:drawing>
      </w:r>
    </w:p>
    <w:p w14:paraId="10314EE5">
      <w:pPr>
        <w:ind w:firstLine="480" w:firstLineChars="0"/>
        <w:rPr>
          <w:rFonts w:hint="eastAsia"/>
          <w:highlight w:val="none"/>
        </w:rPr>
      </w:pPr>
      <w:r>
        <w:rPr>
          <w:rFonts w:hint="eastAsia"/>
          <w:highlight w:val="none"/>
        </w:rPr>
        <w:t>1.项目经理负责本项目整体统筹管理，包括服务计划制定、人员协调、质量控制、进度跟踪、沟通汇报、问题协调和验收资料组织等工作，保障项目服务按要求有序开展。</w:t>
      </w:r>
    </w:p>
    <w:p w14:paraId="4EAC738B">
      <w:pPr>
        <w:ind w:firstLine="480" w:firstLineChars="0"/>
        <w:rPr>
          <w:rFonts w:hint="eastAsia"/>
          <w:highlight w:val="none"/>
        </w:rPr>
      </w:pPr>
      <w:r>
        <w:rPr>
          <w:rFonts w:hint="eastAsia"/>
          <w:highlight w:val="none"/>
        </w:rPr>
        <w:t>项目经理具备以下证书或相关工作经验：</w:t>
      </w:r>
    </w:p>
    <w:p w14:paraId="48D978DB">
      <w:pPr>
        <w:ind w:firstLine="480" w:firstLineChars="0"/>
        <w:rPr>
          <w:rFonts w:hint="eastAsia"/>
          <w:highlight w:val="none"/>
        </w:rPr>
      </w:pPr>
      <w:r>
        <w:rPr>
          <w:rFonts w:hint="eastAsia"/>
          <w:highlight w:val="none"/>
        </w:rPr>
        <w:t>（1）具有中级或以上的计算机技术与软件专业技术资格证书；</w:t>
      </w:r>
    </w:p>
    <w:p w14:paraId="59FE4FD6">
      <w:pPr>
        <w:ind w:firstLine="480" w:firstLineChars="0"/>
        <w:rPr>
          <w:rFonts w:hint="eastAsia"/>
          <w:highlight w:val="none"/>
        </w:rPr>
      </w:pPr>
      <w:r>
        <w:rPr>
          <w:rFonts w:hint="eastAsia"/>
          <w:highlight w:val="none"/>
        </w:rPr>
        <w:t>（2）具有计算机相关专业本科及以上学历证书；</w:t>
      </w:r>
    </w:p>
    <w:p w14:paraId="0C499C43">
      <w:pPr>
        <w:ind w:firstLine="480" w:firstLineChars="0"/>
        <w:rPr>
          <w:rFonts w:hint="eastAsia"/>
          <w:highlight w:val="none"/>
        </w:rPr>
      </w:pPr>
      <w:r>
        <w:rPr>
          <w:rFonts w:hint="eastAsia"/>
          <w:highlight w:val="none"/>
        </w:rPr>
        <w:t>（3）具备近三年以来政务信息系统建设或运维、运营相关工作经验。</w:t>
      </w:r>
    </w:p>
    <w:p w14:paraId="7EFC6FCE">
      <w:pPr>
        <w:ind w:firstLine="480"/>
        <w:rPr>
          <w:rFonts w:hint="eastAsia"/>
          <w:highlight w:val="none"/>
        </w:rPr>
      </w:pPr>
      <w:r>
        <w:rPr>
          <w:rFonts w:hint="eastAsia"/>
          <w:highlight w:val="none"/>
        </w:rPr>
        <w:t>2.驻点服务人员负责现场日常服务支撑，包括服务受理、部门沟通、网站运维协助、信息加载、读网检查、问题记录、整改跟进、资料整理和台账归档等工作。</w:t>
      </w:r>
    </w:p>
    <w:p w14:paraId="355A3E41">
      <w:pPr>
        <w:ind w:firstLine="480" w:firstLineChars="0"/>
        <w:rPr>
          <w:rFonts w:hint="eastAsia"/>
          <w:highlight w:val="none"/>
        </w:rPr>
      </w:pPr>
      <w:r>
        <w:rPr>
          <w:rFonts w:hint="eastAsia"/>
          <w:highlight w:val="none"/>
        </w:rPr>
        <w:t>驻点服务人员应具备一年以上政务信息系统建设或运维、运营相关工作经验。</w:t>
      </w:r>
    </w:p>
    <w:p w14:paraId="6213065F">
      <w:pPr>
        <w:ind w:firstLine="480"/>
        <w:rPr>
          <w:rFonts w:hint="eastAsia"/>
          <w:highlight w:val="none"/>
        </w:rPr>
      </w:pPr>
      <w:r>
        <w:rPr>
          <w:rFonts w:hint="eastAsia"/>
          <w:highlight w:val="none"/>
        </w:rPr>
        <w:t>3.平台运维及安全支撑人员负责平台运行维护和安全支撑，包括运行巡检、故障排查、性能协查、备份恢复配合、安全整改、漏洞处置和应急演练支撑等工作。</w:t>
      </w:r>
    </w:p>
    <w:p w14:paraId="0EE864A6">
      <w:pPr>
        <w:ind w:firstLine="480"/>
        <w:rPr>
          <w:rFonts w:hint="eastAsia"/>
          <w:highlight w:val="none"/>
        </w:rPr>
      </w:pPr>
      <w:r>
        <w:rPr>
          <w:rFonts w:hint="eastAsia"/>
          <w:highlight w:val="none"/>
        </w:rPr>
        <w:t>网站维护支撑人员负责网站页面维护工作，包括栏目调整、页面版式维护、图文素材处理、专题专栏制作、错链死链整改和页面展示异常处理等工作。</w:t>
      </w:r>
    </w:p>
    <w:p w14:paraId="0469EAA2">
      <w:pPr>
        <w:ind w:firstLine="480"/>
        <w:rPr>
          <w:rFonts w:hint="eastAsia"/>
          <w:highlight w:val="none"/>
        </w:rPr>
      </w:pPr>
      <w:r>
        <w:rPr>
          <w:rFonts w:hint="eastAsia"/>
          <w:highlight w:val="none"/>
        </w:rPr>
        <w:t>监测服务人员负责政府网站、政务新媒体和网站内容安全监测工作，包括人工核查、问题清单整理、监测报告编制、整改跟进和复核确认等工作。</w:t>
      </w:r>
    </w:p>
    <w:p w14:paraId="6E5AF069">
      <w:pPr>
        <w:ind w:firstLine="480" w:firstLineChars="0"/>
        <w:rPr>
          <w:rFonts w:hint="eastAsia"/>
          <w:highlight w:val="none"/>
        </w:rPr>
      </w:pPr>
      <w:r>
        <w:rPr>
          <w:rFonts w:hint="eastAsia"/>
          <w:highlight w:val="none"/>
        </w:rPr>
        <w:t>专业支撑组人员应具有中级或以上的计算机技术与软件专业技术资格证书。</w:t>
      </w:r>
    </w:p>
    <w:p w14:paraId="31C5E8C0">
      <w:pPr>
        <w:pStyle w:val="6"/>
        <w:rPr>
          <w:rFonts w:hint="eastAsia"/>
          <w:highlight w:val="none"/>
        </w:rPr>
      </w:pPr>
      <w:r>
        <w:rPr>
          <w:highlight w:val="none"/>
        </w:rPr>
        <w:t>人员管理要求</w:t>
      </w:r>
    </w:p>
    <w:p w14:paraId="107EEA4A">
      <w:pPr>
        <w:ind w:firstLine="480"/>
        <w:rPr>
          <w:rFonts w:hint="eastAsia"/>
          <w:highlight w:val="none"/>
        </w:rPr>
      </w:pPr>
      <w:r>
        <w:rPr>
          <w:rFonts w:hint="eastAsia"/>
          <w:highlight w:val="none"/>
        </w:rPr>
        <w:t>投标人应建立团队内部工作交接机制，确保人员请假、调休、离职或岗位调整期间服务不断档。驻点人员因故无法到岗的，应提前报备并安排符合要求的人员替补，保障采购人现场服务正常开展。</w:t>
      </w:r>
    </w:p>
    <w:p w14:paraId="6FEED8DE">
      <w:pPr>
        <w:ind w:firstLine="480"/>
        <w:rPr>
          <w:rFonts w:hint="eastAsia"/>
          <w:highlight w:val="none"/>
        </w:rPr>
      </w:pPr>
      <w:r>
        <w:rPr>
          <w:rFonts w:hint="eastAsia"/>
          <w:highlight w:val="none"/>
        </w:rPr>
        <w:t>投标人应加强服务团队保密管理和安全管理。项目服务人员应遵守采购人各项管理制度，不得擅自复制、传播、泄露项目资料、账号信息、系统配置、监测结果、问题清单及其他工作中接触到的敏感信息。涉及账号权限、系统配置、数据处理、内容发布、问题整改等操作的，应按采购人要求履行审批、记录和留痕手续。</w:t>
      </w:r>
    </w:p>
    <w:p w14:paraId="3902C17F">
      <w:pPr>
        <w:ind w:firstLine="480"/>
        <w:rPr>
          <w:rFonts w:hint="eastAsia"/>
          <w:highlight w:val="none"/>
        </w:rPr>
      </w:pPr>
      <w:r>
        <w:rPr>
          <w:rFonts w:hint="eastAsia"/>
          <w:highlight w:val="none"/>
        </w:rPr>
        <w:t>中标人承诺的项目经理等服务团队成员未经用户同意不得调整；中标人如中途更换项目经理等服务团队成员，应征得用户同意，否则采购人有权终止合同。</w:t>
      </w:r>
      <w:bookmarkStart w:id="209" w:name="_Toc29357"/>
      <w:bookmarkStart w:id="210" w:name="_Toc7224"/>
    </w:p>
    <w:p w14:paraId="39C600ED">
      <w:pPr>
        <w:ind w:firstLine="480"/>
        <w:rPr>
          <w:rFonts w:hint="eastAsia"/>
          <w:highlight w:val="none"/>
        </w:rPr>
      </w:pPr>
    </w:p>
    <w:p w14:paraId="7C1E4B20">
      <w:pPr>
        <w:pStyle w:val="5"/>
        <w:rPr>
          <w:rFonts w:hint="eastAsia"/>
          <w:highlight w:val="none"/>
        </w:rPr>
      </w:pPr>
      <w:bookmarkStart w:id="211" w:name="_Toc29124"/>
      <w:bookmarkStart w:id="212" w:name="_Toc628"/>
      <w:bookmarkStart w:id="213" w:name="_Toc233795195"/>
      <w:bookmarkStart w:id="214" w:name="_Toc24725"/>
      <w:bookmarkStart w:id="215" w:name="_Toc29557"/>
      <w:r>
        <w:rPr>
          <w:rFonts w:hint="eastAsia"/>
          <w:highlight w:val="none"/>
        </w:rPr>
        <w:t>功能测试要求</w:t>
      </w:r>
      <w:bookmarkEnd w:id="209"/>
      <w:bookmarkEnd w:id="210"/>
      <w:bookmarkEnd w:id="211"/>
      <w:bookmarkEnd w:id="212"/>
      <w:bookmarkEnd w:id="213"/>
      <w:bookmarkEnd w:id="214"/>
      <w:bookmarkEnd w:id="215"/>
    </w:p>
    <w:p w14:paraId="31351252">
      <w:pPr>
        <w:ind w:firstLine="480"/>
        <w:rPr>
          <w:rFonts w:hint="eastAsia"/>
          <w:highlight w:val="none"/>
        </w:rPr>
      </w:pPr>
      <w:r>
        <w:rPr>
          <w:rFonts w:hint="eastAsia"/>
          <w:highlight w:val="none"/>
        </w:rPr>
        <w:t>中标人在进行系统优化时，须完成系统新优化功能的功能测试，提供测试用例、测试记录、上线申请等相关的材料。</w:t>
      </w:r>
    </w:p>
    <w:p w14:paraId="5C0CABD4">
      <w:pPr>
        <w:pStyle w:val="5"/>
        <w:rPr>
          <w:rFonts w:hint="eastAsia"/>
          <w:highlight w:val="none"/>
        </w:rPr>
      </w:pPr>
      <w:bookmarkStart w:id="216" w:name="_Toc233795196"/>
      <w:bookmarkStart w:id="217" w:name="_Toc788"/>
      <w:bookmarkStart w:id="218" w:name="_Toc10456"/>
      <w:bookmarkStart w:id="219" w:name="_Toc24792"/>
      <w:bookmarkStart w:id="220" w:name="_Toc18684"/>
      <w:bookmarkStart w:id="221" w:name="_Toc6609"/>
      <w:bookmarkStart w:id="222" w:name="_Toc21750"/>
      <w:r>
        <w:rPr>
          <w:rFonts w:hint="eastAsia"/>
          <w:highlight w:val="none"/>
        </w:rPr>
        <w:t>文档管理要求</w:t>
      </w:r>
      <w:bookmarkEnd w:id="216"/>
      <w:bookmarkEnd w:id="217"/>
      <w:bookmarkEnd w:id="218"/>
      <w:bookmarkEnd w:id="219"/>
      <w:bookmarkEnd w:id="220"/>
      <w:bookmarkEnd w:id="221"/>
      <w:bookmarkEnd w:id="222"/>
    </w:p>
    <w:p w14:paraId="6D28CE43">
      <w:pPr>
        <w:ind w:firstLine="480"/>
        <w:rPr>
          <w:rFonts w:hint="eastAsia"/>
          <w:highlight w:val="none"/>
        </w:rPr>
      </w:pPr>
      <w:r>
        <w:rPr>
          <w:rFonts w:hint="eastAsia"/>
          <w:highlight w:val="none"/>
        </w:rPr>
        <w:t xml:space="preserve">中标人应在项目完成时，将本项目所有文档、资料汇集成册交付给采购人，所有文件要求用中文书写或有完整的中文注释。验收后，中标人按国家、省以及采购人档案管理要求，向采购人提供装订成册的纸质文档至少 </w:t>
      </w:r>
      <w:r>
        <w:rPr>
          <w:rFonts w:hint="eastAsia"/>
          <w:highlight w:val="none"/>
          <w:u w:val="single"/>
        </w:rPr>
        <w:t xml:space="preserve"> 2  </w:t>
      </w:r>
      <w:r>
        <w:rPr>
          <w:rFonts w:hint="eastAsia"/>
          <w:highlight w:val="none"/>
        </w:rPr>
        <w:t>套，电子文档</w:t>
      </w:r>
      <w:r>
        <w:rPr>
          <w:rFonts w:hint="eastAsia"/>
          <w:highlight w:val="none"/>
          <w:u w:val="single"/>
        </w:rPr>
        <w:t xml:space="preserve">  1 </w:t>
      </w:r>
      <w:r>
        <w:rPr>
          <w:rFonts w:hint="eastAsia"/>
          <w:highlight w:val="none"/>
        </w:rPr>
        <w:t>套。</w:t>
      </w:r>
    </w:p>
    <w:p w14:paraId="517DCFE8">
      <w:pPr>
        <w:pStyle w:val="5"/>
        <w:rPr>
          <w:rFonts w:hint="eastAsia"/>
          <w:highlight w:val="none"/>
        </w:rPr>
      </w:pPr>
      <w:bookmarkStart w:id="223" w:name="_Toc20741"/>
      <w:bookmarkStart w:id="224" w:name="_Toc19687"/>
      <w:bookmarkStart w:id="225" w:name="_Toc31229"/>
      <w:bookmarkStart w:id="226" w:name="_Toc14094"/>
      <w:bookmarkStart w:id="227" w:name="_Toc233795197"/>
      <w:bookmarkStart w:id="228" w:name="_Toc18005"/>
      <w:bookmarkStart w:id="229" w:name="_Toc13658"/>
      <w:r>
        <w:rPr>
          <w:rFonts w:hint="eastAsia"/>
          <w:highlight w:val="none"/>
        </w:rPr>
        <w:t>项目培训要求</w:t>
      </w:r>
      <w:bookmarkEnd w:id="196"/>
      <w:bookmarkEnd w:id="223"/>
      <w:bookmarkEnd w:id="224"/>
      <w:bookmarkEnd w:id="225"/>
      <w:bookmarkEnd w:id="226"/>
      <w:bookmarkEnd w:id="227"/>
      <w:bookmarkEnd w:id="228"/>
      <w:bookmarkEnd w:id="229"/>
    </w:p>
    <w:p w14:paraId="629DE2F4">
      <w:pPr>
        <w:pStyle w:val="32"/>
        <w:ind w:firstLine="480"/>
        <w:rPr>
          <w:rFonts w:hint="eastAsia"/>
          <w:highlight w:val="none"/>
        </w:rPr>
      </w:pPr>
      <w:r>
        <w:rPr>
          <w:rFonts w:hint="eastAsia"/>
          <w:highlight w:val="none"/>
        </w:rPr>
        <w:t>针对平台的各功能模块内容，通过对使用系统的所有相关人员开展分角色、针对性的培训，并提供相应的培训材料和课件，实现系统管理和使用人员都能学会如何使用并熟练操作系统，确保平台部署工作后在各类业务场景下得到有效使用。</w:t>
      </w:r>
    </w:p>
    <w:p w14:paraId="5E188527">
      <w:pPr>
        <w:pStyle w:val="32"/>
        <w:ind w:firstLine="480"/>
        <w:rPr>
          <w:rFonts w:hint="eastAsia"/>
          <w:highlight w:val="none"/>
        </w:rPr>
      </w:pPr>
      <w:r>
        <w:rPr>
          <w:rFonts w:hint="eastAsia"/>
          <w:highlight w:val="none"/>
        </w:rPr>
        <w:t>本次培训方案为了满足用户培训需求，建议采用线下会议集中培训的方式。</w:t>
      </w:r>
    </w:p>
    <w:p w14:paraId="6DB91330">
      <w:pPr>
        <w:pStyle w:val="32"/>
        <w:ind w:firstLine="480"/>
        <w:rPr>
          <w:rFonts w:hint="eastAsia"/>
          <w:highlight w:val="none"/>
        </w:rPr>
      </w:pPr>
      <w:r>
        <w:rPr>
          <w:rFonts w:hint="eastAsia"/>
          <w:highlight w:val="none"/>
        </w:rPr>
        <w:t>培训要求有签到表、测试评估、培训效果反馈等输出物。</w:t>
      </w:r>
    </w:p>
    <w:p w14:paraId="70221976">
      <w:pPr>
        <w:pStyle w:val="27"/>
        <w:ind w:left="480" w:firstLine="480"/>
        <w:rPr>
          <w:rFonts w:hint="eastAsia"/>
          <w:highlight w:val="none"/>
        </w:rPr>
      </w:pPr>
    </w:p>
    <w:p w14:paraId="6737BBFA">
      <w:pPr>
        <w:ind w:firstLine="480"/>
        <w:rPr>
          <w:rFonts w:hint="eastAsia"/>
          <w:highlight w:val="none"/>
        </w:rPr>
        <w:sectPr>
          <w:footerReference r:id="rId9" w:type="default"/>
          <w:pgSz w:w="11906" w:h="16838"/>
          <w:pgMar w:top="1440" w:right="1800" w:bottom="1440" w:left="1800" w:header="851" w:footer="992" w:gutter="0"/>
          <w:pgNumType w:start="1"/>
          <w:cols w:space="425" w:num="1"/>
          <w:docGrid w:type="lines" w:linePitch="326" w:charSpace="0"/>
        </w:sectPr>
      </w:pPr>
    </w:p>
    <w:p w14:paraId="60334640">
      <w:pPr>
        <w:pStyle w:val="4"/>
        <w:rPr>
          <w:rFonts w:hint="eastAsia"/>
          <w:highlight w:val="none"/>
        </w:rPr>
      </w:pPr>
      <w:bookmarkStart w:id="230" w:name="_Toc14047"/>
      <w:bookmarkStart w:id="231" w:name="_Toc24730"/>
      <w:bookmarkStart w:id="232" w:name="_Toc9609"/>
      <w:bookmarkStart w:id="233" w:name="_Toc233795198"/>
      <w:bookmarkStart w:id="234" w:name="_Toc8932"/>
      <w:bookmarkStart w:id="235" w:name="_Toc28350"/>
      <w:bookmarkStart w:id="236" w:name="_Toc14646"/>
      <w:bookmarkStart w:id="237" w:name="_Toc2470"/>
      <w:r>
        <w:rPr>
          <w:rFonts w:hint="eastAsia"/>
          <w:highlight w:val="none"/>
        </w:rPr>
        <w:t>服务分项限价</w:t>
      </w:r>
      <w:bookmarkEnd w:id="230"/>
      <w:bookmarkEnd w:id="231"/>
      <w:bookmarkEnd w:id="232"/>
      <w:bookmarkEnd w:id="233"/>
      <w:bookmarkEnd w:id="234"/>
      <w:bookmarkEnd w:id="235"/>
      <w:bookmarkEnd w:id="236"/>
      <w:bookmarkEnd w:id="237"/>
    </w:p>
    <w:tbl>
      <w:tblPr>
        <w:tblStyle w:val="33"/>
        <w:tblW w:w="5011" w:type="pct"/>
        <w:tblInd w:w="0" w:type="dxa"/>
        <w:tblLayout w:type="autofit"/>
        <w:tblCellMar>
          <w:top w:w="0" w:type="dxa"/>
          <w:left w:w="108" w:type="dxa"/>
          <w:bottom w:w="0" w:type="dxa"/>
          <w:right w:w="108" w:type="dxa"/>
        </w:tblCellMar>
      </w:tblPr>
      <w:tblGrid>
        <w:gridCol w:w="887"/>
        <w:gridCol w:w="1519"/>
        <w:gridCol w:w="1701"/>
        <w:gridCol w:w="4843"/>
        <w:gridCol w:w="851"/>
        <w:gridCol w:w="859"/>
        <w:gridCol w:w="2132"/>
        <w:gridCol w:w="1197"/>
      </w:tblGrid>
      <w:tr w14:paraId="04820C09">
        <w:tblPrEx>
          <w:tblCellMar>
            <w:top w:w="0" w:type="dxa"/>
            <w:left w:w="108" w:type="dxa"/>
            <w:bottom w:w="0" w:type="dxa"/>
            <w:right w:w="108" w:type="dxa"/>
          </w:tblCellMar>
        </w:tblPrEx>
        <w:trPr>
          <w:trHeight w:val="640" w:hRule="atLeast"/>
          <w:tblHeader/>
        </w:trPr>
        <w:tc>
          <w:tcPr>
            <w:tcW w:w="317" w:type="pct"/>
            <w:tcBorders>
              <w:top w:val="single" w:color="000000" w:sz="4" w:space="0"/>
              <w:left w:val="single" w:color="000000" w:sz="4" w:space="0"/>
              <w:bottom w:val="single" w:color="000000" w:sz="4" w:space="0"/>
              <w:right w:val="single" w:color="000000" w:sz="4" w:space="0"/>
            </w:tcBorders>
            <w:noWrap/>
            <w:vAlign w:val="center"/>
          </w:tcPr>
          <w:p w14:paraId="2A1AFCB0">
            <w:pPr>
              <w:widowControl/>
              <w:spacing w:line="240" w:lineRule="auto"/>
              <w:ind w:firstLine="0" w:firstLineChars="0"/>
              <w:jc w:val="center"/>
              <w:textAlignment w:val="center"/>
              <w:rPr>
                <w:rFonts w:hint="eastAsia" w:cs="宋体"/>
                <w:b/>
                <w:bCs/>
                <w:szCs w:val="24"/>
                <w:highlight w:val="none"/>
              </w:rPr>
            </w:pPr>
            <w:r>
              <w:rPr>
                <w:rFonts w:hint="eastAsia" w:cs="宋体"/>
                <w:b/>
                <w:bCs/>
                <w:kern w:val="0"/>
                <w:szCs w:val="24"/>
                <w:highlight w:val="none"/>
                <w:lang w:bidi="ar"/>
              </w:rPr>
              <w:t>序号</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685CB3F1">
            <w:pPr>
              <w:widowControl/>
              <w:spacing w:line="240" w:lineRule="auto"/>
              <w:ind w:firstLine="0" w:firstLineChars="0"/>
              <w:jc w:val="center"/>
              <w:textAlignment w:val="center"/>
              <w:rPr>
                <w:rFonts w:hint="eastAsia" w:cs="宋体"/>
                <w:b/>
                <w:bCs/>
                <w:szCs w:val="24"/>
                <w:highlight w:val="none"/>
              </w:rPr>
            </w:pPr>
            <w:r>
              <w:rPr>
                <w:rFonts w:hint="eastAsia" w:cs="宋体"/>
                <w:b/>
                <w:bCs/>
                <w:kern w:val="0"/>
                <w:szCs w:val="24"/>
                <w:highlight w:val="none"/>
                <w:lang w:bidi="ar"/>
              </w:rPr>
              <w:t>服务项</w:t>
            </w:r>
          </w:p>
        </w:tc>
        <w:tc>
          <w:tcPr>
            <w:tcW w:w="608" w:type="pct"/>
            <w:tcBorders>
              <w:top w:val="single" w:color="000000" w:sz="4" w:space="0"/>
              <w:left w:val="single" w:color="000000" w:sz="4" w:space="0"/>
              <w:bottom w:val="single" w:color="000000" w:sz="4" w:space="0"/>
              <w:right w:val="single" w:color="000000" w:sz="4" w:space="0"/>
            </w:tcBorders>
            <w:noWrap/>
            <w:vAlign w:val="center"/>
          </w:tcPr>
          <w:p w14:paraId="477013BF">
            <w:pPr>
              <w:widowControl/>
              <w:spacing w:line="240" w:lineRule="auto"/>
              <w:ind w:firstLine="0" w:firstLineChars="0"/>
              <w:jc w:val="center"/>
              <w:textAlignment w:val="center"/>
              <w:rPr>
                <w:rFonts w:hint="eastAsia" w:cs="宋体"/>
                <w:b/>
                <w:bCs/>
                <w:szCs w:val="24"/>
                <w:highlight w:val="none"/>
              </w:rPr>
            </w:pPr>
            <w:r>
              <w:rPr>
                <w:rFonts w:hint="eastAsia" w:cs="宋体"/>
                <w:b/>
                <w:bCs/>
                <w:kern w:val="0"/>
                <w:szCs w:val="24"/>
                <w:highlight w:val="none"/>
                <w:lang w:bidi="ar"/>
              </w:rPr>
              <w:t>服务类别</w:t>
            </w:r>
          </w:p>
        </w:tc>
        <w:tc>
          <w:tcPr>
            <w:tcW w:w="1731" w:type="pct"/>
            <w:tcBorders>
              <w:top w:val="single" w:color="000000" w:sz="4" w:space="0"/>
              <w:left w:val="single" w:color="000000" w:sz="4" w:space="0"/>
              <w:bottom w:val="single" w:color="000000" w:sz="4" w:space="0"/>
              <w:right w:val="single" w:color="000000" w:sz="4" w:space="0"/>
            </w:tcBorders>
            <w:noWrap/>
            <w:vAlign w:val="center"/>
          </w:tcPr>
          <w:p w14:paraId="31B24F25">
            <w:pPr>
              <w:widowControl/>
              <w:spacing w:line="240" w:lineRule="auto"/>
              <w:ind w:firstLine="0" w:firstLineChars="0"/>
              <w:jc w:val="center"/>
              <w:textAlignment w:val="center"/>
              <w:rPr>
                <w:rFonts w:hint="eastAsia" w:cs="宋体"/>
                <w:b/>
                <w:bCs/>
                <w:szCs w:val="24"/>
                <w:highlight w:val="none"/>
              </w:rPr>
            </w:pPr>
            <w:r>
              <w:rPr>
                <w:rFonts w:hint="eastAsia" w:cs="宋体"/>
                <w:b/>
                <w:bCs/>
                <w:kern w:val="0"/>
                <w:szCs w:val="24"/>
                <w:highlight w:val="none"/>
                <w:lang w:bidi="ar"/>
              </w:rPr>
              <w:t>服务内容</w:t>
            </w:r>
          </w:p>
        </w:tc>
        <w:tc>
          <w:tcPr>
            <w:tcW w:w="304" w:type="pct"/>
            <w:tcBorders>
              <w:top w:val="single" w:color="000000" w:sz="4" w:space="0"/>
              <w:left w:val="single" w:color="000000" w:sz="4" w:space="0"/>
              <w:bottom w:val="single" w:color="000000" w:sz="4" w:space="0"/>
              <w:right w:val="single" w:color="000000" w:sz="4" w:space="0"/>
            </w:tcBorders>
            <w:noWrap/>
            <w:vAlign w:val="center"/>
          </w:tcPr>
          <w:p w14:paraId="2093003B">
            <w:pPr>
              <w:widowControl/>
              <w:spacing w:line="240" w:lineRule="auto"/>
              <w:ind w:firstLine="0" w:firstLineChars="0"/>
              <w:jc w:val="center"/>
              <w:textAlignment w:val="center"/>
              <w:rPr>
                <w:rFonts w:hint="eastAsia" w:cs="宋体"/>
                <w:b/>
                <w:bCs/>
                <w:szCs w:val="24"/>
                <w:highlight w:val="none"/>
              </w:rPr>
            </w:pPr>
            <w:r>
              <w:rPr>
                <w:rFonts w:hint="eastAsia" w:cs="宋体"/>
                <w:b/>
                <w:bCs/>
                <w:kern w:val="0"/>
                <w:szCs w:val="24"/>
                <w:highlight w:val="none"/>
                <w:lang w:bidi="ar"/>
              </w:rPr>
              <w:t>数量</w:t>
            </w:r>
          </w:p>
        </w:tc>
        <w:tc>
          <w:tcPr>
            <w:tcW w:w="306" w:type="pct"/>
            <w:tcBorders>
              <w:top w:val="single" w:color="000000" w:sz="4" w:space="0"/>
              <w:left w:val="single" w:color="000000" w:sz="4" w:space="0"/>
              <w:bottom w:val="single" w:color="000000" w:sz="4" w:space="0"/>
              <w:right w:val="single" w:color="000000" w:sz="4" w:space="0"/>
            </w:tcBorders>
            <w:noWrap/>
            <w:vAlign w:val="center"/>
          </w:tcPr>
          <w:p w14:paraId="427C9D58">
            <w:pPr>
              <w:widowControl/>
              <w:spacing w:line="240" w:lineRule="auto"/>
              <w:ind w:firstLine="0" w:firstLineChars="0"/>
              <w:jc w:val="center"/>
              <w:textAlignment w:val="center"/>
              <w:rPr>
                <w:rFonts w:hint="eastAsia" w:cs="宋体"/>
                <w:b/>
                <w:bCs/>
                <w:szCs w:val="24"/>
                <w:highlight w:val="none"/>
              </w:rPr>
            </w:pPr>
            <w:r>
              <w:rPr>
                <w:rFonts w:hint="eastAsia" w:cs="宋体"/>
                <w:b/>
                <w:bCs/>
                <w:kern w:val="0"/>
                <w:szCs w:val="24"/>
                <w:highlight w:val="none"/>
                <w:lang w:bidi="ar"/>
              </w:rPr>
              <w:t>单位</w:t>
            </w:r>
          </w:p>
        </w:tc>
        <w:tc>
          <w:tcPr>
            <w:tcW w:w="762" w:type="pct"/>
            <w:tcBorders>
              <w:top w:val="single" w:color="000000" w:sz="4" w:space="0"/>
              <w:left w:val="single" w:color="000000" w:sz="4" w:space="0"/>
              <w:bottom w:val="single" w:color="000000" w:sz="4" w:space="0"/>
              <w:right w:val="single" w:color="000000" w:sz="4" w:space="0"/>
            </w:tcBorders>
            <w:noWrap/>
            <w:vAlign w:val="center"/>
          </w:tcPr>
          <w:p w14:paraId="41ACFE81">
            <w:pPr>
              <w:widowControl/>
              <w:spacing w:line="240" w:lineRule="auto"/>
              <w:ind w:firstLine="0" w:firstLineChars="0"/>
              <w:jc w:val="center"/>
              <w:textAlignment w:val="center"/>
              <w:rPr>
                <w:rFonts w:hint="eastAsia" w:cs="宋体"/>
                <w:b/>
                <w:bCs/>
                <w:szCs w:val="24"/>
                <w:highlight w:val="none"/>
              </w:rPr>
            </w:pPr>
            <w:r>
              <w:rPr>
                <w:rFonts w:hint="eastAsia" w:cs="宋体"/>
                <w:b/>
                <w:bCs/>
                <w:kern w:val="0"/>
                <w:szCs w:val="24"/>
                <w:highlight w:val="none"/>
                <w:lang w:bidi="ar"/>
              </w:rPr>
              <w:t>服务金额（元）</w:t>
            </w:r>
          </w:p>
        </w:tc>
        <w:tc>
          <w:tcPr>
            <w:tcW w:w="428" w:type="pct"/>
            <w:tcBorders>
              <w:top w:val="single" w:color="000000" w:sz="4" w:space="0"/>
              <w:left w:val="single" w:color="000000" w:sz="4" w:space="0"/>
              <w:bottom w:val="single" w:color="000000" w:sz="4" w:space="0"/>
              <w:right w:val="single" w:color="000000" w:sz="4" w:space="0"/>
            </w:tcBorders>
            <w:noWrap/>
            <w:vAlign w:val="center"/>
          </w:tcPr>
          <w:p w14:paraId="24AC63EC">
            <w:pPr>
              <w:widowControl/>
              <w:spacing w:line="240" w:lineRule="auto"/>
              <w:ind w:firstLine="0" w:firstLineChars="0"/>
              <w:jc w:val="center"/>
              <w:textAlignment w:val="center"/>
              <w:rPr>
                <w:rFonts w:hint="eastAsia" w:cs="宋体"/>
                <w:b/>
                <w:bCs/>
                <w:szCs w:val="24"/>
                <w:highlight w:val="none"/>
              </w:rPr>
            </w:pPr>
            <w:r>
              <w:rPr>
                <w:rFonts w:hint="eastAsia" w:cs="宋体"/>
                <w:b/>
                <w:bCs/>
                <w:kern w:val="0"/>
                <w:szCs w:val="24"/>
                <w:highlight w:val="none"/>
                <w:lang w:bidi="ar"/>
              </w:rPr>
              <w:t>备注</w:t>
            </w:r>
          </w:p>
        </w:tc>
      </w:tr>
      <w:tr w14:paraId="5159D207">
        <w:tblPrEx>
          <w:tblCellMar>
            <w:top w:w="0" w:type="dxa"/>
            <w:left w:w="108" w:type="dxa"/>
            <w:bottom w:w="0" w:type="dxa"/>
            <w:right w:w="108" w:type="dxa"/>
          </w:tblCellMar>
        </w:tblPrEx>
        <w:trPr>
          <w:trHeight w:val="1691" w:hRule="atLeast"/>
        </w:trPr>
        <w:tc>
          <w:tcPr>
            <w:tcW w:w="317" w:type="pct"/>
            <w:tcBorders>
              <w:top w:val="single" w:color="000000" w:sz="4" w:space="0"/>
              <w:left w:val="single" w:color="000000" w:sz="4" w:space="0"/>
              <w:bottom w:val="single" w:color="000000" w:sz="4" w:space="0"/>
              <w:right w:val="single" w:color="000000" w:sz="4" w:space="0"/>
            </w:tcBorders>
            <w:noWrap/>
            <w:vAlign w:val="center"/>
          </w:tcPr>
          <w:p w14:paraId="0C146AB2">
            <w:pPr>
              <w:widowControl/>
              <w:spacing w:line="240" w:lineRule="auto"/>
              <w:ind w:firstLine="0" w:firstLineChars="0"/>
              <w:jc w:val="center"/>
              <w:textAlignment w:val="center"/>
              <w:rPr>
                <w:rFonts w:hint="eastAsia" w:cs="宋体"/>
                <w:szCs w:val="24"/>
                <w:highlight w:val="none"/>
              </w:rPr>
            </w:pPr>
            <w:r>
              <w:rPr>
                <w:rFonts w:hint="eastAsia" w:cs="宋体"/>
                <w:kern w:val="0"/>
                <w:szCs w:val="24"/>
                <w:highlight w:val="none"/>
                <w:lang w:bidi="ar"/>
              </w:rPr>
              <w:t>1</w:t>
            </w:r>
          </w:p>
        </w:tc>
        <w:tc>
          <w:tcPr>
            <w:tcW w:w="543" w:type="pct"/>
            <w:tcBorders>
              <w:top w:val="single" w:color="000000" w:sz="4" w:space="0"/>
              <w:left w:val="single" w:color="000000" w:sz="4" w:space="0"/>
              <w:bottom w:val="single" w:color="000000" w:sz="4" w:space="0"/>
              <w:right w:val="single" w:color="000000" w:sz="4" w:space="0"/>
            </w:tcBorders>
            <w:vAlign w:val="center"/>
          </w:tcPr>
          <w:p w14:paraId="064DF5B3">
            <w:pPr>
              <w:widowControl/>
              <w:spacing w:line="240" w:lineRule="auto"/>
              <w:ind w:firstLine="0" w:firstLineChars="0"/>
              <w:jc w:val="center"/>
              <w:textAlignment w:val="center"/>
              <w:rPr>
                <w:rFonts w:hint="eastAsia" w:cs="宋体"/>
                <w:szCs w:val="24"/>
                <w:highlight w:val="none"/>
              </w:rPr>
            </w:pPr>
            <w:r>
              <w:rPr>
                <w:rFonts w:cs="宋体"/>
                <w:szCs w:val="24"/>
                <w:highlight w:val="none"/>
              </w:rPr>
              <w:t>集约化平台运维服务</w:t>
            </w:r>
          </w:p>
        </w:tc>
        <w:tc>
          <w:tcPr>
            <w:tcW w:w="608" w:type="pct"/>
            <w:tcBorders>
              <w:top w:val="single" w:color="000000" w:sz="4" w:space="0"/>
              <w:left w:val="single" w:color="000000" w:sz="4" w:space="0"/>
              <w:bottom w:val="single" w:color="000000" w:sz="4" w:space="0"/>
              <w:right w:val="single" w:color="000000" w:sz="4" w:space="0"/>
            </w:tcBorders>
            <w:vAlign w:val="center"/>
          </w:tcPr>
          <w:p w14:paraId="77D78EFE">
            <w:pPr>
              <w:widowControl/>
              <w:spacing w:line="240" w:lineRule="auto"/>
              <w:ind w:firstLine="0" w:firstLineChars="0"/>
              <w:jc w:val="center"/>
              <w:textAlignment w:val="center"/>
              <w:rPr>
                <w:rFonts w:hint="eastAsia" w:cs="宋体"/>
                <w:szCs w:val="24"/>
                <w:highlight w:val="none"/>
              </w:rPr>
            </w:pPr>
            <w:r>
              <w:rPr>
                <w:rFonts w:hint="eastAsia" w:cs="宋体"/>
                <w:kern w:val="0"/>
                <w:szCs w:val="24"/>
                <w:highlight w:val="none"/>
                <w:lang w:bidi="ar"/>
              </w:rPr>
              <w:t>软件系统运行维护服务</w:t>
            </w:r>
          </w:p>
        </w:tc>
        <w:tc>
          <w:tcPr>
            <w:tcW w:w="1731" w:type="pct"/>
            <w:tcBorders>
              <w:top w:val="single" w:color="000000" w:sz="4" w:space="0"/>
              <w:left w:val="single" w:color="000000" w:sz="4" w:space="0"/>
              <w:bottom w:val="single" w:color="000000" w:sz="4" w:space="0"/>
              <w:right w:val="single" w:color="000000" w:sz="4" w:space="0"/>
            </w:tcBorders>
            <w:vAlign w:val="center"/>
          </w:tcPr>
          <w:p w14:paraId="2395A49B">
            <w:pPr>
              <w:widowControl/>
              <w:spacing w:line="240" w:lineRule="auto"/>
              <w:ind w:firstLine="0" w:firstLineChars="0"/>
              <w:jc w:val="left"/>
              <w:textAlignment w:val="center"/>
              <w:rPr>
                <w:rFonts w:hint="eastAsia" w:cs="宋体"/>
                <w:szCs w:val="24"/>
                <w:highlight w:val="none"/>
              </w:rPr>
            </w:pPr>
            <w:r>
              <w:rPr>
                <w:szCs w:val="24"/>
                <w:highlight w:val="none"/>
              </w:rPr>
              <w:t>围绕省政府网站集约化平台汕头分平台、党群网站集约化平台及相关站点，提供日常巡检、故障处理、安全整改、系统配置、驻场支撑等综合运维保障服务。</w:t>
            </w:r>
          </w:p>
        </w:tc>
        <w:tc>
          <w:tcPr>
            <w:tcW w:w="304" w:type="pct"/>
            <w:tcBorders>
              <w:top w:val="single" w:color="000000" w:sz="4" w:space="0"/>
              <w:left w:val="single" w:color="000000" w:sz="4" w:space="0"/>
              <w:bottom w:val="single" w:color="000000" w:sz="4" w:space="0"/>
              <w:right w:val="single" w:color="000000" w:sz="4" w:space="0"/>
            </w:tcBorders>
            <w:vAlign w:val="center"/>
          </w:tcPr>
          <w:p w14:paraId="3ED88B60">
            <w:pPr>
              <w:widowControl/>
              <w:spacing w:line="240" w:lineRule="auto"/>
              <w:ind w:firstLine="0" w:firstLineChars="0"/>
              <w:jc w:val="center"/>
              <w:textAlignment w:val="center"/>
              <w:rPr>
                <w:rFonts w:hint="eastAsia" w:cs="宋体"/>
                <w:szCs w:val="24"/>
                <w:highlight w:val="none"/>
              </w:rPr>
            </w:pPr>
            <w:r>
              <w:rPr>
                <w:rFonts w:hint="eastAsia" w:cs="宋体"/>
                <w:kern w:val="0"/>
                <w:szCs w:val="24"/>
                <w:highlight w:val="none"/>
                <w:lang w:bidi="ar"/>
              </w:rPr>
              <w:t>1</w:t>
            </w:r>
          </w:p>
        </w:tc>
        <w:tc>
          <w:tcPr>
            <w:tcW w:w="306" w:type="pct"/>
            <w:tcBorders>
              <w:top w:val="single" w:color="000000" w:sz="4" w:space="0"/>
              <w:left w:val="single" w:color="000000" w:sz="4" w:space="0"/>
              <w:bottom w:val="single" w:color="000000" w:sz="4" w:space="0"/>
              <w:right w:val="single" w:color="000000" w:sz="4" w:space="0"/>
            </w:tcBorders>
            <w:vAlign w:val="center"/>
          </w:tcPr>
          <w:p w14:paraId="1467BD24">
            <w:pPr>
              <w:widowControl/>
              <w:spacing w:line="240" w:lineRule="auto"/>
              <w:ind w:firstLine="0" w:firstLineChars="0"/>
              <w:jc w:val="center"/>
              <w:textAlignment w:val="center"/>
              <w:rPr>
                <w:rFonts w:hint="eastAsia" w:cs="宋体"/>
                <w:szCs w:val="24"/>
                <w:highlight w:val="none"/>
              </w:rPr>
            </w:pPr>
            <w:r>
              <w:rPr>
                <w:rFonts w:hint="eastAsia" w:cs="宋体"/>
                <w:kern w:val="0"/>
                <w:szCs w:val="24"/>
                <w:highlight w:val="none"/>
                <w:lang w:bidi="ar"/>
              </w:rPr>
              <w:t>项</w:t>
            </w:r>
          </w:p>
        </w:tc>
        <w:tc>
          <w:tcPr>
            <w:tcW w:w="762" w:type="pct"/>
            <w:tcBorders>
              <w:top w:val="single" w:color="000000" w:sz="4" w:space="0"/>
              <w:left w:val="single" w:color="000000" w:sz="4" w:space="0"/>
              <w:bottom w:val="single" w:color="000000" w:sz="4" w:space="0"/>
              <w:right w:val="single" w:color="000000" w:sz="4" w:space="0"/>
            </w:tcBorders>
            <w:vAlign w:val="center"/>
          </w:tcPr>
          <w:p w14:paraId="6ACFCAB1">
            <w:pPr>
              <w:widowControl/>
              <w:spacing w:line="240" w:lineRule="auto"/>
              <w:ind w:firstLine="0" w:firstLineChars="0"/>
              <w:jc w:val="center"/>
              <w:textAlignment w:val="center"/>
              <w:rPr>
                <w:rFonts w:hint="eastAsia" w:cs="宋体"/>
                <w:szCs w:val="24"/>
                <w:highlight w:val="none"/>
              </w:rPr>
            </w:pPr>
            <w:r>
              <w:rPr>
                <w:rFonts w:cs="宋体"/>
                <w:kern w:val="0"/>
                <w:szCs w:val="24"/>
                <w:highlight w:val="none"/>
                <w:lang w:bidi="ar"/>
              </w:rPr>
              <w:t>798,560.00</w:t>
            </w:r>
          </w:p>
        </w:tc>
        <w:tc>
          <w:tcPr>
            <w:tcW w:w="428" w:type="pct"/>
            <w:tcBorders>
              <w:top w:val="single" w:color="000000" w:sz="4" w:space="0"/>
              <w:left w:val="single" w:color="000000" w:sz="4" w:space="0"/>
              <w:bottom w:val="single" w:color="000000" w:sz="4" w:space="0"/>
              <w:right w:val="single" w:color="000000" w:sz="4" w:space="0"/>
            </w:tcBorders>
            <w:vAlign w:val="center"/>
          </w:tcPr>
          <w:p w14:paraId="409FE67B">
            <w:pPr>
              <w:widowControl/>
              <w:spacing w:line="240" w:lineRule="auto"/>
              <w:ind w:firstLine="0" w:firstLineChars="0"/>
              <w:jc w:val="center"/>
              <w:textAlignment w:val="center"/>
              <w:rPr>
                <w:rFonts w:hint="eastAsia" w:cs="宋体"/>
                <w:szCs w:val="24"/>
                <w:highlight w:val="none"/>
              </w:rPr>
            </w:pPr>
          </w:p>
        </w:tc>
      </w:tr>
      <w:tr w14:paraId="20BB6286">
        <w:tblPrEx>
          <w:tblCellMar>
            <w:top w:w="0" w:type="dxa"/>
            <w:left w:w="108" w:type="dxa"/>
            <w:bottom w:w="0" w:type="dxa"/>
            <w:right w:w="108" w:type="dxa"/>
          </w:tblCellMar>
        </w:tblPrEx>
        <w:trPr>
          <w:trHeight w:val="1691" w:hRule="atLeast"/>
        </w:trPr>
        <w:tc>
          <w:tcPr>
            <w:tcW w:w="317" w:type="pct"/>
            <w:tcBorders>
              <w:top w:val="single" w:color="000000" w:sz="4" w:space="0"/>
              <w:left w:val="single" w:color="000000" w:sz="4" w:space="0"/>
              <w:bottom w:val="single" w:color="000000" w:sz="4" w:space="0"/>
              <w:right w:val="single" w:color="000000" w:sz="4" w:space="0"/>
            </w:tcBorders>
            <w:noWrap/>
            <w:vAlign w:val="center"/>
          </w:tcPr>
          <w:p w14:paraId="7DDB2C1C">
            <w:pPr>
              <w:widowControl/>
              <w:spacing w:line="240" w:lineRule="auto"/>
              <w:ind w:firstLine="0" w:firstLineChars="0"/>
              <w:jc w:val="center"/>
              <w:textAlignment w:val="center"/>
              <w:rPr>
                <w:rFonts w:hint="eastAsia" w:cs="宋体"/>
                <w:kern w:val="0"/>
                <w:szCs w:val="24"/>
                <w:highlight w:val="none"/>
                <w:lang w:bidi="ar"/>
              </w:rPr>
            </w:pPr>
            <w:r>
              <w:rPr>
                <w:rFonts w:hint="eastAsia" w:cs="宋体"/>
                <w:kern w:val="0"/>
                <w:szCs w:val="24"/>
                <w:highlight w:val="none"/>
                <w:lang w:bidi="ar"/>
              </w:rPr>
              <w:t>2</w:t>
            </w:r>
          </w:p>
        </w:tc>
        <w:tc>
          <w:tcPr>
            <w:tcW w:w="543" w:type="pct"/>
            <w:tcBorders>
              <w:top w:val="single" w:color="000000" w:sz="4" w:space="0"/>
              <w:left w:val="single" w:color="000000" w:sz="4" w:space="0"/>
              <w:bottom w:val="single" w:color="000000" w:sz="4" w:space="0"/>
              <w:right w:val="single" w:color="000000" w:sz="4" w:space="0"/>
            </w:tcBorders>
            <w:vAlign w:val="center"/>
          </w:tcPr>
          <w:p w14:paraId="5C3818A5">
            <w:pPr>
              <w:widowControl/>
              <w:spacing w:line="240" w:lineRule="auto"/>
              <w:ind w:firstLine="0" w:firstLineChars="0"/>
              <w:jc w:val="center"/>
              <w:textAlignment w:val="center"/>
              <w:rPr>
                <w:rFonts w:hint="eastAsia" w:cs="宋体"/>
                <w:kern w:val="0"/>
                <w:szCs w:val="24"/>
                <w:highlight w:val="none"/>
                <w:lang w:bidi="ar"/>
              </w:rPr>
            </w:pPr>
            <w:r>
              <w:rPr>
                <w:rFonts w:cs="宋体"/>
                <w:kern w:val="0"/>
                <w:szCs w:val="24"/>
                <w:highlight w:val="none"/>
                <w:lang w:bidi="ar"/>
              </w:rPr>
              <w:t>适老化无障碍维护服务</w:t>
            </w:r>
          </w:p>
        </w:tc>
        <w:tc>
          <w:tcPr>
            <w:tcW w:w="608" w:type="pct"/>
            <w:tcBorders>
              <w:top w:val="single" w:color="000000" w:sz="4" w:space="0"/>
              <w:left w:val="single" w:color="000000" w:sz="4" w:space="0"/>
              <w:bottom w:val="single" w:color="000000" w:sz="4" w:space="0"/>
              <w:right w:val="single" w:color="000000" w:sz="4" w:space="0"/>
            </w:tcBorders>
            <w:vAlign w:val="center"/>
          </w:tcPr>
          <w:p w14:paraId="6F165020">
            <w:pPr>
              <w:widowControl/>
              <w:spacing w:line="240" w:lineRule="auto"/>
              <w:ind w:firstLine="0" w:firstLineChars="0"/>
              <w:jc w:val="center"/>
              <w:textAlignment w:val="center"/>
              <w:rPr>
                <w:rFonts w:hint="eastAsia" w:cs="宋体"/>
                <w:kern w:val="0"/>
                <w:szCs w:val="24"/>
                <w:highlight w:val="none"/>
                <w:lang w:bidi="ar"/>
              </w:rPr>
            </w:pPr>
            <w:r>
              <w:rPr>
                <w:rFonts w:hint="eastAsia" w:cs="宋体"/>
                <w:kern w:val="0"/>
                <w:szCs w:val="24"/>
                <w:highlight w:val="none"/>
                <w:lang w:bidi="ar"/>
              </w:rPr>
              <w:t>软件系统运行维护服务</w:t>
            </w:r>
          </w:p>
        </w:tc>
        <w:tc>
          <w:tcPr>
            <w:tcW w:w="1731" w:type="pct"/>
            <w:tcBorders>
              <w:top w:val="single" w:color="000000" w:sz="4" w:space="0"/>
              <w:left w:val="single" w:color="000000" w:sz="4" w:space="0"/>
              <w:bottom w:val="single" w:color="000000" w:sz="4" w:space="0"/>
              <w:right w:val="single" w:color="000000" w:sz="4" w:space="0"/>
            </w:tcBorders>
            <w:vAlign w:val="center"/>
          </w:tcPr>
          <w:p w14:paraId="460CC1D4">
            <w:pPr>
              <w:widowControl/>
              <w:spacing w:line="240" w:lineRule="auto"/>
              <w:ind w:firstLine="0" w:firstLineChars="0"/>
              <w:jc w:val="left"/>
              <w:textAlignment w:val="center"/>
              <w:rPr>
                <w:rFonts w:hint="eastAsia" w:cs="宋体"/>
                <w:kern w:val="0"/>
                <w:szCs w:val="24"/>
                <w:highlight w:val="none"/>
                <w:lang w:bidi="ar"/>
              </w:rPr>
            </w:pPr>
            <w:r>
              <w:rPr>
                <w:szCs w:val="24"/>
                <w:highlight w:val="none"/>
              </w:rPr>
              <w:t>围绕市级政府网站适老化及无障碍应用功能提供日常巡检、功能维护、故障排除、运维报告编制等维护服务。</w:t>
            </w:r>
          </w:p>
        </w:tc>
        <w:tc>
          <w:tcPr>
            <w:tcW w:w="304" w:type="pct"/>
            <w:tcBorders>
              <w:top w:val="single" w:color="000000" w:sz="4" w:space="0"/>
              <w:left w:val="single" w:color="000000" w:sz="4" w:space="0"/>
              <w:bottom w:val="single" w:color="000000" w:sz="4" w:space="0"/>
              <w:right w:val="single" w:color="000000" w:sz="4" w:space="0"/>
            </w:tcBorders>
            <w:vAlign w:val="center"/>
          </w:tcPr>
          <w:p w14:paraId="7274B290">
            <w:pPr>
              <w:widowControl/>
              <w:spacing w:line="240" w:lineRule="auto"/>
              <w:ind w:firstLine="0" w:firstLineChars="0"/>
              <w:jc w:val="center"/>
              <w:textAlignment w:val="center"/>
              <w:rPr>
                <w:rFonts w:hint="eastAsia" w:cs="宋体"/>
                <w:kern w:val="0"/>
                <w:szCs w:val="24"/>
                <w:highlight w:val="none"/>
                <w:lang w:bidi="ar"/>
              </w:rPr>
            </w:pPr>
            <w:r>
              <w:rPr>
                <w:rFonts w:hint="eastAsia" w:cs="宋体"/>
                <w:kern w:val="0"/>
                <w:szCs w:val="24"/>
                <w:highlight w:val="none"/>
                <w:lang w:bidi="ar"/>
              </w:rPr>
              <w:t>1</w:t>
            </w:r>
          </w:p>
        </w:tc>
        <w:tc>
          <w:tcPr>
            <w:tcW w:w="306" w:type="pct"/>
            <w:tcBorders>
              <w:top w:val="single" w:color="000000" w:sz="4" w:space="0"/>
              <w:left w:val="single" w:color="000000" w:sz="4" w:space="0"/>
              <w:bottom w:val="single" w:color="000000" w:sz="4" w:space="0"/>
              <w:right w:val="single" w:color="000000" w:sz="4" w:space="0"/>
            </w:tcBorders>
            <w:vAlign w:val="center"/>
          </w:tcPr>
          <w:p w14:paraId="01F32245">
            <w:pPr>
              <w:widowControl/>
              <w:spacing w:line="240" w:lineRule="auto"/>
              <w:ind w:firstLine="0" w:firstLineChars="0"/>
              <w:jc w:val="center"/>
              <w:textAlignment w:val="center"/>
              <w:rPr>
                <w:rFonts w:hint="eastAsia" w:cs="宋体"/>
                <w:kern w:val="0"/>
                <w:szCs w:val="24"/>
                <w:highlight w:val="none"/>
                <w:lang w:bidi="ar"/>
              </w:rPr>
            </w:pPr>
            <w:r>
              <w:rPr>
                <w:rFonts w:hint="eastAsia" w:cs="宋体"/>
                <w:kern w:val="0"/>
                <w:szCs w:val="24"/>
                <w:highlight w:val="none"/>
                <w:lang w:bidi="ar"/>
              </w:rPr>
              <w:t>项</w:t>
            </w:r>
          </w:p>
        </w:tc>
        <w:tc>
          <w:tcPr>
            <w:tcW w:w="762" w:type="pct"/>
            <w:tcBorders>
              <w:top w:val="single" w:color="000000" w:sz="4" w:space="0"/>
              <w:left w:val="single" w:color="000000" w:sz="4" w:space="0"/>
              <w:bottom w:val="single" w:color="000000" w:sz="4" w:space="0"/>
              <w:right w:val="single" w:color="000000" w:sz="4" w:space="0"/>
            </w:tcBorders>
            <w:vAlign w:val="center"/>
          </w:tcPr>
          <w:p w14:paraId="67767087">
            <w:pPr>
              <w:widowControl/>
              <w:spacing w:line="240" w:lineRule="auto"/>
              <w:ind w:firstLine="0" w:firstLineChars="0"/>
              <w:jc w:val="center"/>
              <w:textAlignment w:val="center"/>
              <w:rPr>
                <w:rFonts w:hint="eastAsia" w:cs="宋体"/>
                <w:kern w:val="0"/>
                <w:szCs w:val="24"/>
                <w:highlight w:val="none"/>
                <w:lang w:bidi="ar"/>
              </w:rPr>
            </w:pPr>
            <w:r>
              <w:rPr>
                <w:rFonts w:cs="宋体"/>
                <w:kern w:val="0"/>
                <w:szCs w:val="24"/>
                <w:highlight w:val="none"/>
                <w:lang w:bidi="ar"/>
              </w:rPr>
              <w:t>29,400.00</w:t>
            </w:r>
          </w:p>
        </w:tc>
        <w:tc>
          <w:tcPr>
            <w:tcW w:w="428" w:type="pct"/>
            <w:tcBorders>
              <w:top w:val="single" w:color="000000" w:sz="4" w:space="0"/>
              <w:left w:val="single" w:color="000000" w:sz="4" w:space="0"/>
              <w:bottom w:val="single" w:color="000000" w:sz="4" w:space="0"/>
              <w:right w:val="single" w:color="000000" w:sz="4" w:space="0"/>
            </w:tcBorders>
            <w:vAlign w:val="center"/>
          </w:tcPr>
          <w:p w14:paraId="45C7E57A">
            <w:pPr>
              <w:widowControl/>
              <w:spacing w:line="240" w:lineRule="auto"/>
              <w:ind w:firstLine="0" w:firstLineChars="0"/>
              <w:jc w:val="center"/>
              <w:textAlignment w:val="center"/>
              <w:rPr>
                <w:rFonts w:hint="eastAsia" w:cs="宋体"/>
                <w:kern w:val="0"/>
                <w:szCs w:val="24"/>
                <w:highlight w:val="none"/>
                <w:lang w:bidi="ar"/>
              </w:rPr>
            </w:pPr>
          </w:p>
        </w:tc>
      </w:tr>
      <w:tr w14:paraId="7B85FF4C">
        <w:tblPrEx>
          <w:tblCellMar>
            <w:top w:w="0" w:type="dxa"/>
            <w:left w:w="108" w:type="dxa"/>
            <w:bottom w:w="0" w:type="dxa"/>
            <w:right w:w="108" w:type="dxa"/>
          </w:tblCellMar>
        </w:tblPrEx>
        <w:trPr>
          <w:trHeight w:val="1691" w:hRule="atLeast"/>
        </w:trPr>
        <w:tc>
          <w:tcPr>
            <w:tcW w:w="317" w:type="pct"/>
            <w:tcBorders>
              <w:top w:val="single" w:color="000000" w:sz="4" w:space="0"/>
              <w:left w:val="single" w:color="000000" w:sz="4" w:space="0"/>
              <w:bottom w:val="single" w:color="000000" w:sz="4" w:space="0"/>
              <w:right w:val="single" w:color="000000" w:sz="4" w:space="0"/>
            </w:tcBorders>
            <w:noWrap/>
            <w:vAlign w:val="center"/>
          </w:tcPr>
          <w:p w14:paraId="4FBF630E">
            <w:pPr>
              <w:widowControl/>
              <w:spacing w:line="240" w:lineRule="auto"/>
              <w:ind w:firstLine="0" w:firstLineChars="0"/>
              <w:jc w:val="center"/>
              <w:textAlignment w:val="center"/>
              <w:rPr>
                <w:rFonts w:hint="eastAsia" w:cs="宋体"/>
                <w:kern w:val="0"/>
                <w:szCs w:val="24"/>
                <w:highlight w:val="none"/>
                <w:lang w:bidi="ar"/>
              </w:rPr>
            </w:pPr>
            <w:r>
              <w:rPr>
                <w:rFonts w:hint="eastAsia" w:cs="宋体"/>
                <w:kern w:val="0"/>
                <w:szCs w:val="24"/>
                <w:highlight w:val="none"/>
                <w:lang w:bidi="ar"/>
              </w:rPr>
              <w:t>3</w:t>
            </w:r>
          </w:p>
        </w:tc>
        <w:tc>
          <w:tcPr>
            <w:tcW w:w="543" w:type="pct"/>
            <w:tcBorders>
              <w:top w:val="single" w:color="000000" w:sz="4" w:space="0"/>
              <w:left w:val="single" w:color="000000" w:sz="4" w:space="0"/>
              <w:bottom w:val="single" w:color="000000" w:sz="4" w:space="0"/>
              <w:right w:val="single" w:color="000000" w:sz="4" w:space="0"/>
            </w:tcBorders>
            <w:vAlign w:val="center"/>
          </w:tcPr>
          <w:p w14:paraId="7C47E8A6">
            <w:pPr>
              <w:widowControl/>
              <w:spacing w:line="240" w:lineRule="auto"/>
              <w:ind w:firstLine="0" w:firstLineChars="0"/>
              <w:jc w:val="center"/>
              <w:textAlignment w:val="center"/>
              <w:rPr>
                <w:rFonts w:hint="eastAsia" w:cs="宋体"/>
                <w:kern w:val="0"/>
                <w:szCs w:val="24"/>
                <w:highlight w:val="none"/>
                <w:lang w:bidi="ar"/>
              </w:rPr>
            </w:pPr>
            <w:r>
              <w:rPr>
                <w:rFonts w:cs="宋体"/>
                <w:kern w:val="0"/>
                <w:szCs w:val="24"/>
                <w:highlight w:val="none"/>
                <w:lang w:bidi="ar"/>
              </w:rPr>
              <w:t>网站及新媒体监测服务</w:t>
            </w:r>
          </w:p>
        </w:tc>
        <w:tc>
          <w:tcPr>
            <w:tcW w:w="608" w:type="pct"/>
            <w:tcBorders>
              <w:top w:val="single" w:color="000000" w:sz="4" w:space="0"/>
              <w:left w:val="single" w:color="000000" w:sz="4" w:space="0"/>
              <w:bottom w:val="single" w:color="000000" w:sz="4" w:space="0"/>
              <w:right w:val="single" w:color="000000" w:sz="4" w:space="0"/>
            </w:tcBorders>
            <w:vAlign w:val="center"/>
          </w:tcPr>
          <w:p w14:paraId="6DB51CF7">
            <w:pPr>
              <w:widowControl/>
              <w:spacing w:line="240" w:lineRule="auto"/>
              <w:ind w:firstLine="0" w:firstLineChars="0"/>
              <w:jc w:val="center"/>
              <w:textAlignment w:val="center"/>
              <w:rPr>
                <w:rFonts w:hint="eastAsia" w:cs="宋体"/>
                <w:kern w:val="0"/>
                <w:szCs w:val="24"/>
                <w:highlight w:val="none"/>
                <w:lang w:bidi="ar"/>
              </w:rPr>
            </w:pPr>
            <w:r>
              <w:rPr>
                <w:rFonts w:hint="eastAsia" w:cs="宋体"/>
                <w:kern w:val="0"/>
                <w:szCs w:val="24"/>
                <w:highlight w:val="none"/>
                <w:lang w:bidi="ar"/>
              </w:rPr>
              <w:t>软件系统运行维护服务</w:t>
            </w:r>
          </w:p>
        </w:tc>
        <w:tc>
          <w:tcPr>
            <w:tcW w:w="1731" w:type="pct"/>
            <w:tcBorders>
              <w:top w:val="single" w:color="000000" w:sz="4" w:space="0"/>
              <w:left w:val="single" w:color="000000" w:sz="4" w:space="0"/>
              <w:bottom w:val="single" w:color="000000" w:sz="4" w:space="0"/>
              <w:right w:val="single" w:color="000000" w:sz="4" w:space="0"/>
            </w:tcBorders>
            <w:vAlign w:val="center"/>
          </w:tcPr>
          <w:p w14:paraId="582528E3">
            <w:pPr>
              <w:widowControl/>
              <w:spacing w:line="240" w:lineRule="auto"/>
              <w:ind w:firstLine="0" w:firstLineChars="0"/>
              <w:jc w:val="left"/>
              <w:textAlignment w:val="center"/>
              <w:rPr>
                <w:rFonts w:hint="eastAsia" w:cs="宋体"/>
                <w:kern w:val="0"/>
                <w:szCs w:val="24"/>
                <w:highlight w:val="none"/>
                <w:lang w:bidi="ar"/>
              </w:rPr>
            </w:pPr>
            <w:r>
              <w:rPr>
                <w:rFonts w:cs="宋体"/>
                <w:kern w:val="0"/>
                <w:szCs w:val="24"/>
                <w:highlight w:val="none"/>
                <w:lang w:bidi="ar"/>
              </w:rPr>
              <w:t>按照国家和省有关检查考核要求，对政府网站、政务新媒体及网站内容安全开展常态化监测、人工核查、问题整改指导和监测报告输出。</w:t>
            </w:r>
          </w:p>
        </w:tc>
        <w:tc>
          <w:tcPr>
            <w:tcW w:w="304" w:type="pct"/>
            <w:tcBorders>
              <w:top w:val="single" w:color="000000" w:sz="4" w:space="0"/>
              <w:left w:val="single" w:color="000000" w:sz="4" w:space="0"/>
              <w:bottom w:val="single" w:color="000000" w:sz="4" w:space="0"/>
              <w:right w:val="single" w:color="000000" w:sz="4" w:space="0"/>
            </w:tcBorders>
            <w:vAlign w:val="center"/>
          </w:tcPr>
          <w:p w14:paraId="249E81BB">
            <w:pPr>
              <w:widowControl/>
              <w:spacing w:line="240" w:lineRule="auto"/>
              <w:ind w:firstLine="0" w:firstLineChars="0"/>
              <w:jc w:val="center"/>
              <w:textAlignment w:val="center"/>
              <w:rPr>
                <w:rFonts w:hint="eastAsia" w:cs="宋体"/>
                <w:kern w:val="0"/>
                <w:szCs w:val="24"/>
                <w:highlight w:val="none"/>
                <w:lang w:bidi="ar"/>
              </w:rPr>
            </w:pPr>
            <w:r>
              <w:rPr>
                <w:rFonts w:hint="eastAsia" w:cs="宋体"/>
                <w:kern w:val="0"/>
                <w:szCs w:val="24"/>
                <w:highlight w:val="none"/>
                <w:lang w:bidi="ar"/>
              </w:rPr>
              <w:t>1</w:t>
            </w:r>
          </w:p>
        </w:tc>
        <w:tc>
          <w:tcPr>
            <w:tcW w:w="306" w:type="pct"/>
            <w:tcBorders>
              <w:top w:val="single" w:color="000000" w:sz="4" w:space="0"/>
              <w:left w:val="single" w:color="000000" w:sz="4" w:space="0"/>
              <w:bottom w:val="single" w:color="000000" w:sz="4" w:space="0"/>
              <w:right w:val="single" w:color="000000" w:sz="4" w:space="0"/>
            </w:tcBorders>
            <w:vAlign w:val="center"/>
          </w:tcPr>
          <w:p w14:paraId="6FE3A0AC">
            <w:pPr>
              <w:widowControl/>
              <w:spacing w:line="240" w:lineRule="auto"/>
              <w:ind w:firstLine="0" w:firstLineChars="0"/>
              <w:jc w:val="center"/>
              <w:textAlignment w:val="center"/>
              <w:rPr>
                <w:rFonts w:hint="eastAsia" w:cs="宋体"/>
                <w:kern w:val="0"/>
                <w:szCs w:val="24"/>
                <w:highlight w:val="none"/>
                <w:lang w:bidi="ar"/>
              </w:rPr>
            </w:pPr>
            <w:r>
              <w:rPr>
                <w:rFonts w:hint="eastAsia" w:cs="宋体"/>
                <w:kern w:val="0"/>
                <w:szCs w:val="24"/>
                <w:highlight w:val="none"/>
                <w:lang w:bidi="ar"/>
              </w:rPr>
              <w:t>项</w:t>
            </w:r>
          </w:p>
        </w:tc>
        <w:tc>
          <w:tcPr>
            <w:tcW w:w="762" w:type="pct"/>
            <w:tcBorders>
              <w:top w:val="single" w:color="000000" w:sz="4" w:space="0"/>
              <w:left w:val="single" w:color="000000" w:sz="4" w:space="0"/>
              <w:bottom w:val="single" w:color="000000" w:sz="4" w:space="0"/>
              <w:right w:val="single" w:color="000000" w:sz="4" w:space="0"/>
            </w:tcBorders>
            <w:vAlign w:val="center"/>
          </w:tcPr>
          <w:p w14:paraId="0A97DA1A">
            <w:pPr>
              <w:widowControl/>
              <w:spacing w:line="240" w:lineRule="auto"/>
              <w:ind w:firstLine="0" w:firstLineChars="0"/>
              <w:jc w:val="center"/>
              <w:textAlignment w:val="center"/>
              <w:rPr>
                <w:rFonts w:hint="eastAsia" w:cs="宋体"/>
                <w:kern w:val="0"/>
                <w:szCs w:val="24"/>
                <w:highlight w:val="none"/>
                <w:lang w:bidi="ar"/>
              </w:rPr>
            </w:pPr>
            <w:r>
              <w:rPr>
                <w:rFonts w:cs="宋体"/>
                <w:kern w:val="0"/>
                <w:szCs w:val="24"/>
                <w:highlight w:val="none"/>
                <w:lang w:bidi="ar"/>
              </w:rPr>
              <w:t>431,200.00</w:t>
            </w:r>
          </w:p>
        </w:tc>
        <w:tc>
          <w:tcPr>
            <w:tcW w:w="428" w:type="pct"/>
            <w:tcBorders>
              <w:top w:val="single" w:color="000000" w:sz="4" w:space="0"/>
              <w:left w:val="single" w:color="000000" w:sz="4" w:space="0"/>
              <w:bottom w:val="single" w:color="000000" w:sz="4" w:space="0"/>
              <w:right w:val="single" w:color="000000" w:sz="4" w:space="0"/>
            </w:tcBorders>
            <w:vAlign w:val="center"/>
          </w:tcPr>
          <w:p w14:paraId="7E96D568">
            <w:pPr>
              <w:widowControl/>
              <w:spacing w:line="240" w:lineRule="auto"/>
              <w:ind w:firstLine="0" w:firstLineChars="0"/>
              <w:jc w:val="center"/>
              <w:textAlignment w:val="center"/>
              <w:rPr>
                <w:rFonts w:hint="eastAsia" w:cs="宋体"/>
                <w:kern w:val="0"/>
                <w:szCs w:val="24"/>
                <w:highlight w:val="none"/>
                <w:lang w:bidi="ar"/>
              </w:rPr>
            </w:pPr>
          </w:p>
        </w:tc>
      </w:tr>
      <w:tr w14:paraId="312EC2B0">
        <w:tblPrEx>
          <w:tblCellMar>
            <w:top w:w="0" w:type="dxa"/>
            <w:left w:w="108" w:type="dxa"/>
            <w:bottom w:w="0" w:type="dxa"/>
            <w:right w:w="108" w:type="dxa"/>
          </w:tblCellMar>
        </w:tblPrEx>
        <w:trPr>
          <w:trHeight w:val="552" w:hRule="atLeast"/>
        </w:trPr>
        <w:tc>
          <w:tcPr>
            <w:tcW w:w="3810" w:type="pct"/>
            <w:gridSpan w:val="6"/>
            <w:tcBorders>
              <w:top w:val="single" w:color="000000" w:sz="4" w:space="0"/>
              <w:left w:val="single" w:color="000000" w:sz="4" w:space="0"/>
              <w:bottom w:val="single" w:color="000000" w:sz="4" w:space="0"/>
              <w:right w:val="single" w:color="000000" w:sz="4" w:space="0"/>
            </w:tcBorders>
            <w:noWrap/>
            <w:vAlign w:val="center"/>
          </w:tcPr>
          <w:p w14:paraId="5EA00503">
            <w:pPr>
              <w:widowControl/>
              <w:spacing w:line="240" w:lineRule="auto"/>
              <w:ind w:firstLine="0" w:firstLineChars="0"/>
              <w:jc w:val="center"/>
              <w:textAlignment w:val="center"/>
              <w:rPr>
                <w:rFonts w:hint="eastAsia" w:cs="宋体"/>
                <w:b/>
                <w:bCs/>
                <w:kern w:val="0"/>
                <w:szCs w:val="24"/>
                <w:highlight w:val="none"/>
                <w:lang w:bidi="ar"/>
              </w:rPr>
            </w:pPr>
            <w:r>
              <w:rPr>
                <w:rFonts w:hint="eastAsia" w:cs="宋体"/>
                <w:b/>
                <w:bCs/>
                <w:kern w:val="0"/>
                <w:szCs w:val="24"/>
                <w:highlight w:val="none"/>
                <w:lang w:bidi="ar"/>
              </w:rPr>
              <w:t>合计</w:t>
            </w:r>
          </w:p>
        </w:tc>
        <w:tc>
          <w:tcPr>
            <w:tcW w:w="762" w:type="pct"/>
            <w:tcBorders>
              <w:top w:val="single" w:color="000000" w:sz="4" w:space="0"/>
              <w:left w:val="single" w:color="000000" w:sz="4" w:space="0"/>
              <w:bottom w:val="single" w:color="000000" w:sz="4" w:space="0"/>
              <w:right w:val="single" w:color="000000" w:sz="4" w:space="0"/>
            </w:tcBorders>
            <w:vAlign w:val="center"/>
          </w:tcPr>
          <w:p w14:paraId="3BED2E6A">
            <w:pPr>
              <w:widowControl/>
              <w:spacing w:line="240" w:lineRule="auto"/>
              <w:ind w:firstLine="0" w:firstLineChars="0"/>
              <w:jc w:val="center"/>
              <w:textAlignment w:val="center"/>
              <w:rPr>
                <w:rFonts w:hint="eastAsia" w:cs="宋体"/>
                <w:b/>
                <w:bCs/>
                <w:kern w:val="0"/>
                <w:szCs w:val="24"/>
                <w:highlight w:val="none"/>
                <w:lang w:bidi="ar"/>
              </w:rPr>
            </w:pPr>
            <w:r>
              <w:rPr>
                <w:rFonts w:cs="宋体"/>
                <w:b/>
                <w:bCs/>
                <w:kern w:val="0"/>
                <w:szCs w:val="24"/>
                <w:highlight w:val="none"/>
                <w:lang w:bidi="ar"/>
              </w:rPr>
              <w:t>1,259,160.00</w:t>
            </w:r>
          </w:p>
        </w:tc>
        <w:tc>
          <w:tcPr>
            <w:tcW w:w="428" w:type="pct"/>
            <w:tcBorders>
              <w:top w:val="single" w:color="000000" w:sz="4" w:space="0"/>
              <w:left w:val="single" w:color="000000" w:sz="4" w:space="0"/>
              <w:bottom w:val="single" w:color="000000" w:sz="4" w:space="0"/>
              <w:right w:val="single" w:color="000000" w:sz="4" w:space="0"/>
            </w:tcBorders>
            <w:vAlign w:val="center"/>
          </w:tcPr>
          <w:p w14:paraId="151A68AF">
            <w:pPr>
              <w:widowControl/>
              <w:spacing w:line="240" w:lineRule="auto"/>
              <w:ind w:firstLine="0" w:firstLineChars="0"/>
              <w:jc w:val="center"/>
              <w:textAlignment w:val="center"/>
              <w:rPr>
                <w:rFonts w:hint="eastAsia" w:cs="宋体"/>
                <w:b/>
                <w:bCs/>
                <w:kern w:val="0"/>
                <w:szCs w:val="24"/>
                <w:highlight w:val="none"/>
                <w:lang w:bidi="ar"/>
              </w:rPr>
            </w:pPr>
          </w:p>
        </w:tc>
      </w:tr>
    </w:tbl>
    <w:p w14:paraId="69EFADDB">
      <w:pPr>
        <w:ind w:firstLine="480"/>
        <w:rPr>
          <w:rFonts w:hint="eastAsia"/>
          <w:highlight w:val="none"/>
        </w:rPr>
      </w:pPr>
    </w:p>
    <w:p w14:paraId="2AED952F">
      <w:pPr>
        <w:pStyle w:val="27"/>
        <w:ind w:left="480" w:firstLine="480"/>
        <w:rPr>
          <w:rFonts w:hint="eastAsia"/>
          <w:highlight w:val="none"/>
        </w:rPr>
        <w:sectPr>
          <w:pgSz w:w="16838" w:h="11906" w:orient="landscape"/>
          <w:pgMar w:top="1800" w:right="1440" w:bottom="1800" w:left="1440" w:header="851" w:footer="992" w:gutter="0"/>
          <w:cols w:space="425" w:num="1"/>
          <w:docGrid w:type="lines" w:linePitch="312" w:charSpace="0"/>
        </w:sectPr>
      </w:pPr>
    </w:p>
    <w:p w14:paraId="7780F1C1">
      <w:pPr>
        <w:pStyle w:val="3"/>
        <w:rPr>
          <w:rFonts w:hint="eastAsia"/>
          <w:highlight w:val="none"/>
        </w:rPr>
      </w:pPr>
      <w:bookmarkStart w:id="238" w:name="_Toc10365"/>
      <w:bookmarkStart w:id="239" w:name="_Toc19697"/>
      <w:bookmarkStart w:id="240" w:name="_Toc20548"/>
      <w:bookmarkStart w:id="241" w:name="_Toc233795199"/>
      <w:bookmarkStart w:id="242" w:name="_Toc8943"/>
      <w:bookmarkStart w:id="243" w:name="_Toc21322"/>
      <w:bookmarkStart w:id="244" w:name="_Toc16232"/>
      <w:bookmarkStart w:id="245" w:name="_Toc2003"/>
      <w:bookmarkStart w:id="246" w:name="_Toc23856"/>
      <w:bookmarkStart w:id="247" w:name="_Toc24232"/>
      <w:bookmarkStart w:id="248" w:name="_Toc696"/>
      <w:bookmarkStart w:id="249" w:name="_Toc23426"/>
      <w:bookmarkStart w:id="250" w:name="_Toc5587"/>
      <w:r>
        <w:rPr>
          <w:rFonts w:hint="eastAsia"/>
          <w:highlight w:val="none"/>
        </w:rPr>
        <w:t>验收要求</w:t>
      </w:r>
      <w:bookmarkEnd w:id="238"/>
      <w:bookmarkEnd w:id="239"/>
      <w:bookmarkEnd w:id="240"/>
      <w:bookmarkEnd w:id="241"/>
      <w:bookmarkEnd w:id="242"/>
      <w:bookmarkEnd w:id="243"/>
      <w:bookmarkEnd w:id="244"/>
      <w:bookmarkEnd w:id="245"/>
      <w:bookmarkEnd w:id="246"/>
      <w:bookmarkEnd w:id="247"/>
      <w:bookmarkEnd w:id="248"/>
      <w:bookmarkEnd w:id="249"/>
      <w:bookmarkEnd w:id="250"/>
    </w:p>
    <w:p w14:paraId="28C77678">
      <w:pPr>
        <w:pStyle w:val="32"/>
        <w:ind w:firstLine="480"/>
        <w:rPr>
          <w:rFonts w:hint="eastAsia" w:cs="Times New Roman"/>
          <w:szCs w:val="24"/>
          <w:highlight w:val="none"/>
        </w:rPr>
      </w:pPr>
      <w:bookmarkStart w:id="251" w:name="_Toc16994"/>
      <w:bookmarkStart w:id="252" w:name="_Toc20297"/>
      <w:bookmarkStart w:id="253" w:name="_Toc10892"/>
      <w:bookmarkStart w:id="254" w:name="_Toc24594"/>
      <w:bookmarkStart w:id="255" w:name="_Toc1960"/>
      <w:bookmarkStart w:id="256" w:name="_Toc3061"/>
      <w:r>
        <w:rPr>
          <w:rFonts w:hint="eastAsia" w:cs="Times New Roman"/>
          <w:szCs w:val="24"/>
          <w:highlight w:val="none"/>
        </w:rPr>
        <w:t>本项目自合同签订之日起开始提供运维和监测服务，服务达到需求文件及采购人与中标人双方认可的服务要求，并且文档收集齐全后，由采购人组织总体验收。</w:t>
      </w:r>
    </w:p>
    <w:p w14:paraId="0718AF17">
      <w:pPr>
        <w:pStyle w:val="32"/>
        <w:ind w:firstLine="480"/>
        <w:rPr>
          <w:rFonts w:hint="eastAsia"/>
          <w:szCs w:val="24"/>
          <w:highlight w:val="none"/>
        </w:rPr>
      </w:pPr>
      <w:r>
        <w:rPr>
          <w:rFonts w:hint="eastAsia" w:cs="Times New Roman"/>
          <w:szCs w:val="24"/>
          <w:highlight w:val="none"/>
        </w:rPr>
        <w:t>本项目的验收应符合相关验收管理办法的要求，按照项目验收管理工作指引等有关规定执行。</w:t>
      </w:r>
    </w:p>
    <w:p w14:paraId="5901C27F">
      <w:pPr>
        <w:pStyle w:val="4"/>
        <w:rPr>
          <w:rFonts w:hint="eastAsia"/>
          <w:highlight w:val="none"/>
        </w:rPr>
      </w:pPr>
      <w:bookmarkStart w:id="257" w:name="_Toc2766"/>
      <w:bookmarkStart w:id="258" w:name="_Toc1751"/>
      <w:bookmarkStart w:id="259" w:name="_Toc28378"/>
      <w:bookmarkStart w:id="260" w:name="_Toc233795200"/>
      <w:bookmarkStart w:id="261" w:name="_Toc28701"/>
      <w:bookmarkStart w:id="262" w:name="_Toc4942"/>
      <w:bookmarkStart w:id="263" w:name="_Toc27776"/>
      <w:bookmarkStart w:id="264" w:name="_Toc30767"/>
      <w:bookmarkStart w:id="265" w:name="_Toc28520"/>
      <w:bookmarkStart w:id="266" w:name="_Toc12844"/>
      <w:bookmarkStart w:id="267" w:name="_Toc21523"/>
      <w:bookmarkStart w:id="268" w:name="_Toc32365"/>
      <w:bookmarkStart w:id="269" w:name="_Toc24607"/>
      <w:bookmarkStart w:id="270" w:name="_Toc13848"/>
      <w:bookmarkStart w:id="271" w:name="_Toc14213"/>
      <w:bookmarkStart w:id="272" w:name="_Toc10938"/>
      <w:bookmarkStart w:id="273" w:name="_Toc30329"/>
      <w:bookmarkStart w:id="274" w:name="_Toc24762"/>
      <w:bookmarkStart w:id="275" w:name="_Toc2197"/>
      <w:bookmarkStart w:id="276" w:name="_Toc13966"/>
      <w:bookmarkStart w:id="277" w:name="_Toc6851"/>
      <w:bookmarkStart w:id="278" w:name="_Toc4868"/>
      <w:bookmarkStart w:id="279" w:name="_Toc190647407"/>
      <w:bookmarkStart w:id="280" w:name="_Toc1969"/>
      <w:bookmarkStart w:id="281" w:name="_Toc3265"/>
      <w:bookmarkStart w:id="282" w:name="_Toc4698"/>
      <w:bookmarkStart w:id="283" w:name="_Toc21103"/>
      <w:bookmarkStart w:id="284" w:name="_Toc11976"/>
      <w:bookmarkStart w:id="285" w:name="_Toc23796"/>
      <w:bookmarkStart w:id="286" w:name="_Toc4112"/>
      <w:bookmarkStart w:id="287" w:name="_Toc12886"/>
      <w:bookmarkStart w:id="288" w:name="_Toc14451"/>
      <w:bookmarkStart w:id="289" w:name="_Toc17509"/>
      <w:bookmarkStart w:id="290" w:name="_Toc16446"/>
      <w:bookmarkStart w:id="291" w:name="_Toc9770"/>
      <w:bookmarkStart w:id="292" w:name="_Toc13052"/>
      <w:bookmarkStart w:id="293" w:name="_Toc672"/>
      <w:bookmarkStart w:id="294" w:name="_Toc26442"/>
      <w:bookmarkStart w:id="295" w:name="_Toc13398"/>
      <w:bookmarkStart w:id="296" w:name="_Toc24374"/>
      <w:bookmarkStart w:id="297" w:name="_Toc30211"/>
      <w:bookmarkStart w:id="298" w:name="_Toc25733"/>
      <w:bookmarkStart w:id="299" w:name="_Toc17665"/>
      <w:bookmarkStart w:id="300" w:name="_Toc1325"/>
      <w:bookmarkStart w:id="301" w:name="_Toc23378"/>
      <w:bookmarkStart w:id="302" w:name="_Toc26614"/>
      <w:bookmarkStart w:id="303" w:name="_Toc177935004"/>
      <w:bookmarkStart w:id="304" w:name="_Toc7099"/>
      <w:bookmarkStart w:id="305" w:name="_Toc176472348"/>
      <w:bookmarkStart w:id="306" w:name="_Toc19187"/>
      <w:bookmarkStart w:id="307" w:name="_Toc22338"/>
      <w:bookmarkStart w:id="308" w:name="_Toc10085"/>
      <w:bookmarkStart w:id="309" w:name="_Toc180343818"/>
      <w:bookmarkStart w:id="310" w:name="_Toc13906"/>
      <w:bookmarkStart w:id="311" w:name="_Toc21477"/>
      <w:bookmarkStart w:id="312" w:name="_Toc17369"/>
      <w:bookmarkStart w:id="313" w:name="_Toc16939"/>
      <w:bookmarkStart w:id="314" w:name="_Toc13733"/>
      <w:bookmarkStart w:id="315" w:name="_Toc9579"/>
      <w:bookmarkStart w:id="316" w:name="_Toc20077"/>
      <w:bookmarkStart w:id="317" w:name="_Toc197504715"/>
      <w:bookmarkStart w:id="318" w:name="_Toc9077"/>
      <w:bookmarkStart w:id="319" w:name="_Toc1118"/>
      <w:bookmarkStart w:id="320" w:name="_Toc29518"/>
      <w:bookmarkStart w:id="321" w:name="_Toc180343835"/>
      <w:bookmarkStart w:id="322" w:name="_Toc9141"/>
      <w:bookmarkStart w:id="323" w:name="_Toc3520"/>
      <w:bookmarkStart w:id="324" w:name="_Toc176472362"/>
      <w:bookmarkStart w:id="325" w:name="_Toc2204"/>
      <w:bookmarkStart w:id="326" w:name="_Toc20730"/>
      <w:bookmarkStart w:id="327" w:name="_Toc14050"/>
      <w:bookmarkStart w:id="328" w:name="_Toc177935019"/>
      <w:bookmarkStart w:id="329" w:name="_Toc8099"/>
      <w:bookmarkStart w:id="330" w:name="_Toc30726"/>
      <w:bookmarkStart w:id="331" w:name="_Toc22496"/>
      <w:bookmarkStart w:id="332" w:name="_Toc4081"/>
      <w:bookmarkStart w:id="333" w:name="_Toc1884"/>
      <w:bookmarkStart w:id="334" w:name="_Toc22761"/>
      <w:bookmarkStart w:id="335" w:name="_Toc17411"/>
      <w:bookmarkStart w:id="336" w:name="_Toc19099"/>
      <w:bookmarkStart w:id="337" w:name="_Toc17328"/>
      <w:bookmarkStart w:id="338" w:name="_Toc24316"/>
      <w:bookmarkStart w:id="339" w:name="_Toc7399"/>
      <w:bookmarkStart w:id="340" w:name="_Toc19003"/>
      <w:bookmarkStart w:id="341" w:name="_Toc641"/>
      <w:bookmarkStart w:id="342" w:name="_Toc15656"/>
      <w:bookmarkStart w:id="343" w:name="_Toc29312"/>
      <w:bookmarkStart w:id="344" w:name="_Toc190891500"/>
      <w:bookmarkStart w:id="345" w:name="_Toc3339"/>
      <w:bookmarkStart w:id="346" w:name="_Toc1704"/>
      <w:bookmarkStart w:id="347" w:name="_Toc12446"/>
      <w:bookmarkStart w:id="348" w:name="_Toc16826"/>
      <w:bookmarkStart w:id="349" w:name="_Toc190647437"/>
      <w:bookmarkStart w:id="350" w:name="_Toc9874"/>
      <w:bookmarkStart w:id="351" w:name="_Toc31245"/>
      <w:bookmarkStart w:id="352" w:name="_Toc17210"/>
      <w:bookmarkStart w:id="353" w:name="_Toc6857"/>
      <w:bookmarkStart w:id="354" w:name="_Toc8232"/>
      <w:bookmarkStart w:id="355" w:name="_Toc3128"/>
      <w:r>
        <w:rPr>
          <w:rFonts w:hint="eastAsia"/>
          <w:highlight w:val="none"/>
        </w:rPr>
        <w:t>验收条件</w:t>
      </w:r>
      <w:bookmarkEnd w:id="257"/>
      <w:bookmarkEnd w:id="258"/>
      <w:bookmarkEnd w:id="259"/>
      <w:bookmarkEnd w:id="260"/>
      <w:bookmarkEnd w:id="261"/>
      <w:bookmarkEnd w:id="262"/>
    </w:p>
    <w:p w14:paraId="338F645E">
      <w:pPr>
        <w:ind w:firstLine="480"/>
        <w:rPr>
          <w:rFonts w:hint="eastAsia"/>
          <w:szCs w:val="22"/>
          <w:highlight w:val="none"/>
        </w:rPr>
      </w:pPr>
      <w:r>
        <w:rPr>
          <w:rFonts w:hint="eastAsia"/>
          <w:szCs w:val="22"/>
          <w:highlight w:val="none"/>
        </w:rPr>
        <w:t>1.中标人完成合同要求提供的服务内容，且完成服务考核；</w:t>
      </w:r>
    </w:p>
    <w:p w14:paraId="1F0A4903">
      <w:pPr>
        <w:ind w:firstLine="480"/>
        <w:rPr>
          <w:rFonts w:hint="eastAsia"/>
          <w:highlight w:val="none"/>
        </w:rPr>
      </w:pPr>
      <w:r>
        <w:rPr>
          <w:rFonts w:hint="eastAsia"/>
          <w:szCs w:val="22"/>
          <w:highlight w:val="none"/>
        </w:rPr>
        <w:t>2.中标人按要求准备完善的验收材料，并发起验收申请。</w:t>
      </w:r>
    </w:p>
    <w:p w14:paraId="689FA9EA">
      <w:pPr>
        <w:pStyle w:val="4"/>
        <w:rPr>
          <w:rFonts w:hint="eastAsia"/>
          <w:highlight w:val="none"/>
        </w:rPr>
      </w:pPr>
      <w:bookmarkStart w:id="356" w:name="_Toc15671"/>
      <w:bookmarkStart w:id="357" w:name="_Toc29951"/>
      <w:bookmarkStart w:id="358" w:name="_Toc233795201"/>
      <w:bookmarkStart w:id="359" w:name="_Toc16581"/>
      <w:bookmarkStart w:id="360" w:name="_Toc22057"/>
      <w:bookmarkStart w:id="361" w:name="_Toc26480"/>
      <w:r>
        <w:rPr>
          <w:rFonts w:hint="eastAsia"/>
          <w:highlight w:val="none"/>
        </w:rPr>
        <w:t>验收内容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356"/>
      <w:bookmarkEnd w:id="357"/>
      <w:bookmarkEnd w:id="358"/>
      <w:bookmarkEnd w:id="359"/>
      <w:bookmarkEnd w:id="360"/>
      <w:bookmarkEnd w:id="361"/>
    </w:p>
    <w:p w14:paraId="50466E31">
      <w:pPr>
        <w:pStyle w:val="46"/>
        <w:spacing w:line="360" w:lineRule="auto"/>
        <w:ind w:firstLine="480"/>
        <w:rPr>
          <w:sz w:val="24"/>
          <w:szCs w:val="20"/>
          <w:highlight w:val="none"/>
        </w:rPr>
      </w:pPr>
      <w:r>
        <w:rPr>
          <w:sz w:val="24"/>
          <w:szCs w:val="20"/>
          <w:highlight w:val="none"/>
        </w:rPr>
        <w:t>验收内容根据本项目实际情况制定，由中标人负责编写，采购人审定。项目服务交付标准是判断项目成果是否达到要求的依据，因而应具有科学性，只有制定科学的标准，才能有效地验收项目结果。</w:t>
      </w:r>
    </w:p>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14:paraId="38FE3521">
      <w:pPr>
        <w:pStyle w:val="4"/>
        <w:spacing w:before="156" w:after="156"/>
        <w:rPr>
          <w:rFonts w:hint="eastAsia"/>
          <w:highlight w:val="none"/>
        </w:rPr>
      </w:pPr>
      <w:bookmarkStart w:id="362" w:name="_Toc13422"/>
      <w:bookmarkStart w:id="363" w:name="_Toc32302"/>
      <w:bookmarkStart w:id="364" w:name="_Toc2317"/>
      <w:bookmarkStart w:id="365" w:name="_Toc4570"/>
      <w:bookmarkStart w:id="366" w:name="_Toc24193"/>
      <w:bookmarkStart w:id="367" w:name="_Toc187216589"/>
      <w:bookmarkStart w:id="368" w:name="_Toc27235"/>
      <w:bookmarkStart w:id="369" w:name="_Toc12885"/>
      <w:bookmarkStart w:id="370" w:name="_Toc5517"/>
      <w:bookmarkStart w:id="371" w:name="_Toc233795202"/>
      <w:bookmarkStart w:id="372" w:name="_Toc20433"/>
      <w:bookmarkStart w:id="373" w:name="_Toc29349"/>
      <w:bookmarkStart w:id="374" w:name="_Toc27149"/>
      <w:bookmarkStart w:id="375" w:name="_Toc19483"/>
      <w:bookmarkStart w:id="376" w:name="_Toc20138"/>
      <w:bookmarkStart w:id="377" w:name="_Toc2909"/>
      <w:bookmarkStart w:id="378" w:name="_Toc25812"/>
      <w:bookmarkStart w:id="379" w:name="_Toc24714"/>
      <w:bookmarkStart w:id="380" w:name="_Toc21240"/>
      <w:bookmarkStart w:id="381" w:name="_Toc18248"/>
      <w:bookmarkStart w:id="382" w:name="_Toc13026"/>
      <w:bookmarkStart w:id="383" w:name="_Toc8975"/>
      <w:bookmarkStart w:id="384" w:name="_Toc30513"/>
      <w:bookmarkStart w:id="385" w:name="_Toc14987"/>
      <w:bookmarkStart w:id="386" w:name="_Toc14188"/>
      <w:bookmarkStart w:id="387" w:name="_Toc10463"/>
      <w:r>
        <w:rPr>
          <w:rFonts w:hint="eastAsia"/>
          <w:highlight w:val="none"/>
        </w:rPr>
        <w:t>服务验收标准</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hint="eastAsia"/>
          <w:highlight w:val="none"/>
        </w:rPr>
        <w:t xml:space="preserve"> </w:t>
      </w:r>
    </w:p>
    <w:p w14:paraId="0B48F8FA">
      <w:pPr>
        <w:ind w:firstLine="480"/>
        <w:rPr>
          <w:rFonts w:hint="eastAsia"/>
          <w:szCs w:val="22"/>
          <w:highlight w:val="none"/>
        </w:rPr>
      </w:pPr>
      <w:r>
        <w:rPr>
          <w:rFonts w:hint="eastAsia"/>
          <w:szCs w:val="22"/>
          <w:highlight w:val="none"/>
        </w:rPr>
        <w:t>项目验收工作，必须根据项目的实际情况，综合考虑各方面的需要，整体部署、统筹合理安排，采用科学的态度和有效的管理手段，为项目实施完善监督机制，切实保证项目的顺利完成 和系统的整体质量。</w:t>
      </w:r>
    </w:p>
    <w:p w14:paraId="098434F6">
      <w:pPr>
        <w:ind w:firstLine="480"/>
        <w:rPr>
          <w:rFonts w:hint="eastAsia"/>
          <w:szCs w:val="22"/>
          <w:highlight w:val="none"/>
        </w:rPr>
      </w:pPr>
      <w:r>
        <w:rPr>
          <w:rFonts w:hint="eastAsia"/>
          <w:szCs w:val="22"/>
          <w:highlight w:val="none"/>
        </w:rPr>
        <w:t>参照有关质量保证体系的国家标准（《GB/TI9001-2000 质量管理体系要求》）和《GDZW00822023广东数字政府标准规范：政务信息化项目验收规范》，本项目的验收工作包括对运维和监测服务内容的验收，以及上述服务过程中产生的各种服务过程记录文档的验收等方面。针对本项目来说，具体的验收要求如下：</w:t>
      </w:r>
    </w:p>
    <w:p w14:paraId="2FF0864D">
      <w:pPr>
        <w:ind w:firstLine="480"/>
        <w:rPr>
          <w:rFonts w:hint="eastAsia"/>
          <w:szCs w:val="20"/>
          <w:highlight w:val="none"/>
        </w:rPr>
      </w:pPr>
      <w:r>
        <w:rPr>
          <w:szCs w:val="22"/>
          <w:highlight w:val="none"/>
        </w:rPr>
        <w:t>（</w:t>
      </w:r>
      <w:r>
        <w:rPr>
          <w:rFonts w:hint="eastAsia"/>
          <w:szCs w:val="22"/>
          <w:highlight w:val="none"/>
        </w:rPr>
        <w:t>1</w:t>
      </w:r>
      <w:r>
        <w:rPr>
          <w:szCs w:val="22"/>
          <w:highlight w:val="none"/>
        </w:rPr>
        <w:t>）</w:t>
      </w:r>
      <w:r>
        <w:rPr>
          <w:rFonts w:hint="eastAsia"/>
          <w:szCs w:val="20"/>
          <w:highlight w:val="none"/>
        </w:rPr>
        <w:t>中标人提供全套完善的资料文档，包括但不限于：</w:t>
      </w:r>
    </w:p>
    <w:p w14:paraId="395D1602">
      <w:pPr>
        <w:pStyle w:val="108"/>
        <w:numPr>
          <w:ilvl w:val="0"/>
          <w:numId w:val="11"/>
        </w:numPr>
        <w:ind w:firstLineChars="0"/>
        <w:rPr>
          <w:rFonts w:hint="eastAsia"/>
          <w:highlight w:val="none"/>
        </w:rPr>
      </w:pPr>
      <w:r>
        <w:rPr>
          <w:rFonts w:hint="eastAsia"/>
          <w:highlight w:val="none"/>
        </w:rPr>
        <w:t>汕头市政府网站集约化平台运维月报</w:t>
      </w:r>
    </w:p>
    <w:p w14:paraId="432222FE">
      <w:pPr>
        <w:pStyle w:val="108"/>
        <w:numPr>
          <w:ilvl w:val="0"/>
          <w:numId w:val="11"/>
        </w:numPr>
        <w:ind w:firstLineChars="0"/>
        <w:rPr>
          <w:rFonts w:hint="eastAsia"/>
          <w:highlight w:val="none"/>
        </w:rPr>
      </w:pPr>
      <w:r>
        <w:rPr>
          <w:rFonts w:hint="eastAsia"/>
          <w:highlight w:val="none"/>
        </w:rPr>
        <w:t>汕头市政府网站集约化平台巡检月报</w:t>
      </w:r>
    </w:p>
    <w:p w14:paraId="0FA54311">
      <w:pPr>
        <w:pStyle w:val="108"/>
        <w:numPr>
          <w:ilvl w:val="0"/>
          <w:numId w:val="11"/>
        </w:numPr>
        <w:ind w:firstLineChars="0"/>
        <w:rPr>
          <w:rFonts w:hint="eastAsia"/>
          <w:highlight w:val="none"/>
        </w:rPr>
      </w:pPr>
      <w:r>
        <w:rPr>
          <w:rFonts w:hint="eastAsia"/>
          <w:highlight w:val="none"/>
        </w:rPr>
        <w:t>政府网站全面监测服务报告</w:t>
      </w:r>
    </w:p>
    <w:p w14:paraId="520AA004">
      <w:pPr>
        <w:pStyle w:val="108"/>
        <w:numPr>
          <w:ilvl w:val="0"/>
          <w:numId w:val="11"/>
        </w:numPr>
        <w:ind w:firstLineChars="0"/>
        <w:rPr>
          <w:rFonts w:hint="eastAsia"/>
          <w:highlight w:val="none"/>
        </w:rPr>
      </w:pPr>
      <w:r>
        <w:rPr>
          <w:rFonts w:hint="eastAsia"/>
          <w:highlight w:val="none"/>
        </w:rPr>
        <w:t>政务新媒体监测服务报告</w:t>
      </w:r>
    </w:p>
    <w:p w14:paraId="7CA9A62C">
      <w:pPr>
        <w:pStyle w:val="108"/>
        <w:numPr>
          <w:ilvl w:val="0"/>
          <w:numId w:val="11"/>
        </w:numPr>
        <w:ind w:firstLineChars="0"/>
        <w:rPr>
          <w:rFonts w:hint="eastAsia"/>
          <w:highlight w:val="none"/>
        </w:rPr>
      </w:pPr>
      <w:r>
        <w:rPr>
          <w:rFonts w:hint="eastAsia"/>
          <w:highlight w:val="none"/>
        </w:rPr>
        <w:t>内容安全监测服务报告</w:t>
      </w:r>
    </w:p>
    <w:p w14:paraId="1358D555">
      <w:pPr>
        <w:pStyle w:val="108"/>
        <w:numPr>
          <w:ilvl w:val="0"/>
          <w:numId w:val="11"/>
        </w:numPr>
        <w:ind w:firstLineChars="0"/>
        <w:rPr>
          <w:rFonts w:hint="eastAsia"/>
          <w:highlight w:val="none"/>
        </w:rPr>
      </w:pPr>
      <w:r>
        <w:rPr>
          <w:rFonts w:hint="eastAsia"/>
          <w:highlight w:val="none"/>
        </w:rPr>
        <w:t>年度运维总结报告</w:t>
      </w:r>
    </w:p>
    <w:p w14:paraId="51FCCE5B">
      <w:pPr>
        <w:pStyle w:val="108"/>
        <w:numPr>
          <w:ilvl w:val="0"/>
          <w:numId w:val="11"/>
        </w:numPr>
        <w:ind w:firstLineChars="0"/>
        <w:rPr>
          <w:rFonts w:hint="eastAsia"/>
          <w:highlight w:val="none"/>
        </w:rPr>
      </w:pPr>
      <w:r>
        <w:rPr>
          <w:rFonts w:hint="eastAsia"/>
          <w:highlight w:val="none"/>
        </w:rPr>
        <w:t>应急演练方案及报告</w:t>
      </w:r>
    </w:p>
    <w:p w14:paraId="6A8566E7">
      <w:pPr>
        <w:pStyle w:val="108"/>
        <w:numPr>
          <w:ilvl w:val="0"/>
          <w:numId w:val="11"/>
        </w:numPr>
        <w:ind w:firstLineChars="0"/>
        <w:rPr>
          <w:rFonts w:hint="eastAsia"/>
          <w:highlight w:val="none"/>
        </w:rPr>
      </w:pPr>
      <w:r>
        <w:rPr>
          <w:highlight w:val="none"/>
        </w:rPr>
        <w:t>其他《需求书》要求的项目服务成果材料</w:t>
      </w:r>
    </w:p>
    <w:p w14:paraId="1AC990B3">
      <w:pPr>
        <w:pStyle w:val="108"/>
        <w:numPr>
          <w:ilvl w:val="0"/>
          <w:numId w:val="11"/>
        </w:numPr>
        <w:ind w:firstLineChars="0"/>
        <w:rPr>
          <w:rFonts w:hint="eastAsia"/>
          <w:highlight w:val="none"/>
        </w:rPr>
      </w:pPr>
      <w:r>
        <w:rPr>
          <w:rFonts w:hint="eastAsia"/>
          <w:highlight w:val="none"/>
        </w:rPr>
        <w:t>其他项目实施过程中产生的相关文档</w:t>
      </w:r>
    </w:p>
    <w:p w14:paraId="41C0E244">
      <w:pPr>
        <w:ind w:firstLine="480"/>
        <w:rPr>
          <w:rFonts w:hint="eastAsia"/>
          <w:szCs w:val="22"/>
          <w:highlight w:val="none"/>
          <w:lang w:val="en-GB"/>
        </w:rPr>
      </w:pPr>
      <w:r>
        <w:rPr>
          <w:szCs w:val="22"/>
          <w:highlight w:val="none"/>
        </w:rPr>
        <w:t>（</w:t>
      </w:r>
      <w:r>
        <w:rPr>
          <w:rFonts w:hint="eastAsia"/>
          <w:szCs w:val="22"/>
          <w:highlight w:val="none"/>
        </w:rPr>
        <w:t>2</w:t>
      </w:r>
      <w:r>
        <w:rPr>
          <w:szCs w:val="22"/>
          <w:highlight w:val="none"/>
        </w:rPr>
        <w:t>）组织验收：由采购人组织验收，</w:t>
      </w:r>
      <w:r>
        <w:rPr>
          <w:rFonts w:hint="eastAsia"/>
          <w:szCs w:val="22"/>
          <w:highlight w:val="none"/>
        </w:rPr>
        <w:t>中标人</w:t>
      </w:r>
      <w:r>
        <w:rPr>
          <w:szCs w:val="22"/>
          <w:highlight w:val="none"/>
        </w:rPr>
        <w:t>协助项目验收。</w:t>
      </w:r>
    </w:p>
    <w:p w14:paraId="1FB5303C">
      <w:pPr>
        <w:pStyle w:val="4"/>
        <w:spacing w:before="156" w:after="156"/>
        <w:rPr>
          <w:rFonts w:hint="eastAsia"/>
          <w:highlight w:val="none"/>
        </w:rPr>
      </w:pPr>
      <w:bookmarkStart w:id="388" w:name="_Toc11647"/>
      <w:bookmarkStart w:id="389" w:name="_Toc4625"/>
      <w:bookmarkStart w:id="390" w:name="_Toc11234"/>
      <w:bookmarkStart w:id="391" w:name="_Toc15466"/>
      <w:bookmarkStart w:id="392" w:name="_Toc29359"/>
      <w:bookmarkStart w:id="393" w:name="_Toc15909"/>
      <w:bookmarkStart w:id="394" w:name="_Toc26420"/>
      <w:bookmarkStart w:id="395" w:name="_Toc28629"/>
      <w:bookmarkStart w:id="396" w:name="_Toc15667"/>
      <w:bookmarkStart w:id="397" w:name="_Toc1467"/>
      <w:bookmarkStart w:id="398" w:name="_Toc24426"/>
      <w:bookmarkStart w:id="399" w:name="_Toc27190"/>
      <w:bookmarkStart w:id="400" w:name="_Toc24743"/>
      <w:bookmarkStart w:id="401" w:name="_Toc233795203"/>
      <w:bookmarkStart w:id="402" w:name="_Toc15107"/>
      <w:bookmarkStart w:id="403" w:name="_Toc187216590"/>
      <w:bookmarkStart w:id="404" w:name="_Toc6705"/>
      <w:bookmarkStart w:id="405" w:name="_Toc23383"/>
      <w:bookmarkStart w:id="406" w:name="_Toc18539"/>
      <w:bookmarkStart w:id="407" w:name="_Toc23294"/>
      <w:bookmarkStart w:id="408" w:name="_Toc3828"/>
      <w:bookmarkStart w:id="409" w:name="_Toc28097"/>
      <w:bookmarkStart w:id="410" w:name="_Toc19775"/>
      <w:bookmarkStart w:id="411" w:name="_Toc21385"/>
      <w:bookmarkStart w:id="412" w:name="_Toc29837"/>
      <w:bookmarkStart w:id="413" w:name="_Toc30827"/>
      <w:r>
        <w:rPr>
          <w:rFonts w:hint="eastAsia"/>
          <w:highlight w:val="none"/>
        </w:rPr>
        <w:t>验收程序</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050825FF">
      <w:pPr>
        <w:ind w:firstLine="480"/>
        <w:rPr>
          <w:rFonts w:hint="eastAsia"/>
          <w:szCs w:val="22"/>
          <w:highlight w:val="none"/>
        </w:rPr>
      </w:pPr>
      <w:r>
        <w:rPr>
          <w:rFonts w:hint="eastAsia"/>
          <w:szCs w:val="22"/>
          <w:highlight w:val="none"/>
        </w:rPr>
        <w:t>（1）需求分析</w:t>
      </w:r>
    </w:p>
    <w:p w14:paraId="24A663F5">
      <w:pPr>
        <w:ind w:firstLine="480"/>
        <w:rPr>
          <w:rFonts w:hint="eastAsia"/>
          <w:szCs w:val="22"/>
          <w:highlight w:val="none"/>
        </w:rPr>
      </w:pPr>
      <w:r>
        <w:rPr>
          <w:rFonts w:hint="eastAsia"/>
          <w:szCs w:val="22"/>
          <w:highlight w:val="none"/>
        </w:rPr>
        <w:t>采购人组织人员对项目进行验收需求分析，针对项目验收，中标人需配备有经验的工程师和一名行业专家来组成项目团队，负责具体工作。</w:t>
      </w:r>
    </w:p>
    <w:p w14:paraId="1E5569F3">
      <w:pPr>
        <w:ind w:firstLine="480"/>
        <w:rPr>
          <w:rFonts w:hint="eastAsia"/>
          <w:szCs w:val="22"/>
          <w:highlight w:val="none"/>
        </w:rPr>
      </w:pPr>
      <w:r>
        <w:rPr>
          <w:rFonts w:hint="eastAsia"/>
          <w:szCs w:val="22"/>
          <w:highlight w:val="none"/>
        </w:rPr>
        <w:t>（2）编写验收方案（计划书）</w:t>
      </w:r>
    </w:p>
    <w:p w14:paraId="4DCE4EBE">
      <w:pPr>
        <w:ind w:firstLine="480"/>
        <w:rPr>
          <w:rFonts w:hint="eastAsia"/>
          <w:szCs w:val="22"/>
          <w:highlight w:val="none"/>
        </w:rPr>
      </w:pPr>
      <w:r>
        <w:rPr>
          <w:rFonts w:hint="eastAsia"/>
          <w:szCs w:val="22"/>
          <w:highlight w:val="none"/>
        </w:rPr>
        <w:t>中标人在对项目进行深入的需求分析的基础上编写验收方案（计划书），提交采购人审定。</w:t>
      </w:r>
    </w:p>
    <w:p w14:paraId="7EAFA317">
      <w:pPr>
        <w:ind w:firstLine="480"/>
        <w:rPr>
          <w:rFonts w:hint="eastAsia"/>
          <w:szCs w:val="22"/>
          <w:highlight w:val="none"/>
        </w:rPr>
      </w:pPr>
      <w:r>
        <w:rPr>
          <w:rFonts w:hint="eastAsia"/>
          <w:szCs w:val="22"/>
          <w:highlight w:val="none"/>
        </w:rPr>
        <w:t>（3）成立项目验收小组</w:t>
      </w:r>
    </w:p>
    <w:p w14:paraId="3310A1EB">
      <w:pPr>
        <w:ind w:firstLine="480"/>
        <w:rPr>
          <w:rFonts w:hint="eastAsia"/>
          <w:szCs w:val="22"/>
          <w:highlight w:val="none"/>
        </w:rPr>
      </w:pPr>
      <w:r>
        <w:rPr>
          <w:rFonts w:hint="eastAsia"/>
          <w:szCs w:val="22"/>
          <w:highlight w:val="none"/>
        </w:rPr>
        <w:t>实施验收工作时，应当成立项目验收小组，具体负责验收事宜。</w:t>
      </w:r>
    </w:p>
    <w:p w14:paraId="202071E4">
      <w:pPr>
        <w:ind w:firstLine="480"/>
        <w:rPr>
          <w:rFonts w:hint="eastAsia"/>
          <w:szCs w:val="22"/>
          <w:highlight w:val="none"/>
        </w:rPr>
      </w:pPr>
      <w:r>
        <w:rPr>
          <w:rFonts w:hint="eastAsia"/>
          <w:szCs w:val="22"/>
          <w:highlight w:val="none"/>
        </w:rPr>
        <w:t>（4）项目验收的实施</w:t>
      </w:r>
    </w:p>
    <w:p w14:paraId="17BDF02D">
      <w:pPr>
        <w:ind w:firstLine="480"/>
        <w:rPr>
          <w:rFonts w:hint="eastAsia"/>
          <w:szCs w:val="22"/>
          <w:highlight w:val="none"/>
        </w:rPr>
      </w:pPr>
      <w:r>
        <w:rPr>
          <w:rFonts w:hint="eastAsia"/>
          <w:szCs w:val="22"/>
          <w:highlight w:val="none"/>
        </w:rPr>
        <w:t>严格按照《关于市级电子政务项目专项申报管理有关工作的通知》（汕政数通〔2023〕98号）和验收方案有关要求，召开由验收小组全体成员参加的项目验收评审会，对中标人提供的运维和监测服务、服务文档资料等进行全面的审核和验收，给出最终的验收意见，形成验收报告提交项目使用方存档。对不合格的项目不予验收，对遗留问题提出具体的解决意见。</w:t>
      </w:r>
    </w:p>
    <w:p w14:paraId="6CB3B899">
      <w:pPr>
        <w:pStyle w:val="4"/>
        <w:spacing w:before="156" w:after="156"/>
        <w:rPr>
          <w:rFonts w:hint="eastAsia"/>
          <w:highlight w:val="none"/>
        </w:rPr>
      </w:pPr>
      <w:bookmarkStart w:id="414" w:name="_Toc233795204"/>
      <w:bookmarkStart w:id="415" w:name="_Toc4322"/>
      <w:bookmarkStart w:id="416" w:name="_Toc2377"/>
      <w:bookmarkStart w:id="417" w:name="_Toc643"/>
      <w:bookmarkStart w:id="418" w:name="_Toc242"/>
      <w:r>
        <w:rPr>
          <w:rFonts w:hint="eastAsia"/>
          <w:highlight w:val="none"/>
        </w:rPr>
        <w:t>成果交付</w:t>
      </w:r>
      <w:bookmarkEnd w:id="414"/>
      <w:bookmarkEnd w:id="415"/>
      <w:bookmarkEnd w:id="416"/>
      <w:bookmarkEnd w:id="417"/>
      <w:bookmarkEnd w:id="418"/>
    </w:p>
    <w:p w14:paraId="45BDC602">
      <w:pPr>
        <w:ind w:firstLine="480"/>
        <w:rPr>
          <w:rFonts w:hint="eastAsia"/>
          <w:szCs w:val="22"/>
          <w:highlight w:val="none"/>
        </w:rPr>
      </w:pPr>
      <w:r>
        <w:rPr>
          <w:rFonts w:hint="eastAsia"/>
          <w:szCs w:val="22"/>
          <w:highlight w:val="none"/>
        </w:rPr>
        <w:t>（1）交货和安装地点：采购人指定。</w:t>
      </w:r>
    </w:p>
    <w:p w14:paraId="1C622175">
      <w:pPr>
        <w:ind w:firstLine="480"/>
        <w:rPr>
          <w:rFonts w:hint="eastAsia"/>
          <w:szCs w:val="22"/>
          <w:highlight w:val="none"/>
        </w:rPr>
      </w:pPr>
      <w:r>
        <w:rPr>
          <w:rFonts w:hint="eastAsia"/>
          <w:szCs w:val="22"/>
          <w:highlight w:val="none"/>
        </w:rPr>
        <w:t>（2）所有产品均须由中标人到采购人现场安装部署并负责调试。采购人不再支付任何费用。</w:t>
      </w:r>
    </w:p>
    <w:p w14:paraId="7BAA3A1A">
      <w:pPr>
        <w:ind w:firstLine="480"/>
        <w:rPr>
          <w:rFonts w:hint="eastAsia"/>
          <w:szCs w:val="22"/>
          <w:highlight w:val="none"/>
        </w:rPr>
      </w:pPr>
      <w:r>
        <w:rPr>
          <w:rFonts w:hint="eastAsia"/>
          <w:szCs w:val="22"/>
          <w:highlight w:val="none"/>
        </w:rPr>
        <w:t>在项目完成验收后，中标人需提交的材料包括但不限于以下：</w:t>
      </w:r>
    </w:p>
    <w:p w14:paraId="4C83E4EA">
      <w:pPr>
        <w:pStyle w:val="108"/>
        <w:numPr>
          <w:ilvl w:val="0"/>
          <w:numId w:val="11"/>
        </w:numPr>
        <w:ind w:firstLineChars="0"/>
        <w:rPr>
          <w:rFonts w:hint="eastAsia"/>
          <w:highlight w:val="none"/>
        </w:rPr>
      </w:pPr>
      <w:bookmarkStart w:id="419" w:name="_Toc10696"/>
      <w:bookmarkStart w:id="420" w:name="_Toc7638"/>
      <w:r>
        <w:rPr>
          <w:rFonts w:hint="eastAsia"/>
          <w:highlight w:val="none"/>
        </w:rPr>
        <w:t>汕头市政府网站集约化平台运维月报</w:t>
      </w:r>
    </w:p>
    <w:p w14:paraId="7AF1CD61">
      <w:pPr>
        <w:pStyle w:val="108"/>
        <w:numPr>
          <w:ilvl w:val="0"/>
          <w:numId w:val="11"/>
        </w:numPr>
        <w:ind w:firstLineChars="0"/>
        <w:rPr>
          <w:rFonts w:hint="eastAsia"/>
          <w:highlight w:val="none"/>
        </w:rPr>
      </w:pPr>
      <w:r>
        <w:rPr>
          <w:rFonts w:hint="eastAsia"/>
          <w:highlight w:val="none"/>
        </w:rPr>
        <w:t>汕头市政府网站集约化平台巡检月报</w:t>
      </w:r>
    </w:p>
    <w:p w14:paraId="2961036B">
      <w:pPr>
        <w:pStyle w:val="108"/>
        <w:numPr>
          <w:ilvl w:val="0"/>
          <w:numId w:val="11"/>
        </w:numPr>
        <w:ind w:firstLineChars="0"/>
        <w:rPr>
          <w:rFonts w:hint="eastAsia"/>
          <w:highlight w:val="none"/>
        </w:rPr>
      </w:pPr>
      <w:r>
        <w:rPr>
          <w:rFonts w:hint="eastAsia"/>
          <w:highlight w:val="none"/>
        </w:rPr>
        <w:t>政府网站全面监测服务报告</w:t>
      </w:r>
    </w:p>
    <w:p w14:paraId="09CCD90C">
      <w:pPr>
        <w:pStyle w:val="108"/>
        <w:numPr>
          <w:ilvl w:val="0"/>
          <w:numId w:val="11"/>
        </w:numPr>
        <w:ind w:firstLineChars="0"/>
        <w:rPr>
          <w:rFonts w:hint="eastAsia"/>
          <w:highlight w:val="none"/>
        </w:rPr>
      </w:pPr>
      <w:r>
        <w:rPr>
          <w:rFonts w:hint="eastAsia"/>
          <w:highlight w:val="none"/>
        </w:rPr>
        <w:t>政务新媒体监测服务报告</w:t>
      </w:r>
    </w:p>
    <w:p w14:paraId="12AF452E">
      <w:pPr>
        <w:pStyle w:val="108"/>
        <w:numPr>
          <w:ilvl w:val="0"/>
          <w:numId w:val="11"/>
        </w:numPr>
        <w:ind w:firstLineChars="0"/>
        <w:rPr>
          <w:rFonts w:hint="eastAsia"/>
          <w:highlight w:val="none"/>
        </w:rPr>
      </w:pPr>
      <w:r>
        <w:rPr>
          <w:rFonts w:hint="eastAsia"/>
          <w:highlight w:val="none"/>
        </w:rPr>
        <w:t>内容安全监测服务报告</w:t>
      </w:r>
    </w:p>
    <w:p w14:paraId="68FDA271">
      <w:pPr>
        <w:pStyle w:val="108"/>
        <w:numPr>
          <w:ilvl w:val="0"/>
          <w:numId w:val="11"/>
        </w:numPr>
        <w:ind w:firstLineChars="0"/>
        <w:rPr>
          <w:rFonts w:hint="eastAsia"/>
          <w:highlight w:val="none"/>
        </w:rPr>
      </w:pPr>
      <w:r>
        <w:rPr>
          <w:rFonts w:hint="eastAsia"/>
          <w:highlight w:val="none"/>
        </w:rPr>
        <w:t>年度运维总结报告</w:t>
      </w:r>
    </w:p>
    <w:p w14:paraId="654DB3BF">
      <w:pPr>
        <w:pStyle w:val="108"/>
        <w:numPr>
          <w:ilvl w:val="0"/>
          <w:numId w:val="11"/>
        </w:numPr>
        <w:ind w:firstLineChars="0"/>
        <w:rPr>
          <w:rFonts w:hint="eastAsia"/>
          <w:highlight w:val="none"/>
        </w:rPr>
      </w:pPr>
      <w:r>
        <w:rPr>
          <w:rFonts w:hint="eastAsia"/>
          <w:highlight w:val="none"/>
        </w:rPr>
        <w:t>应急演练方案及报告</w:t>
      </w:r>
    </w:p>
    <w:p w14:paraId="70F59966">
      <w:pPr>
        <w:pStyle w:val="108"/>
        <w:numPr>
          <w:ilvl w:val="0"/>
          <w:numId w:val="11"/>
        </w:numPr>
        <w:ind w:firstLineChars="0"/>
        <w:rPr>
          <w:rFonts w:hint="eastAsia"/>
          <w:highlight w:val="none"/>
        </w:rPr>
      </w:pPr>
      <w:r>
        <w:rPr>
          <w:highlight w:val="none"/>
        </w:rPr>
        <w:t>其他《需求书》要求的项目服务成果材料</w:t>
      </w:r>
    </w:p>
    <w:p w14:paraId="190AD74B">
      <w:pPr>
        <w:pStyle w:val="108"/>
        <w:numPr>
          <w:ilvl w:val="0"/>
          <w:numId w:val="11"/>
        </w:numPr>
        <w:ind w:firstLineChars="0"/>
        <w:rPr>
          <w:rFonts w:hint="eastAsia"/>
          <w:highlight w:val="none"/>
        </w:rPr>
      </w:pPr>
      <w:r>
        <w:rPr>
          <w:rFonts w:hint="eastAsia"/>
          <w:highlight w:val="none"/>
        </w:rPr>
        <w:t>其他项目实施过程中产生的相关文档</w:t>
      </w:r>
    </w:p>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419"/>
    <w:bookmarkEnd w:id="420"/>
    <w:p w14:paraId="4FF207D3">
      <w:pPr>
        <w:pStyle w:val="32"/>
        <w:ind w:firstLine="480"/>
        <w:rPr>
          <w:rFonts w:hint="eastAsia"/>
          <w:highlight w:val="none"/>
        </w:rPr>
      </w:pPr>
      <w:r>
        <w:rPr>
          <w:rFonts w:hint="eastAsia"/>
          <w:highlight w:val="none"/>
        </w:rPr>
        <w:t>（3）终验参照汕头市信息化项目验收相关规范执行。</w:t>
      </w:r>
    </w:p>
    <w:p w14:paraId="1323109B">
      <w:pPr>
        <w:pStyle w:val="32"/>
        <w:ind w:firstLine="480"/>
        <w:rPr>
          <w:rFonts w:hint="eastAsia"/>
          <w:highlight w:val="none"/>
        </w:rPr>
      </w:pPr>
      <w:r>
        <w:rPr>
          <w:rFonts w:hint="eastAsia"/>
          <w:highlight w:val="none"/>
        </w:rPr>
        <w:t>（4）成果提交形式：成果均采用纸质或电子成果提交。纸质文件需中标人盖章，电子成果加盖电子印章以硬磁盘或光盘为数据承载介质提交。</w:t>
      </w:r>
    </w:p>
    <w:p w14:paraId="4340D3D0">
      <w:pPr>
        <w:pStyle w:val="3"/>
        <w:rPr>
          <w:rFonts w:hint="eastAsia"/>
          <w:highlight w:val="none"/>
        </w:rPr>
      </w:pPr>
      <w:bookmarkStart w:id="421" w:name="_Toc233795205"/>
      <w:bookmarkStart w:id="422" w:name="_Toc20346"/>
      <w:bookmarkStart w:id="423" w:name="_Toc22883"/>
      <w:bookmarkStart w:id="424" w:name="_Toc12161"/>
      <w:bookmarkStart w:id="425" w:name="_Toc12481"/>
      <w:bookmarkStart w:id="426" w:name="_Toc6574"/>
      <w:bookmarkStart w:id="427" w:name="_Toc5265"/>
      <w:r>
        <w:rPr>
          <w:rFonts w:hint="eastAsia"/>
          <w:highlight w:val="none"/>
        </w:rPr>
        <w:t>服务考核要求</w:t>
      </w:r>
      <w:bookmarkEnd w:id="251"/>
      <w:bookmarkEnd w:id="252"/>
      <w:bookmarkEnd w:id="253"/>
      <w:bookmarkEnd w:id="421"/>
      <w:bookmarkEnd w:id="422"/>
      <w:bookmarkEnd w:id="423"/>
      <w:bookmarkEnd w:id="424"/>
      <w:bookmarkEnd w:id="425"/>
      <w:bookmarkEnd w:id="426"/>
      <w:bookmarkEnd w:id="427"/>
    </w:p>
    <w:p w14:paraId="290AB3AC">
      <w:pPr>
        <w:pStyle w:val="4"/>
        <w:rPr>
          <w:rFonts w:hint="eastAsia"/>
          <w:highlight w:val="none"/>
        </w:rPr>
      </w:pPr>
      <w:bookmarkStart w:id="428" w:name="_Toc28511"/>
      <w:bookmarkStart w:id="429" w:name="_Toc22673"/>
      <w:bookmarkStart w:id="430" w:name="_Toc23248"/>
      <w:bookmarkStart w:id="431" w:name="_Toc233795206"/>
      <w:bookmarkStart w:id="432" w:name="_Toc7232"/>
      <w:bookmarkStart w:id="433" w:name="_Toc318"/>
      <w:bookmarkStart w:id="434" w:name="_Toc30407"/>
      <w:bookmarkStart w:id="435" w:name="_Toc30761"/>
      <w:bookmarkStart w:id="436" w:name="_Toc7116"/>
      <w:bookmarkStart w:id="437" w:name="_Toc4319"/>
      <w:r>
        <w:rPr>
          <w:rFonts w:hint="eastAsia"/>
          <w:highlight w:val="none"/>
        </w:rPr>
        <w:t>服务考核标准要求与考核内容</w:t>
      </w:r>
      <w:bookmarkEnd w:id="428"/>
      <w:bookmarkEnd w:id="429"/>
      <w:bookmarkEnd w:id="430"/>
      <w:bookmarkEnd w:id="431"/>
      <w:bookmarkEnd w:id="432"/>
      <w:bookmarkEnd w:id="433"/>
      <w:bookmarkEnd w:id="434"/>
      <w:bookmarkEnd w:id="435"/>
      <w:bookmarkEnd w:id="436"/>
      <w:bookmarkEnd w:id="437"/>
    </w:p>
    <w:p w14:paraId="1A9B908C">
      <w:pPr>
        <w:pStyle w:val="32"/>
        <w:ind w:firstLine="480"/>
        <w:rPr>
          <w:rFonts w:hint="eastAsia"/>
          <w:highlight w:val="none"/>
        </w:rPr>
      </w:pPr>
      <w:r>
        <w:rPr>
          <w:rFonts w:hint="eastAsia"/>
          <w:highlight w:val="none"/>
        </w:rPr>
        <w:t>采购人在进入运维期后，采购人每三个月对中标人提供的服务按百分制组织考核。</w:t>
      </w:r>
    </w:p>
    <w:p w14:paraId="5D051423">
      <w:pPr>
        <w:pStyle w:val="32"/>
        <w:ind w:firstLine="480"/>
        <w:rPr>
          <w:rFonts w:hint="eastAsia"/>
          <w:highlight w:val="none"/>
        </w:rPr>
      </w:pPr>
      <w:r>
        <w:rPr>
          <w:rFonts w:hint="eastAsia"/>
          <w:highlight w:val="none"/>
        </w:rPr>
        <w:t>考核内容包括</w:t>
      </w:r>
      <w:r>
        <w:rPr>
          <w:highlight w:val="none"/>
        </w:rPr>
        <w:t>运维服务质量</w:t>
      </w:r>
      <w:r>
        <w:rPr>
          <w:rFonts w:hint="eastAsia"/>
          <w:highlight w:val="none"/>
        </w:rPr>
        <w:t>、</w:t>
      </w:r>
      <w:r>
        <w:rPr>
          <w:highlight w:val="none"/>
        </w:rPr>
        <w:t>运维服务合规性</w:t>
      </w:r>
      <w:r>
        <w:rPr>
          <w:rFonts w:hint="eastAsia"/>
          <w:highlight w:val="none"/>
        </w:rPr>
        <w:t>、</w:t>
      </w:r>
      <w:r>
        <w:rPr>
          <w:highlight w:val="none"/>
        </w:rPr>
        <w:t>能力与可持续性和用户满意度</w:t>
      </w:r>
      <w:r>
        <w:rPr>
          <w:rFonts w:hint="eastAsia"/>
          <w:highlight w:val="none"/>
        </w:rPr>
        <w:t>等内容。考核框架参考下表，具体考核的标准要求和实施方式由采购人结合实际业务另行制定。</w:t>
      </w:r>
    </w:p>
    <w:tbl>
      <w:tblPr>
        <w:tblStyle w:val="33"/>
        <w:tblW w:w="5000" w:type="pct"/>
        <w:tblInd w:w="0" w:type="dxa"/>
        <w:tblLayout w:type="autofit"/>
        <w:tblCellMar>
          <w:top w:w="0" w:type="dxa"/>
          <w:left w:w="108" w:type="dxa"/>
          <w:bottom w:w="0" w:type="dxa"/>
          <w:right w:w="108" w:type="dxa"/>
        </w:tblCellMar>
      </w:tblPr>
      <w:tblGrid>
        <w:gridCol w:w="2236"/>
        <w:gridCol w:w="3721"/>
        <w:gridCol w:w="2349"/>
      </w:tblGrid>
      <w:tr w14:paraId="58BA1A94">
        <w:tblPrEx>
          <w:tblCellMar>
            <w:top w:w="0" w:type="dxa"/>
            <w:left w:w="108" w:type="dxa"/>
            <w:bottom w:w="0" w:type="dxa"/>
            <w:right w:w="108" w:type="dxa"/>
          </w:tblCellMar>
        </w:tblPrEx>
        <w:trPr>
          <w:trHeight w:val="600" w:hRule="atLeast"/>
        </w:trPr>
        <w:tc>
          <w:tcPr>
            <w:tcW w:w="5000" w:type="pct"/>
            <w:gridSpan w:val="3"/>
            <w:tcBorders>
              <w:top w:val="single" w:color="000000" w:sz="4" w:space="0"/>
              <w:left w:val="single" w:color="000000" w:sz="4" w:space="0"/>
              <w:bottom w:val="single" w:color="000000" w:sz="4" w:space="0"/>
              <w:right w:val="single" w:color="000000" w:sz="4" w:space="0"/>
            </w:tcBorders>
            <w:vAlign w:val="center"/>
          </w:tcPr>
          <w:p w14:paraId="26E27548">
            <w:pPr>
              <w:widowControl/>
              <w:spacing w:line="240" w:lineRule="auto"/>
              <w:ind w:firstLine="0" w:firstLineChars="0"/>
              <w:jc w:val="center"/>
              <w:rPr>
                <w:rFonts w:hint="eastAsia" w:cs="宋体"/>
                <w:b/>
                <w:bCs/>
                <w:color w:val="000000"/>
                <w:kern w:val="0"/>
                <w:szCs w:val="24"/>
                <w:highlight w:val="none"/>
              </w:rPr>
            </w:pPr>
            <w:r>
              <w:rPr>
                <w:rFonts w:hint="eastAsia" w:cs="宋体"/>
                <w:b/>
                <w:bCs/>
                <w:color w:val="000000"/>
                <w:kern w:val="0"/>
                <w:szCs w:val="24"/>
                <w:highlight w:val="none"/>
              </w:rPr>
              <w:t>服务质量考核框架</w:t>
            </w:r>
          </w:p>
        </w:tc>
      </w:tr>
      <w:tr w14:paraId="2674A08C">
        <w:tblPrEx>
          <w:tblCellMar>
            <w:top w:w="0" w:type="dxa"/>
            <w:left w:w="108" w:type="dxa"/>
            <w:bottom w:w="0" w:type="dxa"/>
            <w:right w:w="108" w:type="dxa"/>
          </w:tblCellMar>
        </w:tblPrEx>
        <w:trPr>
          <w:trHeight w:val="280" w:hRule="atLeast"/>
        </w:trPr>
        <w:tc>
          <w:tcPr>
            <w:tcW w:w="3586" w:type="pct"/>
            <w:gridSpan w:val="2"/>
            <w:tcBorders>
              <w:top w:val="single" w:color="000000" w:sz="4" w:space="0"/>
              <w:left w:val="single" w:color="000000" w:sz="4" w:space="0"/>
              <w:bottom w:val="single" w:color="000000" w:sz="4" w:space="0"/>
              <w:right w:val="single" w:color="000000" w:sz="4" w:space="0"/>
            </w:tcBorders>
            <w:vAlign w:val="center"/>
          </w:tcPr>
          <w:p w14:paraId="769A8E48">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一、运维服务质量（参考分值：80）</w:t>
            </w:r>
          </w:p>
        </w:tc>
        <w:tc>
          <w:tcPr>
            <w:tcW w:w="1414" w:type="pct"/>
            <w:tcBorders>
              <w:top w:val="single" w:color="000000" w:sz="4" w:space="0"/>
              <w:left w:val="single" w:color="000000" w:sz="4" w:space="0"/>
              <w:bottom w:val="single" w:color="000000" w:sz="4" w:space="0"/>
              <w:right w:val="single" w:color="000000" w:sz="4" w:space="0"/>
            </w:tcBorders>
            <w:vAlign w:val="center"/>
          </w:tcPr>
          <w:p w14:paraId="22515D4A">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得分：</w:t>
            </w:r>
          </w:p>
        </w:tc>
      </w:tr>
      <w:tr w14:paraId="34DEB1C0">
        <w:tblPrEx>
          <w:tblCellMar>
            <w:top w:w="0" w:type="dxa"/>
            <w:left w:w="108" w:type="dxa"/>
            <w:bottom w:w="0" w:type="dxa"/>
            <w:right w:w="108" w:type="dxa"/>
          </w:tblCellMar>
        </w:tblPrEx>
        <w:trPr>
          <w:trHeight w:val="280" w:hRule="atLeast"/>
        </w:trPr>
        <w:tc>
          <w:tcPr>
            <w:tcW w:w="1346" w:type="pct"/>
            <w:vMerge w:val="restart"/>
            <w:tcBorders>
              <w:top w:val="single" w:color="000000" w:sz="4" w:space="0"/>
              <w:left w:val="single" w:color="000000" w:sz="4" w:space="0"/>
              <w:bottom w:val="single" w:color="000000" w:sz="4" w:space="0"/>
              <w:right w:val="single" w:color="000000" w:sz="4" w:space="0"/>
            </w:tcBorders>
            <w:vAlign w:val="center"/>
          </w:tcPr>
          <w:p w14:paraId="633FEB55">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运维服务质量</w:t>
            </w:r>
          </w:p>
        </w:tc>
        <w:tc>
          <w:tcPr>
            <w:tcW w:w="2240" w:type="pct"/>
            <w:tcBorders>
              <w:top w:val="single" w:color="000000" w:sz="4" w:space="0"/>
              <w:left w:val="single" w:color="000000" w:sz="4" w:space="0"/>
              <w:bottom w:val="single" w:color="000000" w:sz="4" w:space="0"/>
              <w:right w:val="single" w:color="000000" w:sz="4" w:space="0"/>
            </w:tcBorders>
            <w:vAlign w:val="center"/>
          </w:tcPr>
          <w:p w14:paraId="2633F8DE">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服务进度完成情况</w:t>
            </w:r>
          </w:p>
        </w:tc>
        <w:tc>
          <w:tcPr>
            <w:tcW w:w="1414" w:type="pct"/>
            <w:tcBorders>
              <w:top w:val="single" w:color="000000" w:sz="4" w:space="0"/>
              <w:left w:val="single" w:color="000000" w:sz="4" w:space="0"/>
              <w:bottom w:val="single" w:color="000000" w:sz="4" w:space="0"/>
              <w:right w:val="single" w:color="000000" w:sz="4" w:space="0"/>
            </w:tcBorders>
            <w:vAlign w:val="center"/>
          </w:tcPr>
          <w:p w14:paraId="32DF2016">
            <w:pPr>
              <w:widowControl/>
              <w:spacing w:line="240" w:lineRule="auto"/>
              <w:ind w:firstLine="0" w:firstLineChars="0"/>
              <w:jc w:val="center"/>
              <w:rPr>
                <w:rFonts w:hint="eastAsia" w:cs="宋体"/>
                <w:color w:val="111111"/>
                <w:kern w:val="0"/>
                <w:szCs w:val="24"/>
                <w:highlight w:val="none"/>
              </w:rPr>
            </w:pPr>
          </w:p>
        </w:tc>
      </w:tr>
      <w:tr w14:paraId="188B0DB4">
        <w:tblPrEx>
          <w:tblCellMar>
            <w:top w:w="0" w:type="dxa"/>
            <w:left w:w="108" w:type="dxa"/>
            <w:bottom w:w="0" w:type="dxa"/>
            <w:right w:w="108" w:type="dxa"/>
          </w:tblCellMar>
        </w:tblPrEx>
        <w:trPr>
          <w:trHeight w:val="280" w:hRule="atLeast"/>
        </w:trPr>
        <w:tc>
          <w:tcPr>
            <w:tcW w:w="1346" w:type="pct"/>
            <w:vMerge w:val="continue"/>
            <w:tcBorders>
              <w:top w:val="single" w:color="000000" w:sz="4" w:space="0"/>
              <w:left w:val="single" w:color="000000" w:sz="4" w:space="0"/>
              <w:bottom w:val="single" w:color="000000" w:sz="4" w:space="0"/>
              <w:right w:val="single" w:color="000000" w:sz="4" w:space="0"/>
            </w:tcBorders>
            <w:vAlign w:val="center"/>
          </w:tcPr>
          <w:p w14:paraId="5E55F0B5">
            <w:pPr>
              <w:widowControl/>
              <w:spacing w:line="240" w:lineRule="auto"/>
              <w:ind w:firstLine="0" w:firstLineChars="0"/>
              <w:jc w:val="left"/>
              <w:rPr>
                <w:rFonts w:hint="eastAsia" w:cs="宋体"/>
                <w:color w:val="111111"/>
                <w:kern w:val="0"/>
                <w:szCs w:val="24"/>
                <w:highlight w:val="none"/>
              </w:rPr>
            </w:pPr>
          </w:p>
        </w:tc>
        <w:tc>
          <w:tcPr>
            <w:tcW w:w="2240" w:type="pct"/>
            <w:tcBorders>
              <w:top w:val="single" w:color="000000" w:sz="4" w:space="0"/>
              <w:left w:val="single" w:color="000000" w:sz="4" w:space="0"/>
              <w:bottom w:val="single" w:color="000000" w:sz="4" w:space="0"/>
              <w:right w:val="single" w:color="000000" w:sz="4" w:space="0"/>
            </w:tcBorders>
            <w:vAlign w:val="center"/>
          </w:tcPr>
          <w:p w14:paraId="2200476B">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响应型服务质量</w:t>
            </w:r>
          </w:p>
        </w:tc>
        <w:tc>
          <w:tcPr>
            <w:tcW w:w="1414" w:type="pct"/>
            <w:tcBorders>
              <w:top w:val="single" w:color="000000" w:sz="4" w:space="0"/>
              <w:left w:val="single" w:color="000000" w:sz="4" w:space="0"/>
              <w:bottom w:val="single" w:color="000000" w:sz="4" w:space="0"/>
              <w:right w:val="single" w:color="000000" w:sz="4" w:space="0"/>
            </w:tcBorders>
            <w:vAlign w:val="center"/>
          </w:tcPr>
          <w:p w14:paraId="7FC08A6A">
            <w:pPr>
              <w:widowControl/>
              <w:spacing w:line="240" w:lineRule="auto"/>
              <w:ind w:firstLine="0" w:firstLineChars="0"/>
              <w:jc w:val="center"/>
              <w:rPr>
                <w:rFonts w:hint="eastAsia" w:cs="宋体"/>
                <w:color w:val="111111"/>
                <w:kern w:val="0"/>
                <w:szCs w:val="24"/>
                <w:highlight w:val="none"/>
              </w:rPr>
            </w:pPr>
          </w:p>
        </w:tc>
      </w:tr>
      <w:tr w14:paraId="3929A5C5">
        <w:tblPrEx>
          <w:tblCellMar>
            <w:top w:w="0" w:type="dxa"/>
            <w:left w:w="108" w:type="dxa"/>
            <w:bottom w:w="0" w:type="dxa"/>
            <w:right w:w="108" w:type="dxa"/>
          </w:tblCellMar>
        </w:tblPrEx>
        <w:trPr>
          <w:trHeight w:val="280" w:hRule="atLeast"/>
        </w:trPr>
        <w:tc>
          <w:tcPr>
            <w:tcW w:w="1346" w:type="pct"/>
            <w:vMerge w:val="continue"/>
            <w:tcBorders>
              <w:top w:val="single" w:color="000000" w:sz="4" w:space="0"/>
              <w:left w:val="single" w:color="000000" w:sz="4" w:space="0"/>
              <w:bottom w:val="single" w:color="000000" w:sz="4" w:space="0"/>
              <w:right w:val="single" w:color="000000" w:sz="4" w:space="0"/>
            </w:tcBorders>
            <w:vAlign w:val="center"/>
          </w:tcPr>
          <w:p w14:paraId="29997C59">
            <w:pPr>
              <w:widowControl/>
              <w:spacing w:line="240" w:lineRule="auto"/>
              <w:ind w:firstLine="0" w:firstLineChars="0"/>
              <w:jc w:val="left"/>
              <w:rPr>
                <w:rFonts w:hint="eastAsia" w:cs="宋体"/>
                <w:color w:val="111111"/>
                <w:kern w:val="0"/>
                <w:szCs w:val="24"/>
                <w:highlight w:val="none"/>
              </w:rPr>
            </w:pPr>
          </w:p>
        </w:tc>
        <w:tc>
          <w:tcPr>
            <w:tcW w:w="2240" w:type="pct"/>
            <w:tcBorders>
              <w:top w:val="single" w:color="000000" w:sz="4" w:space="0"/>
              <w:left w:val="single" w:color="000000" w:sz="4" w:space="0"/>
              <w:bottom w:val="single" w:color="000000" w:sz="4" w:space="0"/>
              <w:right w:val="single" w:color="000000" w:sz="4" w:space="0"/>
            </w:tcBorders>
            <w:vAlign w:val="center"/>
          </w:tcPr>
          <w:p w14:paraId="00442087">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例行型服务质量</w:t>
            </w:r>
          </w:p>
        </w:tc>
        <w:tc>
          <w:tcPr>
            <w:tcW w:w="1414" w:type="pct"/>
            <w:tcBorders>
              <w:top w:val="single" w:color="000000" w:sz="4" w:space="0"/>
              <w:left w:val="single" w:color="000000" w:sz="4" w:space="0"/>
              <w:bottom w:val="single" w:color="000000" w:sz="4" w:space="0"/>
              <w:right w:val="single" w:color="000000" w:sz="4" w:space="0"/>
            </w:tcBorders>
            <w:vAlign w:val="center"/>
          </w:tcPr>
          <w:p w14:paraId="50A08560">
            <w:pPr>
              <w:widowControl/>
              <w:spacing w:line="240" w:lineRule="auto"/>
              <w:ind w:firstLine="0" w:firstLineChars="0"/>
              <w:jc w:val="center"/>
              <w:rPr>
                <w:rFonts w:hint="eastAsia" w:cs="宋体"/>
                <w:color w:val="111111"/>
                <w:kern w:val="0"/>
                <w:szCs w:val="24"/>
                <w:highlight w:val="none"/>
              </w:rPr>
            </w:pPr>
          </w:p>
        </w:tc>
      </w:tr>
      <w:tr w14:paraId="068FD68F">
        <w:tblPrEx>
          <w:tblCellMar>
            <w:top w:w="0" w:type="dxa"/>
            <w:left w:w="108" w:type="dxa"/>
            <w:bottom w:w="0" w:type="dxa"/>
            <w:right w:w="108" w:type="dxa"/>
          </w:tblCellMar>
        </w:tblPrEx>
        <w:trPr>
          <w:trHeight w:val="280" w:hRule="atLeast"/>
        </w:trPr>
        <w:tc>
          <w:tcPr>
            <w:tcW w:w="1346" w:type="pct"/>
            <w:vMerge w:val="continue"/>
            <w:tcBorders>
              <w:top w:val="single" w:color="000000" w:sz="4" w:space="0"/>
              <w:left w:val="single" w:color="000000" w:sz="4" w:space="0"/>
              <w:bottom w:val="single" w:color="000000" w:sz="4" w:space="0"/>
              <w:right w:val="single" w:color="000000" w:sz="4" w:space="0"/>
            </w:tcBorders>
            <w:vAlign w:val="center"/>
          </w:tcPr>
          <w:p w14:paraId="0DC93C07">
            <w:pPr>
              <w:widowControl/>
              <w:spacing w:line="240" w:lineRule="auto"/>
              <w:ind w:firstLine="0" w:firstLineChars="0"/>
              <w:jc w:val="left"/>
              <w:rPr>
                <w:rFonts w:hint="eastAsia" w:cs="宋体"/>
                <w:color w:val="111111"/>
                <w:kern w:val="0"/>
                <w:szCs w:val="24"/>
                <w:highlight w:val="none"/>
              </w:rPr>
            </w:pPr>
          </w:p>
        </w:tc>
        <w:tc>
          <w:tcPr>
            <w:tcW w:w="2240" w:type="pct"/>
            <w:tcBorders>
              <w:top w:val="single" w:color="000000" w:sz="4" w:space="0"/>
              <w:left w:val="single" w:color="000000" w:sz="4" w:space="0"/>
              <w:bottom w:val="single" w:color="000000" w:sz="4" w:space="0"/>
              <w:right w:val="single" w:color="000000" w:sz="4" w:space="0"/>
            </w:tcBorders>
            <w:vAlign w:val="center"/>
          </w:tcPr>
          <w:p w14:paraId="7C109AA0">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系统稳定性服务质量</w:t>
            </w:r>
          </w:p>
        </w:tc>
        <w:tc>
          <w:tcPr>
            <w:tcW w:w="1414" w:type="pct"/>
            <w:tcBorders>
              <w:top w:val="single" w:color="000000" w:sz="4" w:space="0"/>
              <w:left w:val="single" w:color="000000" w:sz="4" w:space="0"/>
              <w:bottom w:val="single" w:color="000000" w:sz="4" w:space="0"/>
              <w:right w:val="single" w:color="000000" w:sz="4" w:space="0"/>
            </w:tcBorders>
            <w:vAlign w:val="center"/>
          </w:tcPr>
          <w:p w14:paraId="2408F446">
            <w:pPr>
              <w:widowControl/>
              <w:spacing w:line="240" w:lineRule="auto"/>
              <w:ind w:firstLine="0" w:firstLineChars="0"/>
              <w:jc w:val="center"/>
              <w:rPr>
                <w:rFonts w:hint="eastAsia" w:cs="宋体"/>
                <w:color w:val="111111"/>
                <w:kern w:val="0"/>
                <w:szCs w:val="24"/>
                <w:highlight w:val="none"/>
              </w:rPr>
            </w:pPr>
          </w:p>
        </w:tc>
      </w:tr>
      <w:tr w14:paraId="79188897">
        <w:tblPrEx>
          <w:tblCellMar>
            <w:top w:w="0" w:type="dxa"/>
            <w:left w:w="108" w:type="dxa"/>
            <w:bottom w:w="0" w:type="dxa"/>
            <w:right w:w="108" w:type="dxa"/>
          </w:tblCellMar>
        </w:tblPrEx>
        <w:trPr>
          <w:trHeight w:val="280" w:hRule="atLeast"/>
        </w:trPr>
        <w:tc>
          <w:tcPr>
            <w:tcW w:w="3586" w:type="pct"/>
            <w:gridSpan w:val="2"/>
            <w:tcBorders>
              <w:top w:val="single" w:color="000000" w:sz="4" w:space="0"/>
              <w:left w:val="single" w:color="000000" w:sz="4" w:space="0"/>
              <w:bottom w:val="single" w:color="000000" w:sz="4" w:space="0"/>
              <w:right w:val="single" w:color="000000" w:sz="4" w:space="0"/>
            </w:tcBorders>
            <w:vAlign w:val="center"/>
          </w:tcPr>
          <w:p w14:paraId="5726D71B">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二、运维服务合规性（参考分值：10）</w:t>
            </w:r>
          </w:p>
        </w:tc>
        <w:tc>
          <w:tcPr>
            <w:tcW w:w="1414" w:type="pct"/>
            <w:tcBorders>
              <w:top w:val="single" w:color="000000" w:sz="4" w:space="0"/>
              <w:left w:val="single" w:color="000000" w:sz="4" w:space="0"/>
              <w:bottom w:val="single" w:color="000000" w:sz="4" w:space="0"/>
              <w:right w:val="single" w:color="000000" w:sz="4" w:space="0"/>
            </w:tcBorders>
            <w:vAlign w:val="center"/>
          </w:tcPr>
          <w:p w14:paraId="081718A1">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得分：</w:t>
            </w:r>
          </w:p>
        </w:tc>
      </w:tr>
      <w:tr w14:paraId="440F82A3">
        <w:tblPrEx>
          <w:tblCellMar>
            <w:top w:w="0" w:type="dxa"/>
            <w:left w:w="108" w:type="dxa"/>
            <w:bottom w:w="0" w:type="dxa"/>
            <w:right w:w="108" w:type="dxa"/>
          </w:tblCellMar>
        </w:tblPrEx>
        <w:trPr>
          <w:trHeight w:val="280" w:hRule="atLeast"/>
        </w:trPr>
        <w:tc>
          <w:tcPr>
            <w:tcW w:w="1346" w:type="pct"/>
            <w:vMerge w:val="restart"/>
            <w:tcBorders>
              <w:top w:val="single" w:color="000000" w:sz="4" w:space="0"/>
              <w:left w:val="single" w:color="000000" w:sz="4" w:space="0"/>
              <w:bottom w:val="single" w:color="000000" w:sz="4" w:space="0"/>
              <w:right w:val="single" w:color="000000" w:sz="4" w:space="0"/>
            </w:tcBorders>
            <w:vAlign w:val="center"/>
          </w:tcPr>
          <w:p w14:paraId="3D3CFA39">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运维服务合规性</w:t>
            </w:r>
          </w:p>
        </w:tc>
        <w:tc>
          <w:tcPr>
            <w:tcW w:w="2240" w:type="pct"/>
            <w:tcBorders>
              <w:top w:val="single" w:color="000000" w:sz="4" w:space="0"/>
              <w:left w:val="single" w:color="000000" w:sz="4" w:space="0"/>
              <w:bottom w:val="single" w:color="000000" w:sz="4" w:space="0"/>
              <w:right w:val="single" w:color="000000" w:sz="4" w:space="0"/>
            </w:tcBorders>
            <w:vAlign w:val="center"/>
          </w:tcPr>
          <w:p w14:paraId="67582FCD">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团队管理及制度完善情况</w:t>
            </w:r>
          </w:p>
        </w:tc>
        <w:tc>
          <w:tcPr>
            <w:tcW w:w="1414" w:type="pct"/>
            <w:tcBorders>
              <w:top w:val="single" w:color="000000" w:sz="4" w:space="0"/>
              <w:left w:val="single" w:color="000000" w:sz="4" w:space="0"/>
              <w:bottom w:val="single" w:color="000000" w:sz="4" w:space="0"/>
              <w:right w:val="single" w:color="000000" w:sz="4" w:space="0"/>
            </w:tcBorders>
            <w:vAlign w:val="center"/>
          </w:tcPr>
          <w:p w14:paraId="3D2EB62C">
            <w:pPr>
              <w:widowControl/>
              <w:spacing w:line="240" w:lineRule="auto"/>
              <w:ind w:firstLine="0" w:firstLineChars="0"/>
              <w:jc w:val="center"/>
              <w:rPr>
                <w:rFonts w:hint="eastAsia" w:cs="宋体"/>
                <w:color w:val="111111"/>
                <w:kern w:val="0"/>
                <w:szCs w:val="24"/>
                <w:highlight w:val="none"/>
              </w:rPr>
            </w:pPr>
          </w:p>
        </w:tc>
      </w:tr>
      <w:tr w14:paraId="11328E05">
        <w:tblPrEx>
          <w:tblCellMar>
            <w:top w:w="0" w:type="dxa"/>
            <w:left w:w="108" w:type="dxa"/>
            <w:bottom w:w="0" w:type="dxa"/>
            <w:right w:w="108" w:type="dxa"/>
          </w:tblCellMar>
        </w:tblPrEx>
        <w:trPr>
          <w:trHeight w:val="280" w:hRule="atLeast"/>
        </w:trPr>
        <w:tc>
          <w:tcPr>
            <w:tcW w:w="1346" w:type="pct"/>
            <w:vMerge w:val="continue"/>
            <w:tcBorders>
              <w:top w:val="single" w:color="000000" w:sz="4" w:space="0"/>
              <w:left w:val="single" w:color="000000" w:sz="4" w:space="0"/>
              <w:bottom w:val="single" w:color="000000" w:sz="4" w:space="0"/>
              <w:right w:val="single" w:color="000000" w:sz="4" w:space="0"/>
            </w:tcBorders>
            <w:vAlign w:val="center"/>
          </w:tcPr>
          <w:p w14:paraId="22137A16">
            <w:pPr>
              <w:widowControl/>
              <w:spacing w:line="240" w:lineRule="auto"/>
              <w:ind w:firstLine="0" w:firstLineChars="0"/>
              <w:jc w:val="left"/>
              <w:rPr>
                <w:rFonts w:hint="eastAsia" w:cs="宋体"/>
                <w:color w:val="111111"/>
                <w:kern w:val="0"/>
                <w:szCs w:val="24"/>
                <w:highlight w:val="none"/>
              </w:rPr>
            </w:pPr>
          </w:p>
        </w:tc>
        <w:tc>
          <w:tcPr>
            <w:tcW w:w="2240" w:type="pct"/>
            <w:tcBorders>
              <w:top w:val="single" w:color="000000" w:sz="4" w:space="0"/>
              <w:left w:val="single" w:color="000000" w:sz="4" w:space="0"/>
              <w:bottom w:val="single" w:color="000000" w:sz="4" w:space="0"/>
              <w:right w:val="single" w:color="000000" w:sz="4" w:space="0"/>
            </w:tcBorders>
            <w:vAlign w:val="center"/>
          </w:tcPr>
          <w:p w14:paraId="603F73C9">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团队出勤情况</w:t>
            </w:r>
          </w:p>
        </w:tc>
        <w:tc>
          <w:tcPr>
            <w:tcW w:w="1414" w:type="pct"/>
            <w:tcBorders>
              <w:top w:val="single" w:color="000000" w:sz="4" w:space="0"/>
              <w:left w:val="single" w:color="000000" w:sz="4" w:space="0"/>
              <w:bottom w:val="single" w:color="000000" w:sz="4" w:space="0"/>
              <w:right w:val="single" w:color="000000" w:sz="4" w:space="0"/>
            </w:tcBorders>
            <w:vAlign w:val="center"/>
          </w:tcPr>
          <w:p w14:paraId="7D49BF08">
            <w:pPr>
              <w:widowControl/>
              <w:spacing w:line="240" w:lineRule="auto"/>
              <w:ind w:firstLine="0" w:firstLineChars="0"/>
              <w:jc w:val="center"/>
              <w:rPr>
                <w:rFonts w:hint="eastAsia" w:cs="宋体"/>
                <w:color w:val="111111"/>
                <w:kern w:val="0"/>
                <w:szCs w:val="24"/>
                <w:highlight w:val="none"/>
              </w:rPr>
            </w:pPr>
          </w:p>
        </w:tc>
      </w:tr>
      <w:tr w14:paraId="2DF793E9">
        <w:tblPrEx>
          <w:tblCellMar>
            <w:top w:w="0" w:type="dxa"/>
            <w:left w:w="108" w:type="dxa"/>
            <w:bottom w:w="0" w:type="dxa"/>
            <w:right w:w="108" w:type="dxa"/>
          </w:tblCellMar>
        </w:tblPrEx>
        <w:trPr>
          <w:trHeight w:val="280" w:hRule="atLeast"/>
        </w:trPr>
        <w:tc>
          <w:tcPr>
            <w:tcW w:w="1346" w:type="pct"/>
            <w:vMerge w:val="continue"/>
            <w:tcBorders>
              <w:top w:val="single" w:color="000000" w:sz="4" w:space="0"/>
              <w:left w:val="single" w:color="000000" w:sz="4" w:space="0"/>
              <w:bottom w:val="single" w:color="000000" w:sz="4" w:space="0"/>
              <w:right w:val="single" w:color="000000" w:sz="4" w:space="0"/>
            </w:tcBorders>
            <w:vAlign w:val="center"/>
          </w:tcPr>
          <w:p w14:paraId="5B7F0FE2">
            <w:pPr>
              <w:widowControl/>
              <w:spacing w:line="240" w:lineRule="auto"/>
              <w:ind w:firstLine="0" w:firstLineChars="0"/>
              <w:jc w:val="left"/>
              <w:rPr>
                <w:rFonts w:hint="eastAsia" w:cs="宋体"/>
                <w:color w:val="111111"/>
                <w:kern w:val="0"/>
                <w:szCs w:val="24"/>
                <w:highlight w:val="none"/>
              </w:rPr>
            </w:pPr>
          </w:p>
        </w:tc>
        <w:tc>
          <w:tcPr>
            <w:tcW w:w="2240" w:type="pct"/>
            <w:tcBorders>
              <w:top w:val="single" w:color="000000" w:sz="4" w:space="0"/>
              <w:left w:val="single" w:color="000000" w:sz="4" w:space="0"/>
              <w:bottom w:val="single" w:color="000000" w:sz="4" w:space="0"/>
              <w:right w:val="single" w:color="000000" w:sz="4" w:space="0"/>
            </w:tcBorders>
            <w:vAlign w:val="center"/>
          </w:tcPr>
          <w:p w14:paraId="3491488A">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事件管理流程合规性</w:t>
            </w:r>
          </w:p>
        </w:tc>
        <w:tc>
          <w:tcPr>
            <w:tcW w:w="1414" w:type="pct"/>
            <w:tcBorders>
              <w:top w:val="single" w:color="000000" w:sz="4" w:space="0"/>
              <w:left w:val="single" w:color="000000" w:sz="4" w:space="0"/>
              <w:bottom w:val="single" w:color="000000" w:sz="4" w:space="0"/>
              <w:right w:val="single" w:color="000000" w:sz="4" w:space="0"/>
            </w:tcBorders>
            <w:vAlign w:val="center"/>
          </w:tcPr>
          <w:p w14:paraId="44989E24">
            <w:pPr>
              <w:widowControl/>
              <w:spacing w:line="240" w:lineRule="auto"/>
              <w:ind w:firstLine="0" w:firstLineChars="0"/>
              <w:jc w:val="center"/>
              <w:rPr>
                <w:rFonts w:hint="eastAsia" w:cs="宋体"/>
                <w:color w:val="111111"/>
                <w:kern w:val="0"/>
                <w:szCs w:val="24"/>
                <w:highlight w:val="none"/>
              </w:rPr>
            </w:pPr>
          </w:p>
        </w:tc>
      </w:tr>
      <w:tr w14:paraId="39E0EE2A">
        <w:tblPrEx>
          <w:tblCellMar>
            <w:top w:w="0" w:type="dxa"/>
            <w:left w:w="108" w:type="dxa"/>
            <w:bottom w:w="0" w:type="dxa"/>
            <w:right w:w="108" w:type="dxa"/>
          </w:tblCellMar>
        </w:tblPrEx>
        <w:trPr>
          <w:trHeight w:val="280" w:hRule="atLeast"/>
        </w:trPr>
        <w:tc>
          <w:tcPr>
            <w:tcW w:w="3586" w:type="pct"/>
            <w:gridSpan w:val="2"/>
            <w:tcBorders>
              <w:top w:val="single" w:color="000000" w:sz="4" w:space="0"/>
              <w:left w:val="single" w:color="000000" w:sz="4" w:space="0"/>
              <w:bottom w:val="single" w:color="000000" w:sz="4" w:space="0"/>
              <w:right w:val="single" w:color="000000" w:sz="4" w:space="0"/>
            </w:tcBorders>
            <w:vAlign w:val="center"/>
          </w:tcPr>
          <w:p w14:paraId="0DF21A67">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三、能力与可持续性和用户满意度（参考分值：10）</w:t>
            </w:r>
          </w:p>
        </w:tc>
        <w:tc>
          <w:tcPr>
            <w:tcW w:w="1414" w:type="pct"/>
            <w:tcBorders>
              <w:top w:val="single" w:color="000000" w:sz="4" w:space="0"/>
              <w:left w:val="single" w:color="000000" w:sz="4" w:space="0"/>
              <w:bottom w:val="single" w:color="000000" w:sz="4" w:space="0"/>
              <w:right w:val="single" w:color="000000" w:sz="4" w:space="0"/>
            </w:tcBorders>
            <w:vAlign w:val="center"/>
          </w:tcPr>
          <w:p w14:paraId="1BEBA335">
            <w:pPr>
              <w:widowControl/>
              <w:spacing w:line="240" w:lineRule="auto"/>
              <w:ind w:firstLine="0" w:firstLineChars="0"/>
              <w:jc w:val="left"/>
              <w:rPr>
                <w:rFonts w:hint="eastAsia" w:cs="宋体"/>
                <w:b/>
                <w:bCs/>
                <w:color w:val="000000"/>
                <w:kern w:val="0"/>
                <w:szCs w:val="24"/>
                <w:highlight w:val="none"/>
              </w:rPr>
            </w:pPr>
            <w:r>
              <w:rPr>
                <w:rFonts w:hint="eastAsia" w:cs="宋体"/>
                <w:b/>
                <w:bCs/>
                <w:color w:val="000000"/>
                <w:kern w:val="0"/>
                <w:szCs w:val="24"/>
                <w:highlight w:val="none"/>
              </w:rPr>
              <w:t>得分：</w:t>
            </w:r>
          </w:p>
        </w:tc>
      </w:tr>
      <w:tr w14:paraId="14BEE424">
        <w:tblPrEx>
          <w:tblCellMar>
            <w:top w:w="0" w:type="dxa"/>
            <w:left w:w="108" w:type="dxa"/>
            <w:bottom w:w="0" w:type="dxa"/>
            <w:right w:w="108" w:type="dxa"/>
          </w:tblCellMar>
        </w:tblPrEx>
        <w:trPr>
          <w:trHeight w:val="280" w:hRule="atLeast"/>
        </w:trPr>
        <w:tc>
          <w:tcPr>
            <w:tcW w:w="1346" w:type="pct"/>
            <w:vMerge w:val="restart"/>
            <w:tcBorders>
              <w:top w:val="single" w:color="000000" w:sz="4" w:space="0"/>
              <w:left w:val="single" w:color="000000" w:sz="4" w:space="0"/>
              <w:bottom w:val="single" w:color="000000" w:sz="4" w:space="0"/>
              <w:right w:val="single" w:color="000000" w:sz="4" w:space="0"/>
            </w:tcBorders>
            <w:vAlign w:val="center"/>
          </w:tcPr>
          <w:p w14:paraId="051D86CC">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能力与可持续性</w:t>
            </w:r>
          </w:p>
        </w:tc>
        <w:tc>
          <w:tcPr>
            <w:tcW w:w="2240" w:type="pct"/>
            <w:tcBorders>
              <w:top w:val="single" w:color="000000" w:sz="4" w:space="0"/>
              <w:left w:val="single" w:color="000000" w:sz="4" w:space="0"/>
              <w:bottom w:val="single" w:color="000000" w:sz="4" w:space="0"/>
              <w:right w:val="single" w:color="000000" w:sz="4" w:space="0"/>
            </w:tcBorders>
            <w:vAlign w:val="center"/>
          </w:tcPr>
          <w:p w14:paraId="58C8E2CD">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符合合同要求人员比例</w:t>
            </w:r>
          </w:p>
        </w:tc>
        <w:tc>
          <w:tcPr>
            <w:tcW w:w="1414" w:type="pct"/>
            <w:tcBorders>
              <w:top w:val="single" w:color="000000" w:sz="4" w:space="0"/>
              <w:left w:val="single" w:color="000000" w:sz="4" w:space="0"/>
              <w:bottom w:val="single" w:color="000000" w:sz="4" w:space="0"/>
              <w:right w:val="single" w:color="000000" w:sz="4" w:space="0"/>
            </w:tcBorders>
            <w:vAlign w:val="center"/>
          </w:tcPr>
          <w:p w14:paraId="2DB1B022">
            <w:pPr>
              <w:widowControl/>
              <w:spacing w:line="240" w:lineRule="auto"/>
              <w:ind w:firstLine="0" w:firstLineChars="0"/>
              <w:jc w:val="center"/>
              <w:rPr>
                <w:rFonts w:hint="eastAsia" w:cs="宋体"/>
                <w:color w:val="111111"/>
                <w:kern w:val="0"/>
                <w:szCs w:val="24"/>
                <w:highlight w:val="none"/>
              </w:rPr>
            </w:pPr>
          </w:p>
        </w:tc>
      </w:tr>
      <w:tr w14:paraId="00256F3F">
        <w:tblPrEx>
          <w:tblCellMar>
            <w:top w:w="0" w:type="dxa"/>
            <w:left w:w="108" w:type="dxa"/>
            <w:bottom w:w="0" w:type="dxa"/>
            <w:right w:w="108" w:type="dxa"/>
          </w:tblCellMar>
        </w:tblPrEx>
        <w:trPr>
          <w:trHeight w:val="280" w:hRule="atLeast"/>
        </w:trPr>
        <w:tc>
          <w:tcPr>
            <w:tcW w:w="1346" w:type="pct"/>
            <w:vMerge w:val="continue"/>
            <w:tcBorders>
              <w:top w:val="single" w:color="000000" w:sz="4" w:space="0"/>
              <w:left w:val="single" w:color="000000" w:sz="4" w:space="0"/>
              <w:bottom w:val="single" w:color="000000" w:sz="4" w:space="0"/>
              <w:right w:val="single" w:color="000000" w:sz="4" w:space="0"/>
            </w:tcBorders>
            <w:vAlign w:val="center"/>
          </w:tcPr>
          <w:p w14:paraId="7A43001B">
            <w:pPr>
              <w:widowControl/>
              <w:spacing w:line="240" w:lineRule="auto"/>
              <w:ind w:firstLine="0" w:firstLineChars="0"/>
              <w:jc w:val="left"/>
              <w:rPr>
                <w:rFonts w:hint="eastAsia" w:cs="宋体"/>
                <w:color w:val="111111"/>
                <w:kern w:val="0"/>
                <w:szCs w:val="24"/>
                <w:highlight w:val="none"/>
              </w:rPr>
            </w:pPr>
          </w:p>
        </w:tc>
        <w:tc>
          <w:tcPr>
            <w:tcW w:w="2240" w:type="pct"/>
            <w:tcBorders>
              <w:top w:val="single" w:color="000000" w:sz="4" w:space="0"/>
              <w:left w:val="single" w:color="000000" w:sz="4" w:space="0"/>
              <w:bottom w:val="single" w:color="000000" w:sz="4" w:space="0"/>
              <w:right w:val="single" w:color="000000" w:sz="4" w:space="0"/>
            </w:tcBorders>
            <w:vAlign w:val="center"/>
          </w:tcPr>
          <w:p w14:paraId="77681380">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关键员工流失</w:t>
            </w:r>
          </w:p>
        </w:tc>
        <w:tc>
          <w:tcPr>
            <w:tcW w:w="1414" w:type="pct"/>
            <w:tcBorders>
              <w:top w:val="single" w:color="000000" w:sz="4" w:space="0"/>
              <w:left w:val="single" w:color="000000" w:sz="4" w:space="0"/>
              <w:bottom w:val="single" w:color="000000" w:sz="4" w:space="0"/>
              <w:right w:val="single" w:color="000000" w:sz="4" w:space="0"/>
            </w:tcBorders>
            <w:vAlign w:val="center"/>
          </w:tcPr>
          <w:p w14:paraId="6EC113E7">
            <w:pPr>
              <w:widowControl/>
              <w:spacing w:line="240" w:lineRule="auto"/>
              <w:ind w:firstLine="0" w:firstLineChars="0"/>
              <w:jc w:val="center"/>
              <w:rPr>
                <w:rFonts w:hint="eastAsia" w:cs="宋体"/>
                <w:color w:val="111111"/>
                <w:kern w:val="0"/>
                <w:szCs w:val="24"/>
                <w:highlight w:val="none"/>
              </w:rPr>
            </w:pPr>
          </w:p>
        </w:tc>
      </w:tr>
      <w:tr w14:paraId="68E405A1">
        <w:tblPrEx>
          <w:tblCellMar>
            <w:top w:w="0" w:type="dxa"/>
            <w:left w:w="108" w:type="dxa"/>
            <w:bottom w:w="0" w:type="dxa"/>
            <w:right w:w="108" w:type="dxa"/>
          </w:tblCellMar>
        </w:tblPrEx>
        <w:trPr>
          <w:trHeight w:val="280" w:hRule="atLeast"/>
        </w:trPr>
        <w:tc>
          <w:tcPr>
            <w:tcW w:w="1346" w:type="pct"/>
            <w:tcBorders>
              <w:top w:val="single" w:color="000000" w:sz="4" w:space="0"/>
              <w:left w:val="single" w:color="000000" w:sz="4" w:space="0"/>
              <w:bottom w:val="single" w:color="000000" w:sz="4" w:space="0"/>
              <w:right w:val="single" w:color="000000" w:sz="4" w:space="0"/>
            </w:tcBorders>
            <w:vAlign w:val="center"/>
          </w:tcPr>
          <w:p w14:paraId="37296DC6">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用户满意度</w:t>
            </w:r>
          </w:p>
        </w:tc>
        <w:tc>
          <w:tcPr>
            <w:tcW w:w="2240" w:type="pct"/>
            <w:tcBorders>
              <w:top w:val="single" w:color="000000" w:sz="4" w:space="0"/>
              <w:left w:val="single" w:color="000000" w:sz="4" w:space="0"/>
              <w:bottom w:val="single" w:color="000000" w:sz="4" w:space="0"/>
              <w:right w:val="single" w:color="000000" w:sz="4" w:space="0"/>
            </w:tcBorders>
            <w:vAlign w:val="center"/>
          </w:tcPr>
          <w:p w14:paraId="4B650D03">
            <w:pPr>
              <w:widowControl/>
              <w:spacing w:line="240" w:lineRule="auto"/>
              <w:ind w:firstLine="0" w:firstLineChars="0"/>
              <w:jc w:val="center"/>
              <w:rPr>
                <w:rFonts w:hint="eastAsia" w:cs="宋体"/>
                <w:color w:val="111111"/>
                <w:kern w:val="0"/>
                <w:szCs w:val="24"/>
                <w:highlight w:val="none"/>
              </w:rPr>
            </w:pPr>
            <w:r>
              <w:rPr>
                <w:rFonts w:hint="eastAsia" w:cs="宋体"/>
                <w:color w:val="111111"/>
                <w:kern w:val="0"/>
                <w:szCs w:val="24"/>
                <w:highlight w:val="none"/>
              </w:rPr>
              <w:t>运维服务满意度</w:t>
            </w:r>
          </w:p>
        </w:tc>
        <w:tc>
          <w:tcPr>
            <w:tcW w:w="1414" w:type="pct"/>
            <w:tcBorders>
              <w:top w:val="single" w:color="000000" w:sz="4" w:space="0"/>
              <w:left w:val="single" w:color="000000" w:sz="4" w:space="0"/>
              <w:bottom w:val="single" w:color="000000" w:sz="4" w:space="0"/>
              <w:right w:val="single" w:color="000000" w:sz="4" w:space="0"/>
            </w:tcBorders>
            <w:vAlign w:val="center"/>
          </w:tcPr>
          <w:p w14:paraId="7EB10A45">
            <w:pPr>
              <w:widowControl/>
              <w:spacing w:line="240" w:lineRule="auto"/>
              <w:ind w:firstLine="0" w:firstLineChars="0"/>
              <w:jc w:val="center"/>
              <w:rPr>
                <w:rFonts w:hint="eastAsia" w:cs="宋体"/>
                <w:color w:val="111111"/>
                <w:kern w:val="0"/>
                <w:szCs w:val="24"/>
                <w:highlight w:val="none"/>
              </w:rPr>
            </w:pPr>
          </w:p>
        </w:tc>
      </w:tr>
      <w:tr w14:paraId="4D6DB367">
        <w:tblPrEx>
          <w:tblCellMar>
            <w:top w:w="0" w:type="dxa"/>
            <w:left w:w="108" w:type="dxa"/>
            <w:bottom w:w="0" w:type="dxa"/>
            <w:right w:w="108" w:type="dxa"/>
          </w:tblCellMar>
        </w:tblPrEx>
        <w:trPr>
          <w:trHeight w:val="280" w:hRule="atLeast"/>
        </w:trPr>
        <w:tc>
          <w:tcPr>
            <w:tcW w:w="3586" w:type="pct"/>
            <w:gridSpan w:val="2"/>
            <w:tcBorders>
              <w:top w:val="single" w:color="000000" w:sz="4" w:space="0"/>
              <w:left w:val="single" w:color="000000" w:sz="4" w:space="0"/>
              <w:bottom w:val="single" w:color="000000" w:sz="4" w:space="0"/>
              <w:right w:val="single" w:color="000000" w:sz="4" w:space="0"/>
            </w:tcBorders>
            <w:vAlign w:val="center"/>
          </w:tcPr>
          <w:p w14:paraId="0EB8E867">
            <w:pPr>
              <w:widowControl/>
              <w:spacing w:line="240" w:lineRule="auto"/>
              <w:ind w:firstLine="0" w:firstLineChars="0"/>
              <w:jc w:val="left"/>
              <w:rPr>
                <w:rFonts w:hint="eastAsia" w:cs="宋体"/>
                <w:b/>
                <w:bCs/>
                <w:color w:val="111111"/>
                <w:kern w:val="0"/>
                <w:szCs w:val="24"/>
                <w:highlight w:val="none"/>
              </w:rPr>
            </w:pPr>
            <w:r>
              <w:rPr>
                <w:rFonts w:hint="eastAsia" w:cs="宋体"/>
                <w:b/>
                <w:bCs/>
                <w:color w:val="111111"/>
                <w:kern w:val="0"/>
                <w:szCs w:val="24"/>
                <w:highlight w:val="none"/>
              </w:rPr>
              <w:t>四、加分项（参考分值：10）</w:t>
            </w:r>
          </w:p>
        </w:tc>
        <w:tc>
          <w:tcPr>
            <w:tcW w:w="1414" w:type="pct"/>
            <w:tcBorders>
              <w:top w:val="single" w:color="000000" w:sz="4" w:space="0"/>
              <w:left w:val="single" w:color="000000" w:sz="4" w:space="0"/>
              <w:bottom w:val="single" w:color="000000" w:sz="4" w:space="0"/>
              <w:right w:val="single" w:color="000000" w:sz="4" w:space="0"/>
            </w:tcBorders>
            <w:vAlign w:val="center"/>
          </w:tcPr>
          <w:p w14:paraId="66B87502">
            <w:pPr>
              <w:widowControl/>
              <w:spacing w:line="240" w:lineRule="auto"/>
              <w:ind w:firstLine="0" w:firstLineChars="0"/>
              <w:jc w:val="left"/>
              <w:rPr>
                <w:rFonts w:hint="eastAsia" w:cs="宋体"/>
                <w:b/>
                <w:bCs/>
                <w:color w:val="111111"/>
                <w:kern w:val="0"/>
                <w:szCs w:val="24"/>
                <w:highlight w:val="none"/>
              </w:rPr>
            </w:pPr>
            <w:r>
              <w:rPr>
                <w:rFonts w:hint="eastAsia" w:cs="宋体"/>
                <w:b/>
                <w:bCs/>
                <w:color w:val="111111"/>
                <w:kern w:val="0"/>
                <w:szCs w:val="24"/>
                <w:highlight w:val="none"/>
              </w:rPr>
              <w:t>得分：</w:t>
            </w:r>
          </w:p>
        </w:tc>
      </w:tr>
    </w:tbl>
    <w:p w14:paraId="048862EB">
      <w:pPr>
        <w:ind w:firstLine="0" w:firstLineChars="0"/>
        <w:rPr>
          <w:rFonts w:hint="eastAsia"/>
          <w:highlight w:val="none"/>
        </w:rPr>
        <w:sectPr>
          <w:pgSz w:w="11906" w:h="16838"/>
          <w:pgMar w:top="1440" w:right="1800" w:bottom="1440" w:left="1800" w:header="851" w:footer="992" w:gutter="0"/>
          <w:cols w:space="425" w:num="1"/>
          <w:docGrid w:type="lines" w:linePitch="312" w:charSpace="0"/>
        </w:sectPr>
      </w:pPr>
    </w:p>
    <w:p w14:paraId="7F478571">
      <w:pPr>
        <w:pStyle w:val="4"/>
        <w:rPr>
          <w:rFonts w:hint="eastAsia"/>
          <w:highlight w:val="none"/>
        </w:rPr>
      </w:pPr>
      <w:bookmarkStart w:id="438" w:name="_Toc5011"/>
      <w:bookmarkStart w:id="439" w:name="_Toc19227"/>
      <w:bookmarkStart w:id="440" w:name="_Toc8696"/>
      <w:bookmarkStart w:id="441" w:name="_Toc3731"/>
      <w:bookmarkStart w:id="442" w:name="_Toc15333"/>
      <w:bookmarkStart w:id="443" w:name="_Toc233795207"/>
      <w:bookmarkStart w:id="444" w:name="_Toc5697"/>
      <w:bookmarkStart w:id="445" w:name="_Toc31977"/>
      <w:bookmarkStart w:id="446" w:name="_Toc32315"/>
      <w:bookmarkStart w:id="447" w:name="_Toc2467"/>
      <w:r>
        <w:rPr>
          <w:rFonts w:hint="eastAsia"/>
          <w:highlight w:val="none"/>
        </w:rPr>
        <w:t>服务考核处理办法</w:t>
      </w:r>
      <w:bookmarkEnd w:id="438"/>
      <w:bookmarkEnd w:id="439"/>
      <w:bookmarkEnd w:id="440"/>
      <w:bookmarkEnd w:id="441"/>
      <w:bookmarkEnd w:id="442"/>
      <w:bookmarkEnd w:id="443"/>
      <w:bookmarkEnd w:id="444"/>
      <w:bookmarkEnd w:id="445"/>
      <w:bookmarkEnd w:id="446"/>
      <w:bookmarkEnd w:id="447"/>
    </w:p>
    <w:p w14:paraId="75D74977">
      <w:pPr>
        <w:ind w:firstLine="480"/>
        <w:rPr>
          <w:rFonts w:hint="eastAsia"/>
          <w:highlight w:val="none"/>
        </w:rPr>
      </w:pPr>
      <w:r>
        <w:rPr>
          <w:rFonts w:hint="eastAsia"/>
          <w:highlight w:val="none"/>
        </w:rPr>
        <w:t>若中标人考核服务质量不达标，采购人有权要求中标人限期完成整改；中标人需按采购人提出的整改要求及期限进行整改，直至整改结果满足采购人考核标准，整改结果须经采购人确认。整改期间，中标人须照常向各使用单位提供服务，采购人无需向中标人支付整改期间所产生的费用。如中标人拒绝整改，采购人有权单方面解除协议，并不支付相关费用，由此造成的一切责任和后果由中标人承担。</w:t>
      </w:r>
    </w:p>
    <w:p w14:paraId="5F2A5F87">
      <w:pPr>
        <w:ind w:firstLine="480"/>
        <w:rPr>
          <w:rFonts w:hint="eastAsia"/>
          <w:highlight w:val="none"/>
        </w:rPr>
      </w:pPr>
      <w:r>
        <w:rPr>
          <w:rFonts w:hint="eastAsia"/>
          <w:highlight w:val="none"/>
        </w:rPr>
        <w:t>评分方法如下：</w:t>
      </w:r>
    </w:p>
    <w:p w14:paraId="779F9D46">
      <w:pPr>
        <w:ind w:firstLine="480"/>
        <w:rPr>
          <w:rFonts w:hint="eastAsia"/>
          <w:highlight w:val="none"/>
        </w:rPr>
      </w:pPr>
      <w:r>
        <w:rPr>
          <w:rFonts w:hint="eastAsia"/>
          <w:highlight w:val="none"/>
        </w:rPr>
        <w:t>1、本项目考核总分为100分，按季度考评，考核结果等级评定标准：优（100-91分）、良（90-81分）、可（80-71分）、差（70-0分）。每季度考核分数根据《</w:t>
      </w:r>
      <w:r>
        <w:rPr>
          <w:highlight w:val="none"/>
        </w:rPr>
        <w:t>服务质量考核表</w:t>
      </w:r>
      <w:r>
        <w:rPr>
          <w:rFonts w:hint="eastAsia"/>
          <w:highlight w:val="none"/>
        </w:rPr>
        <w:t>》进行考评。</w:t>
      </w:r>
    </w:p>
    <w:p w14:paraId="41618176">
      <w:pPr>
        <w:ind w:firstLine="480"/>
        <w:rPr>
          <w:rFonts w:hint="eastAsia"/>
          <w:highlight w:val="none"/>
        </w:rPr>
      </w:pPr>
      <w:r>
        <w:rPr>
          <w:rFonts w:hint="eastAsia"/>
          <w:highlight w:val="none"/>
        </w:rPr>
        <w:t>2、采购人每个考评季度将视以下特殊情况对中标人于本考核表考评得分进行加分：</w:t>
      </w:r>
    </w:p>
    <w:p w14:paraId="54B06F99">
      <w:pPr>
        <w:ind w:firstLine="480"/>
        <w:rPr>
          <w:rFonts w:hint="eastAsia"/>
          <w:highlight w:val="none"/>
        </w:rPr>
      </w:pPr>
      <w:r>
        <w:rPr>
          <w:rFonts w:hint="eastAsia"/>
          <w:highlight w:val="none"/>
        </w:rPr>
        <w:t>中标人当季度可向采购人申请最多10分的加分，包括：</w:t>
      </w:r>
      <w:r>
        <w:rPr>
          <w:highlight w:val="none"/>
        </w:rPr>
        <w:t>处理临时重大突发事件、突发任务、提交报告结果、提出建设性意见等额外服务的质量；服务效果显著，获得省、市级主管单位或用户表扬书面证明。</w:t>
      </w:r>
    </w:p>
    <w:p w14:paraId="0FB6115C">
      <w:pPr>
        <w:ind w:firstLine="480"/>
        <w:rPr>
          <w:rFonts w:hint="eastAsia"/>
          <w:highlight w:val="none"/>
        </w:rPr>
      </w:pPr>
      <w:r>
        <w:rPr>
          <w:rFonts w:hint="eastAsia"/>
          <w:highlight w:val="none"/>
        </w:rPr>
        <w:t>3、采购人依据年度考核结果对中标人进行扣款：</w:t>
      </w:r>
    </w:p>
    <w:p w14:paraId="56C4A28E">
      <w:pPr>
        <w:ind w:firstLine="480"/>
        <w:rPr>
          <w:rFonts w:hint="eastAsia"/>
          <w:highlight w:val="none"/>
        </w:rPr>
      </w:pPr>
      <w:r>
        <w:rPr>
          <w:rFonts w:hint="eastAsia"/>
          <w:highlight w:val="none"/>
        </w:rPr>
        <w:t>（1）出现2次考核结果为可（80-71分），每次扣取合同款的0.5%；</w:t>
      </w:r>
    </w:p>
    <w:p w14:paraId="509CFAE6">
      <w:pPr>
        <w:ind w:firstLine="480"/>
        <w:rPr>
          <w:rFonts w:hint="eastAsia"/>
          <w:highlight w:val="none"/>
        </w:rPr>
      </w:pPr>
      <w:r>
        <w:rPr>
          <w:rFonts w:hint="eastAsia"/>
          <w:highlight w:val="none"/>
        </w:rPr>
        <w:t>（2）出现考核结果为差（70-0分），每次扣取合同款的1%。</w:t>
      </w:r>
      <w:bookmarkEnd w:id="254"/>
      <w:bookmarkEnd w:id="255"/>
      <w:bookmarkEnd w:id="256"/>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885EE2C-B1C4-42FD-89D3-AC51A22D29F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C86DA1E5-01CA-43F5-A040-158BAE5EB178}"/>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Book Antiqua">
    <w:panose1 w:val="020406020503050303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7298F">
    <w:pPr>
      <w:pStyle w:val="22"/>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44B0A">
    <w:pPr>
      <w:pStyle w:val="22"/>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9C135">
    <w:pPr>
      <w:pStyle w:val="22"/>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72786">
    <w:pPr>
      <w:pStyle w:val="22"/>
      <w:ind w:firstLine="360"/>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7261F">
                          <w:pPr>
                            <w:pStyle w:val="22"/>
                            <w:ind w:firstLine="360"/>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417261F">
                    <w:pPr>
                      <w:pStyle w:val="22"/>
                      <w:ind w:firstLine="360"/>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FD52E">
    <w:pPr>
      <w:pStyle w:val="22"/>
      <w:spacing w:after="120"/>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D48EE5">
                          <w:pPr>
                            <w:pStyle w:val="22"/>
                            <w:spacing w:after="120"/>
                            <w:ind w:firstLine="360"/>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5DD48EE5">
                    <w:pPr>
                      <w:pStyle w:val="22"/>
                      <w:spacing w:after="120"/>
                      <w:ind w:firstLine="360"/>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3D"/>
    <w:multiLevelType w:val="multilevel"/>
    <w:tmpl w:val="0000003D"/>
    <w:lvl w:ilvl="0" w:tentative="0">
      <w:start w:val="1"/>
      <w:numFmt w:val="decimal"/>
      <w:pStyle w:val="128"/>
      <w:lvlText w:val="%1"/>
      <w:lvlJc w:val="left"/>
      <w:pPr>
        <w:ind w:left="425" w:hanging="425"/>
      </w:pPr>
      <w:rPr>
        <w:rFonts w:hint="eastAsia"/>
      </w:rPr>
    </w:lvl>
    <w:lvl w:ilvl="1" w:tentative="0">
      <w:start w:val="1"/>
      <w:numFmt w:val="decimal"/>
      <w:lvlText w:val="%1.%2"/>
      <w:lvlJc w:val="left"/>
      <w:pPr>
        <w:ind w:left="992" w:hanging="992"/>
      </w:pPr>
      <w:rPr>
        <w:rFonts w:hint="eastAsia"/>
      </w:rPr>
    </w:lvl>
    <w:lvl w:ilvl="2" w:tentative="0">
      <w:start w:val="1"/>
      <w:numFmt w:val="decimal"/>
      <w:lvlText w:val="%1.%2.%3"/>
      <w:lvlJc w:val="left"/>
      <w:pPr>
        <w:ind w:left="425" w:hanging="425"/>
      </w:pPr>
      <w:rPr>
        <w:rFonts w:hint="eastAsia"/>
      </w:rPr>
    </w:lvl>
    <w:lvl w:ilvl="3" w:tentative="0">
      <w:start w:val="1"/>
      <w:numFmt w:val="decimal"/>
      <w:lvlText w:val="%1.%2.%3.%4"/>
      <w:lvlJc w:val="left"/>
      <w:pPr>
        <w:ind w:left="992" w:hanging="992"/>
      </w:pPr>
      <w:rPr>
        <w:rFonts w:hint="eastAsia"/>
      </w:rPr>
    </w:lvl>
    <w:lvl w:ilvl="4" w:tentative="0">
      <w:start w:val="1"/>
      <w:numFmt w:val="decimal"/>
      <w:lvlText w:val="%1.%2.%3.%4.%5"/>
      <w:lvlJc w:val="left"/>
      <w:pPr>
        <w:ind w:left="2551" w:hanging="2551"/>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00000075"/>
    <w:multiLevelType w:val="multilevel"/>
    <w:tmpl w:val="00000075"/>
    <w:lvl w:ilvl="0" w:tentative="0">
      <w:start w:val="1"/>
      <w:numFmt w:val="none"/>
      <w:suff w:val="nothing"/>
      <w:lvlText w:val="%1"/>
      <w:lvlJc w:val="left"/>
      <w:pPr>
        <w:ind w:left="0" w:firstLine="0"/>
      </w:pPr>
      <w:rPr>
        <w:rFonts w:hint="default" w:ascii="Times New Roman" w:hAnsi="Times New Roman" w:cs="Times New Roman"/>
        <w:b/>
        <w:i w:val="0"/>
        <w:sz w:val="21"/>
      </w:rPr>
    </w:lvl>
    <w:lvl w:ilvl="1" w:tentative="0">
      <w:start w:val="1"/>
      <w:numFmt w:val="decimal"/>
      <w:lvlText w:val="%2"/>
      <w:lvlJc w:val="left"/>
      <w:pPr>
        <w:tabs>
          <w:tab w:val="left" w:pos="420"/>
        </w:tabs>
        <w:ind w:left="420" w:hanging="420"/>
      </w:pPr>
      <w:rPr>
        <w:rFonts w:hint="eastAsia"/>
        <w:b w:val="0"/>
        <w:i w:val="0"/>
        <w:sz w:val="21"/>
      </w:rPr>
    </w:lvl>
    <w:lvl w:ilvl="2" w:tentative="0">
      <w:start w:val="1"/>
      <w:numFmt w:val="decimal"/>
      <w:pStyle w:val="41"/>
      <w:suff w:val="nothing"/>
      <w:lvlText w:val="%1%2.%3　"/>
      <w:lvlJc w:val="left"/>
      <w:pPr>
        <w:ind w:left="0" w:firstLine="0"/>
      </w:pPr>
      <w:rPr>
        <w:rFonts w:hint="eastAsia" w:ascii="黑体" w:hAnsi="Times New Roman" w:eastAsia="黑体" w:cs="Times New Roman"/>
        <w:b w:val="0"/>
        <w:i w:val="0"/>
        <w:sz w:val="21"/>
      </w:rPr>
    </w:lvl>
    <w:lvl w:ilvl="3" w:tentative="0">
      <w:start w:val="1"/>
      <w:numFmt w:val="decimal"/>
      <w:suff w:val="nothing"/>
      <w:lvlText w:val="%1%2.%3.%4　"/>
      <w:lvlJc w:val="left"/>
      <w:pPr>
        <w:ind w:left="0" w:firstLine="0"/>
      </w:pPr>
      <w:rPr>
        <w:rFonts w:hint="eastAsia" w:ascii="黑体" w:hAnsi="Times New Roman" w:eastAsia="黑体" w:cs="Times New Roman"/>
        <w:b w:val="0"/>
        <w:i w:val="0"/>
        <w:sz w:val="21"/>
      </w:rPr>
    </w:lvl>
    <w:lvl w:ilvl="4" w:tentative="0">
      <w:start w:val="1"/>
      <w:numFmt w:val="decimal"/>
      <w:suff w:val="nothing"/>
      <w:lvlText w:val="%1%2.%3.%4.%5　"/>
      <w:lvlJc w:val="left"/>
      <w:pPr>
        <w:ind w:left="0" w:firstLine="0"/>
      </w:pPr>
      <w:rPr>
        <w:rFonts w:hint="eastAsia" w:ascii="黑体" w:hAnsi="Times New Roman" w:eastAsia="黑体" w:cs="Times New Roman"/>
        <w:b w:val="0"/>
        <w:i w:val="0"/>
        <w:sz w:val="21"/>
      </w:rPr>
    </w:lvl>
    <w:lvl w:ilvl="5" w:tentative="0">
      <w:start w:val="1"/>
      <w:numFmt w:val="decimal"/>
      <w:suff w:val="nothing"/>
      <w:lvlText w:val="%1%2.%3.%4.%5.%6　"/>
      <w:lvlJc w:val="left"/>
      <w:pPr>
        <w:ind w:left="0" w:firstLine="0"/>
      </w:pPr>
      <w:rPr>
        <w:rFonts w:hint="eastAsia" w:ascii="黑体" w:hAnsi="Times New Roman" w:eastAsia="黑体" w:cs="Times New Roman"/>
        <w:b w:val="0"/>
        <w:i w:val="0"/>
        <w:sz w:val="21"/>
      </w:rPr>
    </w:lvl>
    <w:lvl w:ilvl="6" w:tentative="0">
      <w:start w:val="1"/>
      <w:numFmt w:val="decimal"/>
      <w:suff w:val="nothing"/>
      <w:lvlText w:val="%1%2.%3.%4.%5.%6.%7　"/>
      <w:lvlJc w:val="left"/>
      <w:pPr>
        <w:ind w:left="0" w:firstLine="0"/>
      </w:pPr>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2">
    <w:nsid w:val="0CB06A3C"/>
    <w:multiLevelType w:val="multilevel"/>
    <w:tmpl w:val="0CB06A3C"/>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3">
    <w:nsid w:val="169F7A8A"/>
    <w:multiLevelType w:val="multilevel"/>
    <w:tmpl w:val="169F7A8A"/>
    <w:lvl w:ilvl="0" w:tentative="0">
      <w:start w:val="1"/>
      <w:numFmt w:val="chineseCountingThousand"/>
      <w:pStyle w:val="3"/>
      <w:suff w:val="space"/>
      <w:lvlText w:val="第%1章"/>
      <w:lvlJc w:val="left"/>
      <w:pPr>
        <w:ind w:left="0" w:firstLine="0"/>
      </w:pPr>
      <w:rPr>
        <w:rFonts w:hint="eastAsia" w:ascii="宋体" w:hAnsi="宋体" w:eastAsia="宋体"/>
        <w:b/>
      </w:rPr>
    </w:lvl>
    <w:lvl w:ilvl="1" w:tentative="0">
      <w:start w:val="1"/>
      <w:numFmt w:val="decimal"/>
      <w:pStyle w:val="4"/>
      <w:isLgl/>
      <w:suff w:val="space"/>
      <w:lvlText w:val="%1.%2."/>
      <w:lvlJc w:val="left"/>
      <w:pPr>
        <w:ind w:left="0" w:firstLine="0"/>
      </w:pPr>
      <w:rPr>
        <w:rFonts w:hint="eastAsia" w:ascii="宋体" w:hAnsi="宋体" w:eastAsia="宋体"/>
      </w:rPr>
    </w:lvl>
    <w:lvl w:ilvl="2" w:tentative="0">
      <w:start w:val="1"/>
      <w:numFmt w:val="decimal"/>
      <w:pStyle w:val="5"/>
      <w:isLgl/>
      <w:suff w:val="space"/>
      <w:lvlText w:val="%1.%2.%3."/>
      <w:lvlJc w:val="left"/>
      <w:pPr>
        <w:ind w:left="0" w:firstLine="0"/>
      </w:pPr>
      <w:rPr>
        <w:rFonts w:hint="eastAsia" w:ascii="宋体" w:hAnsi="宋体" w:eastAsia="宋体"/>
      </w:rPr>
    </w:lvl>
    <w:lvl w:ilvl="3" w:tentative="0">
      <w:start w:val="1"/>
      <w:numFmt w:val="decimal"/>
      <w:pStyle w:val="6"/>
      <w:isLgl/>
      <w:suff w:val="space"/>
      <w:lvlText w:val="%1.%2.%3.%4."/>
      <w:lvlJc w:val="left"/>
      <w:pPr>
        <w:ind w:left="0" w:firstLine="0"/>
      </w:pPr>
      <w:rPr>
        <w:rFonts w:hint="eastAsia" w:ascii="宋体" w:hAnsi="宋体" w:eastAsia="宋体"/>
      </w:rPr>
    </w:lvl>
    <w:lvl w:ilvl="4" w:tentative="0">
      <w:start w:val="1"/>
      <w:numFmt w:val="decimal"/>
      <w:pStyle w:val="7"/>
      <w:isLgl/>
      <w:suff w:val="space"/>
      <w:lvlText w:val="%1.%2.%3.%4.%5."/>
      <w:lvlJc w:val="left"/>
      <w:pPr>
        <w:ind w:left="0" w:firstLine="0"/>
      </w:pPr>
      <w:rPr>
        <w:rFonts w:hint="eastAsia" w:ascii="宋体" w:hAnsi="宋体" w:eastAsia="宋体"/>
      </w:rPr>
    </w:lvl>
    <w:lvl w:ilvl="5" w:tentative="0">
      <w:start w:val="1"/>
      <w:numFmt w:val="decimal"/>
      <w:pStyle w:val="8"/>
      <w:isLgl/>
      <w:suff w:val="space"/>
      <w:lvlText w:val="%1.%2.%3.%4.%5.%6."/>
      <w:lvlJc w:val="left"/>
      <w:pPr>
        <w:ind w:left="0" w:firstLine="0"/>
      </w:pPr>
      <w:rPr>
        <w:rFonts w:hint="eastAsia" w:ascii="宋体" w:hAnsi="宋体" w:eastAsia="宋体"/>
      </w:rPr>
    </w:lvl>
    <w:lvl w:ilvl="6" w:tentative="0">
      <w:start w:val="1"/>
      <w:numFmt w:val="decimal"/>
      <w:pStyle w:val="9"/>
      <w:isLgl/>
      <w:suff w:val="space"/>
      <w:lvlText w:val="%1.%2.%3.%4.%5.%6.%7."/>
      <w:lvlJc w:val="left"/>
      <w:pPr>
        <w:ind w:left="0" w:firstLine="0"/>
      </w:pPr>
      <w:rPr>
        <w:rFonts w:hint="eastAsia" w:ascii="宋体" w:hAnsi="宋体" w:eastAsia="宋体"/>
      </w:rPr>
    </w:lvl>
    <w:lvl w:ilvl="7" w:tentative="0">
      <w:start w:val="1"/>
      <w:numFmt w:val="decimal"/>
      <w:pStyle w:val="10"/>
      <w:isLgl/>
      <w:suff w:val="space"/>
      <w:lvlText w:val="%1.%2.%3.%4.%5.%6.%7.%8."/>
      <w:lvlJc w:val="left"/>
      <w:pPr>
        <w:ind w:left="0" w:firstLine="0"/>
      </w:pPr>
      <w:rPr>
        <w:rFonts w:hint="eastAsia" w:ascii="宋体" w:hAnsi="宋体" w:eastAsia="宋体"/>
      </w:rPr>
    </w:lvl>
    <w:lvl w:ilvl="8" w:tentative="0">
      <w:start w:val="1"/>
      <w:numFmt w:val="decimal"/>
      <w:pStyle w:val="11"/>
      <w:isLgl/>
      <w:suff w:val="space"/>
      <w:lvlText w:val="%1.%2.%3.%4.%5.%6.%7.%8.%9."/>
      <w:lvlJc w:val="left"/>
      <w:pPr>
        <w:ind w:left="0" w:firstLine="0"/>
      </w:pPr>
      <w:rPr>
        <w:rFonts w:hint="eastAsia" w:ascii="宋体" w:hAnsi="宋体" w:eastAsia="宋体"/>
      </w:rPr>
    </w:lvl>
  </w:abstractNum>
  <w:abstractNum w:abstractNumId="4">
    <w:nsid w:val="1B5B4B7B"/>
    <w:multiLevelType w:val="singleLevel"/>
    <w:tmpl w:val="1B5B4B7B"/>
    <w:lvl w:ilvl="0" w:tentative="0">
      <w:start w:val="1"/>
      <w:numFmt w:val="bullet"/>
      <w:lvlText w:val=""/>
      <w:lvlJc w:val="left"/>
      <w:pPr>
        <w:ind w:left="420" w:hanging="420"/>
      </w:pPr>
      <w:rPr>
        <w:rFonts w:hint="default" w:ascii="Wingdings" w:hAnsi="Wingdings"/>
      </w:rPr>
    </w:lvl>
  </w:abstractNum>
  <w:abstractNum w:abstractNumId="5">
    <w:nsid w:val="1D5D32AE"/>
    <w:multiLevelType w:val="multilevel"/>
    <w:tmpl w:val="1D5D32AE"/>
    <w:lvl w:ilvl="0" w:tentative="0">
      <w:start w:val="1"/>
      <w:numFmt w:val="decimal"/>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6">
    <w:nsid w:val="5E342BD9"/>
    <w:multiLevelType w:val="multilevel"/>
    <w:tmpl w:val="5E342BD9"/>
    <w:lvl w:ilvl="0" w:tentative="0">
      <w:start w:val="1"/>
      <w:numFmt w:val="bullet"/>
      <w:lvlText w:val=""/>
      <w:lvlJc w:val="left"/>
      <w:pPr>
        <w:ind w:left="920" w:hanging="440"/>
      </w:pPr>
      <w:rPr>
        <w:rFonts w:hint="default" w:ascii="Wingdings" w:hAnsi="Wingdings"/>
      </w:rPr>
    </w:lvl>
    <w:lvl w:ilvl="1" w:tentative="0">
      <w:start w:val="1"/>
      <w:numFmt w:val="bullet"/>
      <w:lvlText w:val=""/>
      <w:lvlJc w:val="left"/>
      <w:pPr>
        <w:ind w:left="1360" w:hanging="440"/>
      </w:pPr>
      <w:rPr>
        <w:rFonts w:hint="default" w:ascii="Wingdings" w:hAnsi="Wingdings"/>
      </w:rPr>
    </w:lvl>
    <w:lvl w:ilvl="2" w:tentative="0">
      <w:start w:val="1"/>
      <w:numFmt w:val="bullet"/>
      <w:lvlText w:val=""/>
      <w:lvlJc w:val="left"/>
      <w:pPr>
        <w:ind w:left="1800" w:hanging="440"/>
      </w:pPr>
      <w:rPr>
        <w:rFonts w:hint="default" w:ascii="Wingdings" w:hAnsi="Wingdings"/>
      </w:rPr>
    </w:lvl>
    <w:lvl w:ilvl="3" w:tentative="0">
      <w:start w:val="1"/>
      <w:numFmt w:val="bullet"/>
      <w:lvlText w:val=""/>
      <w:lvlJc w:val="left"/>
      <w:pPr>
        <w:ind w:left="2240" w:hanging="440"/>
      </w:pPr>
      <w:rPr>
        <w:rFonts w:hint="default" w:ascii="Wingdings" w:hAnsi="Wingdings"/>
      </w:rPr>
    </w:lvl>
    <w:lvl w:ilvl="4" w:tentative="0">
      <w:start w:val="1"/>
      <w:numFmt w:val="bullet"/>
      <w:lvlText w:val=""/>
      <w:lvlJc w:val="left"/>
      <w:pPr>
        <w:ind w:left="2680" w:hanging="440"/>
      </w:pPr>
      <w:rPr>
        <w:rFonts w:hint="default" w:ascii="Wingdings" w:hAnsi="Wingdings"/>
      </w:rPr>
    </w:lvl>
    <w:lvl w:ilvl="5" w:tentative="0">
      <w:start w:val="1"/>
      <w:numFmt w:val="bullet"/>
      <w:lvlText w:val=""/>
      <w:lvlJc w:val="left"/>
      <w:pPr>
        <w:ind w:left="3120" w:hanging="440"/>
      </w:pPr>
      <w:rPr>
        <w:rFonts w:hint="default" w:ascii="Wingdings" w:hAnsi="Wingdings"/>
      </w:rPr>
    </w:lvl>
    <w:lvl w:ilvl="6" w:tentative="0">
      <w:start w:val="1"/>
      <w:numFmt w:val="bullet"/>
      <w:lvlText w:val=""/>
      <w:lvlJc w:val="left"/>
      <w:pPr>
        <w:ind w:left="3560" w:hanging="440"/>
      </w:pPr>
      <w:rPr>
        <w:rFonts w:hint="default" w:ascii="Wingdings" w:hAnsi="Wingdings"/>
      </w:rPr>
    </w:lvl>
    <w:lvl w:ilvl="7" w:tentative="0">
      <w:start w:val="1"/>
      <w:numFmt w:val="bullet"/>
      <w:lvlText w:val=""/>
      <w:lvlJc w:val="left"/>
      <w:pPr>
        <w:ind w:left="4000" w:hanging="440"/>
      </w:pPr>
      <w:rPr>
        <w:rFonts w:hint="default" w:ascii="Wingdings" w:hAnsi="Wingdings"/>
      </w:rPr>
    </w:lvl>
    <w:lvl w:ilvl="8" w:tentative="0">
      <w:start w:val="1"/>
      <w:numFmt w:val="bullet"/>
      <w:lvlText w:val=""/>
      <w:lvlJc w:val="left"/>
      <w:pPr>
        <w:ind w:left="4440" w:hanging="440"/>
      </w:pPr>
      <w:rPr>
        <w:rFonts w:hint="default" w:ascii="Wingdings" w:hAnsi="Wingdings"/>
      </w:rPr>
    </w:lvl>
  </w:abstractNum>
  <w:abstractNum w:abstractNumId="7">
    <w:nsid w:val="639177D4"/>
    <w:multiLevelType w:val="multilevel"/>
    <w:tmpl w:val="639177D4"/>
    <w:lvl w:ilvl="0" w:tentative="0">
      <w:start w:val="1"/>
      <w:numFmt w:val="bullet"/>
      <w:pStyle w:val="138"/>
      <w:lvlText w:val=""/>
      <w:lvlJc w:val="left"/>
      <w:pPr>
        <w:ind w:left="900" w:hanging="420"/>
      </w:pPr>
      <w:rPr>
        <w:rFonts w:hint="default" w:ascii="Wingdings" w:hAnsi="Wingdings"/>
      </w:rPr>
    </w:lvl>
    <w:lvl w:ilvl="1" w:tentative="0">
      <w:start w:val="1"/>
      <w:numFmt w:val="bullet"/>
      <w:pStyle w:val="139"/>
      <w:lvlText w:val=""/>
      <w:lvlJc w:val="left"/>
      <w:pPr>
        <w:ind w:left="1320" w:hanging="420"/>
      </w:pPr>
      <w:rPr>
        <w:rFonts w:hint="default" w:ascii="Wingdings" w:hAnsi="Wingdings"/>
      </w:rPr>
    </w:lvl>
    <w:lvl w:ilvl="2" w:tentative="0">
      <w:start w:val="1"/>
      <w:numFmt w:val="bullet"/>
      <w:pStyle w:val="140"/>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8">
    <w:nsid w:val="63AE61FC"/>
    <w:multiLevelType w:val="multilevel"/>
    <w:tmpl w:val="63AE61FC"/>
    <w:lvl w:ilvl="0" w:tentative="0">
      <w:start w:val="1"/>
      <w:numFmt w:val="bullet"/>
      <w:pStyle w:val="135"/>
      <w:lvlText w:val="-"/>
      <w:lvlJc w:val="left"/>
      <w:pPr>
        <w:ind w:left="900" w:hanging="420"/>
      </w:pPr>
      <w:rPr>
        <w:rFonts w:hint="eastAsia" w:ascii="宋体" w:hAnsi="宋体" w:eastAsia="宋体"/>
      </w:rPr>
    </w:lvl>
    <w:lvl w:ilvl="1" w:tentative="0">
      <w:start w:val="1"/>
      <w:numFmt w:val="bullet"/>
      <w:lvlText w:val=""/>
      <w:lvlJc w:val="left"/>
      <w:pPr>
        <w:ind w:left="1320" w:hanging="420"/>
      </w:pPr>
      <w:rPr>
        <w:rFonts w:hint="default" w:ascii="Wingdings" w:hAnsi="Wingdings"/>
      </w:rPr>
    </w:lvl>
    <w:lvl w:ilvl="2" w:tentative="0">
      <w:start w:val="1"/>
      <w:numFmt w:val="bullet"/>
      <w:pStyle w:val="136"/>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9">
    <w:nsid w:val="63F9114C"/>
    <w:multiLevelType w:val="multilevel"/>
    <w:tmpl w:val="63F9114C"/>
    <w:lvl w:ilvl="0" w:tentative="0">
      <w:start w:val="1"/>
      <w:numFmt w:val="bullet"/>
      <w:lvlText w:val=""/>
      <w:lvlJc w:val="left"/>
      <w:pPr>
        <w:ind w:left="920" w:hanging="440"/>
      </w:pPr>
      <w:rPr>
        <w:rFonts w:hint="default" w:ascii="Wingdings" w:hAnsi="Wingdings"/>
      </w:rPr>
    </w:lvl>
    <w:lvl w:ilvl="1" w:tentative="0">
      <w:start w:val="1"/>
      <w:numFmt w:val="bullet"/>
      <w:lvlText w:val=""/>
      <w:lvlJc w:val="left"/>
      <w:pPr>
        <w:ind w:left="1360" w:hanging="440"/>
      </w:pPr>
      <w:rPr>
        <w:rFonts w:hint="default" w:ascii="Wingdings" w:hAnsi="Wingdings"/>
      </w:rPr>
    </w:lvl>
    <w:lvl w:ilvl="2" w:tentative="0">
      <w:start w:val="1"/>
      <w:numFmt w:val="bullet"/>
      <w:lvlText w:val=""/>
      <w:lvlJc w:val="left"/>
      <w:pPr>
        <w:ind w:left="1800" w:hanging="440"/>
      </w:pPr>
      <w:rPr>
        <w:rFonts w:hint="default" w:ascii="Wingdings" w:hAnsi="Wingdings"/>
      </w:rPr>
    </w:lvl>
    <w:lvl w:ilvl="3" w:tentative="0">
      <w:start w:val="1"/>
      <w:numFmt w:val="bullet"/>
      <w:lvlText w:val=""/>
      <w:lvlJc w:val="left"/>
      <w:pPr>
        <w:ind w:left="2240" w:hanging="440"/>
      </w:pPr>
      <w:rPr>
        <w:rFonts w:hint="default" w:ascii="Wingdings" w:hAnsi="Wingdings"/>
      </w:rPr>
    </w:lvl>
    <w:lvl w:ilvl="4" w:tentative="0">
      <w:start w:val="1"/>
      <w:numFmt w:val="bullet"/>
      <w:lvlText w:val=""/>
      <w:lvlJc w:val="left"/>
      <w:pPr>
        <w:ind w:left="2680" w:hanging="440"/>
      </w:pPr>
      <w:rPr>
        <w:rFonts w:hint="default" w:ascii="Wingdings" w:hAnsi="Wingdings"/>
      </w:rPr>
    </w:lvl>
    <w:lvl w:ilvl="5" w:tentative="0">
      <w:start w:val="1"/>
      <w:numFmt w:val="bullet"/>
      <w:lvlText w:val=""/>
      <w:lvlJc w:val="left"/>
      <w:pPr>
        <w:ind w:left="3120" w:hanging="440"/>
      </w:pPr>
      <w:rPr>
        <w:rFonts w:hint="default" w:ascii="Wingdings" w:hAnsi="Wingdings"/>
      </w:rPr>
    </w:lvl>
    <w:lvl w:ilvl="6" w:tentative="0">
      <w:start w:val="1"/>
      <w:numFmt w:val="bullet"/>
      <w:lvlText w:val=""/>
      <w:lvlJc w:val="left"/>
      <w:pPr>
        <w:ind w:left="3560" w:hanging="440"/>
      </w:pPr>
      <w:rPr>
        <w:rFonts w:hint="default" w:ascii="Wingdings" w:hAnsi="Wingdings"/>
      </w:rPr>
    </w:lvl>
    <w:lvl w:ilvl="7" w:tentative="0">
      <w:start w:val="1"/>
      <w:numFmt w:val="bullet"/>
      <w:lvlText w:val=""/>
      <w:lvlJc w:val="left"/>
      <w:pPr>
        <w:ind w:left="4000" w:hanging="440"/>
      </w:pPr>
      <w:rPr>
        <w:rFonts w:hint="default" w:ascii="Wingdings" w:hAnsi="Wingdings"/>
      </w:rPr>
    </w:lvl>
    <w:lvl w:ilvl="8" w:tentative="0">
      <w:start w:val="1"/>
      <w:numFmt w:val="bullet"/>
      <w:lvlText w:val=""/>
      <w:lvlJc w:val="left"/>
      <w:pPr>
        <w:ind w:left="4440" w:hanging="440"/>
      </w:pPr>
      <w:rPr>
        <w:rFonts w:hint="default" w:ascii="Wingdings" w:hAnsi="Wingdings"/>
      </w:rPr>
    </w:lvl>
  </w:abstractNum>
  <w:abstractNum w:abstractNumId="10">
    <w:nsid w:val="64B36159"/>
    <w:multiLevelType w:val="multilevel"/>
    <w:tmpl w:val="64B36159"/>
    <w:lvl w:ilvl="0" w:tentative="0">
      <w:start w:val="1"/>
      <w:numFmt w:val="decimal"/>
      <w:pStyle w:val="130"/>
      <w:lvlText w:val="%1)"/>
      <w:lvlJc w:val="left"/>
      <w:pPr>
        <w:tabs>
          <w:tab w:val="left" w:pos="403"/>
        </w:tabs>
        <w:ind w:left="0" w:firstLine="400"/>
      </w:pPr>
      <w:rPr>
        <w:rFonts w:hint="eastAsia"/>
      </w:rPr>
    </w:lvl>
    <w:lvl w:ilvl="1" w:tentative="0">
      <w:start w:val="1"/>
      <w:numFmt w:val="none"/>
      <w:lvlText w:val=""/>
      <w:lvlJc w:val="left"/>
      <w:pPr>
        <w:ind w:left="992" w:hanging="567"/>
      </w:pPr>
      <w:rPr>
        <w:rFonts w:hint="eastAsia"/>
      </w:rPr>
    </w:lvl>
    <w:lvl w:ilvl="2" w:tentative="0">
      <w:start w:val="1"/>
      <w:numFmt w:val="none"/>
      <w:lvlText w:val=""/>
      <w:lvlJc w:val="left"/>
      <w:pPr>
        <w:ind w:left="1418" w:hanging="567"/>
      </w:pPr>
      <w:rPr>
        <w:rFonts w:hint="eastAsia"/>
      </w:rPr>
    </w:lvl>
    <w:lvl w:ilvl="3" w:tentative="0">
      <w:start w:val="1"/>
      <w:numFmt w:val="none"/>
      <w:lvlText w:val=""/>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1"/>
  </w:num>
  <w:num w:numId="3">
    <w:abstractNumId w:val="0"/>
  </w:num>
  <w:num w:numId="4">
    <w:abstractNumId w:val="10"/>
  </w:num>
  <w:num w:numId="5">
    <w:abstractNumId w:val="8"/>
  </w:num>
  <w:num w:numId="6">
    <w:abstractNumId w:val="7"/>
  </w:num>
  <w:num w:numId="7">
    <w:abstractNumId w:val="9"/>
  </w:num>
  <w:num w:numId="8">
    <w:abstractNumId w:val="4"/>
  </w:num>
  <w:num w:numId="9">
    <w:abstractNumId w:val="2"/>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trackRevisions w:val="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023"/>
    <w:rsid w:val="00005665"/>
    <w:rsid w:val="000139F3"/>
    <w:rsid w:val="00015DCA"/>
    <w:rsid w:val="00031D89"/>
    <w:rsid w:val="00033081"/>
    <w:rsid w:val="00036021"/>
    <w:rsid w:val="00041E4F"/>
    <w:rsid w:val="00052F94"/>
    <w:rsid w:val="00055517"/>
    <w:rsid w:val="00092F91"/>
    <w:rsid w:val="00097393"/>
    <w:rsid w:val="000A481C"/>
    <w:rsid w:val="000B04F1"/>
    <w:rsid w:val="000B480C"/>
    <w:rsid w:val="000C42F0"/>
    <w:rsid w:val="000C5C12"/>
    <w:rsid w:val="000D2599"/>
    <w:rsid w:val="000D4DBE"/>
    <w:rsid w:val="000F100C"/>
    <w:rsid w:val="000F1C45"/>
    <w:rsid w:val="00101673"/>
    <w:rsid w:val="0012261D"/>
    <w:rsid w:val="00122A2D"/>
    <w:rsid w:val="001271E4"/>
    <w:rsid w:val="00154B4D"/>
    <w:rsid w:val="00161B64"/>
    <w:rsid w:val="001723B6"/>
    <w:rsid w:val="00180306"/>
    <w:rsid w:val="00181075"/>
    <w:rsid w:val="001848BC"/>
    <w:rsid w:val="00191DD5"/>
    <w:rsid w:val="001B0E61"/>
    <w:rsid w:val="001B2B8C"/>
    <w:rsid w:val="001B35A4"/>
    <w:rsid w:val="001B56D1"/>
    <w:rsid w:val="001C0C61"/>
    <w:rsid w:val="001E1CA4"/>
    <w:rsid w:val="001E5D23"/>
    <w:rsid w:val="001F183E"/>
    <w:rsid w:val="001F34E0"/>
    <w:rsid w:val="00207821"/>
    <w:rsid w:val="00213B9C"/>
    <w:rsid w:val="00243236"/>
    <w:rsid w:val="00247082"/>
    <w:rsid w:val="00261195"/>
    <w:rsid w:val="00263832"/>
    <w:rsid w:val="00265536"/>
    <w:rsid w:val="0027341A"/>
    <w:rsid w:val="00283761"/>
    <w:rsid w:val="002852FC"/>
    <w:rsid w:val="00296B91"/>
    <w:rsid w:val="002A689E"/>
    <w:rsid w:val="002A6B9D"/>
    <w:rsid w:val="002C19D3"/>
    <w:rsid w:val="002C5D7E"/>
    <w:rsid w:val="002C60C4"/>
    <w:rsid w:val="002D1148"/>
    <w:rsid w:val="002D2E3E"/>
    <w:rsid w:val="002D4B6C"/>
    <w:rsid w:val="002D6531"/>
    <w:rsid w:val="002F6A0C"/>
    <w:rsid w:val="002F6D23"/>
    <w:rsid w:val="00303F6E"/>
    <w:rsid w:val="0031231E"/>
    <w:rsid w:val="00316E5D"/>
    <w:rsid w:val="003305B0"/>
    <w:rsid w:val="00331088"/>
    <w:rsid w:val="00337235"/>
    <w:rsid w:val="003402C5"/>
    <w:rsid w:val="00344002"/>
    <w:rsid w:val="003520A5"/>
    <w:rsid w:val="003647CB"/>
    <w:rsid w:val="00365900"/>
    <w:rsid w:val="003725AC"/>
    <w:rsid w:val="0038543B"/>
    <w:rsid w:val="00390DC8"/>
    <w:rsid w:val="0039278E"/>
    <w:rsid w:val="003943B7"/>
    <w:rsid w:val="0039756A"/>
    <w:rsid w:val="003A0C90"/>
    <w:rsid w:val="003A7606"/>
    <w:rsid w:val="003B30CC"/>
    <w:rsid w:val="003D0377"/>
    <w:rsid w:val="003D1DC1"/>
    <w:rsid w:val="003E4229"/>
    <w:rsid w:val="003E5D54"/>
    <w:rsid w:val="003E7889"/>
    <w:rsid w:val="00406ED2"/>
    <w:rsid w:val="00423A96"/>
    <w:rsid w:val="00431832"/>
    <w:rsid w:val="00435268"/>
    <w:rsid w:val="004548B0"/>
    <w:rsid w:val="004672A0"/>
    <w:rsid w:val="00483854"/>
    <w:rsid w:val="00495CD9"/>
    <w:rsid w:val="00496340"/>
    <w:rsid w:val="004A39AD"/>
    <w:rsid w:val="004A4035"/>
    <w:rsid w:val="004B5C3D"/>
    <w:rsid w:val="004C2DE0"/>
    <w:rsid w:val="004C4820"/>
    <w:rsid w:val="004E6F6E"/>
    <w:rsid w:val="0050046E"/>
    <w:rsid w:val="005016E4"/>
    <w:rsid w:val="00511654"/>
    <w:rsid w:val="005132E0"/>
    <w:rsid w:val="005219A3"/>
    <w:rsid w:val="0053273A"/>
    <w:rsid w:val="00544015"/>
    <w:rsid w:val="00545977"/>
    <w:rsid w:val="00545985"/>
    <w:rsid w:val="00566489"/>
    <w:rsid w:val="0057197C"/>
    <w:rsid w:val="0057384C"/>
    <w:rsid w:val="0057691C"/>
    <w:rsid w:val="0057744C"/>
    <w:rsid w:val="00580374"/>
    <w:rsid w:val="0058220D"/>
    <w:rsid w:val="00584FFE"/>
    <w:rsid w:val="00585CE7"/>
    <w:rsid w:val="00586F4F"/>
    <w:rsid w:val="00590BC6"/>
    <w:rsid w:val="00597A2D"/>
    <w:rsid w:val="005A4AA1"/>
    <w:rsid w:val="005B119C"/>
    <w:rsid w:val="005C14A8"/>
    <w:rsid w:val="005C5A3A"/>
    <w:rsid w:val="005C69B5"/>
    <w:rsid w:val="005E19A7"/>
    <w:rsid w:val="005F13DC"/>
    <w:rsid w:val="00607C66"/>
    <w:rsid w:val="00611DFA"/>
    <w:rsid w:val="00616023"/>
    <w:rsid w:val="006267FE"/>
    <w:rsid w:val="00642729"/>
    <w:rsid w:val="006527B6"/>
    <w:rsid w:val="00657F5B"/>
    <w:rsid w:val="0066068E"/>
    <w:rsid w:val="0066444C"/>
    <w:rsid w:val="00664C85"/>
    <w:rsid w:val="00664F08"/>
    <w:rsid w:val="00671572"/>
    <w:rsid w:val="006815D8"/>
    <w:rsid w:val="00681B2B"/>
    <w:rsid w:val="00681BD2"/>
    <w:rsid w:val="0068352F"/>
    <w:rsid w:val="00684398"/>
    <w:rsid w:val="00690CD3"/>
    <w:rsid w:val="00690E10"/>
    <w:rsid w:val="006922A6"/>
    <w:rsid w:val="006A18C8"/>
    <w:rsid w:val="006A2EBA"/>
    <w:rsid w:val="006A3208"/>
    <w:rsid w:val="006A6C2D"/>
    <w:rsid w:val="006C0EB9"/>
    <w:rsid w:val="006C24B4"/>
    <w:rsid w:val="006D05D5"/>
    <w:rsid w:val="006D1C25"/>
    <w:rsid w:val="006D48D7"/>
    <w:rsid w:val="006D4A7D"/>
    <w:rsid w:val="006E5C43"/>
    <w:rsid w:val="0070194A"/>
    <w:rsid w:val="0070477C"/>
    <w:rsid w:val="00706D45"/>
    <w:rsid w:val="00713F72"/>
    <w:rsid w:val="00715DE8"/>
    <w:rsid w:val="007240E3"/>
    <w:rsid w:val="007241A4"/>
    <w:rsid w:val="00725110"/>
    <w:rsid w:val="00730D22"/>
    <w:rsid w:val="00730DE8"/>
    <w:rsid w:val="007328BF"/>
    <w:rsid w:val="0073771F"/>
    <w:rsid w:val="00744BC4"/>
    <w:rsid w:val="007466DB"/>
    <w:rsid w:val="00757E60"/>
    <w:rsid w:val="00771309"/>
    <w:rsid w:val="00791547"/>
    <w:rsid w:val="0079177D"/>
    <w:rsid w:val="007A3F72"/>
    <w:rsid w:val="007B2DC6"/>
    <w:rsid w:val="007D4FA6"/>
    <w:rsid w:val="007E50F8"/>
    <w:rsid w:val="008047C1"/>
    <w:rsid w:val="008054ED"/>
    <w:rsid w:val="00821941"/>
    <w:rsid w:val="00823358"/>
    <w:rsid w:val="00827E93"/>
    <w:rsid w:val="00835566"/>
    <w:rsid w:val="00841298"/>
    <w:rsid w:val="00851F2D"/>
    <w:rsid w:val="00852F10"/>
    <w:rsid w:val="008536F4"/>
    <w:rsid w:val="00854959"/>
    <w:rsid w:val="008556C9"/>
    <w:rsid w:val="00856AE4"/>
    <w:rsid w:val="00866ED7"/>
    <w:rsid w:val="008670F5"/>
    <w:rsid w:val="00880E16"/>
    <w:rsid w:val="008816BF"/>
    <w:rsid w:val="008826EB"/>
    <w:rsid w:val="008840B8"/>
    <w:rsid w:val="0088762E"/>
    <w:rsid w:val="00890D5A"/>
    <w:rsid w:val="008943F5"/>
    <w:rsid w:val="008A67CE"/>
    <w:rsid w:val="008A7DC7"/>
    <w:rsid w:val="008C6802"/>
    <w:rsid w:val="008C6D4B"/>
    <w:rsid w:val="008C6FAB"/>
    <w:rsid w:val="008D000E"/>
    <w:rsid w:val="008D56EA"/>
    <w:rsid w:val="008E2C43"/>
    <w:rsid w:val="008F2B3A"/>
    <w:rsid w:val="00904D22"/>
    <w:rsid w:val="009139EB"/>
    <w:rsid w:val="00913F0B"/>
    <w:rsid w:val="00914739"/>
    <w:rsid w:val="00931FC3"/>
    <w:rsid w:val="00940DFF"/>
    <w:rsid w:val="009461C0"/>
    <w:rsid w:val="009473B0"/>
    <w:rsid w:val="00950EF6"/>
    <w:rsid w:val="00961E45"/>
    <w:rsid w:val="009673C3"/>
    <w:rsid w:val="00977F01"/>
    <w:rsid w:val="0098175C"/>
    <w:rsid w:val="0099052D"/>
    <w:rsid w:val="009A0FAD"/>
    <w:rsid w:val="009A1AA0"/>
    <w:rsid w:val="009A576C"/>
    <w:rsid w:val="009B1616"/>
    <w:rsid w:val="009D1DAA"/>
    <w:rsid w:val="009D48BA"/>
    <w:rsid w:val="009E3BDC"/>
    <w:rsid w:val="00A112CB"/>
    <w:rsid w:val="00A3477E"/>
    <w:rsid w:val="00A36146"/>
    <w:rsid w:val="00A4337A"/>
    <w:rsid w:val="00A45BB8"/>
    <w:rsid w:val="00A55170"/>
    <w:rsid w:val="00A57C3D"/>
    <w:rsid w:val="00A628B6"/>
    <w:rsid w:val="00A662AE"/>
    <w:rsid w:val="00A72004"/>
    <w:rsid w:val="00A74EB6"/>
    <w:rsid w:val="00A83D72"/>
    <w:rsid w:val="00A9226B"/>
    <w:rsid w:val="00AA2B17"/>
    <w:rsid w:val="00AA3335"/>
    <w:rsid w:val="00AA458B"/>
    <w:rsid w:val="00AB4547"/>
    <w:rsid w:val="00AD47B1"/>
    <w:rsid w:val="00AE1307"/>
    <w:rsid w:val="00AF5746"/>
    <w:rsid w:val="00B26A7F"/>
    <w:rsid w:val="00B302B7"/>
    <w:rsid w:val="00B36E19"/>
    <w:rsid w:val="00B414EC"/>
    <w:rsid w:val="00B41CF5"/>
    <w:rsid w:val="00B45834"/>
    <w:rsid w:val="00B51859"/>
    <w:rsid w:val="00B54B46"/>
    <w:rsid w:val="00B639BC"/>
    <w:rsid w:val="00B6597D"/>
    <w:rsid w:val="00B674C1"/>
    <w:rsid w:val="00B7429E"/>
    <w:rsid w:val="00B745E6"/>
    <w:rsid w:val="00B84A12"/>
    <w:rsid w:val="00B907AB"/>
    <w:rsid w:val="00BA1CCB"/>
    <w:rsid w:val="00BA24E1"/>
    <w:rsid w:val="00BA624F"/>
    <w:rsid w:val="00BB10A6"/>
    <w:rsid w:val="00BB28DA"/>
    <w:rsid w:val="00BD74C8"/>
    <w:rsid w:val="00BE0F66"/>
    <w:rsid w:val="00BE289A"/>
    <w:rsid w:val="00BE3275"/>
    <w:rsid w:val="00BE5E0F"/>
    <w:rsid w:val="00BF7D01"/>
    <w:rsid w:val="00C010B6"/>
    <w:rsid w:val="00C10243"/>
    <w:rsid w:val="00C13405"/>
    <w:rsid w:val="00C163EE"/>
    <w:rsid w:val="00C35B31"/>
    <w:rsid w:val="00C4074B"/>
    <w:rsid w:val="00C43562"/>
    <w:rsid w:val="00C53A24"/>
    <w:rsid w:val="00C554DA"/>
    <w:rsid w:val="00C56F8B"/>
    <w:rsid w:val="00C62930"/>
    <w:rsid w:val="00C62C42"/>
    <w:rsid w:val="00C65EA1"/>
    <w:rsid w:val="00C7064A"/>
    <w:rsid w:val="00CA2FF3"/>
    <w:rsid w:val="00CB5377"/>
    <w:rsid w:val="00CC5CC9"/>
    <w:rsid w:val="00D101BE"/>
    <w:rsid w:val="00D1612F"/>
    <w:rsid w:val="00D278B9"/>
    <w:rsid w:val="00D30E66"/>
    <w:rsid w:val="00D43446"/>
    <w:rsid w:val="00D45E60"/>
    <w:rsid w:val="00D52FFC"/>
    <w:rsid w:val="00D56551"/>
    <w:rsid w:val="00D611C5"/>
    <w:rsid w:val="00D61BFF"/>
    <w:rsid w:val="00D6691B"/>
    <w:rsid w:val="00D67DC8"/>
    <w:rsid w:val="00D82FD6"/>
    <w:rsid w:val="00D8441B"/>
    <w:rsid w:val="00D84DA9"/>
    <w:rsid w:val="00DA09CE"/>
    <w:rsid w:val="00DA0FAD"/>
    <w:rsid w:val="00DB1213"/>
    <w:rsid w:val="00DB71CB"/>
    <w:rsid w:val="00DB725B"/>
    <w:rsid w:val="00DC5FA3"/>
    <w:rsid w:val="00DC65F7"/>
    <w:rsid w:val="00DF091B"/>
    <w:rsid w:val="00DF465A"/>
    <w:rsid w:val="00E014DB"/>
    <w:rsid w:val="00E06E60"/>
    <w:rsid w:val="00E14D83"/>
    <w:rsid w:val="00E3660E"/>
    <w:rsid w:val="00E3724D"/>
    <w:rsid w:val="00E42044"/>
    <w:rsid w:val="00E42840"/>
    <w:rsid w:val="00E708E2"/>
    <w:rsid w:val="00E822BD"/>
    <w:rsid w:val="00E826FD"/>
    <w:rsid w:val="00E85093"/>
    <w:rsid w:val="00EB596E"/>
    <w:rsid w:val="00EC217D"/>
    <w:rsid w:val="00EC3F95"/>
    <w:rsid w:val="00ED6551"/>
    <w:rsid w:val="00EF1325"/>
    <w:rsid w:val="00EF3650"/>
    <w:rsid w:val="00F04BB2"/>
    <w:rsid w:val="00F14903"/>
    <w:rsid w:val="00F16F5F"/>
    <w:rsid w:val="00F20B48"/>
    <w:rsid w:val="00F21A79"/>
    <w:rsid w:val="00F347A5"/>
    <w:rsid w:val="00F3524B"/>
    <w:rsid w:val="00F455C0"/>
    <w:rsid w:val="00F53103"/>
    <w:rsid w:val="00F67F55"/>
    <w:rsid w:val="00F67F7B"/>
    <w:rsid w:val="00F7266A"/>
    <w:rsid w:val="00F748DA"/>
    <w:rsid w:val="00F77793"/>
    <w:rsid w:val="00F8032D"/>
    <w:rsid w:val="00F81AFF"/>
    <w:rsid w:val="00F94913"/>
    <w:rsid w:val="00FB2851"/>
    <w:rsid w:val="00FC0F30"/>
    <w:rsid w:val="00FC3DE1"/>
    <w:rsid w:val="00FC5869"/>
    <w:rsid w:val="00FF08BB"/>
    <w:rsid w:val="013D6280"/>
    <w:rsid w:val="018E53BB"/>
    <w:rsid w:val="01965A91"/>
    <w:rsid w:val="01BE4F3E"/>
    <w:rsid w:val="023A2358"/>
    <w:rsid w:val="02D81CD2"/>
    <w:rsid w:val="030B27C9"/>
    <w:rsid w:val="035D0CB2"/>
    <w:rsid w:val="03883241"/>
    <w:rsid w:val="03CC21CB"/>
    <w:rsid w:val="03E16B68"/>
    <w:rsid w:val="03FE7EAB"/>
    <w:rsid w:val="04C028C7"/>
    <w:rsid w:val="04EE0E75"/>
    <w:rsid w:val="0510089B"/>
    <w:rsid w:val="053B7608"/>
    <w:rsid w:val="0580501B"/>
    <w:rsid w:val="05B20F4D"/>
    <w:rsid w:val="06093262"/>
    <w:rsid w:val="06244F50"/>
    <w:rsid w:val="062D0989"/>
    <w:rsid w:val="066E7FC7"/>
    <w:rsid w:val="070B52DF"/>
    <w:rsid w:val="07436B59"/>
    <w:rsid w:val="07A64AE1"/>
    <w:rsid w:val="07BF066E"/>
    <w:rsid w:val="07C56753"/>
    <w:rsid w:val="091D0DD3"/>
    <w:rsid w:val="098837B7"/>
    <w:rsid w:val="0A2072A8"/>
    <w:rsid w:val="0A3A19D7"/>
    <w:rsid w:val="0A3F7867"/>
    <w:rsid w:val="0ACB5085"/>
    <w:rsid w:val="0BA568B0"/>
    <w:rsid w:val="0BBE75D4"/>
    <w:rsid w:val="0D091D9A"/>
    <w:rsid w:val="0DE87C01"/>
    <w:rsid w:val="0DF11C16"/>
    <w:rsid w:val="0E162926"/>
    <w:rsid w:val="0F075BB4"/>
    <w:rsid w:val="0F0C3DB4"/>
    <w:rsid w:val="0F1341B0"/>
    <w:rsid w:val="0F5341AC"/>
    <w:rsid w:val="0F555F86"/>
    <w:rsid w:val="0F9067A2"/>
    <w:rsid w:val="10AE15A3"/>
    <w:rsid w:val="1102722C"/>
    <w:rsid w:val="111D38A8"/>
    <w:rsid w:val="11551A52"/>
    <w:rsid w:val="124B69B1"/>
    <w:rsid w:val="126E269F"/>
    <w:rsid w:val="12A733A7"/>
    <w:rsid w:val="12F34169"/>
    <w:rsid w:val="1312127D"/>
    <w:rsid w:val="132E6234"/>
    <w:rsid w:val="133024E7"/>
    <w:rsid w:val="13D476AF"/>
    <w:rsid w:val="1574621E"/>
    <w:rsid w:val="159348F7"/>
    <w:rsid w:val="17000F34"/>
    <w:rsid w:val="17F6116D"/>
    <w:rsid w:val="18030F95"/>
    <w:rsid w:val="186C142F"/>
    <w:rsid w:val="18762837"/>
    <w:rsid w:val="19CB04E3"/>
    <w:rsid w:val="19E467DF"/>
    <w:rsid w:val="19E82D37"/>
    <w:rsid w:val="1A1471E3"/>
    <w:rsid w:val="1A40574F"/>
    <w:rsid w:val="1A9C44A3"/>
    <w:rsid w:val="1B505038"/>
    <w:rsid w:val="1B51581C"/>
    <w:rsid w:val="1B600F83"/>
    <w:rsid w:val="1B6F3710"/>
    <w:rsid w:val="1B8F3F7E"/>
    <w:rsid w:val="1BC26C2E"/>
    <w:rsid w:val="1BEA723A"/>
    <w:rsid w:val="1C5A1168"/>
    <w:rsid w:val="1CA27B15"/>
    <w:rsid w:val="1D175E0D"/>
    <w:rsid w:val="1D37200B"/>
    <w:rsid w:val="1D744F87"/>
    <w:rsid w:val="1D876420"/>
    <w:rsid w:val="1E1322CB"/>
    <w:rsid w:val="1F336F64"/>
    <w:rsid w:val="1FE36364"/>
    <w:rsid w:val="22370D00"/>
    <w:rsid w:val="2243203B"/>
    <w:rsid w:val="2246417B"/>
    <w:rsid w:val="227E692E"/>
    <w:rsid w:val="228463EB"/>
    <w:rsid w:val="232C0139"/>
    <w:rsid w:val="23A73284"/>
    <w:rsid w:val="24F234E1"/>
    <w:rsid w:val="24F829C8"/>
    <w:rsid w:val="255B4D05"/>
    <w:rsid w:val="259205FB"/>
    <w:rsid w:val="260D4251"/>
    <w:rsid w:val="263C4B36"/>
    <w:rsid w:val="275C0D8F"/>
    <w:rsid w:val="27802801"/>
    <w:rsid w:val="278B7B24"/>
    <w:rsid w:val="27C462F5"/>
    <w:rsid w:val="27CB7F20"/>
    <w:rsid w:val="27E47234"/>
    <w:rsid w:val="28137B19"/>
    <w:rsid w:val="28173165"/>
    <w:rsid w:val="28553C8E"/>
    <w:rsid w:val="29427B75"/>
    <w:rsid w:val="296A5517"/>
    <w:rsid w:val="29A41592"/>
    <w:rsid w:val="2A685EFA"/>
    <w:rsid w:val="2B436C87"/>
    <w:rsid w:val="2B794137"/>
    <w:rsid w:val="2C493B09"/>
    <w:rsid w:val="2C8C7149"/>
    <w:rsid w:val="2CCA17AC"/>
    <w:rsid w:val="2D005746"/>
    <w:rsid w:val="2D0073E3"/>
    <w:rsid w:val="2D88240F"/>
    <w:rsid w:val="2E667C3E"/>
    <w:rsid w:val="2E690493"/>
    <w:rsid w:val="2E7033FD"/>
    <w:rsid w:val="2EAA5405"/>
    <w:rsid w:val="2EBE3EAA"/>
    <w:rsid w:val="2F776BDF"/>
    <w:rsid w:val="2FA02558"/>
    <w:rsid w:val="300264A9"/>
    <w:rsid w:val="3038011D"/>
    <w:rsid w:val="30A91ED7"/>
    <w:rsid w:val="30B20672"/>
    <w:rsid w:val="317078BD"/>
    <w:rsid w:val="31CF038F"/>
    <w:rsid w:val="325B00F2"/>
    <w:rsid w:val="32D562AB"/>
    <w:rsid w:val="33095DA0"/>
    <w:rsid w:val="337A7536"/>
    <w:rsid w:val="341C1B03"/>
    <w:rsid w:val="34255CBD"/>
    <w:rsid w:val="3468529D"/>
    <w:rsid w:val="34C461F9"/>
    <w:rsid w:val="34D56BCF"/>
    <w:rsid w:val="355160EB"/>
    <w:rsid w:val="365E0BDF"/>
    <w:rsid w:val="36C95F72"/>
    <w:rsid w:val="36E82F84"/>
    <w:rsid w:val="378D6FA0"/>
    <w:rsid w:val="381E5E4A"/>
    <w:rsid w:val="38997BC6"/>
    <w:rsid w:val="38FC7180"/>
    <w:rsid w:val="393D6CB3"/>
    <w:rsid w:val="3A184B1B"/>
    <w:rsid w:val="3A6F1068"/>
    <w:rsid w:val="3AE42A27"/>
    <w:rsid w:val="3B043C63"/>
    <w:rsid w:val="3B382D10"/>
    <w:rsid w:val="3B3F1D1E"/>
    <w:rsid w:val="3BC71588"/>
    <w:rsid w:val="3C0D6901"/>
    <w:rsid w:val="3C104401"/>
    <w:rsid w:val="3C2C3973"/>
    <w:rsid w:val="3C33694A"/>
    <w:rsid w:val="3C683B38"/>
    <w:rsid w:val="3C6B0134"/>
    <w:rsid w:val="3C9F7A5A"/>
    <w:rsid w:val="3CF60D92"/>
    <w:rsid w:val="3D167947"/>
    <w:rsid w:val="3D324146"/>
    <w:rsid w:val="3D476E94"/>
    <w:rsid w:val="3D707081"/>
    <w:rsid w:val="3D74657F"/>
    <w:rsid w:val="3D962DB8"/>
    <w:rsid w:val="3E0755D2"/>
    <w:rsid w:val="3E116B20"/>
    <w:rsid w:val="3E171576"/>
    <w:rsid w:val="3E4D1992"/>
    <w:rsid w:val="3E59705F"/>
    <w:rsid w:val="3E5E35BC"/>
    <w:rsid w:val="3F2A73B9"/>
    <w:rsid w:val="3F443026"/>
    <w:rsid w:val="40530F18"/>
    <w:rsid w:val="40546059"/>
    <w:rsid w:val="40F202E1"/>
    <w:rsid w:val="40FD66AE"/>
    <w:rsid w:val="410938E0"/>
    <w:rsid w:val="410F6C45"/>
    <w:rsid w:val="41285F8B"/>
    <w:rsid w:val="42113DF6"/>
    <w:rsid w:val="42187FD9"/>
    <w:rsid w:val="4299188E"/>
    <w:rsid w:val="429E4757"/>
    <w:rsid w:val="43325395"/>
    <w:rsid w:val="43CF59B3"/>
    <w:rsid w:val="44CB55AC"/>
    <w:rsid w:val="45961DE8"/>
    <w:rsid w:val="45B253E8"/>
    <w:rsid w:val="46614287"/>
    <w:rsid w:val="4662784A"/>
    <w:rsid w:val="467D28D5"/>
    <w:rsid w:val="46D4137C"/>
    <w:rsid w:val="46DD5122"/>
    <w:rsid w:val="46ED53B0"/>
    <w:rsid w:val="472508B8"/>
    <w:rsid w:val="472B0085"/>
    <w:rsid w:val="47D476F9"/>
    <w:rsid w:val="482A7BEC"/>
    <w:rsid w:val="485E4A40"/>
    <w:rsid w:val="486F61DF"/>
    <w:rsid w:val="48D97E06"/>
    <w:rsid w:val="48DB5A9E"/>
    <w:rsid w:val="491A440C"/>
    <w:rsid w:val="49756D84"/>
    <w:rsid w:val="49885DFB"/>
    <w:rsid w:val="499D605D"/>
    <w:rsid w:val="49FD0201"/>
    <w:rsid w:val="4A331C29"/>
    <w:rsid w:val="4A4656CE"/>
    <w:rsid w:val="4A5E538E"/>
    <w:rsid w:val="4A9F2732"/>
    <w:rsid w:val="4AD8632C"/>
    <w:rsid w:val="4B2B2900"/>
    <w:rsid w:val="4B596F7B"/>
    <w:rsid w:val="4B5A31E5"/>
    <w:rsid w:val="4B8C1D20"/>
    <w:rsid w:val="4C390454"/>
    <w:rsid w:val="4C4A5DAF"/>
    <w:rsid w:val="4C7419B0"/>
    <w:rsid w:val="4CB84667"/>
    <w:rsid w:val="4CDD5E7C"/>
    <w:rsid w:val="4D3B74A6"/>
    <w:rsid w:val="4D502AF2"/>
    <w:rsid w:val="4D660768"/>
    <w:rsid w:val="4D6640C3"/>
    <w:rsid w:val="4D67138E"/>
    <w:rsid w:val="4DCB3F26"/>
    <w:rsid w:val="4E716E8A"/>
    <w:rsid w:val="4F1B2A34"/>
    <w:rsid w:val="500E459E"/>
    <w:rsid w:val="50164B81"/>
    <w:rsid w:val="503811D4"/>
    <w:rsid w:val="50C7132E"/>
    <w:rsid w:val="51EE0B2B"/>
    <w:rsid w:val="526112FD"/>
    <w:rsid w:val="52AE4BEB"/>
    <w:rsid w:val="52C35B14"/>
    <w:rsid w:val="530400B5"/>
    <w:rsid w:val="53D92708"/>
    <w:rsid w:val="54115E53"/>
    <w:rsid w:val="546148FC"/>
    <w:rsid w:val="54CA3D7D"/>
    <w:rsid w:val="54CF254E"/>
    <w:rsid w:val="54D236FF"/>
    <w:rsid w:val="54E05D49"/>
    <w:rsid w:val="54EB0736"/>
    <w:rsid w:val="54F13A78"/>
    <w:rsid w:val="54F505F9"/>
    <w:rsid w:val="552F7491"/>
    <w:rsid w:val="5568498D"/>
    <w:rsid w:val="558C043F"/>
    <w:rsid w:val="55A6610C"/>
    <w:rsid w:val="560806DF"/>
    <w:rsid w:val="56E81AFD"/>
    <w:rsid w:val="56F22D41"/>
    <w:rsid w:val="56FE114B"/>
    <w:rsid w:val="570A7716"/>
    <w:rsid w:val="5797531F"/>
    <w:rsid w:val="579954F5"/>
    <w:rsid w:val="58617772"/>
    <w:rsid w:val="58627B7D"/>
    <w:rsid w:val="5878114F"/>
    <w:rsid w:val="58E25ADF"/>
    <w:rsid w:val="592F5EA7"/>
    <w:rsid w:val="59374B66"/>
    <w:rsid w:val="59F115CD"/>
    <w:rsid w:val="5A6776CD"/>
    <w:rsid w:val="5BAA645A"/>
    <w:rsid w:val="5C950521"/>
    <w:rsid w:val="5CFA7B59"/>
    <w:rsid w:val="5D3F223B"/>
    <w:rsid w:val="5D423EE2"/>
    <w:rsid w:val="5D6F6250"/>
    <w:rsid w:val="5D7B5992"/>
    <w:rsid w:val="5DAB3EF2"/>
    <w:rsid w:val="5E587A58"/>
    <w:rsid w:val="5EAA35A6"/>
    <w:rsid w:val="5EE3329A"/>
    <w:rsid w:val="5FC37153"/>
    <w:rsid w:val="60065292"/>
    <w:rsid w:val="60822B6A"/>
    <w:rsid w:val="609D5BF6"/>
    <w:rsid w:val="610619ED"/>
    <w:rsid w:val="610E2C7D"/>
    <w:rsid w:val="6126799A"/>
    <w:rsid w:val="612B3202"/>
    <w:rsid w:val="61471ACE"/>
    <w:rsid w:val="61824395"/>
    <w:rsid w:val="619D21E2"/>
    <w:rsid w:val="62092E18"/>
    <w:rsid w:val="62265778"/>
    <w:rsid w:val="62567311"/>
    <w:rsid w:val="627C76E3"/>
    <w:rsid w:val="62FD297C"/>
    <w:rsid w:val="6320666B"/>
    <w:rsid w:val="63346D76"/>
    <w:rsid w:val="6352513B"/>
    <w:rsid w:val="637E5499"/>
    <w:rsid w:val="63A46EF2"/>
    <w:rsid w:val="63E85AB1"/>
    <w:rsid w:val="643375FF"/>
    <w:rsid w:val="64826E4F"/>
    <w:rsid w:val="64CD1C8A"/>
    <w:rsid w:val="657C0B99"/>
    <w:rsid w:val="65907AD8"/>
    <w:rsid w:val="65C634F9"/>
    <w:rsid w:val="65C97258"/>
    <w:rsid w:val="660C1F8B"/>
    <w:rsid w:val="660F1616"/>
    <w:rsid w:val="669E6224"/>
    <w:rsid w:val="670267B3"/>
    <w:rsid w:val="67D561A4"/>
    <w:rsid w:val="683A3D2B"/>
    <w:rsid w:val="686D5EAE"/>
    <w:rsid w:val="696C59FA"/>
    <w:rsid w:val="69913E1E"/>
    <w:rsid w:val="6A040A94"/>
    <w:rsid w:val="6A0942FC"/>
    <w:rsid w:val="6A5135AE"/>
    <w:rsid w:val="6A6C603A"/>
    <w:rsid w:val="6AD62431"/>
    <w:rsid w:val="6AE912FE"/>
    <w:rsid w:val="6B494D1F"/>
    <w:rsid w:val="6BD3071E"/>
    <w:rsid w:val="6DA2484C"/>
    <w:rsid w:val="6DE7202A"/>
    <w:rsid w:val="6EAC488C"/>
    <w:rsid w:val="6EC16F54"/>
    <w:rsid w:val="6EEC2842"/>
    <w:rsid w:val="6F5B1156"/>
    <w:rsid w:val="701B1D96"/>
    <w:rsid w:val="70AC5DF4"/>
    <w:rsid w:val="70C6670F"/>
    <w:rsid w:val="70DA57DF"/>
    <w:rsid w:val="727A7B45"/>
    <w:rsid w:val="731D4975"/>
    <w:rsid w:val="73AA6AD1"/>
    <w:rsid w:val="7443040B"/>
    <w:rsid w:val="74BA06CD"/>
    <w:rsid w:val="75581C94"/>
    <w:rsid w:val="75874327"/>
    <w:rsid w:val="76273473"/>
    <w:rsid w:val="765B7319"/>
    <w:rsid w:val="76804F78"/>
    <w:rsid w:val="768A0573"/>
    <w:rsid w:val="76CB33E9"/>
    <w:rsid w:val="77267891"/>
    <w:rsid w:val="773C7BBC"/>
    <w:rsid w:val="77F263D0"/>
    <w:rsid w:val="77F90242"/>
    <w:rsid w:val="782557C0"/>
    <w:rsid w:val="78333A60"/>
    <w:rsid w:val="784621C1"/>
    <w:rsid w:val="786202E2"/>
    <w:rsid w:val="787B0173"/>
    <w:rsid w:val="788A346A"/>
    <w:rsid w:val="78AF2513"/>
    <w:rsid w:val="78BE65E4"/>
    <w:rsid w:val="79387CB6"/>
    <w:rsid w:val="7973709D"/>
    <w:rsid w:val="7A37631C"/>
    <w:rsid w:val="7A9C2623"/>
    <w:rsid w:val="7AA2343E"/>
    <w:rsid w:val="7BBD4F47"/>
    <w:rsid w:val="7BC445E5"/>
    <w:rsid w:val="7BD06A28"/>
    <w:rsid w:val="7BF67964"/>
    <w:rsid w:val="7C680A2A"/>
    <w:rsid w:val="7D00333D"/>
    <w:rsid w:val="7D556009"/>
    <w:rsid w:val="7D6514FE"/>
    <w:rsid w:val="7DCE664D"/>
    <w:rsid w:val="7E2B100D"/>
    <w:rsid w:val="7E67737F"/>
    <w:rsid w:val="7EBB3920"/>
    <w:rsid w:val="7F2F7F0A"/>
    <w:rsid w:val="7FD10FB5"/>
    <w:rsid w:val="7FE372BB"/>
    <w:rsid w:val="7FEB1D3A"/>
    <w:rsid w:val="7FEF140B"/>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1"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qFormat="1"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 w:semiHidden="0" w:name="Subtitle"/>
    <w:lsdException w:qFormat="1" w:uiPriority="0" w:name="Salutation"/>
    <w:lsdException w:uiPriority="99" w:name="Date"/>
    <w:lsdException w:uiPriority="99" w:name="Body Text First Indent"/>
    <w:lsdException w:qFormat="1" w:unhideWhenUsed="0" w:uiPriority="9"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1"/>
    <w:pPr>
      <w:widowControl w:val="0"/>
      <w:spacing w:line="360" w:lineRule="auto"/>
      <w:ind w:firstLine="800" w:firstLineChars="200"/>
      <w:jc w:val="both"/>
    </w:pPr>
    <w:rPr>
      <w:rFonts w:ascii="宋体" w:hAnsi="宋体" w:eastAsia="宋体" w:cstheme="minorBidi"/>
      <w:kern w:val="2"/>
      <w:sz w:val="24"/>
      <w:szCs w:val="21"/>
      <w:lang w:val="en-US" w:eastAsia="zh-CN" w:bidi="ar-SA"/>
    </w:rPr>
  </w:style>
  <w:style w:type="paragraph" w:styleId="3">
    <w:name w:val="heading 1"/>
    <w:next w:val="1"/>
    <w:link w:val="52"/>
    <w:qFormat/>
    <w:uiPriority w:val="9"/>
    <w:pPr>
      <w:pageBreakBefore/>
      <w:numPr>
        <w:ilvl w:val="0"/>
        <w:numId w:val="1"/>
      </w:numPr>
      <w:spacing w:line="360" w:lineRule="auto"/>
      <w:outlineLvl w:val="0"/>
    </w:pPr>
    <w:rPr>
      <w:rFonts w:eastAsia="宋体" w:asciiTheme="minorHAnsi" w:hAnsiTheme="minorHAnsi" w:cstheme="minorBidi"/>
      <w:b/>
      <w:bCs/>
      <w:kern w:val="44"/>
      <w:sz w:val="32"/>
      <w:szCs w:val="44"/>
      <w:lang w:val="en-US" w:eastAsia="zh-CN" w:bidi="ar-SA"/>
    </w:rPr>
  </w:style>
  <w:style w:type="paragraph" w:styleId="4">
    <w:name w:val="heading 2"/>
    <w:next w:val="1"/>
    <w:link w:val="58"/>
    <w:qFormat/>
    <w:uiPriority w:val="9"/>
    <w:pPr>
      <w:keepNext/>
      <w:keepLines/>
      <w:numPr>
        <w:ilvl w:val="1"/>
        <w:numId w:val="1"/>
      </w:numPr>
      <w:spacing w:line="360" w:lineRule="auto"/>
      <w:outlineLvl w:val="1"/>
    </w:pPr>
    <w:rPr>
      <w:rFonts w:eastAsia="宋体" w:asciiTheme="majorHAnsi" w:hAnsiTheme="majorHAnsi" w:cstheme="majorBidi"/>
      <w:b/>
      <w:bCs/>
      <w:kern w:val="2"/>
      <w:sz w:val="30"/>
      <w:szCs w:val="32"/>
      <w:lang w:val="en-US" w:eastAsia="zh-CN" w:bidi="ar-SA"/>
    </w:rPr>
  </w:style>
  <w:style w:type="paragraph" w:styleId="5">
    <w:name w:val="heading 3"/>
    <w:basedOn w:val="1"/>
    <w:next w:val="1"/>
    <w:link w:val="60"/>
    <w:qFormat/>
    <w:uiPriority w:val="9"/>
    <w:pPr>
      <w:keepNext/>
      <w:keepLines/>
      <w:numPr>
        <w:ilvl w:val="2"/>
        <w:numId w:val="1"/>
      </w:numPr>
      <w:spacing w:line="240" w:lineRule="auto"/>
      <w:ind w:firstLineChars="0"/>
      <w:outlineLvl w:val="2"/>
    </w:pPr>
    <w:rPr>
      <w:rFonts w:asciiTheme="minorHAnsi" w:hAnsiTheme="minorHAnsi"/>
      <w:b/>
      <w:bCs/>
      <w:sz w:val="28"/>
      <w:szCs w:val="32"/>
    </w:rPr>
  </w:style>
  <w:style w:type="paragraph" w:styleId="6">
    <w:name w:val="heading 4"/>
    <w:next w:val="1"/>
    <w:link w:val="59"/>
    <w:qFormat/>
    <w:uiPriority w:val="9"/>
    <w:pPr>
      <w:keepNext/>
      <w:keepLines/>
      <w:numPr>
        <w:ilvl w:val="3"/>
        <w:numId w:val="1"/>
      </w:numPr>
      <w:spacing w:line="360" w:lineRule="auto"/>
      <w:outlineLvl w:val="3"/>
    </w:pPr>
    <w:rPr>
      <w:rFonts w:eastAsia="宋体" w:asciiTheme="majorHAnsi" w:hAnsiTheme="majorHAnsi" w:cstheme="majorBidi"/>
      <w:b/>
      <w:bCs/>
      <w:kern w:val="2"/>
      <w:sz w:val="24"/>
      <w:szCs w:val="28"/>
      <w:lang w:val="en-US" w:eastAsia="zh-CN" w:bidi="ar-SA"/>
    </w:rPr>
  </w:style>
  <w:style w:type="paragraph" w:styleId="7">
    <w:name w:val="heading 5"/>
    <w:next w:val="1"/>
    <w:link w:val="62"/>
    <w:qFormat/>
    <w:uiPriority w:val="9"/>
    <w:pPr>
      <w:keepNext/>
      <w:keepLines/>
      <w:numPr>
        <w:ilvl w:val="4"/>
        <w:numId w:val="1"/>
      </w:numPr>
      <w:spacing w:line="360" w:lineRule="auto"/>
      <w:outlineLvl w:val="4"/>
    </w:pPr>
    <w:rPr>
      <w:rFonts w:eastAsia="宋体" w:asciiTheme="minorHAnsi" w:hAnsiTheme="minorHAnsi" w:cstheme="minorBidi"/>
      <w:b/>
      <w:bCs/>
      <w:kern w:val="2"/>
      <w:sz w:val="24"/>
      <w:szCs w:val="28"/>
      <w:lang w:val="en-US" w:eastAsia="zh-CN" w:bidi="ar-SA"/>
    </w:rPr>
  </w:style>
  <w:style w:type="paragraph" w:styleId="8">
    <w:name w:val="heading 6"/>
    <w:basedOn w:val="1"/>
    <w:next w:val="1"/>
    <w:link w:val="51"/>
    <w:qFormat/>
    <w:uiPriority w:val="9"/>
    <w:pPr>
      <w:keepNext/>
      <w:keepLines/>
      <w:numPr>
        <w:ilvl w:val="5"/>
        <w:numId w:val="1"/>
      </w:numPr>
      <w:outlineLvl w:val="5"/>
    </w:pPr>
    <w:rPr>
      <w:rFonts w:asciiTheme="majorHAnsi" w:hAnsiTheme="majorHAnsi" w:cstheme="majorBidi"/>
      <w:b/>
      <w:bCs/>
      <w:szCs w:val="24"/>
    </w:rPr>
  </w:style>
  <w:style w:type="paragraph" w:styleId="9">
    <w:name w:val="heading 7"/>
    <w:next w:val="1"/>
    <w:link w:val="49"/>
    <w:qFormat/>
    <w:uiPriority w:val="9"/>
    <w:pPr>
      <w:keepNext/>
      <w:keepLines/>
      <w:numPr>
        <w:ilvl w:val="6"/>
        <w:numId w:val="1"/>
      </w:numPr>
      <w:spacing w:line="360" w:lineRule="auto"/>
      <w:outlineLvl w:val="6"/>
    </w:pPr>
    <w:rPr>
      <w:rFonts w:eastAsia="宋体" w:asciiTheme="minorHAnsi" w:hAnsiTheme="minorHAnsi" w:cstheme="minorBidi"/>
      <w:b/>
      <w:bCs/>
      <w:kern w:val="2"/>
      <w:sz w:val="24"/>
      <w:szCs w:val="24"/>
      <w:lang w:val="en-US" w:eastAsia="zh-CN" w:bidi="ar-SA"/>
    </w:rPr>
  </w:style>
  <w:style w:type="paragraph" w:styleId="10">
    <w:name w:val="heading 8"/>
    <w:next w:val="1"/>
    <w:link w:val="56"/>
    <w:qFormat/>
    <w:uiPriority w:val="9"/>
    <w:pPr>
      <w:keepNext/>
      <w:keepLines/>
      <w:numPr>
        <w:ilvl w:val="7"/>
        <w:numId w:val="1"/>
      </w:numPr>
      <w:spacing w:line="360" w:lineRule="auto"/>
      <w:outlineLvl w:val="7"/>
    </w:pPr>
    <w:rPr>
      <w:rFonts w:eastAsia="宋体" w:asciiTheme="majorHAnsi" w:hAnsiTheme="majorHAnsi" w:cstheme="majorBidi"/>
      <w:b/>
      <w:kern w:val="2"/>
      <w:sz w:val="24"/>
      <w:szCs w:val="24"/>
      <w:lang w:val="en-US" w:eastAsia="zh-CN" w:bidi="ar-SA"/>
    </w:rPr>
  </w:style>
  <w:style w:type="paragraph" w:styleId="11">
    <w:name w:val="heading 9"/>
    <w:next w:val="1"/>
    <w:link w:val="50"/>
    <w:qFormat/>
    <w:uiPriority w:val="9"/>
    <w:pPr>
      <w:keepNext/>
      <w:keepLines/>
      <w:numPr>
        <w:ilvl w:val="8"/>
        <w:numId w:val="1"/>
      </w:numPr>
      <w:spacing w:line="360" w:lineRule="auto"/>
      <w:outlineLvl w:val="8"/>
    </w:pPr>
    <w:rPr>
      <w:rFonts w:eastAsia="宋体" w:asciiTheme="majorHAnsi" w:hAnsiTheme="majorHAnsi" w:cstheme="majorBidi"/>
      <w:b/>
      <w:kern w:val="2"/>
      <w:sz w:val="24"/>
      <w:szCs w:val="21"/>
      <w:lang w:val="en-US" w:eastAsia="zh-CN" w:bidi="ar-SA"/>
    </w:rPr>
  </w:style>
  <w:style w:type="character" w:default="1" w:styleId="35">
    <w:name w:val="Default Paragraph Font"/>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macro"/>
    <w:link w:val="159"/>
    <w:semiHidden/>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Normal Indent"/>
    <w:basedOn w:val="1"/>
    <w:semiHidden/>
    <w:unhideWhenUsed/>
    <w:qFormat/>
    <w:uiPriority w:val="99"/>
    <w:pPr>
      <w:ind w:firstLine="420"/>
    </w:pPr>
    <w:rPr>
      <w:szCs w:val="22"/>
    </w:rPr>
  </w:style>
  <w:style w:type="paragraph" w:styleId="13">
    <w:name w:val="caption"/>
    <w:basedOn w:val="1"/>
    <w:next w:val="1"/>
    <w:link w:val="61"/>
    <w:qFormat/>
    <w:uiPriority w:val="99"/>
    <w:pPr>
      <w:jc w:val="center"/>
    </w:pPr>
    <w:rPr>
      <w:rFonts w:asciiTheme="majorHAnsi" w:hAnsiTheme="majorHAnsi" w:cstheme="majorBidi"/>
      <w:b/>
      <w:sz w:val="21"/>
      <w:szCs w:val="20"/>
    </w:rPr>
  </w:style>
  <w:style w:type="paragraph" w:styleId="14">
    <w:name w:val="toa heading"/>
    <w:basedOn w:val="1"/>
    <w:next w:val="1"/>
    <w:qFormat/>
    <w:uiPriority w:val="0"/>
    <w:pPr>
      <w:spacing w:before="120" w:line="240" w:lineRule="auto"/>
    </w:pPr>
    <w:rPr>
      <w:rFonts w:ascii="Arial" w:hAnsi="Arial" w:eastAsia="仿宋_GB2312" w:cs="Arial"/>
    </w:rPr>
  </w:style>
  <w:style w:type="paragraph" w:styleId="15">
    <w:name w:val="annotation text"/>
    <w:basedOn w:val="1"/>
    <w:link w:val="86"/>
    <w:unhideWhenUsed/>
    <w:qFormat/>
    <w:uiPriority w:val="99"/>
    <w:pPr>
      <w:jc w:val="left"/>
    </w:pPr>
  </w:style>
  <w:style w:type="paragraph" w:styleId="16">
    <w:name w:val="Salutation"/>
    <w:basedOn w:val="1"/>
    <w:next w:val="1"/>
    <w:link w:val="126"/>
    <w:semiHidden/>
    <w:unhideWhenUsed/>
    <w:qFormat/>
    <w:uiPriority w:val="0"/>
    <w:rPr>
      <w:rFonts w:cs="Times New Roman"/>
      <w:sz w:val="21"/>
    </w:rPr>
  </w:style>
  <w:style w:type="paragraph" w:styleId="17">
    <w:name w:val="Body Text"/>
    <w:basedOn w:val="1"/>
    <w:next w:val="1"/>
    <w:link w:val="103"/>
    <w:unhideWhenUsed/>
    <w:qFormat/>
    <w:uiPriority w:val="99"/>
    <w:pPr>
      <w:spacing w:after="120"/>
    </w:pPr>
    <w:rPr>
      <w:szCs w:val="22"/>
    </w:rPr>
  </w:style>
  <w:style w:type="paragraph" w:styleId="18">
    <w:name w:val="Body Text Indent"/>
    <w:basedOn w:val="1"/>
    <w:link w:val="66"/>
    <w:semiHidden/>
    <w:unhideWhenUsed/>
    <w:qFormat/>
    <w:uiPriority w:val="99"/>
    <w:pPr>
      <w:spacing w:after="120"/>
      <w:ind w:left="420" w:leftChars="200"/>
    </w:pPr>
  </w:style>
  <w:style w:type="paragraph" w:styleId="19">
    <w:name w:val="toc 3"/>
    <w:basedOn w:val="1"/>
    <w:next w:val="1"/>
    <w:unhideWhenUsed/>
    <w:qFormat/>
    <w:uiPriority w:val="39"/>
    <w:pPr>
      <w:ind w:left="840" w:leftChars="400"/>
    </w:pPr>
  </w:style>
  <w:style w:type="paragraph" w:styleId="20">
    <w:name w:val="Plain Text"/>
    <w:basedOn w:val="1"/>
    <w:link w:val="104"/>
    <w:qFormat/>
    <w:uiPriority w:val="99"/>
    <w:rPr>
      <w:rFonts w:hAnsi="Courier New" w:cs="Courier New" w:eastAsiaTheme="minorEastAsia"/>
      <w:sz w:val="21"/>
      <w:szCs w:val="22"/>
    </w:rPr>
  </w:style>
  <w:style w:type="paragraph" w:styleId="21">
    <w:name w:val="Balloon Text"/>
    <w:basedOn w:val="1"/>
    <w:link w:val="107"/>
    <w:semiHidden/>
    <w:unhideWhenUsed/>
    <w:qFormat/>
    <w:uiPriority w:val="99"/>
    <w:pPr>
      <w:spacing w:line="240" w:lineRule="auto"/>
    </w:pPr>
    <w:rPr>
      <w:sz w:val="18"/>
      <w:szCs w:val="18"/>
    </w:rPr>
  </w:style>
  <w:style w:type="paragraph" w:styleId="22">
    <w:name w:val="footer"/>
    <w:basedOn w:val="1"/>
    <w:link w:val="45"/>
    <w:qFormat/>
    <w:uiPriority w:val="99"/>
    <w:pPr>
      <w:tabs>
        <w:tab w:val="center" w:pos="4153"/>
        <w:tab w:val="right" w:pos="8306"/>
      </w:tabs>
      <w:snapToGrid w:val="0"/>
      <w:spacing w:line="240" w:lineRule="auto"/>
      <w:jc w:val="center"/>
    </w:pPr>
    <w:rPr>
      <w:rFonts w:asciiTheme="minorHAnsi" w:hAnsiTheme="minorHAnsi"/>
      <w:sz w:val="18"/>
      <w:szCs w:val="18"/>
    </w:rPr>
  </w:style>
  <w:style w:type="paragraph" w:styleId="23">
    <w:name w:val="header"/>
    <w:link w:val="44"/>
    <w:qFormat/>
    <w:uiPriority w:val="99"/>
    <w:pPr>
      <w:pBdr>
        <w:bottom w:val="single" w:color="auto" w:sz="6" w:space="1"/>
      </w:pBdr>
      <w:tabs>
        <w:tab w:val="center" w:pos="4153"/>
        <w:tab w:val="right" w:pos="8306"/>
      </w:tabs>
      <w:snapToGrid w:val="0"/>
      <w:jc w:val="center"/>
    </w:pPr>
    <w:rPr>
      <w:rFonts w:eastAsia="宋体" w:asciiTheme="minorHAnsi" w:hAnsiTheme="minorHAnsi" w:cstheme="minorBidi"/>
      <w:b/>
      <w:kern w:val="2"/>
      <w:sz w:val="18"/>
      <w:szCs w:val="18"/>
      <w:lang w:val="en-US" w:eastAsia="zh-CN" w:bidi="ar-SA"/>
    </w:rPr>
  </w:style>
  <w:style w:type="paragraph" w:styleId="24">
    <w:name w:val="toc 1"/>
    <w:basedOn w:val="1"/>
    <w:next w:val="1"/>
    <w:unhideWhenUsed/>
    <w:qFormat/>
    <w:uiPriority w:val="39"/>
  </w:style>
  <w:style w:type="paragraph" w:styleId="25">
    <w:name w:val="Subtitle"/>
    <w:basedOn w:val="20"/>
    <w:next w:val="1"/>
    <w:link w:val="83"/>
    <w:qFormat/>
    <w:uiPriority w:val="9"/>
    <w:pPr>
      <w:spacing w:before="100" w:beforeLines="100" w:after="100" w:afterLines="100"/>
      <w:jc w:val="center"/>
    </w:pPr>
    <w:rPr>
      <w:rFonts w:eastAsia="宋体" w:asciiTheme="minorEastAsia"/>
      <w:b/>
      <w:bCs/>
      <w:kern w:val="28"/>
      <w:sz w:val="32"/>
      <w:szCs w:val="32"/>
    </w:rPr>
  </w:style>
  <w:style w:type="paragraph" w:styleId="26">
    <w:name w:val="footnote text"/>
    <w:basedOn w:val="1"/>
    <w:link w:val="102"/>
    <w:semiHidden/>
    <w:unhideWhenUsed/>
    <w:qFormat/>
    <w:uiPriority w:val="99"/>
    <w:pPr>
      <w:snapToGrid w:val="0"/>
      <w:jc w:val="left"/>
    </w:pPr>
    <w:rPr>
      <w:rFonts w:ascii="Cambria" w:hAnsi="Cambria"/>
      <w:sz w:val="18"/>
      <w:szCs w:val="18"/>
    </w:rPr>
  </w:style>
  <w:style w:type="paragraph" w:styleId="27">
    <w:name w:val="toc 2"/>
    <w:basedOn w:val="1"/>
    <w:next w:val="1"/>
    <w:unhideWhenUsed/>
    <w:qFormat/>
    <w:uiPriority w:val="39"/>
    <w:pPr>
      <w:ind w:left="420" w:leftChars="200"/>
    </w:pPr>
  </w:style>
  <w:style w:type="paragraph" w:styleId="28">
    <w:name w:val="Body Text 2"/>
    <w:basedOn w:val="1"/>
    <w:link w:val="123"/>
    <w:unhideWhenUsed/>
    <w:qFormat/>
    <w:uiPriority w:val="99"/>
    <w:pPr>
      <w:autoSpaceDE w:val="0"/>
      <w:autoSpaceDN w:val="0"/>
      <w:spacing w:after="120" w:line="480" w:lineRule="auto"/>
      <w:ind w:firstLine="880"/>
    </w:pPr>
    <w:rPr>
      <w:rFonts w:cs="黑体"/>
    </w:rPr>
  </w:style>
  <w:style w:type="paragraph" w:styleId="29">
    <w:name w:val="Normal (Web)"/>
    <w:basedOn w:val="1"/>
    <w:link w:val="105"/>
    <w:qFormat/>
    <w:uiPriority w:val="99"/>
    <w:pPr>
      <w:widowControl/>
      <w:spacing w:before="100" w:beforeAutospacing="1" w:after="100" w:afterAutospacing="1" w:line="240" w:lineRule="auto"/>
      <w:jc w:val="left"/>
    </w:pPr>
    <w:rPr>
      <w:color w:val="000000"/>
      <w:kern w:val="0"/>
      <w:szCs w:val="24"/>
    </w:rPr>
  </w:style>
  <w:style w:type="paragraph" w:styleId="30">
    <w:name w:val="Title"/>
    <w:basedOn w:val="1"/>
    <w:qFormat/>
    <w:uiPriority w:val="10"/>
    <w:pPr>
      <w:spacing w:line="240" w:lineRule="auto"/>
      <w:jc w:val="center"/>
    </w:pPr>
    <w:rPr>
      <w:rFonts w:ascii="Arial" w:hAnsi="Arial"/>
      <w:b/>
      <w:sz w:val="48"/>
      <w:szCs w:val="40"/>
    </w:rPr>
  </w:style>
  <w:style w:type="paragraph" w:styleId="31">
    <w:name w:val="annotation subject"/>
    <w:basedOn w:val="15"/>
    <w:next w:val="15"/>
    <w:link w:val="106"/>
    <w:semiHidden/>
    <w:unhideWhenUsed/>
    <w:qFormat/>
    <w:uiPriority w:val="99"/>
    <w:rPr>
      <w:b/>
      <w:bCs/>
    </w:rPr>
  </w:style>
  <w:style w:type="paragraph" w:styleId="32">
    <w:name w:val="Body Text First Indent 2"/>
    <w:basedOn w:val="18"/>
    <w:link w:val="67"/>
    <w:qFormat/>
    <w:uiPriority w:val="9"/>
    <w:pPr>
      <w:spacing w:after="0"/>
      <w:ind w:left="0" w:leftChars="0" w:firstLine="200"/>
    </w:pPr>
  </w:style>
  <w:style w:type="table" w:styleId="34">
    <w:name w:val="Table Grid"/>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22"/>
    <w:rPr>
      <w:rFonts w:ascii="Arial" w:hAnsi="Arial" w:eastAsia="微软雅黑"/>
      <w:b/>
      <w:color w:val="auto"/>
      <w:u w:val="single"/>
    </w:rPr>
  </w:style>
  <w:style w:type="character" w:styleId="37">
    <w:name w:val="FollowedHyperlink"/>
    <w:basedOn w:val="35"/>
    <w:semiHidden/>
    <w:unhideWhenUsed/>
    <w:qFormat/>
    <w:uiPriority w:val="99"/>
    <w:rPr>
      <w:color w:val="7E1FAD"/>
      <w:u w:val="single"/>
    </w:rPr>
  </w:style>
  <w:style w:type="character" w:styleId="38">
    <w:name w:val="Emphasis"/>
    <w:basedOn w:val="35"/>
    <w:qFormat/>
    <w:uiPriority w:val="20"/>
    <w:rPr>
      <w:b/>
      <w:i/>
      <w:iCs/>
    </w:rPr>
  </w:style>
  <w:style w:type="character" w:styleId="39">
    <w:name w:val="Hyperlink"/>
    <w:basedOn w:val="35"/>
    <w:unhideWhenUsed/>
    <w:qFormat/>
    <w:uiPriority w:val="99"/>
    <w:rPr>
      <w:color w:val="467886" w:themeColor="hyperlink"/>
      <w:u w:val="single"/>
      <w14:textFill>
        <w14:solidFill>
          <w14:schemeClr w14:val="hlink"/>
        </w14:solidFill>
      </w14:textFill>
    </w:rPr>
  </w:style>
  <w:style w:type="character" w:styleId="40">
    <w:name w:val="annotation reference"/>
    <w:basedOn w:val="35"/>
    <w:semiHidden/>
    <w:unhideWhenUsed/>
    <w:qFormat/>
    <w:uiPriority w:val="99"/>
    <w:rPr>
      <w:sz w:val="21"/>
      <w:szCs w:val="21"/>
    </w:rPr>
  </w:style>
  <w:style w:type="paragraph" w:customStyle="1" w:styleId="41">
    <w:name w:val="一级条标题"/>
    <w:basedOn w:val="42"/>
    <w:next w:val="43"/>
    <w:qFormat/>
    <w:uiPriority w:val="0"/>
    <w:pPr>
      <w:numPr>
        <w:ilvl w:val="2"/>
        <w:numId w:val="2"/>
      </w:numPr>
      <w:outlineLvl w:val="2"/>
    </w:pPr>
    <w:rPr>
      <w:rFonts w:cstheme="minorBidi"/>
    </w:rPr>
  </w:style>
  <w:style w:type="paragraph" w:customStyle="1" w:styleId="42">
    <w:name w:val="章标题"/>
    <w:next w:val="1"/>
    <w:qFormat/>
    <w:uiPriority w:val="0"/>
    <w:pPr>
      <w:spacing w:beforeLines="50" w:afterLines="50"/>
      <w:ind w:left="1620"/>
      <w:jc w:val="both"/>
      <w:outlineLvl w:val="1"/>
    </w:pPr>
    <w:rPr>
      <w:rFonts w:eastAsia="黑体" w:cs="Calibri" w:asciiTheme="minorHAnsi" w:hAnsiTheme="minorHAnsi"/>
      <w:kern w:val="2"/>
      <w:sz w:val="21"/>
      <w:szCs w:val="21"/>
      <w:lang w:val="en-US" w:eastAsia="zh-CN" w:bidi="ar-SA"/>
    </w:rPr>
  </w:style>
  <w:style w:type="paragraph" w:customStyle="1" w:styleId="43">
    <w:name w:val="段"/>
    <w:next w:val="1"/>
    <w:qFormat/>
    <w:uiPriority w:val="0"/>
    <w:pPr>
      <w:autoSpaceDE w:val="0"/>
      <w:autoSpaceDN w:val="0"/>
      <w:ind w:firstLine="200" w:firstLineChars="200"/>
      <w:jc w:val="both"/>
    </w:pPr>
    <w:rPr>
      <w:rFonts w:ascii="宋体" w:cs="Calibri" w:hAnsiTheme="minorHAnsi" w:eastAsiaTheme="minorEastAsia"/>
      <w:kern w:val="2"/>
      <w:sz w:val="21"/>
      <w:szCs w:val="21"/>
      <w:lang w:val="en-US" w:eastAsia="zh-CN" w:bidi="ar-SA"/>
    </w:rPr>
  </w:style>
  <w:style w:type="character" w:customStyle="1" w:styleId="44">
    <w:name w:val="页眉 字符"/>
    <w:basedOn w:val="35"/>
    <w:link w:val="23"/>
    <w:qFormat/>
    <w:uiPriority w:val="99"/>
    <w:rPr>
      <w:rFonts w:eastAsia="宋体"/>
      <w:b/>
      <w:sz w:val="18"/>
      <w:szCs w:val="18"/>
    </w:rPr>
  </w:style>
  <w:style w:type="character" w:customStyle="1" w:styleId="45">
    <w:name w:val="页脚 字符"/>
    <w:basedOn w:val="35"/>
    <w:link w:val="22"/>
    <w:qFormat/>
    <w:uiPriority w:val="99"/>
    <w:rPr>
      <w:rFonts w:eastAsia="宋体"/>
      <w:sz w:val="18"/>
      <w:szCs w:val="18"/>
    </w:rPr>
  </w:style>
  <w:style w:type="paragraph" w:customStyle="1" w:styleId="46">
    <w:name w:val="y.正文"/>
    <w:basedOn w:val="1"/>
    <w:link w:val="47"/>
    <w:qFormat/>
    <w:uiPriority w:val="0"/>
    <w:pPr>
      <w:spacing w:line="240" w:lineRule="auto"/>
    </w:pPr>
    <w:rPr>
      <w:rFonts w:hint="eastAsia" w:cs="Times New Roman"/>
      <w:sz w:val="28"/>
    </w:rPr>
  </w:style>
  <w:style w:type="character" w:customStyle="1" w:styleId="47">
    <w:name w:val="y.正文 字符"/>
    <w:basedOn w:val="35"/>
    <w:link w:val="46"/>
    <w:qFormat/>
    <w:uiPriority w:val="0"/>
    <w:rPr>
      <w:rFonts w:hint="eastAsia" w:ascii="宋体" w:hAnsi="宋体" w:eastAsia="宋体" w:cs="宋体"/>
      <w:sz w:val="28"/>
    </w:rPr>
  </w:style>
  <w:style w:type="character" w:customStyle="1" w:styleId="48">
    <w:name w:val="标题 5 字符"/>
    <w:basedOn w:val="35"/>
    <w:qFormat/>
    <w:uiPriority w:val="9"/>
    <w:rPr>
      <w:rFonts w:eastAsia="宋体"/>
      <w:b/>
      <w:bCs/>
      <w:sz w:val="24"/>
      <w:szCs w:val="28"/>
    </w:rPr>
  </w:style>
  <w:style w:type="character" w:customStyle="1" w:styleId="49">
    <w:name w:val="标题 7 字符"/>
    <w:basedOn w:val="35"/>
    <w:link w:val="9"/>
    <w:qFormat/>
    <w:uiPriority w:val="9"/>
    <w:rPr>
      <w:rFonts w:asciiTheme="minorHAnsi" w:hAnsiTheme="minorHAnsi" w:cstheme="minorBidi"/>
      <w:b/>
      <w:bCs/>
      <w:kern w:val="2"/>
      <w:sz w:val="24"/>
      <w:szCs w:val="24"/>
    </w:rPr>
  </w:style>
  <w:style w:type="character" w:customStyle="1" w:styleId="50">
    <w:name w:val="标题 9 字符"/>
    <w:basedOn w:val="35"/>
    <w:link w:val="11"/>
    <w:qFormat/>
    <w:uiPriority w:val="9"/>
    <w:rPr>
      <w:rFonts w:asciiTheme="majorHAnsi" w:hAnsiTheme="majorHAnsi" w:cstheme="majorBidi"/>
      <w:b/>
      <w:kern w:val="2"/>
      <w:sz w:val="24"/>
      <w:szCs w:val="21"/>
    </w:rPr>
  </w:style>
  <w:style w:type="character" w:customStyle="1" w:styleId="51">
    <w:name w:val="标题 6 字符"/>
    <w:basedOn w:val="35"/>
    <w:link w:val="8"/>
    <w:qFormat/>
    <w:uiPriority w:val="9"/>
    <w:rPr>
      <w:rFonts w:asciiTheme="majorHAnsi" w:hAnsiTheme="majorHAnsi" w:cstheme="majorBidi"/>
      <w:b/>
      <w:bCs/>
      <w:kern w:val="2"/>
      <w:sz w:val="24"/>
      <w:szCs w:val="24"/>
    </w:rPr>
  </w:style>
  <w:style w:type="character" w:customStyle="1" w:styleId="52">
    <w:name w:val="标题 1 字符"/>
    <w:basedOn w:val="35"/>
    <w:link w:val="3"/>
    <w:qFormat/>
    <w:uiPriority w:val="9"/>
    <w:rPr>
      <w:rFonts w:asciiTheme="minorHAnsi" w:hAnsiTheme="minorHAnsi" w:cstheme="minorBidi"/>
      <w:b/>
      <w:bCs/>
      <w:kern w:val="44"/>
      <w:sz w:val="32"/>
      <w:szCs w:val="44"/>
    </w:rPr>
  </w:style>
  <w:style w:type="character" w:customStyle="1" w:styleId="53">
    <w:name w:val="标题 2 字符"/>
    <w:basedOn w:val="35"/>
    <w:qFormat/>
    <w:uiPriority w:val="9"/>
    <w:rPr>
      <w:rFonts w:eastAsia="宋体" w:asciiTheme="majorHAnsi" w:hAnsiTheme="majorHAnsi" w:cstheme="majorBidi"/>
      <w:b/>
      <w:bCs/>
      <w:sz w:val="30"/>
      <w:szCs w:val="32"/>
    </w:rPr>
  </w:style>
  <w:style w:type="character" w:customStyle="1" w:styleId="54">
    <w:name w:val="标题 3 字符"/>
    <w:basedOn w:val="35"/>
    <w:qFormat/>
    <w:uiPriority w:val="9"/>
    <w:rPr>
      <w:rFonts w:eastAsia="宋体"/>
      <w:b/>
      <w:bCs/>
      <w:sz w:val="28"/>
      <w:szCs w:val="32"/>
    </w:rPr>
  </w:style>
  <w:style w:type="character" w:customStyle="1" w:styleId="55">
    <w:name w:val="标题 4 字符"/>
    <w:basedOn w:val="35"/>
    <w:qFormat/>
    <w:uiPriority w:val="9"/>
    <w:rPr>
      <w:rFonts w:eastAsia="宋体" w:asciiTheme="majorHAnsi" w:hAnsiTheme="majorHAnsi" w:cstheme="majorBidi"/>
      <w:b/>
      <w:bCs/>
      <w:sz w:val="24"/>
      <w:szCs w:val="28"/>
    </w:rPr>
  </w:style>
  <w:style w:type="character" w:customStyle="1" w:styleId="56">
    <w:name w:val="标题 8 字符"/>
    <w:basedOn w:val="35"/>
    <w:link w:val="10"/>
    <w:qFormat/>
    <w:uiPriority w:val="9"/>
    <w:rPr>
      <w:rFonts w:asciiTheme="majorHAnsi" w:hAnsiTheme="majorHAnsi" w:cstheme="majorBidi"/>
      <w:b/>
      <w:kern w:val="2"/>
      <w:sz w:val="24"/>
      <w:szCs w:val="24"/>
    </w:rPr>
  </w:style>
  <w:style w:type="character" w:customStyle="1" w:styleId="57">
    <w:name w:val="标题 1 字符1"/>
    <w:basedOn w:val="35"/>
    <w:qFormat/>
    <w:uiPriority w:val="9"/>
    <w:rPr>
      <w:rFonts w:eastAsia="宋体"/>
      <w:b/>
      <w:bCs/>
      <w:kern w:val="44"/>
      <w:sz w:val="32"/>
      <w:szCs w:val="44"/>
    </w:rPr>
  </w:style>
  <w:style w:type="character" w:customStyle="1" w:styleId="58">
    <w:name w:val="标题 2 字符1"/>
    <w:basedOn w:val="35"/>
    <w:link w:val="4"/>
    <w:qFormat/>
    <w:uiPriority w:val="9"/>
    <w:rPr>
      <w:rFonts w:asciiTheme="majorHAnsi" w:hAnsiTheme="majorHAnsi" w:cstheme="majorBidi"/>
      <w:b/>
      <w:bCs/>
      <w:kern w:val="2"/>
      <w:sz w:val="30"/>
      <w:szCs w:val="32"/>
    </w:rPr>
  </w:style>
  <w:style w:type="character" w:customStyle="1" w:styleId="59">
    <w:name w:val="标题 4 字符1"/>
    <w:basedOn w:val="35"/>
    <w:link w:val="6"/>
    <w:qFormat/>
    <w:uiPriority w:val="9"/>
    <w:rPr>
      <w:rFonts w:asciiTheme="majorHAnsi" w:hAnsiTheme="majorHAnsi" w:cstheme="majorBidi"/>
      <w:b/>
      <w:bCs/>
      <w:kern w:val="2"/>
      <w:sz w:val="24"/>
      <w:szCs w:val="28"/>
    </w:rPr>
  </w:style>
  <w:style w:type="character" w:customStyle="1" w:styleId="60">
    <w:name w:val="标题 3 字符1"/>
    <w:basedOn w:val="35"/>
    <w:link w:val="5"/>
    <w:qFormat/>
    <w:uiPriority w:val="9"/>
    <w:rPr>
      <w:rFonts w:eastAsia="宋体" w:asciiTheme="minorHAnsi" w:hAnsiTheme="minorHAnsi" w:cstheme="minorBidi"/>
      <w:b/>
      <w:bCs/>
      <w:kern w:val="2"/>
      <w:sz w:val="28"/>
      <w:szCs w:val="32"/>
    </w:rPr>
  </w:style>
  <w:style w:type="character" w:customStyle="1" w:styleId="61">
    <w:name w:val="题注 字符"/>
    <w:link w:val="13"/>
    <w:qFormat/>
    <w:uiPriority w:val="99"/>
    <w:rPr>
      <w:rFonts w:eastAsia="宋体" w:asciiTheme="majorHAnsi" w:hAnsiTheme="majorHAnsi" w:cstheme="majorBidi"/>
      <w:b/>
      <w:szCs w:val="20"/>
    </w:rPr>
  </w:style>
  <w:style w:type="character" w:customStyle="1" w:styleId="62">
    <w:name w:val="标题 5 字符1"/>
    <w:basedOn w:val="35"/>
    <w:link w:val="7"/>
    <w:qFormat/>
    <w:uiPriority w:val="9"/>
    <w:rPr>
      <w:rFonts w:asciiTheme="minorHAnsi" w:hAnsiTheme="minorHAnsi" w:cstheme="minorBidi"/>
      <w:b/>
      <w:bCs/>
      <w:kern w:val="2"/>
      <w:sz w:val="24"/>
      <w:szCs w:val="28"/>
    </w:rPr>
  </w:style>
  <w:style w:type="paragraph" w:customStyle="1" w:styleId="63">
    <w:name w:val="正文360首行缩进"/>
    <w:basedOn w:val="1"/>
    <w:qFormat/>
    <w:uiPriority w:val="0"/>
    <w:rPr>
      <w:rFonts w:hint="eastAsia" w:cs="Times New Roman"/>
      <w:sz w:val="28"/>
    </w:rPr>
  </w:style>
  <w:style w:type="paragraph" w:customStyle="1" w:styleId="64">
    <w:name w:val="方案正文w"/>
    <w:basedOn w:val="1"/>
    <w:qFormat/>
    <w:uiPriority w:val="0"/>
    <w:pPr>
      <w:adjustRightInd w:val="0"/>
      <w:snapToGrid w:val="0"/>
    </w:pPr>
    <w:rPr>
      <w:rFonts w:hint="eastAsia" w:ascii="仿宋_GB2312" w:cs="Times New Roman"/>
      <w:color w:val="000000"/>
      <w:sz w:val="28"/>
    </w:rPr>
  </w:style>
  <w:style w:type="paragraph" w:customStyle="1" w:styleId="65">
    <w:name w:val="正文首行缩进1"/>
    <w:basedOn w:val="1"/>
    <w:qFormat/>
    <w:uiPriority w:val="0"/>
    <w:pPr>
      <w:spacing w:beforeAutospacing="1" w:afterAutospacing="1"/>
      <w:ind w:left="238"/>
    </w:pPr>
    <w:rPr>
      <w:rFonts w:hint="eastAsia" w:cs="Times New Roman"/>
    </w:rPr>
  </w:style>
  <w:style w:type="character" w:customStyle="1" w:styleId="66">
    <w:name w:val="正文文本缩进 字符"/>
    <w:basedOn w:val="35"/>
    <w:link w:val="18"/>
    <w:semiHidden/>
    <w:qFormat/>
    <w:uiPriority w:val="99"/>
    <w:rPr>
      <w:rFonts w:ascii="宋体" w:hAnsi="宋体" w:cstheme="minorBidi"/>
      <w:kern w:val="2"/>
      <w:sz w:val="24"/>
      <w:szCs w:val="21"/>
    </w:rPr>
  </w:style>
  <w:style w:type="character" w:customStyle="1" w:styleId="67">
    <w:name w:val="正文文本首行缩进 2 字符"/>
    <w:basedOn w:val="66"/>
    <w:link w:val="32"/>
    <w:qFormat/>
    <w:uiPriority w:val="9"/>
    <w:rPr>
      <w:rFonts w:ascii="宋体" w:hAnsi="宋体" w:eastAsia="宋体" w:cstheme="minorBidi"/>
      <w:kern w:val="2"/>
      <w:sz w:val="24"/>
      <w:szCs w:val="21"/>
    </w:rPr>
  </w:style>
  <w:style w:type="character" w:customStyle="1" w:styleId="68">
    <w:name w:val="font61"/>
    <w:basedOn w:val="35"/>
    <w:qFormat/>
    <w:uiPriority w:val="0"/>
    <w:rPr>
      <w:rFonts w:hint="eastAsia" w:ascii="宋体" w:hAnsi="宋体" w:eastAsia="宋体" w:cs="宋体"/>
      <w:color w:val="000000"/>
      <w:sz w:val="24"/>
      <w:szCs w:val="24"/>
      <w:u w:val="none"/>
    </w:rPr>
  </w:style>
  <w:style w:type="paragraph" w:customStyle="1" w:styleId="69">
    <w:name w:val="null3"/>
    <w:hidden/>
    <w:qFormat/>
    <w:uiPriority w:val="0"/>
    <w:rPr>
      <w:rFonts w:hint="eastAsia" w:asciiTheme="minorHAnsi" w:hAnsiTheme="minorHAnsi" w:eastAsiaTheme="minorEastAsia" w:cstheme="minorBidi"/>
      <w:kern w:val="2"/>
      <w:sz w:val="21"/>
      <w:szCs w:val="21"/>
      <w:lang w:val="en-US" w:eastAsia="zh-Hans" w:bidi="ar-SA"/>
    </w:rPr>
  </w:style>
  <w:style w:type="paragraph" w:customStyle="1" w:styleId="70">
    <w:name w:val="_正文"/>
    <w:basedOn w:val="1"/>
    <w:link w:val="87"/>
    <w:qFormat/>
    <w:uiPriority w:val="0"/>
    <w:rPr>
      <w:rFonts w:cs="Times New Roman"/>
    </w:rPr>
  </w:style>
  <w:style w:type="paragraph" w:customStyle="1" w:styleId="71">
    <w:name w:val="分类号"/>
    <w:basedOn w:val="1"/>
    <w:qFormat/>
    <w:uiPriority w:val="0"/>
    <w:pPr>
      <w:spacing w:line="240" w:lineRule="auto"/>
    </w:pPr>
    <w:rPr>
      <w:rFonts w:ascii="仿宋_GB2312" w:hAnsi="Times New Roman" w:eastAsia="仿宋_GB2312" w:cs="Times New Roman"/>
      <w:sz w:val="28"/>
      <w:szCs w:val="28"/>
    </w:rPr>
  </w:style>
  <w:style w:type="paragraph" w:customStyle="1" w:styleId="72">
    <w:name w:val="封面日期"/>
    <w:basedOn w:val="1"/>
    <w:qFormat/>
    <w:uiPriority w:val="0"/>
    <w:pPr>
      <w:spacing w:line="240" w:lineRule="auto"/>
      <w:jc w:val="center"/>
    </w:pPr>
    <w:rPr>
      <w:rFonts w:ascii="黑体" w:hAnsi="Times New Roman" w:eastAsia="黑体" w:cs="Times New Roman"/>
      <w:sz w:val="32"/>
      <w:szCs w:val="32"/>
    </w:rPr>
  </w:style>
  <w:style w:type="paragraph" w:customStyle="1" w:styleId="73">
    <w:name w:val="论文标题"/>
    <w:basedOn w:val="1"/>
    <w:qFormat/>
    <w:uiPriority w:val="0"/>
    <w:pPr>
      <w:spacing w:line="240" w:lineRule="auto"/>
      <w:jc w:val="center"/>
    </w:pPr>
    <w:rPr>
      <w:rFonts w:ascii="Times New Roman" w:hAnsi="Times New Roman" w:eastAsia="楷体_GB2312" w:cs="Times New Roman"/>
      <w:b/>
      <w:kern w:val="36"/>
      <w:sz w:val="52"/>
      <w:szCs w:val="52"/>
    </w:rPr>
  </w:style>
  <w:style w:type="paragraph" w:customStyle="1" w:styleId="74">
    <w:name w:val="硕士学位论文"/>
    <w:basedOn w:val="1"/>
    <w:qFormat/>
    <w:uiPriority w:val="0"/>
    <w:pPr>
      <w:spacing w:before="240" w:line="240" w:lineRule="auto"/>
      <w:jc w:val="center"/>
    </w:pPr>
    <w:rPr>
      <w:rFonts w:ascii="Times New Roman" w:hAnsi="Times New Roman" w:cs="Times New Roman"/>
      <w:sz w:val="44"/>
      <w:szCs w:val="44"/>
    </w:rPr>
  </w:style>
  <w:style w:type="paragraph" w:customStyle="1" w:styleId="75">
    <w:name w:val="研究生姓名"/>
    <w:basedOn w:val="1"/>
    <w:qFormat/>
    <w:uiPriority w:val="0"/>
    <w:pPr>
      <w:spacing w:line="240" w:lineRule="auto"/>
      <w:ind w:firstLine="700" w:firstLineChars="700"/>
    </w:pPr>
    <w:rPr>
      <w:rFonts w:ascii="Times New Roman" w:hAnsi="Times New Roman" w:cs="Times New Roman"/>
      <w:sz w:val="28"/>
      <w:szCs w:val="28"/>
    </w:rPr>
  </w:style>
  <w:style w:type="table" w:customStyle="1" w:styleId="76">
    <w:name w:val="网格型3"/>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7">
    <w:name w:val="DG图片"/>
    <w:link w:val="78"/>
    <w:qFormat/>
    <w:uiPriority w:val="10"/>
    <w:pPr>
      <w:spacing w:line="360" w:lineRule="auto"/>
      <w:jc w:val="center"/>
    </w:pPr>
    <w:rPr>
      <w:rFonts w:eastAsia="宋体" w:asciiTheme="minorHAnsi" w:hAnsiTheme="minorHAnsi" w:cstheme="minorBidi"/>
      <w:kern w:val="2"/>
      <w:sz w:val="24"/>
      <w:szCs w:val="21"/>
      <w:lang w:val="en-US" w:eastAsia="zh-CN" w:bidi="ar-SA"/>
    </w:rPr>
  </w:style>
  <w:style w:type="character" w:customStyle="1" w:styleId="78">
    <w:name w:val="DG图片 字符"/>
    <w:basedOn w:val="35"/>
    <w:link w:val="77"/>
    <w:qFormat/>
    <w:uiPriority w:val="10"/>
    <w:rPr>
      <w:rFonts w:eastAsia="宋体"/>
      <w:sz w:val="24"/>
    </w:rPr>
  </w:style>
  <w:style w:type="paragraph" w:customStyle="1" w:styleId="79">
    <w:name w:val="DG表格"/>
    <w:next w:val="1"/>
    <w:link w:val="80"/>
    <w:qFormat/>
    <w:uiPriority w:val="9"/>
    <w:pPr>
      <w:jc w:val="center"/>
    </w:pPr>
    <w:rPr>
      <w:rFonts w:ascii="宋体" w:hAnsi="宋体" w:eastAsia="宋体" w:cstheme="minorBidi"/>
      <w:kern w:val="2"/>
      <w:sz w:val="24"/>
      <w:szCs w:val="21"/>
      <w:lang w:val="en-US" w:eastAsia="zh-CN" w:bidi="ar-SA"/>
    </w:rPr>
  </w:style>
  <w:style w:type="character" w:customStyle="1" w:styleId="80">
    <w:name w:val="DG表格 字符"/>
    <w:basedOn w:val="78"/>
    <w:link w:val="79"/>
    <w:qFormat/>
    <w:uiPriority w:val="9"/>
    <w:rPr>
      <w:rFonts w:ascii="宋体" w:hAnsi="宋体" w:eastAsia="宋体"/>
      <w:sz w:val="24"/>
    </w:rPr>
  </w:style>
  <w:style w:type="paragraph" w:customStyle="1" w:styleId="81">
    <w:name w:val="DG 要点"/>
    <w:basedOn w:val="1"/>
    <w:link w:val="82"/>
    <w:qFormat/>
    <w:uiPriority w:val="10"/>
    <w:rPr>
      <w:b/>
      <w:u w:val="single"/>
    </w:rPr>
  </w:style>
  <w:style w:type="character" w:customStyle="1" w:styleId="82">
    <w:name w:val="DG 要点 字符"/>
    <w:basedOn w:val="35"/>
    <w:link w:val="81"/>
    <w:qFormat/>
    <w:uiPriority w:val="10"/>
    <w:rPr>
      <w:rFonts w:ascii="宋体" w:hAnsi="宋体" w:eastAsia="宋体"/>
      <w:b/>
      <w:sz w:val="24"/>
      <w:u w:val="single"/>
    </w:rPr>
  </w:style>
  <w:style w:type="character" w:customStyle="1" w:styleId="83">
    <w:name w:val="副标题 字符"/>
    <w:basedOn w:val="35"/>
    <w:link w:val="25"/>
    <w:qFormat/>
    <w:uiPriority w:val="9"/>
    <w:rPr>
      <w:rFonts w:hAnsi="Courier New" w:eastAsia="宋体" w:cs="Courier New" w:asciiTheme="minorEastAsia"/>
      <w:b/>
      <w:bCs/>
      <w:kern w:val="28"/>
      <w:sz w:val="32"/>
      <w:szCs w:val="32"/>
    </w:rPr>
  </w:style>
  <w:style w:type="character" w:customStyle="1" w:styleId="84">
    <w:name w:val="纯文本 字符"/>
    <w:basedOn w:val="35"/>
    <w:semiHidden/>
    <w:qFormat/>
    <w:uiPriority w:val="99"/>
    <w:rPr>
      <w:rFonts w:hAnsi="Courier New" w:cs="Courier New" w:asciiTheme="minorEastAsia"/>
      <w:sz w:val="24"/>
      <w:szCs w:val="21"/>
    </w:rPr>
  </w:style>
  <w:style w:type="paragraph" w:customStyle="1" w:styleId="85">
    <w:name w:val="TOC 标题1"/>
    <w:basedOn w:val="3"/>
    <w:next w:val="1"/>
    <w:semiHidden/>
    <w:unhideWhenUsed/>
    <w:qFormat/>
    <w:uiPriority w:val="39"/>
    <w:pPr>
      <w:keepNext/>
      <w:keepLines/>
      <w:numPr>
        <w:numId w:val="0"/>
      </w:numPr>
      <w:spacing w:before="240" w:line="259" w:lineRule="auto"/>
      <w:outlineLvl w:val="9"/>
    </w:pPr>
    <w:rPr>
      <w:rFonts w:asciiTheme="majorHAnsi" w:hAnsiTheme="majorHAnsi" w:eastAsiaTheme="majorEastAsia" w:cstheme="majorBidi"/>
      <w:b w:val="0"/>
      <w:bCs w:val="0"/>
      <w:color w:val="104862" w:themeColor="accent1" w:themeShade="BF"/>
      <w:kern w:val="0"/>
      <w:szCs w:val="32"/>
    </w:rPr>
  </w:style>
  <w:style w:type="character" w:customStyle="1" w:styleId="86">
    <w:name w:val="批注文字 字符"/>
    <w:basedOn w:val="35"/>
    <w:link w:val="15"/>
    <w:qFormat/>
    <w:uiPriority w:val="99"/>
    <w:rPr>
      <w:rFonts w:ascii="宋体" w:hAnsi="宋体" w:cstheme="minorBidi"/>
      <w:kern w:val="2"/>
      <w:sz w:val="24"/>
      <w:szCs w:val="21"/>
    </w:rPr>
  </w:style>
  <w:style w:type="character" w:customStyle="1" w:styleId="87">
    <w:name w:val="_正文 Char"/>
    <w:link w:val="70"/>
    <w:qFormat/>
    <w:uiPriority w:val="0"/>
    <w:rPr>
      <w:rFonts w:ascii="宋体" w:hAnsi="宋体" w:eastAsia="宋体" w:cs="Times New Roman"/>
      <w:sz w:val="24"/>
    </w:rPr>
  </w:style>
  <w:style w:type="paragraph" w:customStyle="1" w:styleId="88">
    <w:name w:val="表格字体"/>
    <w:basedOn w:val="1"/>
    <w:link w:val="89"/>
    <w:qFormat/>
    <w:uiPriority w:val="0"/>
    <w:pPr>
      <w:adjustRightInd w:val="0"/>
      <w:snapToGrid w:val="0"/>
      <w:spacing w:line="240" w:lineRule="auto"/>
      <w:jc w:val="center"/>
    </w:pPr>
    <w:rPr>
      <w:sz w:val="21"/>
    </w:rPr>
  </w:style>
  <w:style w:type="character" w:customStyle="1" w:styleId="89">
    <w:name w:val="表格字体 字符"/>
    <w:basedOn w:val="35"/>
    <w:link w:val="88"/>
    <w:qFormat/>
    <w:uiPriority w:val="0"/>
    <w:rPr>
      <w:rFonts w:ascii="宋体" w:hAnsi="宋体" w:cstheme="minorBidi"/>
      <w:kern w:val="2"/>
      <w:sz w:val="21"/>
      <w:szCs w:val="21"/>
    </w:rPr>
  </w:style>
  <w:style w:type="paragraph" w:customStyle="1" w:styleId="90">
    <w:name w:val="TOC 标题11"/>
    <w:basedOn w:val="3"/>
    <w:next w:val="1"/>
    <w:semiHidden/>
    <w:unhideWhenUsed/>
    <w:qFormat/>
    <w:uiPriority w:val="39"/>
    <w:pPr>
      <w:keepNext/>
      <w:keepLines/>
      <w:numPr>
        <w:numId w:val="0"/>
      </w:numPr>
      <w:spacing w:before="240" w:line="259" w:lineRule="auto"/>
      <w:outlineLvl w:val="9"/>
    </w:pPr>
    <w:rPr>
      <w:rFonts w:asciiTheme="majorHAnsi" w:hAnsiTheme="majorHAnsi" w:eastAsiaTheme="majorEastAsia" w:cstheme="majorBidi"/>
      <w:b w:val="0"/>
      <w:bCs w:val="0"/>
      <w:color w:val="104862" w:themeColor="accent1" w:themeShade="BF"/>
      <w:kern w:val="0"/>
      <w:szCs w:val="32"/>
    </w:rPr>
  </w:style>
  <w:style w:type="paragraph" w:customStyle="1" w:styleId="91">
    <w:name w:val="0~投标正文"/>
    <w:basedOn w:val="1"/>
    <w:link w:val="92"/>
    <w:qFormat/>
    <w:uiPriority w:val="0"/>
    <w:pPr>
      <w:ind w:firstLine="200"/>
    </w:pPr>
    <w:rPr>
      <w:rFonts w:ascii="Cambria" w:hAnsi="Cambria"/>
      <w:szCs w:val="24"/>
    </w:rPr>
  </w:style>
  <w:style w:type="character" w:customStyle="1" w:styleId="92">
    <w:name w:val="0~投标正文 字符"/>
    <w:basedOn w:val="35"/>
    <w:link w:val="91"/>
    <w:qFormat/>
    <w:uiPriority w:val="0"/>
    <w:rPr>
      <w:rFonts w:ascii="Cambria" w:hAnsi="Cambria" w:cstheme="minorBidi"/>
      <w:kern w:val="2"/>
      <w:sz w:val="24"/>
      <w:szCs w:val="24"/>
    </w:rPr>
  </w:style>
  <w:style w:type="paragraph" w:customStyle="1" w:styleId="93">
    <w:name w:val="表格"/>
    <w:link w:val="94"/>
    <w:qFormat/>
    <w:uiPriority w:val="9"/>
    <w:pPr>
      <w:jc w:val="center"/>
    </w:pPr>
    <w:rPr>
      <w:rFonts w:ascii="宋体" w:hAnsi="宋体" w:eastAsiaTheme="minorEastAsia" w:cstheme="minorBidi"/>
      <w:kern w:val="2"/>
      <w:sz w:val="21"/>
      <w:szCs w:val="21"/>
      <w:lang w:val="en-US" w:eastAsia="zh-CN" w:bidi="ar-SA"/>
    </w:rPr>
  </w:style>
  <w:style w:type="character" w:customStyle="1" w:styleId="94">
    <w:name w:val="表格 字符"/>
    <w:basedOn w:val="35"/>
    <w:link w:val="93"/>
    <w:qFormat/>
    <w:uiPriority w:val="9"/>
    <w:rPr>
      <w:rFonts w:ascii="宋体" w:hAnsi="宋体" w:cstheme="minorBidi"/>
      <w:kern w:val="2"/>
      <w:sz w:val="21"/>
      <w:szCs w:val="21"/>
    </w:rPr>
  </w:style>
  <w:style w:type="paragraph" w:customStyle="1" w:styleId="95">
    <w:name w:val="C503-正文格式"/>
    <w:basedOn w:val="1"/>
    <w:qFormat/>
    <w:uiPriority w:val="0"/>
    <w:pPr>
      <w:ind w:firstLine="480"/>
    </w:pPr>
    <w:rPr>
      <w:rFonts w:ascii="Times New Roman" w:hAnsi="Times New Roman"/>
      <w:sz w:val="28"/>
      <w:szCs w:val="20"/>
    </w:rPr>
  </w:style>
  <w:style w:type="paragraph" w:customStyle="1" w:styleId="96">
    <w:name w:val="*正文"/>
    <w:basedOn w:val="12"/>
    <w:qFormat/>
    <w:uiPriority w:val="0"/>
    <w:pPr>
      <w:ind w:firstLine="200"/>
    </w:pPr>
    <w:rPr>
      <w:color w:val="000000"/>
      <w:szCs w:val="24"/>
    </w:rPr>
  </w:style>
  <w:style w:type="paragraph" w:customStyle="1" w:styleId="97">
    <w:name w:val="列表段落111"/>
    <w:basedOn w:val="1"/>
    <w:qFormat/>
    <w:uiPriority w:val="0"/>
    <w:pPr>
      <w:autoSpaceDN w:val="0"/>
      <w:ind w:firstLine="420"/>
    </w:pPr>
    <w:rPr>
      <w:rFonts w:ascii="Times New Roman" w:hAnsi="Times New Roman"/>
    </w:rPr>
  </w:style>
  <w:style w:type="paragraph" w:customStyle="1" w:styleId="98">
    <w:name w:val="正文样式"/>
    <w:basedOn w:val="1"/>
    <w:qFormat/>
    <w:uiPriority w:val="0"/>
    <w:pPr>
      <w:autoSpaceDN w:val="0"/>
      <w:ind w:firstLine="480"/>
    </w:pPr>
    <w:rPr>
      <w:rFonts w:ascii="Times New Roman" w:hAnsi="Times New Roman"/>
    </w:rPr>
  </w:style>
  <w:style w:type="paragraph" w:customStyle="1" w:styleId="99">
    <w:name w:val="表格-样式1"/>
    <w:next w:val="1"/>
    <w:qFormat/>
    <w:uiPriority w:val="0"/>
    <w:pPr>
      <w:widowControl w:val="0"/>
      <w:spacing w:line="360" w:lineRule="auto"/>
      <w:jc w:val="both"/>
    </w:pPr>
    <w:rPr>
      <w:rFonts w:eastAsia="仿宋" w:asciiTheme="majorHAnsi" w:hAnsiTheme="majorHAnsi" w:cstheme="majorBidi"/>
      <w:bCs/>
      <w:kern w:val="2"/>
      <w:sz w:val="28"/>
      <w:szCs w:val="32"/>
      <w:lang w:val="en-US" w:eastAsia="zh-CN" w:bidi="ar-SA"/>
    </w:rPr>
  </w:style>
  <w:style w:type="paragraph" w:customStyle="1" w:styleId="100">
    <w:name w:val="表头文字样式"/>
    <w:basedOn w:val="1"/>
    <w:qFormat/>
    <w:uiPriority w:val="0"/>
    <w:pPr>
      <w:autoSpaceDN w:val="0"/>
      <w:jc w:val="center"/>
    </w:pPr>
    <w:rPr>
      <w:rFonts w:ascii="Times New Roman" w:hAnsi="Times New Roman"/>
      <w:b/>
      <w:kern w:val="0"/>
      <w:sz w:val="21"/>
      <w:szCs w:val="20"/>
    </w:rPr>
  </w:style>
  <w:style w:type="paragraph" w:customStyle="1" w:styleId="101">
    <w:name w:val="表格文字样式"/>
    <w:basedOn w:val="1"/>
    <w:qFormat/>
    <w:uiPriority w:val="0"/>
    <w:pPr>
      <w:autoSpaceDN w:val="0"/>
      <w:jc w:val="left"/>
    </w:pPr>
    <w:rPr>
      <w:rFonts w:ascii="Times New Roman" w:hAnsi="Times New Roman"/>
      <w:sz w:val="21"/>
    </w:rPr>
  </w:style>
  <w:style w:type="character" w:customStyle="1" w:styleId="102">
    <w:name w:val="脚注文本 字符"/>
    <w:basedOn w:val="35"/>
    <w:link w:val="26"/>
    <w:semiHidden/>
    <w:qFormat/>
    <w:uiPriority w:val="99"/>
    <w:rPr>
      <w:rFonts w:ascii="Cambria" w:hAnsi="Cambria" w:cstheme="minorBidi"/>
      <w:kern w:val="2"/>
      <w:sz w:val="18"/>
      <w:szCs w:val="18"/>
    </w:rPr>
  </w:style>
  <w:style w:type="character" w:customStyle="1" w:styleId="103">
    <w:name w:val="正文文本 字符"/>
    <w:basedOn w:val="35"/>
    <w:link w:val="17"/>
    <w:qFormat/>
    <w:uiPriority w:val="99"/>
    <w:rPr>
      <w:rFonts w:ascii="宋体" w:hAnsi="宋体" w:cstheme="minorBidi"/>
      <w:kern w:val="2"/>
      <w:sz w:val="24"/>
      <w:szCs w:val="22"/>
    </w:rPr>
  </w:style>
  <w:style w:type="character" w:customStyle="1" w:styleId="104">
    <w:name w:val="纯文本 字符1"/>
    <w:link w:val="20"/>
    <w:qFormat/>
    <w:uiPriority w:val="0"/>
    <w:rPr>
      <w:rFonts w:ascii="宋体" w:hAnsi="Courier New" w:cs="Courier New" w:eastAsiaTheme="minorEastAsia"/>
      <w:kern w:val="2"/>
      <w:sz w:val="21"/>
      <w:szCs w:val="22"/>
    </w:rPr>
  </w:style>
  <w:style w:type="character" w:customStyle="1" w:styleId="105">
    <w:name w:val="普通(网站) 字符"/>
    <w:link w:val="29"/>
    <w:qFormat/>
    <w:uiPriority w:val="99"/>
    <w:rPr>
      <w:rFonts w:ascii="宋体" w:hAnsi="宋体" w:cstheme="minorBidi"/>
      <w:color w:val="000000"/>
      <w:sz w:val="24"/>
      <w:szCs w:val="24"/>
    </w:rPr>
  </w:style>
  <w:style w:type="character" w:customStyle="1" w:styleId="106">
    <w:name w:val="批注主题 字符"/>
    <w:basedOn w:val="86"/>
    <w:link w:val="31"/>
    <w:semiHidden/>
    <w:qFormat/>
    <w:uiPriority w:val="99"/>
    <w:rPr>
      <w:rFonts w:ascii="宋体" w:hAnsi="宋体" w:cstheme="minorBidi"/>
      <w:b/>
      <w:bCs/>
      <w:kern w:val="2"/>
      <w:sz w:val="24"/>
      <w:szCs w:val="21"/>
    </w:rPr>
  </w:style>
  <w:style w:type="character" w:customStyle="1" w:styleId="107">
    <w:name w:val="批注框文本 字符"/>
    <w:basedOn w:val="35"/>
    <w:link w:val="21"/>
    <w:semiHidden/>
    <w:qFormat/>
    <w:uiPriority w:val="99"/>
    <w:rPr>
      <w:rFonts w:ascii="宋体" w:hAnsi="宋体" w:cstheme="minorBidi"/>
      <w:kern w:val="2"/>
      <w:sz w:val="18"/>
      <w:szCs w:val="18"/>
    </w:rPr>
  </w:style>
  <w:style w:type="paragraph" w:styleId="108">
    <w:name w:val="List Paragraph"/>
    <w:basedOn w:val="1"/>
    <w:link w:val="125"/>
    <w:qFormat/>
    <w:uiPriority w:val="34"/>
    <w:pPr>
      <w:ind w:firstLine="420"/>
    </w:pPr>
  </w:style>
  <w:style w:type="paragraph" w:customStyle="1" w:styleId="109">
    <w:name w:val="修订1"/>
    <w:hidden/>
    <w:unhideWhenUsed/>
    <w:qFormat/>
    <w:uiPriority w:val="99"/>
    <w:rPr>
      <w:rFonts w:ascii="宋体" w:hAnsi="宋体" w:eastAsia="宋体" w:cstheme="minorBidi"/>
      <w:kern w:val="2"/>
      <w:sz w:val="24"/>
      <w:szCs w:val="21"/>
      <w:lang w:val="en-US" w:eastAsia="zh-CN" w:bidi="ar-SA"/>
    </w:rPr>
  </w:style>
  <w:style w:type="paragraph" w:customStyle="1" w:styleId="110">
    <w:name w:val="正文-方案"/>
    <w:basedOn w:val="1"/>
    <w:qFormat/>
    <w:uiPriority w:val="0"/>
    <w:pPr>
      <w:spacing w:line="240" w:lineRule="auto"/>
    </w:pPr>
    <w:rPr>
      <w:sz w:val="28"/>
    </w:rPr>
  </w:style>
  <w:style w:type="paragraph" w:customStyle="1" w:styleId="111">
    <w:name w:val="样式1"/>
    <w:basedOn w:val="1"/>
    <w:qFormat/>
    <w:uiPriority w:val="0"/>
    <w:pPr>
      <w:spacing w:line="480" w:lineRule="auto"/>
      <w:jc w:val="center"/>
    </w:pPr>
    <w:rPr>
      <w:b/>
      <w:sz w:val="44"/>
    </w:rPr>
  </w:style>
  <w:style w:type="paragraph" w:customStyle="1" w:styleId="112">
    <w:name w:val="正文-标题"/>
    <w:basedOn w:val="1"/>
    <w:qFormat/>
    <w:uiPriority w:val="0"/>
    <w:pPr>
      <w:spacing w:line="480" w:lineRule="auto"/>
      <w:ind w:firstLine="34" w:firstLineChars="12"/>
      <w:jc w:val="center"/>
    </w:pPr>
    <w:rPr>
      <w:sz w:val="28"/>
      <w:szCs w:val="32"/>
    </w:rPr>
  </w:style>
  <w:style w:type="paragraph" w:customStyle="1" w:styleId="113">
    <w:name w:val="样式2"/>
    <w:qFormat/>
    <w:uiPriority w:val="0"/>
    <w:pPr>
      <w:ind w:left="1133" w:leftChars="472"/>
    </w:pPr>
    <w:rPr>
      <w:rFonts w:ascii="Calibri" w:hAnsi="Calibri" w:eastAsia="宋体" w:cs="Times New Roman"/>
      <w:lang w:val="en-US" w:eastAsia="zh-CN" w:bidi="ar-SA"/>
    </w:rPr>
  </w:style>
  <w:style w:type="paragraph" w:customStyle="1" w:styleId="114">
    <w:name w:val="WPSOffice手动目录 1"/>
    <w:qFormat/>
    <w:uiPriority w:val="0"/>
    <w:rPr>
      <w:rFonts w:asciiTheme="minorHAnsi" w:hAnsiTheme="minorHAnsi" w:eastAsiaTheme="minorEastAsia" w:cstheme="minorBidi"/>
      <w:lang w:val="en-US" w:eastAsia="zh-CN" w:bidi="ar-SA"/>
    </w:rPr>
  </w:style>
  <w:style w:type="paragraph" w:customStyle="1" w:styleId="115">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116">
    <w:name w:val="WPSOffice手动目录 3"/>
    <w:qFormat/>
    <w:uiPriority w:val="0"/>
    <w:pPr>
      <w:ind w:left="400" w:leftChars="400"/>
    </w:pPr>
    <w:rPr>
      <w:rFonts w:asciiTheme="minorHAnsi" w:hAnsiTheme="minorHAnsi" w:eastAsiaTheme="minorEastAsia" w:cstheme="minorBidi"/>
      <w:lang w:val="en-US" w:eastAsia="zh-CN" w:bidi="ar-SA"/>
    </w:rPr>
  </w:style>
  <w:style w:type="paragraph" w:customStyle="1" w:styleId="117">
    <w:name w:val="修订2"/>
    <w:hidden/>
    <w:unhideWhenUsed/>
    <w:qFormat/>
    <w:uiPriority w:val="99"/>
    <w:rPr>
      <w:rFonts w:ascii="宋体" w:hAnsi="宋体" w:eastAsia="宋体" w:cstheme="minorBidi"/>
      <w:kern w:val="2"/>
      <w:sz w:val="24"/>
      <w:szCs w:val="21"/>
      <w:lang w:val="en-US" w:eastAsia="zh-CN" w:bidi="ar-SA"/>
    </w:rPr>
  </w:style>
  <w:style w:type="paragraph" w:customStyle="1" w:styleId="118">
    <w:name w:val="宏文本1"/>
    <w:next w:val="2"/>
    <w:link w:val="124"/>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character" w:customStyle="1" w:styleId="119">
    <w:name w:val="宏文本 字符"/>
    <w:basedOn w:val="35"/>
    <w:semiHidden/>
    <w:qFormat/>
    <w:uiPriority w:val="99"/>
    <w:rPr>
      <w:rFonts w:ascii="Courier New" w:hAnsi="Courier New" w:eastAsia="宋体" w:cs="Courier New"/>
      <w:kern w:val="2"/>
      <w:sz w:val="24"/>
      <w:szCs w:val="24"/>
    </w:rPr>
  </w:style>
  <w:style w:type="paragraph" w:customStyle="1" w:styleId="120">
    <w:name w:val="TOC 71"/>
    <w:basedOn w:val="1"/>
    <w:next w:val="1"/>
    <w:unhideWhenUsed/>
    <w:qFormat/>
    <w:uiPriority w:val="39"/>
    <w:pPr>
      <w:spacing w:line="240" w:lineRule="auto"/>
      <w:ind w:left="2520" w:leftChars="1200"/>
    </w:pPr>
    <w:rPr>
      <w:rFonts w:ascii="等线" w:hAnsi="等线" w:eastAsia="等线"/>
      <w:sz w:val="21"/>
      <w:szCs w:val="22"/>
    </w:rPr>
  </w:style>
  <w:style w:type="paragraph" w:customStyle="1" w:styleId="121">
    <w:name w:val="称呼1"/>
    <w:basedOn w:val="1"/>
    <w:next w:val="1"/>
    <w:qFormat/>
    <w:uiPriority w:val="0"/>
    <w:pPr>
      <w:spacing w:line="240" w:lineRule="auto"/>
    </w:pPr>
    <w:rPr>
      <w:sz w:val="21"/>
    </w:rPr>
  </w:style>
  <w:style w:type="character" w:customStyle="1" w:styleId="122">
    <w:name w:val="称呼 字符"/>
    <w:basedOn w:val="35"/>
    <w:semiHidden/>
    <w:qFormat/>
    <w:uiPriority w:val="99"/>
    <w:rPr>
      <w:rFonts w:ascii="宋体" w:hAnsi="宋体" w:eastAsia="宋体"/>
      <w:kern w:val="2"/>
      <w:sz w:val="24"/>
      <w:szCs w:val="21"/>
    </w:rPr>
  </w:style>
  <w:style w:type="character" w:customStyle="1" w:styleId="123">
    <w:name w:val="正文文本 2 字符"/>
    <w:basedOn w:val="35"/>
    <w:link w:val="28"/>
    <w:qFormat/>
    <w:uiPriority w:val="99"/>
    <w:rPr>
      <w:rFonts w:ascii="宋体" w:hAnsi="宋体" w:cs="黑体"/>
      <w:kern w:val="2"/>
      <w:sz w:val="24"/>
      <w:szCs w:val="21"/>
    </w:rPr>
  </w:style>
  <w:style w:type="character" w:customStyle="1" w:styleId="124">
    <w:name w:val="宏文本 字符1"/>
    <w:basedOn w:val="35"/>
    <w:link w:val="118"/>
    <w:qFormat/>
    <w:uiPriority w:val="0"/>
    <w:rPr>
      <w:rFonts w:ascii="Courier New" w:hAnsi="Courier New" w:cs="Courier New"/>
      <w:kern w:val="2"/>
      <w:sz w:val="24"/>
      <w:szCs w:val="24"/>
    </w:rPr>
  </w:style>
  <w:style w:type="character" w:customStyle="1" w:styleId="125">
    <w:name w:val="列表段落 字符"/>
    <w:link w:val="108"/>
    <w:qFormat/>
    <w:locked/>
    <w:uiPriority w:val="34"/>
    <w:rPr>
      <w:rFonts w:ascii="宋体" w:hAnsi="宋体" w:cstheme="minorBidi"/>
      <w:kern w:val="2"/>
      <w:sz w:val="24"/>
      <w:szCs w:val="21"/>
    </w:rPr>
  </w:style>
  <w:style w:type="character" w:customStyle="1" w:styleId="126">
    <w:name w:val="称呼 字符1"/>
    <w:basedOn w:val="35"/>
    <w:link w:val="16"/>
    <w:qFormat/>
    <w:uiPriority w:val="0"/>
    <w:rPr>
      <w:rFonts w:ascii="宋体" w:hAnsi="宋体" w:eastAsia="宋体"/>
      <w:kern w:val="2"/>
      <w:sz w:val="21"/>
      <w:szCs w:val="21"/>
    </w:rPr>
  </w:style>
  <w:style w:type="character" w:customStyle="1" w:styleId="127">
    <w:name w:val="列表段落 字符7"/>
    <w:qFormat/>
    <w:locked/>
    <w:uiPriority w:val="34"/>
    <w:rPr>
      <w:rFonts w:cs="Times New Roman"/>
      <w:kern w:val="2"/>
      <w:sz w:val="21"/>
      <w:szCs w:val="22"/>
    </w:rPr>
  </w:style>
  <w:style w:type="paragraph" w:customStyle="1" w:styleId="128">
    <w:name w:val="A3"/>
    <w:basedOn w:val="5"/>
    <w:qFormat/>
    <w:uiPriority w:val="0"/>
    <w:pPr>
      <w:numPr>
        <w:ilvl w:val="0"/>
        <w:numId w:val="3"/>
      </w:numPr>
      <w:spacing w:before="50" w:beforeLines="50" w:after="50" w:afterLines="50" w:line="416" w:lineRule="auto"/>
      <w:ind w:right="89" w:rightChars="37"/>
    </w:pPr>
    <w:rPr>
      <w:rFonts w:ascii="Calibri" w:hAnsi="Calibri" w:cs="黑体"/>
      <w:b w:val="0"/>
      <w:bCs w:val="0"/>
      <w:sz w:val="36"/>
    </w:rPr>
  </w:style>
  <w:style w:type="paragraph" w:customStyle="1" w:styleId="129">
    <w:name w:val="正文表"/>
    <w:basedOn w:val="1"/>
    <w:qFormat/>
    <w:uiPriority w:val="0"/>
    <w:pPr>
      <w:spacing w:line="320" w:lineRule="exact"/>
      <w:jc w:val="center"/>
    </w:pPr>
  </w:style>
  <w:style w:type="paragraph" w:customStyle="1" w:styleId="130">
    <w:name w:val="节目"/>
    <w:basedOn w:val="1"/>
    <w:qFormat/>
    <w:uiPriority w:val="0"/>
    <w:pPr>
      <w:numPr>
        <w:ilvl w:val="0"/>
        <w:numId w:val="4"/>
      </w:numPr>
      <w:tabs>
        <w:tab w:val="left" w:pos="1080"/>
        <w:tab w:val="clear" w:pos="403"/>
      </w:tabs>
      <w:ind w:left="900" w:firstLine="200"/>
    </w:pPr>
    <w:rPr>
      <w:rFonts w:ascii="Book Antiqua" w:hAnsi="Book Antiqua" w:eastAsia="仿宋_GB2312"/>
      <w:b/>
      <w:sz w:val="36"/>
    </w:rPr>
  </w:style>
  <w:style w:type="character" w:customStyle="1" w:styleId="131">
    <w:name w:val="图片 字符"/>
    <w:basedOn w:val="35"/>
    <w:link w:val="132"/>
    <w:qFormat/>
    <w:uiPriority w:val="10"/>
    <w:rPr>
      <w:sz w:val="24"/>
    </w:rPr>
  </w:style>
  <w:style w:type="paragraph" w:customStyle="1" w:styleId="132">
    <w:name w:val="图片"/>
    <w:link w:val="131"/>
    <w:qFormat/>
    <w:uiPriority w:val="10"/>
    <w:pPr>
      <w:spacing w:line="360" w:lineRule="auto"/>
      <w:jc w:val="center"/>
    </w:pPr>
    <w:rPr>
      <w:rFonts w:ascii="Times New Roman" w:hAnsi="Times New Roman" w:eastAsia="宋体" w:cs="Times New Roman"/>
      <w:sz w:val="24"/>
      <w:lang w:val="en-US" w:eastAsia="zh-CN" w:bidi="ar-SA"/>
    </w:rPr>
  </w:style>
  <w:style w:type="paragraph" w:customStyle="1" w:styleId="133">
    <w:name w:val="要点~"/>
    <w:basedOn w:val="1"/>
    <w:link w:val="134"/>
    <w:qFormat/>
    <w:uiPriority w:val="10"/>
    <w:rPr>
      <w:b/>
      <w:u w:val="single"/>
    </w:rPr>
  </w:style>
  <w:style w:type="character" w:customStyle="1" w:styleId="134">
    <w:name w:val="要点~ 字符"/>
    <w:basedOn w:val="35"/>
    <w:link w:val="133"/>
    <w:qFormat/>
    <w:uiPriority w:val="10"/>
    <w:rPr>
      <w:rFonts w:ascii="宋体" w:hAnsi="宋体" w:cstheme="minorBidi"/>
      <w:b/>
      <w:kern w:val="2"/>
      <w:sz w:val="24"/>
      <w:szCs w:val="21"/>
      <w:u w:val="single"/>
    </w:rPr>
  </w:style>
  <w:style w:type="paragraph" w:customStyle="1" w:styleId="135">
    <w:name w:val="- 序列"/>
    <w:basedOn w:val="1"/>
    <w:qFormat/>
    <w:uiPriority w:val="0"/>
    <w:pPr>
      <w:numPr>
        <w:ilvl w:val="0"/>
        <w:numId w:val="5"/>
      </w:numPr>
      <w:tabs>
        <w:tab w:val="left" w:pos="360"/>
      </w:tabs>
      <w:adjustRightInd w:val="0"/>
      <w:snapToGrid w:val="0"/>
      <w:ind w:left="0" w:firstLine="480"/>
    </w:pPr>
    <w:rPr>
      <w:rFonts w:ascii="Times New Roman" w:hAnsi="Times New Roman" w:eastAsia="仿宋"/>
      <w:color w:val="000000"/>
      <w:sz w:val="21"/>
    </w:rPr>
  </w:style>
  <w:style w:type="paragraph" w:customStyle="1" w:styleId="136">
    <w:name w:val="样式 标题 3 + 小四 非加粗"/>
    <w:basedOn w:val="5"/>
    <w:qFormat/>
    <w:uiPriority w:val="0"/>
    <w:pPr>
      <w:numPr>
        <w:numId w:val="5"/>
      </w:numPr>
      <w:tabs>
        <w:tab w:val="left" w:pos="709"/>
      </w:tabs>
      <w:spacing w:before="260" w:after="260" w:line="416" w:lineRule="auto"/>
    </w:pPr>
    <w:rPr>
      <w:rFonts w:cs="Times New Roman"/>
      <w:bCs w:val="0"/>
      <w:sz w:val="24"/>
      <w:szCs w:val="28"/>
    </w:rPr>
  </w:style>
  <w:style w:type="character" w:customStyle="1" w:styleId="137">
    <w:name w:val="称呼 字符4"/>
    <w:basedOn w:val="35"/>
    <w:qFormat/>
    <w:uiPriority w:val="99"/>
    <w:rPr>
      <w:kern w:val="2"/>
      <w:sz w:val="21"/>
      <w:szCs w:val="24"/>
    </w:rPr>
  </w:style>
  <w:style w:type="paragraph" w:customStyle="1" w:styleId="138">
    <w:name w:val="消息定义-self"/>
    <w:basedOn w:val="1"/>
    <w:qFormat/>
    <w:uiPriority w:val="0"/>
    <w:pPr>
      <w:numPr>
        <w:ilvl w:val="0"/>
        <w:numId w:val="6"/>
      </w:numPr>
      <w:adjustRightInd w:val="0"/>
      <w:snapToGrid w:val="0"/>
      <w:spacing w:before="50" w:beforeLines="50" w:line="560" w:lineRule="exact"/>
      <w:ind w:firstLine="0"/>
    </w:pPr>
    <w:rPr>
      <w:rFonts w:eastAsia="仿宋" w:cs="Arial"/>
      <w:lang w:val="zh-CN"/>
    </w:rPr>
  </w:style>
  <w:style w:type="paragraph" w:customStyle="1" w:styleId="139">
    <w:name w:val="标题2"/>
    <w:basedOn w:val="4"/>
    <w:qFormat/>
    <w:uiPriority w:val="0"/>
    <w:pPr>
      <w:widowControl w:val="0"/>
      <w:numPr>
        <w:numId w:val="6"/>
      </w:numPr>
      <w:spacing w:before="260" w:after="260"/>
      <w:jc w:val="both"/>
    </w:pPr>
    <w:rPr>
      <w:rFonts w:ascii="仿宋" w:hAnsi="仿宋" w:eastAsia="仿宋" w:cs="Times New Roman"/>
      <w:sz w:val="24"/>
      <w:szCs w:val="24"/>
    </w:rPr>
  </w:style>
  <w:style w:type="paragraph" w:customStyle="1" w:styleId="140">
    <w:name w:val="标题3"/>
    <w:basedOn w:val="5"/>
    <w:qFormat/>
    <w:uiPriority w:val="0"/>
    <w:pPr>
      <w:numPr>
        <w:numId w:val="6"/>
      </w:numPr>
      <w:spacing w:before="260" w:after="260" w:line="416" w:lineRule="auto"/>
    </w:pPr>
    <w:rPr>
      <w:rFonts w:ascii="仿宋" w:hAnsi="仿宋" w:eastAsia="仿宋" w:cs="Times New Roman"/>
      <w:kern w:val="24"/>
      <w:sz w:val="24"/>
    </w:rPr>
  </w:style>
  <w:style w:type="paragraph" w:customStyle="1" w:styleId="141">
    <w:name w:val="msonormal"/>
    <w:basedOn w:val="1"/>
    <w:qFormat/>
    <w:uiPriority w:val="0"/>
    <w:pPr>
      <w:widowControl/>
      <w:spacing w:before="100" w:beforeAutospacing="1" w:after="100" w:afterAutospacing="1" w:line="240" w:lineRule="auto"/>
      <w:jc w:val="left"/>
    </w:pPr>
    <w:rPr>
      <w:rFonts w:cs="宋体"/>
      <w:kern w:val="0"/>
      <w:szCs w:val="24"/>
    </w:rPr>
  </w:style>
  <w:style w:type="paragraph" w:customStyle="1" w:styleId="142">
    <w:name w:val="font5"/>
    <w:basedOn w:val="1"/>
    <w:qFormat/>
    <w:uiPriority w:val="0"/>
    <w:pPr>
      <w:widowControl/>
      <w:spacing w:before="100" w:beforeAutospacing="1" w:after="100" w:afterAutospacing="1" w:line="240" w:lineRule="auto"/>
      <w:jc w:val="left"/>
    </w:pPr>
    <w:rPr>
      <w:rFonts w:cs="宋体"/>
      <w:kern w:val="0"/>
      <w:sz w:val="18"/>
      <w:szCs w:val="18"/>
    </w:rPr>
  </w:style>
  <w:style w:type="paragraph" w:customStyle="1" w:styleId="143">
    <w:name w:val="xl72"/>
    <w:basedOn w:val="1"/>
    <w:qFormat/>
    <w:uiPriority w:val="0"/>
    <w:pPr>
      <w:widowControl/>
      <w:spacing w:before="100" w:beforeAutospacing="1" w:after="100" w:afterAutospacing="1" w:line="240" w:lineRule="auto"/>
      <w:jc w:val="left"/>
    </w:pPr>
    <w:rPr>
      <w:rFonts w:cs="宋体"/>
      <w:kern w:val="0"/>
      <w:szCs w:val="24"/>
    </w:rPr>
  </w:style>
  <w:style w:type="paragraph" w:customStyle="1" w:styleId="144">
    <w:name w:val="xl73"/>
    <w:basedOn w:val="1"/>
    <w:qFormat/>
    <w:uiPriority w:val="0"/>
    <w:pPr>
      <w:widowControl/>
      <w:spacing w:before="100" w:beforeAutospacing="1" w:after="100" w:afterAutospacing="1" w:line="240" w:lineRule="auto"/>
      <w:jc w:val="left"/>
    </w:pPr>
    <w:rPr>
      <w:rFonts w:cs="宋体"/>
      <w:kern w:val="0"/>
      <w:szCs w:val="24"/>
    </w:rPr>
  </w:style>
  <w:style w:type="paragraph" w:customStyle="1" w:styleId="14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cs="宋体"/>
      <w:b/>
      <w:bCs/>
      <w:kern w:val="0"/>
      <w:szCs w:val="24"/>
    </w:rPr>
  </w:style>
  <w:style w:type="paragraph" w:customStyle="1" w:styleId="14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cs="宋体"/>
      <w:kern w:val="0"/>
      <w:szCs w:val="24"/>
    </w:rPr>
  </w:style>
  <w:style w:type="paragraph" w:customStyle="1" w:styleId="147">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cs="宋体"/>
      <w:kern w:val="0"/>
      <w:szCs w:val="24"/>
    </w:rPr>
  </w:style>
  <w:style w:type="paragraph" w:customStyle="1" w:styleId="14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cs="宋体"/>
      <w:kern w:val="0"/>
      <w:szCs w:val="24"/>
    </w:rPr>
  </w:style>
  <w:style w:type="paragraph" w:customStyle="1" w:styleId="149">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pPr>
    <w:rPr>
      <w:rFonts w:cs="宋体"/>
      <w:kern w:val="0"/>
      <w:szCs w:val="24"/>
    </w:rPr>
  </w:style>
  <w:style w:type="paragraph" w:customStyle="1" w:styleId="150">
    <w:name w:val="xl79"/>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cs="宋体"/>
      <w:kern w:val="0"/>
      <w:szCs w:val="24"/>
    </w:rPr>
  </w:style>
  <w:style w:type="paragraph" w:customStyle="1" w:styleId="151">
    <w:name w:val="xl80"/>
    <w:basedOn w:val="1"/>
    <w:qFormat/>
    <w:uiPriority w:val="0"/>
    <w:pPr>
      <w:widowControl/>
      <w:pBdr>
        <w:bottom w:val="single" w:color="auto" w:sz="4" w:space="0"/>
        <w:right w:val="single" w:color="auto" w:sz="4" w:space="0"/>
      </w:pBdr>
      <w:spacing w:before="100" w:beforeAutospacing="1" w:after="100" w:afterAutospacing="1" w:line="240" w:lineRule="auto"/>
      <w:jc w:val="left"/>
    </w:pPr>
    <w:rPr>
      <w:rFonts w:cs="宋体"/>
      <w:kern w:val="0"/>
      <w:szCs w:val="24"/>
    </w:rPr>
  </w:style>
  <w:style w:type="paragraph" w:customStyle="1" w:styleId="152">
    <w:name w:val="xl81"/>
    <w:basedOn w:val="1"/>
    <w:qFormat/>
    <w:uiPriority w:val="0"/>
    <w:pPr>
      <w:widowControl/>
      <w:pBdr>
        <w:left w:val="single" w:color="auto" w:sz="4" w:space="0"/>
        <w:right w:val="single" w:color="auto" w:sz="4" w:space="0"/>
      </w:pBdr>
      <w:spacing w:before="100" w:beforeAutospacing="1" w:after="100" w:afterAutospacing="1" w:line="240" w:lineRule="auto"/>
      <w:jc w:val="left"/>
    </w:pPr>
    <w:rPr>
      <w:rFonts w:cs="宋体"/>
      <w:kern w:val="0"/>
      <w:szCs w:val="24"/>
    </w:rPr>
  </w:style>
  <w:style w:type="paragraph" w:customStyle="1" w:styleId="153">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cs="宋体"/>
      <w:kern w:val="0"/>
      <w:szCs w:val="24"/>
    </w:rPr>
  </w:style>
  <w:style w:type="paragraph" w:customStyle="1" w:styleId="154">
    <w:name w:val="xl83"/>
    <w:basedOn w:val="1"/>
    <w:qFormat/>
    <w:uiPriority w:val="0"/>
    <w:pPr>
      <w:widowControl/>
      <w:pBdr>
        <w:left w:val="single" w:color="auto" w:sz="4" w:space="0"/>
        <w:right w:val="single" w:color="auto" w:sz="4" w:space="0"/>
      </w:pBdr>
      <w:spacing w:before="100" w:beforeAutospacing="1" w:after="100" w:afterAutospacing="1" w:line="240" w:lineRule="auto"/>
      <w:jc w:val="center"/>
    </w:pPr>
    <w:rPr>
      <w:rFonts w:cs="宋体"/>
      <w:kern w:val="0"/>
      <w:szCs w:val="24"/>
    </w:rPr>
  </w:style>
  <w:style w:type="paragraph" w:customStyle="1" w:styleId="155">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cs="宋体"/>
      <w:kern w:val="0"/>
      <w:szCs w:val="24"/>
    </w:rPr>
  </w:style>
  <w:style w:type="paragraph" w:customStyle="1" w:styleId="156">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line="240" w:lineRule="auto"/>
      <w:jc w:val="center"/>
    </w:pPr>
    <w:rPr>
      <w:rFonts w:cs="宋体"/>
      <w:b/>
      <w:bCs/>
      <w:color w:val="000000"/>
      <w:kern w:val="0"/>
      <w:szCs w:val="24"/>
    </w:rPr>
  </w:style>
  <w:style w:type="paragraph" w:customStyle="1" w:styleId="15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cs="宋体"/>
      <w:kern w:val="0"/>
      <w:szCs w:val="24"/>
    </w:rPr>
  </w:style>
  <w:style w:type="paragraph" w:customStyle="1" w:styleId="15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cs="宋体"/>
      <w:kern w:val="0"/>
      <w:szCs w:val="24"/>
    </w:rPr>
  </w:style>
  <w:style w:type="character" w:customStyle="1" w:styleId="159">
    <w:name w:val="宏文本 字符2"/>
    <w:basedOn w:val="35"/>
    <w:link w:val="2"/>
    <w:semiHidden/>
    <w:qFormat/>
    <w:uiPriority w:val="99"/>
    <w:rPr>
      <w:rFonts w:ascii="Courier New" w:hAnsi="Courier New" w:cs="Courier New"/>
      <w:kern w:val="2"/>
      <w:sz w:val="24"/>
      <w:szCs w:val="24"/>
    </w:rPr>
  </w:style>
  <w:style w:type="character" w:customStyle="1" w:styleId="160">
    <w:name w:val="称呼 字符2"/>
    <w:basedOn w:val="35"/>
    <w:semiHidden/>
    <w:qFormat/>
    <w:uiPriority w:val="99"/>
    <w:rPr>
      <w:rFonts w:ascii="宋体" w:hAnsi="宋体" w:cstheme="minorBidi"/>
      <w:kern w:val="2"/>
      <w:sz w:val="24"/>
      <w:szCs w:val="21"/>
    </w:rPr>
  </w:style>
  <w:style w:type="character" w:customStyle="1" w:styleId="161">
    <w:name w:val="font31"/>
    <w:basedOn w:val="35"/>
    <w:qFormat/>
    <w:uiPriority w:val="0"/>
    <w:rPr>
      <w:rFonts w:ascii="Calibri" w:hAnsi="Calibri" w:cs="Calibri"/>
      <w:color w:val="000000"/>
      <w:sz w:val="21"/>
      <w:szCs w:val="21"/>
      <w:u w:val="none"/>
    </w:rPr>
  </w:style>
  <w:style w:type="character" w:customStyle="1" w:styleId="162">
    <w:name w:val="font11"/>
    <w:basedOn w:val="35"/>
    <w:qFormat/>
    <w:uiPriority w:val="0"/>
    <w:rPr>
      <w:rFonts w:hint="eastAsia" w:ascii="宋体" w:hAnsi="宋体" w:eastAsia="宋体" w:cs="宋体"/>
      <w:color w:val="000000"/>
      <w:sz w:val="21"/>
      <w:szCs w:val="21"/>
      <w:u w:val="none"/>
    </w:rPr>
  </w:style>
  <w:style w:type="character" w:customStyle="1" w:styleId="163">
    <w:name w:val="font21"/>
    <w:basedOn w:val="35"/>
    <w:qFormat/>
    <w:uiPriority w:val="0"/>
    <w:rPr>
      <w:rFonts w:hint="eastAsia" w:ascii="宋体" w:hAnsi="宋体" w:eastAsia="宋体"/>
      <w:color w:val="000000"/>
      <w:sz w:val="24"/>
      <w:szCs w:val="24"/>
      <w:u w:val="none"/>
    </w:rPr>
  </w:style>
  <w:style w:type="paragraph" w:customStyle="1" w:styleId="164">
    <w:name w:val="修订3"/>
    <w:hidden/>
    <w:unhideWhenUsed/>
    <w:qFormat/>
    <w:uiPriority w:val="99"/>
    <w:rPr>
      <w:rFonts w:ascii="宋体" w:hAnsi="宋体" w:eastAsia="宋体" w:cstheme="minorBidi"/>
      <w:kern w:val="2"/>
      <w:sz w:val="24"/>
      <w:szCs w:val="21"/>
      <w:lang w:val="en-US" w:eastAsia="zh-CN" w:bidi="ar-SA"/>
    </w:rPr>
  </w:style>
  <w:style w:type="paragraph" w:customStyle="1" w:styleId="165">
    <w:name w:val="修订4"/>
    <w:hidden/>
    <w:unhideWhenUsed/>
    <w:qFormat/>
    <w:uiPriority w:val="99"/>
    <w:rPr>
      <w:rFonts w:ascii="宋体" w:hAnsi="宋体" w:eastAsia="宋体" w:cstheme="minorBidi"/>
      <w:kern w:val="2"/>
      <w:sz w:val="24"/>
      <w:szCs w:val="21"/>
      <w:lang w:val="en-US" w:eastAsia="zh-CN" w:bidi="ar-SA"/>
    </w:rPr>
  </w:style>
  <w:style w:type="paragraph" w:customStyle="1" w:styleId="166">
    <w:name w:val="修订5"/>
    <w:hidden/>
    <w:unhideWhenUsed/>
    <w:qFormat/>
    <w:uiPriority w:val="99"/>
    <w:rPr>
      <w:rFonts w:ascii="宋体" w:hAnsi="宋体" w:eastAsia="宋体" w:cstheme="minorBidi"/>
      <w:kern w:val="2"/>
      <w:sz w:val="24"/>
      <w:szCs w:val="21"/>
      <w:lang w:val="en-US" w:eastAsia="zh-CN" w:bidi="ar-SA"/>
    </w:rPr>
  </w:style>
  <w:style w:type="paragraph" w:customStyle="1" w:styleId="167">
    <w:name w:val="Revision"/>
    <w:hidden/>
    <w:unhideWhenUsed/>
    <w:qFormat/>
    <w:uiPriority w:val="99"/>
    <w:rPr>
      <w:rFonts w:ascii="宋体" w:hAnsi="宋体" w:eastAsia="宋体" w:cstheme="minorBidi"/>
      <w:kern w:val="2"/>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e9b7dfbe-1a34-4a14-95e6-75533ce2a8db</errorID>
      <errorWord>舆情</errorWord>
      <group>L1_Sensitive</group>
      <groupName>敏感问题</groupName>
      <ability>L2_UserSensitive</ability>
      <abilityName>自定义敏感词</abilityName>
      <candidateList/>
      <explain>来自自定义敏感词库。</explain>
      <paraID>5FB472F9</paraID>
      <start>19</start>
      <end>21</end>
      <status>unmodified</status>
      <modifiedWord/>
      <trackRevisions>false</trackRevisions>
    </reviewItem>
    <reviewItem>
      <errorID>1f5687f2-2964-41dd-bc4b-6c5a330a8265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28D30807</paraID>
      <start>13</start>
      <end>16</end>
      <status>unmodified</status>
      <modifiedWord/>
      <trackRevisions>false</trackRevisions>
    </reviewItem>
    <reviewItem>
      <errorID>39ad7412-3695-4a95-a07a-1fc4190e2866</errorID>
      <errorWord>舆情</errorWord>
      <group>L1_Sensitive</group>
      <groupName>敏感问题</groupName>
      <ability>L2_UserSensitive</ability>
      <abilityName>自定义敏感词</abilityName>
      <candidateList/>
      <explain>来自自定义敏感词库。</explain>
      <paraID> 9C43C69</paraID>
      <start>15</start>
      <end>17</end>
      <status>unmodified</status>
      <modifiedWord/>
      <trackRevisions>false</trackRevisions>
    </reviewItem>
    <reviewItem>
      <errorID>8a9af1f8-4a35-4189-b4d1-4d31cf81b972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44E1F905</paraID>
      <start>25</start>
      <end>28</end>
      <status>unmodified</status>
      <modifiedWord/>
      <trackRevisions>false</trackRevisions>
    </reviewItem>
    <reviewItem>
      <errorID>d0328e0e-98a2-4ec5-ad45-878edef13c90</errorID>
      <errorWord>)</errorWord>
      <group>L1_Format</group>
      <groupName>格式问题</groupName>
      <ability>L2_HalfPunc_CN</ability>
      <abilityName>全半角问题</abilityName>
      <candidateList>
        <item>）</item>
      </candidateList>
      <explain>文本全半角错误。</explain>
      <paraID>3D262876</paraID>
      <start>24</start>
      <end>25</end>
      <status>unmodified</status>
      <modifiedWord/>
      <trackRevisions>false</trackRevisions>
    </reviewItem>
    <reviewItem>
      <errorID>325bd525-2df2-4052-8b0b-c66cb863fd7d</errorID>
      <errorWord>(</errorWord>
      <group>L1_Format</group>
      <groupName>格式问题</groupName>
      <ability>L2_HalfPunc_CN</ability>
      <abilityName>全半角问题</abilityName>
      <candidateList>
        <item>（</item>
      </candidateList>
      <explain>文本全半角错误。</explain>
      <paraID> 52AF9AC</paraID>
      <start>103</start>
      <end>104</end>
      <status>unmodified</status>
      <modifiedWord/>
      <trackRevisions>false</trackRevisions>
    </reviewItem>
    <reviewItem>
      <errorID>0b8f69b7-2d27-48d8-9bed-85e2dab39652</errorID>
      <errorWord>)</errorWord>
      <group>L1_Format</group>
      <groupName>格式问题</groupName>
      <ability>L2_HalfPunc_CN</ability>
      <abilityName>全半角问题</abilityName>
      <candidateList>
        <item>）</item>
      </candidateList>
      <explain>文本全半角错误。</explain>
      <paraID> 52AF9AC</paraID>
      <start>115</start>
      <end>116</end>
      <status>unmodified</status>
      <modifiedWord/>
      <trackRevisions>false</trackRevisions>
    </reviewItem>
    <reviewItem>
      <errorID>e817ba59-4b9b-4922-b997-89d2aa95bc54</errorID>
      <errorWord>)</errorWord>
      <group>L1_Format</group>
      <groupName>格式问题</groupName>
      <ability>L2_HalfPunc_CN</ability>
      <abilityName>全半角问题</abilityName>
      <candidateList>
        <item>）</item>
      </candidateList>
      <explain>文本全半角错误。</explain>
      <paraID> 52AF9AC</paraID>
      <start>150</start>
      <end>151</end>
      <status>unmodified</status>
      <modifiedWord/>
      <trackRevisions>false</trackRevisions>
    </reviewItem>
    <reviewItem>
      <errorID>df5910de-ee0e-4f31-bc62-986fbd80635a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779F9D46</paraID>
      <start>37</start>
      <end>38</end>
      <status>unmodified</status>
      <modifiedWord/>
      <trackRevisions>false</trackRevisions>
    </reviewItem>
    <reviewItem>
      <errorID>fafa34fa-93c7-47c1-b0c6-0ceaa8c938c5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779F9D46</paraID>
      <start>47</start>
      <end>48</end>
      <status>unmodified</status>
      <modifiedWord/>
      <trackRevisions>false</trackRevisions>
    </reviewItem>
    <reviewItem>
      <errorID>dbeed5a8-0ba3-4ba5-b69b-aa5b488cc6e1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779F9D46</paraID>
      <start>57</start>
      <end>58</end>
      <status>unmodified</status>
      <modifiedWord/>
      <trackRevisions>false</trackRevisions>
    </reviewItem>
    <reviewItem>
      <errorID>e12db38d-6000-4cae-8493-8c083bf5ec8d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56C4A28E</paraID>
      <start>16</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5532df-e6d8-4dd6-92da-105c358b8ff5}">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10017</Words>
  <Characters>10356</Characters>
  <Lines>265</Lines>
  <Paragraphs>74</Paragraphs>
  <TotalTime>4</TotalTime>
  <ScaleCrop>false</ScaleCrop>
  <LinksUpToDate>false</LinksUpToDate>
  <CharactersWithSpaces>10433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2025-04-29T06:56:00Z</dcterms:created>
  <dc:creator>chinamobile</dc:creator>
  <cp:lastModifiedBy>dd</cp:lastModifiedBy>
  <cp:lastPrinted>2026-07-14T09:11:00Z</cp:lastPrinted>
  <dcterms:modified xsi:type="dcterms:W3CDTF">2026-07-15T09:22:09Z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eyJoZGlkIjoiMzUyMWJkNGQxMjQ4ZmNiNDk2ZTdjZmQxYzY1ODVhMDMiLCJ1c2VySWQiOiIxMzg1Nzk0MzIzIn0=</vt:lpwstr>
  </property>
  <property fmtid="{D5CDD505-2E9C-101B-9397-08002B2CF9AE}" pid="3" name="KSOProductBuildVer">
    <vt:lpwstr>2052-12.1.0.26895</vt:lpwstr>
  </property>
  <property fmtid="{D5CDD505-2E9C-101B-9397-08002B2CF9AE}" pid="4" name="ICV">
    <vt:lpwstr>CE407968CEF245BD941BD75C3FCC47E4_13</vt:lpwstr>
  </property>
</Properties>
</file>