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31DFB">
      <w:pPr>
        <w:pStyle w:val="8"/>
        <w:keepNext w:val="0"/>
        <w:keepLines w:val="0"/>
        <w:pageBreakBefore w:val="0"/>
        <w:widowControl w:val="0"/>
        <w:kinsoku/>
        <w:wordWrap/>
        <w:overflowPunct/>
        <w:topLinePunct w:val="0"/>
        <w:autoSpaceDE w:val="0"/>
        <w:autoSpaceDN w:val="0"/>
        <w:bidi w:val="0"/>
        <w:adjustRightInd w:val="0"/>
        <w:snapToGrid/>
        <w:spacing w:line="460" w:lineRule="exact"/>
        <w:ind w:firstLine="0" w:firstLineChars="0"/>
        <w:jc w:val="center"/>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1包：边坡毫米波雷达采购</w:t>
      </w:r>
    </w:p>
    <w:p w14:paraId="65EB69C8">
      <w:pPr>
        <w:pStyle w:val="8"/>
        <w:spacing w:before="156" w:beforeLines="50" w:line="460" w:lineRule="exact"/>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、采购内容一览表</w:t>
      </w:r>
    </w:p>
    <w:tbl>
      <w:tblPr>
        <w:tblStyle w:val="5"/>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940"/>
        <w:gridCol w:w="1363"/>
        <w:gridCol w:w="5213"/>
        <w:gridCol w:w="588"/>
        <w:gridCol w:w="624"/>
      </w:tblGrid>
      <w:tr w14:paraId="0347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457" w:type="dxa"/>
            <w:noWrap/>
            <w:vAlign w:val="center"/>
          </w:tcPr>
          <w:p w14:paraId="2F50E2D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940" w:type="dxa"/>
            <w:noWrap w:val="0"/>
            <w:vAlign w:val="center"/>
          </w:tcPr>
          <w:p w14:paraId="3212842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进口</w:t>
            </w:r>
          </w:p>
          <w:p w14:paraId="1479EB8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产品</w:t>
            </w:r>
          </w:p>
        </w:tc>
        <w:tc>
          <w:tcPr>
            <w:tcW w:w="1363" w:type="dxa"/>
            <w:noWrap/>
            <w:vAlign w:val="center"/>
          </w:tcPr>
          <w:p w14:paraId="37C141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产品名称</w:t>
            </w:r>
          </w:p>
        </w:tc>
        <w:tc>
          <w:tcPr>
            <w:tcW w:w="5213" w:type="dxa"/>
            <w:noWrap/>
            <w:vAlign w:val="center"/>
          </w:tcPr>
          <w:p w14:paraId="566F701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bCs w:val="0"/>
                <w:color w:val="auto"/>
                <w:kern w:val="0"/>
                <w:sz w:val="21"/>
                <w:szCs w:val="21"/>
                <w:highlight w:val="none"/>
              </w:rPr>
              <w:t>主要技术参数、</w:t>
            </w:r>
            <w:r>
              <w:rPr>
                <w:rFonts w:hint="eastAsia" w:ascii="宋体" w:hAnsi="宋体" w:eastAsia="宋体" w:cs="宋体"/>
                <w:b/>
                <w:bCs w:val="0"/>
                <w:color w:val="auto"/>
                <w:kern w:val="0"/>
                <w:sz w:val="21"/>
                <w:szCs w:val="21"/>
                <w:highlight w:val="none"/>
                <w:lang w:val="en-US" w:eastAsia="zh-CN"/>
              </w:rPr>
              <w:t>性能</w:t>
            </w:r>
            <w:r>
              <w:rPr>
                <w:rFonts w:hint="eastAsia" w:ascii="宋体" w:hAnsi="宋体" w:eastAsia="宋体" w:cs="宋体"/>
                <w:b/>
                <w:bCs w:val="0"/>
                <w:color w:val="auto"/>
                <w:kern w:val="0"/>
                <w:sz w:val="21"/>
                <w:szCs w:val="21"/>
                <w:highlight w:val="none"/>
              </w:rPr>
              <w:t>及</w:t>
            </w:r>
            <w:r>
              <w:rPr>
                <w:rFonts w:hint="eastAsia" w:ascii="宋体" w:hAnsi="宋体" w:eastAsia="宋体" w:cs="宋体"/>
                <w:b/>
                <w:bCs w:val="0"/>
                <w:color w:val="auto"/>
                <w:kern w:val="0"/>
                <w:sz w:val="21"/>
                <w:szCs w:val="21"/>
                <w:highlight w:val="none"/>
                <w:lang w:val="en-US" w:eastAsia="zh-CN"/>
              </w:rPr>
              <w:t>配置</w:t>
            </w:r>
            <w:r>
              <w:rPr>
                <w:rFonts w:hint="eastAsia" w:ascii="宋体" w:hAnsi="宋体" w:eastAsia="宋体" w:cs="宋体"/>
                <w:b/>
                <w:bCs w:val="0"/>
                <w:color w:val="auto"/>
                <w:kern w:val="0"/>
                <w:sz w:val="21"/>
                <w:szCs w:val="21"/>
                <w:highlight w:val="none"/>
              </w:rPr>
              <w:t>要求</w:t>
            </w:r>
          </w:p>
        </w:tc>
        <w:tc>
          <w:tcPr>
            <w:tcW w:w="588" w:type="dxa"/>
            <w:noWrap/>
            <w:vAlign w:val="center"/>
          </w:tcPr>
          <w:p w14:paraId="0835E2B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数量</w:t>
            </w:r>
          </w:p>
        </w:tc>
        <w:tc>
          <w:tcPr>
            <w:tcW w:w="624" w:type="dxa"/>
            <w:noWrap/>
            <w:vAlign w:val="center"/>
          </w:tcPr>
          <w:p w14:paraId="6099224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单位</w:t>
            </w:r>
          </w:p>
        </w:tc>
      </w:tr>
      <w:tr w14:paraId="40E4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57" w:type="dxa"/>
            <w:noWrap/>
            <w:vAlign w:val="center"/>
          </w:tcPr>
          <w:p w14:paraId="7E05C6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940" w:type="dxa"/>
            <w:noWrap w:val="0"/>
            <w:vAlign w:val="center"/>
          </w:tcPr>
          <w:p w14:paraId="24D971F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不接受</w:t>
            </w:r>
          </w:p>
        </w:tc>
        <w:tc>
          <w:tcPr>
            <w:tcW w:w="1363" w:type="dxa"/>
            <w:noWrap w:val="0"/>
            <w:vAlign w:val="center"/>
          </w:tcPr>
          <w:p w14:paraId="44588B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毫米波雷达</w:t>
            </w:r>
          </w:p>
        </w:tc>
        <w:tc>
          <w:tcPr>
            <w:tcW w:w="5213" w:type="dxa"/>
            <w:noWrap w:val="0"/>
            <w:vAlign w:val="center"/>
          </w:tcPr>
          <w:p w14:paraId="0675A73C">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both"/>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一、技术要求：</w:t>
            </w:r>
          </w:p>
          <w:p w14:paraId="547EBD47">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相控阵电子扫描式调频连续波体制合成孔径雷达。</w:t>
            </w:r>
          </w:p>
          <w:p w14:paraId="7ED902C0">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采集周期：最短间隔≤1min，具备缓变目标变形位移监测能力。</w:t>
            </w:r>
          </w:p>
          <w:p w14:paraId="516C5633">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雷达使用的频率范围符合《雷达无线电管理规定》中【地基形变监测雷达】要求的频率范围之内：15.7-17.2GHz。</w:t>
            </w:r>
          </w:p>
          <w:p w14:paraId="354E04D4">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监测距离≥1km；精度≤0.1mm；方位角≥100°俯仰角≥40°。</w:t>
            </w:r>
          </w:p>
          <w:p w14:paraId="7571A894">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工作温度-20℃～+60℃；</w:t>
            </w:r>
          </w:p>
          <w:p w14:paraId="4254DDB2">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雷达主机不低于符合IP66环境指标。</w:t>
            </w:r>
          </w:p>
          <w:p w14:paraId="47C96C93">
            <w:pPr>
              <w:keepNext w:val="0"/>
              <w:keepLines w:val="0"/>
              <w:pageBreakBefore w:val="0"/>
              <w:widowControl/>
              <w:numPr>
                <w:ilvl w:val="0"/>
                <w:numId w:val="1"/>
              </w:numPr>
              <w:suppressLineNumbers w:val="0"/>
              <w:kinsoku/>
              <w:wordWrap/>
              <w:overflowPunct/>
              <w:topLinePunct w:val="0"/>
              <w:autoSpaceDE/>
              <w:autoSpaceDN/>
              <w:bidi w:val="0"/>
              <w:adjustRightInd/>
              <w:snapToGrid/>
              <w:spacing w:line="400" w:lineRule="exact"/>
              <w:jc w:val="both"/>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具有联动控制声光报警器等预警设备的功能。</w:t>
            </w:r>
          </w:p>
          <w:p w14:paraId="738A1896">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both"/>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二、供应商应提供满足技术要求的产品证明材料，如：第三方检测报告、产品说明书、操作手册等。</w:t>
            </w:r>
          </w:p>
        </w:tc>
        <w:tc>
          <w:tcPr>
            <w:tcW w:w="588" w:type="dxa"/>
            <w:noWrap w:val="0"/>
            <w:vAlign w:val="center"/>
          </w:tcPr>
          <w:p w14:paraId="0C4AAD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624" w:type="dxa"/>
            <w:noWrap w:val="0"/>
            <w:vAlign w:val="center"/>
          </w:tcPr>
          <w:p w14:paraId="498EE5B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snapToGrid w:val="0"/>
                <w:color w:val="auto"/>
                <w:kern w:val="21"/>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套</w:t>
            </w:r>
          </w:p>
        </w:tc>
      </w:tr>
      <w:tr w14:paraId="2DD2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185" w:type="dxa"/>
            <w:gridSpan w:val="6"/>
            <w:noWrap/>
            <w:vAlign w:val="center"/>
          </w:tcPr>
          <w:p w14:paraId="22E90CB8">
            <w:pPr>
              <w:keepNext w:val="0"/>
              <w:keepLines w:val="0"/>
              <w:pageBreakBefore w:val="0"/>
              <w:widowControl w:val="0"/>
              <w:kinsoku/>
              <w:wordWrap/>
              <w:overflowPunct/>
              <w:topLinePunct w:val="0"/>
              <w:autoSpaceDE/>
              <w:autoSpaceDN/>
              <w:bidi w:val="0"/>
              <w:adjustRightInd/>
              <w:snapToGrid/>
              <w:spacing w:line="460" w:lineRule="exact"/>
              <w:jc w:val="left"/>
              <w:textAlignment w:val="center"/>
              <w:rPr>
                <w:rFonts w:hint="eastAsia" w:ascii="宋体" w:hAnsi="宋体" w:eastAsia="宋体" w:cs="宋体"/>
                <w:b/>
                <w:bCs w:val="0"/>
                <w:color w:val="auto"/>
                <w:sz w:val="22"/>
                <w:szCs w:val="22"/>
                <w:highlight w:val="none"/>
                <w:shd w:val="clear" w:color="FFFFFF" w:fill="D9D9D9"/>
              </w:rPr>
            </w:pPr>
            <w:r>
              <w:rPr>
                <w:rFonts w:hint="eastAsia" w:ascii="宋体" w:hAnsi="宋体" w:eastAsia="宋体" w:cs="宋体"/>
                <w:b/>
                <w:bCs w:val="0"/>
                <w:color w:val="auto"/>
                <w:sz w:val="22"/>
                <w:szCs w:val="22"/>
                <w:highlight w:val="none"/>
                <w:shd w:val="clear" w:color="FFFFFF" w:fill="D9D9D9"/>
              </w:rPr>
              <w:t>备注：供应商应对表中内容作出一一响应，所投产品应完全满足表中要求，任意一条不满足将导致响应文件无效。</w:t>
            </w:r>
          </w:p>
        </w:tc>
      </w:tr>
    </w:tbl>
    <w:p w14:paraId="52734BE6">
      <w:pPr>
        <w:pStyle w:val="8"/>
        <w:keepNext w:val="0"/>
        <w:keepLines w:val="0"/>
        <w:pageBreakBefore w:val="0"/>
        <w:widowControl w:val="0"/>
        <w:kinsoku/>
        <w:wordWrap/>
        <w:overflowPunct/>
        <w:topLinePunct w:val="0"/>
        <w:autoSpaceDE w:val="0"/>
        <w:autoSpaceDN w:val="0"/>
        <w:bidi w:val="0"/>
        <w:adjustRightInd w:val="0"/>
        <w:snapToGrid/>
        <w:spacing w:before="156" w:beforeLines="50" w:line="460" w:lineRule="exact"/>
        <w:ind w:firstLine="482" w:firstLineChars="200"/>
        <w:textAlignment w:val="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、其他要求</w:t>
      </w:r>
    </w:p>
    <w:p w14:paraId="4BF9B785">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一</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合同履行期限：</w:t>
      </w:r>
      <w:r>
        <w:rPr>
          <w:rFonts w:hint="eastAsia" w:ascii="宋体" w:hAnsi="宋体" w:eastAsia="宋体" w:cs="宋体"/>
          <w:bCs/>
          <w:color w:val="auto"/>
          <w:highlight w:val="none"/>
          <w:lang w:eastAsia="zh-CN"/>
        </w:rPr>
        <w:t>合同签订之日起15个工作日内完成设备交货及调试工作，并免费提供三年设备监测期内全部技术支持与服务</w:t>
      </w:r>
      <w:r>
        <w:rPr>
          <w:rFonts w:hint="eastAsia" w:ascii="宋体" w:hAnsi="宋体" w:eastAsia="宋体" w:cs="宋体"/>
          <w:bCs/>
          <w:color w:val="auto"/>
          <w:highlight w:val="none"/>
          <w:lang w:val="en-US" w:eastAsia="zh-CN"/>
        </w:rPr>
        <w:t>。</w:t>
      </w:r>
    </w:p>
    <w:p w14:paraId="5F2CCCF3">
      <w:pPr>
        <w:pStyle w:val="8"/>
        <w:spacing w:line="460" w:lineRule="exact"/>
        <w:ind w:firstLine="480" w:firstLineChars="200"/>
        <w:rPr>
          <w:rFonts w:hint="eastAsia" w:ascii="宋体" w:hAnsi="宋体" w:eastAsia="方正准圆简体" w:cs="宋体"/>
          <w:bCs/>
          <w:color w:val="auto"/>
          <w:highlight w:val="none"/>
          <w:lang w:val="en-US" w:eastAsia="zh-CN"/>
        </w:rPr>
      </w:pPr>
      <w:r>
        <w:rPr>
          <w:rFonts w:hint="eastAsia" w:ascii="宋体" w:hAnsi="宋体" w:eastAsia="宋体" w:cs="宋体"/>
          <w:bCs/>
          <w:color w:val="auto"/>
          <w:highlight w:val="none"/>
          <w:lang w:val="en-US" w:eastAsia="zh-CN"/>
        </w:rPr>
        <w:t>注：设备监测期全程技术服务包括但不限于线上技术支持、设备检修、故障维修、配件更换、系统调试等相关配套服务</w:t>
      </w:r>
      <w:r>
        <w:rPr>
          <w:rFonts w:hint="eastAsia"/>
          <w:color w:val="auto"/>
          <w:highlight w:val="none"/>
          <w:lang w:eastAsia="zh-CN"/>
        </w:rPr>
        <w:t>。</w:t>
      </w:r>
    </w:p>
    <w:p w14:paraId="4341523E">
      <w:pPr>
        <w:pStyle w:val="8"/>
        <w:spacing w:line="460" w:lineRule="exact"/>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（二）</w:t>
      </w:r>
      <w:r>
        <w:rPr>
          <w:rFonts w:hint="eastAsia" w:ascii="宋体" w:hAnsi="宋体" w:eastAsia="宋体" w:cs="宋体"/>
          <w:bCs/>
          <w:color w:val="auto"/>
          <w:highlight w:val="none"/>
          <w:lang w:eastAsia="zh-CN"/>
        </w:rPr>
        <w:t>交货地点：</w:t>
      </w:r>
      <w:r>
        <w:rPr>
          <w:rFonts w:hint="eastAsia" w:ascii="宋体" w:hAnsi="宋体" w:eastAsia="宋体" w:cs="宋体"/>
          <w:bCs/>
          <w:color w:val="auto"/>
          <w:highlight w:val="none"/>
          <w:lang w:val="en-US" w:eastAsia="zh-CN"/>
        </w:rPr>
        <w:t>云南省楚雄州双柏县和维西县境内</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采购人</w:t>
      </w:r>
      <w:r>
        <w:rPr>
          <w:rFonts w:hint="eastAsia" w:ascii="宋体" w:hAnsi="宋体" w:eastAsia="宋体" w:cs="宋体"/>
          <w:bCs/>
          <w:color w:val="auto"/>
          <w:highlight w:val="none"/>
          <w:lang w:eastAsia="zh-CN"/>
        </w:rPr>
        <w:t>指定地点）。</w:t>
      </w:r>
    </w:p>
    <w:p w14:paraId="76C71A98">
      <w:pPr>
        <w:pStyle w:val="8"/>
        <w:spacing w:line="460" w:lineRule="exact"/>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（三）质量要求：</w:t>
      </w:r>
      <w:r>
        <w:rPr>
          <w:rFonts w:hint="eastAsia" w:ascii="宋体" w:hAnsi="宋体" w:eastAsia="宋体" w:cs="宋体"/>
          <w:bCs/>
          <w:color w:val="auto"/>
          <w:highlight w:val="none"/>
          <w:lang w:eastAsia="zh-CN"/>
        </w:rPr>
        <w:t>符合《工程测量标准》（GB 50026-2020）、《建筑变形测量规范》（JGJ 8-2016）、《公路软土地基路堤设计与施工技术细则》（JTG/TD31-02-2013）、《公路工程地质勘察规范》（JTGC20-2011）、《公路滑坡防治设计规范》（JTG T3334-2018）、《</w:t>
      </w:r>
      <w:r>
        <w:rPr>
          <w:rFonts w:hint="eastAsia" w:ascii="宋体" w:hAnsi="宋体" w:eastAsia="宋体" w:cs="宋体"/>
          <w:bCs/>
          <w:color w:val="auto"/>
          <w:highlight w:val="none"/>
          <w:lang w:val="en-US" w:eastAsia="zh-CN"/>
        </w:rPr>
        <w:t>雷达无线电管理规定（试行）</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lang w:val="en-US" w:eastAsia="zh-CN"/>
        </w:rPr>
        <w:t>工信部无〔2025〕22号</w:t>
      </w:r>
      <w:r>
        <w:rPr>
          <w:rFonts w:hint="eastAsia" w:ascii="宋体" w:hAnsi="宋体" w:eastAsia="宋体" w:cs="宋体"/>
          <w:bCs/>
          <w:color w:val="auto"/>
          <w:highlight w:val="none"/>
          <w:lang w:eastAsia="zh-CN"/>
        </w:rPr>
        <w:t>）等规范的规定；</w:t>
      </w:r>
      <w:r>
        <w:rPr>
          <w:rFonts w:hint="eastAsia" w:ascii="宋体" w:hAnsi="宋体" w:eastAsia="宋体" w:cs="宋体"/>
          <w:bCs/>
          <w:color w:val="auto"/>
          <w:highlight w:val="none"/>
          <w:lang w:val="en-US" w:eastAsia="zh-CN"/>
        </w:rPr>
        <w:t>符合施工设计图及相关文件的要求</w:t>
      </w:r>
      <w:r>
        <w:rPr>
          <w:rFonts w:hint="eastAsia" w:ascii="宋体" w:hAnsi="宋体" w:eastAsia="宋体" w:cs="宋体"/>
          <w:bCs/>
          <w:color w:val="auto"/>
          <w:highlight w:val="none"/>
          <w:lang w:eastAsia="zh-CN"/>
        </w:rPr>
        <w:t>。</w:t>
      </w:r>
    </w:p>
    <w:p w14:paraId="63B9CA7E">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（四）服务要求：</w:t>
      </w:r>
    </w:p>
    <w:p w14:paraId="2792386F">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供应商需严格遵守职业道德及服务质量控制度，及时满足采购人提出的要求，按时、按量、高标准完成本次采购工作。严格遵守廉洁自律原则；对服务过程中的重大问题及时向采购人报告，并提出建议；参与人员要严格履行保密义务，做好保密工作。</w:t>
      </w:r>
    </w:p>
    <w:p w14:paraId="74FC983F">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1、若供应商非设备制造商，则响应文件中需附制造商针对本项目的产品授权书原件。</w:t>
      </w:r>
    </w:p>
    <w:p w14:paraId="3DFFE01C">
      <w:pPr>
        <w:pStyle w:val="8"/>
        <w:keepNext w:val="0"/>
        <w:keepLines w:val="0"/>
        <w:pageBreakBefore w:val="0"/>
        <w:widowControl w:val="0"/>
        <w:kinsoku/>
        <w:wordWrap/>
        <w:overflowPunct/>
        <w:topLinePunct w:val="0"/>
        <w:autoSpaceDE w:val="0"/>
        <w:autoSpaceDN w:val="0"/>
        <w:bidi w:val="0"/>
        <w:adjustRightInd w:val="0"/>
        <w:snapToGrid/>
        <w:spacing w:line="460" w:lineRule="exact"/>
        <w:ind w:firstLine="240" w:firstLineChars="100"/>
        <w:textAlignment w:val="auto"/>
        <w:rPr>
          <w:rFonts w:hint="eastAsia" w:ascii="宋体" w:hAnsi="宋体" w:eastAsia="宋体" w:cs="宋体"/>
          <w:bCs/>
          <w:color w:val="auto"/>
          <w:highlight w:val="none"/>
          <w:shd w:val="clear" w:color="FFFFFF" w:fill="D9D9D9"/>
          <w:lang w:val="en-US" w:eastAsia="zh-CN"/>
        </w:rPr>
      </w:pPr>
      <w:r>
        <w:rPr>
          <w:rFonts w:hint="eastAsia" w:ascii="宋体" w:hAnsi="宋体" w:eastAsia="宋体" w:cs="宋体"/>
          <w:bCs/>
          <w:color w:val="auto"/>
          <w:highlight w:val="none"/>
          <w:shd w:val="clear" w:color="FFFFFF" w:fill="D9D9D9"/>
          <w:lang w:val="en-US" w:eastAsia="zh-CN"/>
        </w:rPr>
        <w:t>★2、为确保信息安全，仪器设备配套的数据分析软件，须按照采购人的要求进行本地化部署（服务器硬件、网络及供电条件由采购人提供），原始数据须直接上传至指定平台，供应商免费提供交通部标准数据协议要求对接，其他协议对接另行协商费用；供应商须在15个工作日内，完成数据对接及展示工作。</w:t>
      </w:r>
    </w:p>
    <w:p w14:paraId="5D2FBA31">
      <w:pPr>
        <w:pStyle w:val="8"/>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3、售后服务要求：</w:t>
      </w:r>
    </w:p>
    <w:p w14:paraId="5089984C">
      <w:pPr>
        <w:pStyle w:val="8"/>
        <w:spacing w:line="460" w:lineRule="exact"/>
        <w:ind w:firstLine="480" w:firstLineChars="200"/>
        <w:rPr>
          <w:rFonts w:hint="default" w:ascii="宋体" w:hAnsi="宋体" w:eastAsia="宋体" w:cs="宋体"/>
          <w:bCs/>
          <w:color w:val="auto"/>
          <w:highlight w:val="none"/>
          <w:shd w:val="clear" w:color="FFFFFF" w:fill="D9D9D9"/>
          <w:lang w:val="en-US" w:eastAsia="zh-CN"/>
        </w:rPr>
      </w:pPr>
      <w:r>
        <w:rPr>
          <w:rFonts w:hint="eastAsia" w:ascii="宋体" w:hAnsi="宋体" w:eastAsia="宋体" w:cs="宋体"/>
          <w:bCs/>
          <w:color w:val="auto"/>
          <w:highlight w:val="none"/>
          <w:shd w:val="clear" w:color="FFFFFF" w:fill="D9D9D9"/>
          <w:lang w:val="en-US" w:eastAsia="zh-CN"/>
        </w:rPr>
        <w:t>★（1）供应商提供的产品要求使用年限不少于3年，其中质保期1年（自设备调试安装完成之日起算）、保修期2年（自质保期届满后起算）。质保期期间产品出现任何问题（由于不可抗力因素导致设备损毁的情况除外），供应商无条件进行更换，采购人不再承担任何费用。保修期间供应商免费上门维修，仅收取零部件费用、免收人工费；</w:t>
      </w:r>
      <w:r>
        <w:rPr>
          <w:rFonts w:hint="default" w:ascii="宋体" w:hAnsi="宋体" w:eastAsia="宋体" w:cs="宋体"/>
          <w:bCs/>
          <w:color w:val="auto"/>
          <w:highlight w:val="none"/>
          <w:shd w:val="clear" w:color="FFFFFF" w:fill="D9D9D9"/>
          <w:lang w:val="en-US" w:eastAsia="zh-CN"/>
        </w:rPr>
        <w:t>售后服务期结束后需对采购人持续提供支持服务，若产生费用仅收取材料成本费用，不收取人工、工时费</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同一设备非因人损坏或因质量问题连续两次维修或在单年内累计三次维修后仍无法正常使用的，经供应商更换同品牌、同型号新设备后质保期重新计算</w:t>
      </w:r>
      <w:r>
        <w:rPr>
          <w:rFonts w:hint="eastAsia" w:ascii="宋体" w:hAnsi="宋体" w:eastAsia="宋体" w:cs="宋体"/>
          <w:bCs/>
          <w:color w:val="auto"/>
          <w:highlight w:val="none"/>
          <w:shd w:val="clear" w:color="FFFFFF" w:fill="D9D9D9"/>
          <w:lang w:val="en-US" w:eastAsia="zh-CN"/>
        </w:rPr>
        <w:t>；</w:t>
      </w:r>
      <w:r>
        <w:rPr>
          <w:rFonts w:hint="default" w:ascii="宋体" w:hAnsi="宋体" w:eastAsia="宋体" w:cs="宋体"/>
          <w:bCs/>
          <w:color w:val="auto"/>
          <w:highlight w:val="none"/>
          <w:shd w:val="clear" w:color="FFFFFF" w:fill="D9D9D9"/>
          <w:lang w:val="en-US" w:eastAsia="zh-CN"/>
        </w:rPr>
        <w:t>采购人在货物使用过程中发生技术、质量问题，供应商应提供及时有效的技术支持及维修服务。</w:t>
      </w:r>
    </w:p>
    <w:p w14:paraId="0261C0B9">
      <w:pPr>
        <w:pStyle w:val="8"/>
        <w:spacing w:line="460" w:lineRule="exact"/>
        <w:ind w:firstLine="480" w:firstLineChars="200"/>
        <w:rPr>
          <w:rFonts w:hint="eastAsia" w:ascii="宋体" w:hAnsi="宋体" w:eastAsia="宋体" w:cs="宋体"/>
          <w:bCs/>
          <w:color w:val="auto"/>
          <w:highlight w:val="none"/>
          <w:shd w:val="clear" w:color="FFFFFF" w:fill="D9D9D9"/>
          <w:lang w:val="en-US" w:eastAsia="zh-CN"/>
        </w:rPr>
      </w:pPr>
      <w:r>
        <w:rPr>
          <w:rFonts w:hint="eastAsia" w:ascii="宋体" w:hAnsi="宋体" w:eastAsia="宋体" w:cs="宋体"/>
          <w:bCs/>
          <w:color w:val="auto"/>
          <w:highlight w:val="none"/>
          <w:shd w:val="clear" w:color="FFFFFF" w:fill="D9D9D9"/>
          <w:lang w:val="en-US" w:eastAsia="zh-CN"/>
        </w:rPr>
        <w:t>★（2）设备调试由供应商派遣专门的技术人员进行现场指导，按采购人的监测时间节点要求，完成设备的调试工作，确保各类设备按时正常工作，</w:t>
      </w:r>
      <w:r>
        <w:rPr>
          <w:rFonts w:hint="eastAsia" w:ascii="宋体" w:hAnsi="宋体" w:eastAsia="宋体" w:cs="宋体"/>
          <w:color w:val="auto"/>
          <w:szCs w:val="21"/>
          <w:highlight w:val="none"/>
          <w:lang w:val="en-US" w:eastAsia="zh-CN"/>
        </w:rPr>
        <w:t>数据分析软件终审免费使用、提供更新</w:t>
      </w:r>
      <w:r>
        <w:rPr>
          <w:rFonts w:hint="eastAsia" w:ascii="宋体" w:hAnsi="宋体" w:eastAsia="宋体" w:cs="宋体"/>
          <w:bCs/>
          <w:color w:val="auto"/>
          <w:highlight w:val="none"/>
          <w:shd w:val="clear" w:color="FFFFFF" w:fill="D9D9D9"/>
          <w:lang w:val="en-US" w:eastAsia="zh-CN"/>
        </w:rPr>
        <w:t>。该项工作所产生的费用及相关责任，均由供应商承担，采购人不承担任何费用与责任；</w:t>
      </w:r>
    </w:p>
    <w:p w14:paraId="20D4FB71">
      <w:pPr>
        <w:pStyle w:val="8"/>
        <w:spacing w:line="460" w:lineRule="exact"/>
        <w:ind w:firstLine="480" w:firstLineChars="200"/>
        <w:rPr>
          <w:rFonts w:hint="eastAsia" w:ascii="宋体" w:hAnsi="宋体" w:eastAsia="宋体" w:cs="宋体"/>
          <w:bCs/>
          <w:color w:val="auto"/>
          <w:highlight w:val="none"/>
          <w:shd w:val="clear" w:color="FFFFFF" w:fill="D9D9D9"/>
          <w:lang w:val="en-US" w:eastAsia="zh-CN"/>
        </w:rPr>
      </w:pPr>
      <w:r>
        <w:rPr>
          <w:rFonts w:hint="eastAsia" w:ascii="宋体" w:hAnsi="宋体" w:eastAsia="宋体" w:cs="宋体"/>
          <w:bCs/>
          <w:color w:val="auto"/>
          <w:highlight w:val="none"/>
          <w:shd w:val="clear" w:color="FFFFFF" w:fill="D9D9D9"/>
          <w:lang w:val="en-US" w:eastAsia="zh-CN"/>
        </w:rPr>
        <w:t>★（3）本项目监测周期36个月，期间设备出现任何问题，供应商需无偿提供技术支持，故障维护响应时间不超过1天，维修时间不超过2天，确保监测工作满足采购人的监测需求。该项工作所产生的除零部件费用外的所有费用及相关责任，均由供应商承担，采购人不承担除零部件费用外的任何费用与责任。</w:t>
      </w:r>
    </w:p>
    <w:p w14:paraId="170CDAF2">
      <w:pPr>
        <w:pStyle w:val="8"/>
        <w:spacing w:line="460" w:lineRule="exact"/>
        <w:ind w:firstLine="480" w:firstLineChars="200"/>
        <w:rPr>
          <w:rFonts w:hint="eastAsia" w:ascii="宋体" w:hAnsi="宋体" w:eastAsia="宋体" w:cs="宋体"/>
          <w:bCs/>
          <w:color w:val="auto"/>
          <w:highlight w:val="none"/>
          <w:shd w:val="clear" w:color="FFFFFF" w:fill="D9D9D9"/>
          <w:lang w:val="en-US" w:eastAsia="zh-CN"/>
        </w:rPr>
      </w:pPr>
      <w:r>
        <w:rPr>
          <w:rFonts w:hint="eastAsia" w:ascii="宋体" w:hAnsi="宋体" w:eastAsia="宋体" w:cs="宋体"/>
          <w:bCs/>
          <w:color w:val="auto"/>
          <w:highlight w:val="none"/>
          <w:shd w:val="clear" w:color="FFFFFF" w:fill="D9D9D9"/>
          <w:lang w:val="en-US" w:eastAsia="zh-CN"/>
        </w:rPr>
        <w:t>★（4）供应商的提供的产品，若性能及精度满足不了采购人的要求，或经实践检验后与产品描述不符，供应商负责免费更换，并赔偿采购人的相关损失。</w:t>
      </w:r>
    </w:p>
    <w:p w14:paraId="6843AF83">
      <w:pPr>
        <w:pStyle w:val="8"/>
        <w:keepNext w:val="0"/>
        <w:keepLines w:val="0"/>
        <w:pageBreakBefore w:val="0"/>
        <w:widowControl w:val="0"/>
        <w:kinsoku/>
        <w:wordWrap/>
        <w:overflowPunct/>
        <w:topLinePunct w:val="0"/>
        <w:autoSpaceDE w:val="0"/>
        <w:autoSpaceDN w:val="0"/>
        <w:bidi w:val="0"/>
        <w:adjustRightInd w:val="0"/>
        <w:snapToGrid/>
        <w:spacing w:before="156" w:beforeLines="50" w:line="460" w:lineRule="exact"/>
        <w:ind w:firstLine="482" w:firstLineChars="200"/>
        <w:textAlignment w:val="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三、项目验收标准</w:t>
      </w:r>
    </w:p>
    <w:p w14:paraId="458B051E">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达到国家相关标准、行业标准及地方标准要求。满足国家、省市相关规范及其他相关专业现行规范，达到合格标准。</w:t>
      </w:r>
    </w:p>
    <w:p w14:paraId="10FB2D4E">
      <w:pPr>
        <w:pStyle w:val="8"/>
        <w:keepNext w:val="0"/>
        <w:keepLines w:val="0"/>
        <w:pageBreakBefore w:val="0"/>
        <w:widowControl w:val="0"/>
        <w:numPr>
          <w:ilvl w:val="0"/>
          <w:numId w:val="2"/>
        </w:numPr>
        <w:kinsoku/>
        <w:wordWrap/>
        <w:overflowPunct/>
        <w:topLinePunct w:val="0"/>
        <w:autoSpaceDE w:val="0"/>
        <w:autoSpaceDN w:val="0"/>
        <w:bidi w:val="0"/>
        <w:adjustRightInd w:val="0"/>
        <w:snapToGrid/>
        <w:spacing w:line="460" w:lineRule="exact"/>
        <w:ind w:left="0" w:leftChars="0"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GB 50026-2020《工程测量标准》；</w:t>
      </w:r>
    </w:p>
    <w:p w14:paraId="436D18B8">
      <w:pPr>
        <w:pStyle w:val="8"/>
        <w:keepNext w:val="0"/>
        <w:keepLines w:val="0"/>
        <w:pageBreakBefore w:val="0"/>
        <w:widowControl w:val="0"/>
        <w:numPr>
          <w:ilvl w:val="0"/>
          <w:numId w:val="2"/>
        </w:numPr>
        <w:kinsoku/>
        <w:wordWrap/>
        <w:overflowPunct/>
        <w:topLinePunct w:val="0"/>
        <w:autoSpaceDE w:val="0"/>
        <w:autoSpaceDN w:val="0"/>
        <w:bidi w:val="0"/>
        <w:adjustRightInd w:val="0"/>
        <w:snapToGrid/>
        <w:spacing w:line="460" w:lineRule="exact"/>
        <w:ind w:left="0" w:leftChars="0"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JGJ 8-2016《建筑变形测量规范》；</w:t>
      </w:r>
    </w:p>
    <w:p w14:paraId="6B6E3134">
      <w:pPr>
        <w:pStyle w:val="8"/>
        <w:keepNext w:val="0"/>
        <w:keepLines w:val="0"/>
        <w:pageBreakBefore w:val="0"/>
        <w:widowControl w:val="0"/>
        <w:numPr>
          <w:ilvl w:val="0"/>
          <w:numId w:val="2"/>
        </w:numPr>
        <w:kinsoku/>
        <w:wordWrap/>
        <w:overflowPunct/>
        <w:topLinePunct w:val="0"/>
        <w:autoSpaceDE w:val="0"/>
        <w:autoSpaceDN w:val="0"/>
        <w:bidi w:val="0"/>
        <w:adjustRightInd w:val="0"/>
        <w:snapToGrid/>
        <w:spacing w:line="460" w:lineRule="exact"/>
        <w:ind w:left="0" w:leftChars="0"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《雷达无线电管理规定（试行）》（工信部无〔2025〕22号）；</w:t>
      </w:r>
    </w:p>
    <w:p w14:paraId="3FBB0CF9">
      <w:pPr>
        <w:pStyle w:val="8"/>
        <w:keepNext w:val="0"/>
        <w:keepLines w:val="0"/>
        <w:pageBreakBefore w:val="0"/>
        <w:widowControl w:val="0"/>
        <w:numPr>
          <w:ilvl w:val="0"/>
          <w:numId w:val="2"/>
        </w:numPr>
        <w:kinsoku/>
        <w:wordWrap/>
        <w:overflowPunct/>
        <w:topLinePunct w:val="0"/>
        <w:autoSpaceDE w:val="0"/>
        <w:autoSpaceDN w:val="0"/>
        <w:bidi w:val="0"/>
        <w:adjustRightInd w:val="0"/>
        <w:snapToGrid/>
        <w:spacing w:line="460" w:lineRule="exact"/>
        <w:ind w:left="0" w:leftChars="0"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JTGC20-2011《公路工程地质勘察规范》；</w:t>
      </w:r>
    </w:p>
    <w:p w14:paraId="051D25C6">
      <w:pPr>
        <w:pStyle w:val="8"/>
        <w:keepNext w:val="0"/>
        <w:keepLines w:val="0"/>
        <w:pageBreakBefore w:val="0"/>
        <w:widowControl w:val="0"/>
        <w:numPr>
          <w:ilvl w:val="0"/>
          <w:numId w:val="2"/>
        </w:numPr>
        <w:kinsoku/>
        <w:wordWrap/>
        <w:overflowPunct/>
        <w:topLinePunct w:val="0"/>
        <w:autoSpaceDE w:val="0"/>
        <w:autoSpaceDN w:val="0"/>
        <w:bidi w:val="0"/>
        <w:adjustRightInd w:val="0"/>
        <w:snapToGrid/>
        <w:spacing w:line="460" w:lineRule="exact"/>
        <w:ind w:left="0" w:leftChars="0" w:firstLine="480" w:firstLineChars="200"/>
        <w:textAlignment w:val="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《公路滑坡防治设计规范》（JTG T3334-2018）。</w:t>
      </w:r>
    </w:p>
    <w:p w14:paraId="1B48FD8F">
      <w:pPr>
        <w:pStyle w:val="8"/>
        <w:spacing w:line="460" w:lineRule="exact"/>
        <w:ind w:firstLine="480" w:firstLineChars="200"/>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产品方面，供应商提供的设备类型、数量与采购清单相符，性能指标及配置满足采购需求及合同约定，设备合格证书及以采购人为委托单位的毫米波雷达检定校准证书等产品资料齐全。针对产品性能，必要时采购人组织进行现场校核与比对，确定供应商的产品各项性能是否达到验收要求。若现场核验后，发现产品不符合要求，将追究供应商的相关责任，并赔偿采购方的所有损失。</w:t>
      </w:r>
    </w:p>
    <w:p w14:paraId="769A2B13">
      <w:pPr>
        <w:pStyle w:val="8"/>
        <w:spacing w:line="460" w:lineRule="exact"/>
        <w:ind w:firstLine="480" w:firstLineChars="200"/>
        <w:rPr>
          <w:rFonts w:hint="eastAsia" w:ascii="宋体" w:hAnsi="宋体" w:eastAsia="宋体" w:cs="宋体"/>
          <w:bCs/>
          <w:color w:val="auto"/>
          <w:highlight w:val="none"/>
          <w:lang w:val="en-US" w:eastAsia="zh-CN"/>
        </w:rPr>
      </w:pPr>
    </w:p>
    <w:p w14:paraId="2DA7E413">
      <w:bookmarkStart w:id="0" w:name="_GoBack"/>
      <w:bookmarkEnd w:id="0"/>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2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准圆简体">
    <w:altName w:val="宋体"/>
    <w:panose1 w:val="02010601030101010101"/>
    <w:charset w:val="86"/>
    <w:family w:val="roma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40A56">
    <w:pPr>
      <w:pStyle w:val="3"/>
      <w:wordWrap w:val="0"/>
      <w:jc w:val="right"/>
      <w:rPr>
        <w:rStyle w:val="7"/>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3A5512">
                          <w:pPr>
                            <w:pStyle w:val="3"/>
                            <w:rPr>
                              <w:rFonts w:hint="eastAsia"/>
                            </w:rPr>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path/>
              <v:fill on="f" focussize="0,0"/>
              <v:stroke on="f" weight="1.25pt"/>
              <v:imagedata o:title=""/>
              <o:lock v:ext="edit" aspectratio="f"/>
              <v:textbox inset="0mm,0mm,0mm,0mm" style="mso-fit-shape-to-text:t;">
                <w:txbxContent>
                  <w:p w14:paraId="4C3A5512">
                    <w:pPr>
                      <w:pStyle w:val="3"/>
                      <w:rPr>
                        <w:rFonts w:hint="eastAsia"/>
                      </w:rPr>
                    </w:pP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p>
                </w:txbxContent>
              </v:textbox>
            </v:shape>
          </w:pict>
        </mc:Fallback>
      </mc:AlternateContent>
    </w:r>
  </w:p>
  <w:p w14:paraId="74F45BEA">
    <w:pPr>
      <w:pStyle w:val="3"/>
      <w:ind w:right="105"/>
      <w:jc w:val="right"/>
      <w:rPr>
        <w:rFonts w:hint="eastAsia"/>
      </w:rPr>
    </w:pPr>
    <w:r>
      <w:rPr>
        <w:rFonts w:hint="eastAsia"/>
        <w:sz w:val="10"/>
        <w:szCs w:val="10"/>
      </w:rPr>
      <w:drawing>
        <wp:inline distT="0" distB="0" distL="114300" distR="114300">
          <wp:extent cx="1461770" cy="345440"/>
          <wp:effectExtent l="0" t="0" r="4445" b="0"/>
          <wp:docPr id="8" name="图片 4" descr="lALPDgQ9utky90zMyM0C9g_758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lALPDgQ9utky90zMyM0C9g_758_200"/>
                  <pic:cNvPicPr>
                    <a:picLocks noChangeAspect="1"/>
                  </pic:cNvPicPr>
                </pic:nvPicPr>
                <pic:blipFill>
                  <a:blip r:embed="rId1"/>
                  <a:stretch>
                    <a:fillRect/>
                  </a:stretch>
                </pic:blipFill>
                <pic:spPr>
                  <a:xfrm>
                    <a:off x="0" y="0"/>
                    <a:ext cx="1461770" cy="34544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BB9D5">
    <w:pPr>
      <w:pStyle w:val="4"/>
      <w:pBdr>
        <w:bottom w:val="single" w:color="auto" w:sz="6" w:space="0"/>
      </w:pBdr>
      <w:jc w:val="both"/>
      <w:rPr>
        <w:rFonts w:hint="eastAsia" w:hAnsi="宋体" w:eastAsia="宋体"/>
        <w:bCs/>
        <w:lang w:eastAsia="zh-CN"/>
      </w:rPr>
    </w:pPr>
    <w:r>
      <w:rPr>
        <w:rFonts w:hint="eastAsia" w:hAnsi="宋体"/>
        <w:bCs/>
        <w:lang w:val="en-US" w:eastAsia="zh-CN"/>
      </w:rPr>
      <w:t xml:space="preserve">边坡监测用毫米波雷达及其他监测传感器等采购                   </w:t>
    </w:r>
    <w:r>
      <w:rPr>
        <w:rFonts w:hint="eastAsia"/>
        <w:bCs/>
        <w:lang w:val="en-US" w:eastAsia="zh-CN"/>
      </w:rPr>
      <w:t xml:space="preserve">                       </w:t>
    </w:r>
    <w:r>
      <w:rPr>
        <w:rFonts w:hint="eastAsia" w:hAnsi="宋体"/>
        <w:bCs/>
      </w:rPr>
      <w:t xml:space="preserve">   </w:t>
    </w:r>
    <w:r>
      <w:rPr>
        <w:rFonts w:hint="eastAsia"/>
        <w:bCs/>
        <w:lang w:val="en-US" w:eastAsia="zh-CN"/>
      </w:rPr>
      <w:t xml:space="preserve">   </w:t>
    </w:r>
    <w:r>
      <w:rPr>
        <w:rFonts w:hint="eastAsia" w:hAnsi="宋体"/>
        <w:bCs/>
      </w:rPr>
      <w:t xml:space="preserve"> </w:t>
    </w:r>
    <w:r>
      <w:rPr>
        <w:rFonts w:hint="eastAsia"/>
        <w:bCs/>
        <w:color w:val="000000"/>
        <w:lang w:eastAsia="zh-CN"/>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57F852"/>
    <w:multiLevelType w:val="singleLevel"/>
    <w:tmpl w:val="9A57F852"/>
    <w:lvl w:ilvl="0" w:tentative="0">
      <w:start w:val="1"/>
      <w:numFmt w:val="decimal"/>
      <w:lvlText w:val="%1."/>
      <w:lvlJc w:val="left"/>
      <w:pPr>
        <w:tabs>
          <w:tab w:val="left" w:pos="312"/>
        </w:tabs>
      </w:pPr>
    </w:lvl>
  </w:abstractNum>
  <w:abstractNum w:abstractNumId="1">
    <w:nsid w:val="586C4CE6"/>
    <w:multiLevelType w:val="singleLevel"/>
    <w:tmpl w:val="586C4CE6"/>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685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Times New Roman"/>
      <w:snapToGrid w:val="0"/>
      <w:kern w:val="21"/>
      <w:sz w:val="24"/>
      <w:szCs w:val="24"/>
      <w:lang w:val="en-US" w:eastAsia="zh-CN" w:bidi="ar-SA"/>
    </w:rPr>
  </w:style>
  <w:style w:type="paragraph" w:styleId="2">
    <w:name w:val="heading 1"/>
    <w:basedOn w:val="1"/>
    <w:next w:val="1"/>
    <w:link w:val="9"/>
    <w:qFormat/>
    <w:uiPriority w:val="0"/>
    <w:pPr>
      <w:keepNext/>
      <w:keepLines/>
      <w:spacing w:before="120" w:beforeLines="0" w:after="120" w:afterLines="0" w:line="360" w:lineRule="auto"/>
      <w:jc w:val="center"/>
      <w:outlineLvl w:val="0"/>
    </w:pPr>
    <w:rPr>
      <w:rFonts w:ascii="Times New Roman"/>
      <w:b/>
      <w:bCs/>
      <w:snapToGrid/>
      <w:kern w:val="44"/>
      <w:sz w:val="30"/>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qFormat/>
    <w:uiPriority w:val="0"/>
  </w:style>
  <w:style w:type="paragraph" w:customStyle="1" w:styleId="8">
    <w:name w:val="Default"/>
    <w:qFormat/>
    <w:uiPriority w:val="0"/>
    <w:pPr>
      <w:widowControl w:val="0"/>
      <w:autoSpaceDE w:val="0"/>
      <w:autoSpaceDN w:val="0"/>
      <w:adjustRightInd w:val="0"/>
    </w:pPr>
    <w:rPr>
      <w:rFonts w:ascii="方正准圆简体" w:hAnsi="Times New Roman" w:eastAsia="方正准圆简体" w:cs="方正准圆简体"/>
      <w:color w:val="000000"/>
      <w:sz w:val="24"/>
      <w:szCs w:val="24"/>
      <w:lang w:val="en-US" w:eastAsia="zh-CN" w:bidi="ar-SA"/>
    </w:rPr>
  </w:style>
  <w:style w:type="character" w:customStyle="1" w:styleId="9">
    <w:name w:val="标题 1 字符"/>
    <w:link w:val="2"/>
    <w:qFormat/>
    <w:locked/>
    <w:uiPriority w:val="0"/>
    <w:rPr>
      <w:rFonts w:ascii="Times New Roman"/>
      <w:b/>
      <w:bCs/>
      <w:snapToGrid/>
      <w:kern w:val="44"/>
      <w:sz w:val="30"/>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2026-05-06T11:07:10Z</dcterms:created>
  <dc:creator>Zuser</dc:creator>
  <cp:lastModifiedBy>95721</cp:lastModifiedBy>
  <dcterms:modified xsi:type="dcterms:W3CDTF">2026-05-06T11:07:43Z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eyJoZGlkIjoiN2U1Y2M3NDUyYjFjMWRmMzBhMDk5ZjU3NjM2OTBmM2EiLCJ1c2VySWQiOiIyODMzNTIwNTkifQ==</vt:lpwstr>
  </property>
  <property fmtid="{D5CDD505-2E9C-101B-9397-08002B2CF9AE}" pid="4" name="ICV">
    <vt:lpwstr>46A41087611541F986B3A2FE2BE8A466_12</vt:lpwstr>
  </property>
</Properties>
</file>