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D9476E">
      <w:pPr>
        <w:pStyle w:val="6"/>
        <w:keepNext/>
        <w:keepLines/>
        <w:adjustRightInd w:val="0"/>
        <w:snapToGrid w:val="0"/>
        <w:spacing w:before="156" w:beforeLines="50" w:line="360" w:lineRule="auto"/>
        <w:jc w:val="center"/>
        <w:outlineLvl w:val="1"/>
        <w:rPr>
          <w:rStyle w:val="5"/>
          <w:rFonts w:ascii="宋体" w:hAnsi="宋体"/>
          <w:b/>
          <w:bCs/>
          <w:sz w:val="28"/>
          <w:szCs w:val="28"/>
          <w:highlight w:val="none"/>
        </w:rPr>
      </w:pPr>
      <w:bookmarkStart w:id="23" w:name="_GoBack"/>
      <w:bookmarkEnd w:id="23"/>
      <w:bookmarkStart w:id="0" w:name="_Toc3407"/>
      <w:bookmarkStart w:id="1" w:name="_Toc25355"/>
      <w:bookmarkStart w:id="2" w:name="_Toc29445"/>
      <w:bookmarkStart w:id="3" w:name="_Toc27501"/>
      <w:bookmarkStart w:id="4" w:name="_Toc1400"/>
      <w:bookmarkStart w:id="5" w:name="_Toc16175"/>
      <w:bookmarkStart w:id="6" w:name="_Toc150348861"/>
      <w:bookmarkStart w:id="7" w:name="_Toc256000038"/>
      <w:bookmarkStart w:id="8" w:name="_Toc15729"/>
      <w:bookmarkStart w:id="9" w:name="_Toc32717"/>
      <w:bookmarkStart w:id="10" w:name="_Toc28854"/>
      <w:bookmarkStart w:id="11" w:name="_Toc5668"/>
      <w:bookmarkStart w:id="12" w:name="_Toc20"/>
      <w:bookmarkStart w:id="13" w:name="_Toc12923"/>
      <w:bookmarkStart w:id="14" w:name="_Toc23870"/>
      <w:r>
        <w:rPr>
          <w:rStyle w:val="5"/>
          <w:rFonts w:hint="eastAsia" w:ascii="宋体" w:hAnsi="宋体"/>
          <w:b/>
          <w:bCs/>
          <w:sz w:val="28"/>
          <w:szCs w:val="28"/>
          <w:highlight w:val="none"/>
        </w:rPr>
        <w:t>第一节 采购清单一览表</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tbl>
      <w:tblPr>
        <w:tblStyle w:val="4"/>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1228"/>
        <w:gridCol w:w="2135"/>
        <w:gridCol w:w="940"/>
        <w:gridCol w:w="666"/>
        <w:gridCol w:w="1396"/>
        <w:gridCol w:w="1313"/>
        <w:gridCol w:w="790"/>
      </w:tblGrid>
      <w:tr w14:paraId="53EBC1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429" w:type="dxa"/>
            <w:vMerge w:val="restart"/>
            <w:noWrap w:val="0"/>
            <w:vAlign w:val="center"/>
          </w:tcPr>
          <w:p w14:paraId="304C8CB5">
            <w:pPr>
              <w:pStyle w:val="6"/>
              <w:adjustRightInd w:val="0"/>
              <w:snapToGrid w:val="0"/>
              <w:jc w:val="center"/>
              <w:rPr>
                <w:rStyle w:val="5"/>
                <w:rFonts w:ascii="宋体" w:hAnsi="宋体" w:cs="宋体"/>
                <w:b/>
                <w:bCs/>
                <w:szCs w:val="21"/>
                <w:highlight w:val="none"/>
              </w:rPr>
            </w:pPr>
            <w:r>
              <w:rPr>
                <w:rStyle w:val="5"/>
                <w:rFonts w:hint="eastAsia" w:ascii="宋体" w:hAnsi="宋体" w:cs="宋体"/>
                <w:b/>
                <w:bCs/>
                <w:szCs w:val="21"/>
                <w:highlight w:val="none"/>
              </w:rPr>
              <w:t>包号</w:t>
            </w:r>
          </w:p>
        </w:tc>
        <w:tc>
          <w:tcPr>
            <w:tcW w:w="1228" w:type="dxa"/>
            <w:vMerge w:val="restart"/>
            <w:noWrap w:val="0"/>
            <w:vAlign w:val="center"/>
          </w:tcPr>
          <w:p w14:paraId="7FA05E55">
            <w:pPr>
              <w:pStyle w:val="6"/>
              <w:adjustRightInd w:val="0"/>
              <w:snapToGrid w:val="0"/>
              <w:jc w:val="center"/>
              <w:rPr>
                <w:rStyle w:val="5"/>
                <w:rFonts w:ascii="宋体" w:hAnsi="宋体" w:cs="宋体"/>
                <w:b/>
                <w:bCs/>
                <w:szCs w:val="21"/>
                <w:highlight w:val="none"/>
              </w:rPr>
            </w:pPr>
            <w:r>
              <w:rPr>
                <w:rStyle w:val="5"/>
                <w:rFonts w:hint="eastAsia" w:ascii="宋体" w:hAnsi="宋体" w:cs="宋体"/>
                <w:b/>
                <w:bCs/>
                <w:szCs w:val="21"/>
                <w:highlight w:val="none"/>
              </w:rPr>
              <w:t>包名称</w:t>
            </w:r>
          </w:p>
        </w:tc>
        <w:tc>
          <w:tcPr>
            <w:tcW w:w="2135" w:type="dxa"/>
            <w:vMerge w:val="restart"/>
            <w:noWrap w:val="0"/>
            <w:vAlign w:val="center"/>
          </w:tcPr>
          <w:p w14:paraId="7C149861">
            <w:pPr>
              <w:pStyle w:val="6"/>
              <w:adjustRightInd w:val="0"/>
              <w:snapToGrid w:val="0"/>
              <w:jc w:val="center"/>
              <w:rPr>
                <w:rStyle w:val="5"/>
                <w:rFonts w:ascii="宋体" w:hAnsi="宋体" w:cs="宋体"/>
                <w:b/>
                <w:bCs/>
                <w:szCs w:val="21"/>
                <w:highlight w:val="none"/>
              </w:rPr>
            </w:pPr>
            <w:r>
              <w:rPr>
                <w:rStyle w:val="5"/>
                <w:rFonts w:hint="eastAsia" w:ascii="宋体" w:hAnsi="宋体" w:cs="宋体"/>
                <w:b/>
                <w:bCs/>
                <w:szCs w:val="21"/>
                <w:highlight w:val="none"/>
              </w:rPr>
              <w:t>分项项目名称</w:t>
            </w:r>
          </w:p>
          <w:p w14:paraId="7FEA98DB">
            <w:pPr>
              <w:pStyle w:val="6"/>
              <w:adjustRightInd w:val="0"/>
              <w:snapToGrid w:val="0"/>
              <w:jc w:val="center"/>
              <w:rPr>
                <w:rStyle w:val="5"/>
                <w:rFonts w:ascii="宋体" w:hAnsi="宋体" w:cs="宋体"/>
                <w:b/>
                <w:bCs/>
                <w:szCs w:val="21"/>
                <w:highlight w:val="none"/>
              </w:rPr>
            </w:pPr>
            <w:r>
              <w:rPr>
                <w:rStyle w:val="5"/>
                <w:rFonts w:hint="eastAsia" w:ascii="宋体" w:hAnsi="宋体" w:cs="宋体"/>
                <w:b/>
                <w:bCs/>
                <w:szCs w:val="21"/>
                <w:highlight w:val="none"/>
              </w:rPr>
              <w:t>（条目号/品目名称）</w:t>
            </w:r>
          </w:p>
        </w:tc>
        <w:tc>
          <w:tcPr>
            <w:tcW w:w="940" w:type="dxa"/>
            <w:vMerge w:val="restart"/>
            <w:tcBorders>
              <w:left w:val="single" w:color="auto" w:sz="4" w:space="0"/>
            </w:tcBorders>
            <w:noWrap w:val="0"/>
            <w:vAlign w:val="center"/>
          </w:tcPr>
          <w:p w14:paraId="532CD22C">
            <w:pPr>
              <w:pStyle w:val="6"/>
              <w:adjustRightInd w:val="0"/>
              <w:snapToGrid w:val="0"/>
              <w:jc w:val="center"/>
              <w:rPr>
                <w:rStyle w:val="5"/>
                <w:rFonts w:ascii="宋体" w:hAnsi="宋体" w:cs="宋体"/>
                <w:b/>
                <w:bCs/>
                <w:szCs w:val="21"/>
                <w:highlight w:val="none"/>
              </w:rPr>
            </w:pPr>
            <w:r>
              <w:rPr>
                <w:rStyle w:val="5"/>
                <w:rFonts w:hint="eastAsia" w:ascii="宋体" w:hAnsi="宋体" w:cs="宋体"/>
                <w:b/>
                <w:bCs/>
                <w:kern w:val="0"/>
                <w:szCs w:val="21"/>
                <w:highlight w:val="none"/>
              </w:rPr>
              <w:t>是否接受进口设备</w:t>
            </w:r>
          </w:p>
        </w:tc>
        <w:tc>
          <w:tcPr>
            <w:tcW w:w="666" w:type="dxa"/>
            <w:vMerge w:val="restart"/>
            <w:noWrap w:val="0"/>
            <w:vAlign w:val="center"/>
          </w:tcPr>
          <w:p w14:paraId="2AAC11CA">
            <w:pPr>
              <w:pStyle w:val="6"/>
              <w:adjustRightInd w:val="0"/>
              <w:snapToGrid w:val="0"/>
              <w:jc w:val="center"/>
              <w:rPr>
                <w:rStyle w:val="5"/>
                <w:rFonts w:ascii="宋体" w:hAnsi="宋体" w:cs="宋体"/>
                <w:b/>
                <w:bCs/>
                <w:szCs w:val="21"/>
                <w:highlight w:val="none"/>
              </w:rPr>
            </w:pPr>
            <w:r>
              <w:rPr>
                <w:rStyle w:val="5"/>
                <w:rFonts w:hint="eastAsia" w:ascii="宋体" w:hAnsi="宋体" w:cs="宋体"/>
                <w:b/>
                <w:bCs/>
                <w:szCs w:val="21"/>
                <w:highlight w:val="none"/>
              </w:rPr>
              <w:t>数量</w:t>
            </w:r>
          </w:p>
        </w:tc>
        <w:tc>
          <w:tcPr>
            <w:tcW w:w="2709" w:type="dxa"/>
            <w:gridSpan w:val="2"/>
            <w:tcBorders>
              <w:bottom w:val="single" w:color="auto" w:sz="4" w:space="0"/>
            </w:tcBorders>
            <w:noWrap w:val="0"/>
            <w:vAlign w:val="center"/>
          </w:tcPr>
          <w:p w14:paraId="4F649E35">
            <w:pPr>
              <w:pStyle w:val="6"/>
              <w:adjustRightInd w:val="0"/>
              <w:snapToGrid w:val="0"/>
              <w:spacing w:line="360" w:lineRule="auto"/>
              <w:jc w:val="center"/>
              <w:rPr>
                <w:rStyle w:val="5"/>
                <w:rFonts w:ascii="宋体" w:hAnsi="宋体" w:cs="宋体"/>
                <w:b/>
                <w:bCs/>
                <w:szCs w:val="21"/>
                <w:highlight w:val="none"/>
              </w:rPr>
            </w:pPr>
            <w:r>
              <w:rPr>
                <w:rStyle w:val="5"/>
                <w:rFonts w:hint="eastAsia" w:ascii="宋体" w:hAnsi="宋体" w:cs="宋体"/>
                <w:b/>
                <w:bCs/>
                <w:szCs w:val="21"/>
                <w:highlight w:val="none"/>
              </w:rPr>
              <w:t>交货要求</w:t>
            </w:r>
          </w:p>
        </w:tc>
        <w:tc>
          <w:tcPr>
            <w:tcW w:w="790" w:type="dxa"/>
            <w:vMerge w:val="restart"/>
            <w:noWrap w:val="0"/>
            <w:vAlign w:val="center"/>
          </w:tcPr>
          <w:p w14:paraId="36C7A4E1">
            <w:pPr>
              <w:pStyle w:val="6"/>
              <w:adjustRightInd w:val="0"/>
              <w:snapToGrid w:val="0"/>
              <w:jc w:val="center"/>
              <w:rPr>
                <w:rStyle w:val="5"/>
                <w:rFonts w:ascii="宋体" w:hAnsi="宋体" w:cs="宋体"/>
                <w:b/>
                <w:bCs/>
                <w:szCs w:val="21"/>
                <w:highlight w:val="none"/>
              </w:rPr>
            </w:pPr>
            <w:r>
              <w:rPr>
                <w:rStyle w:val="5"/>
                <w:rFonts w:hint="eastAsia" w:ascii="宋体" w:hAnsi="宋体" w:cs="宋体"/>
                <w:b/>
                <w:bCs/>
                <w:szCs w:val="21"/>
                <w:highlight w:val="none"/>
              </w:rPr>
              <w:t>备注</w:t>
            </w:r>
          </w:p>
        </w:tc>
      </w:tr>
      <w:tr w14:paraId="4C4F2E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429" w:type="dxa"/>
            <w:vMerge w:val="continue"/>
            <w:noWrap w:val="0"/>
            <w:vAlign w:val="center"/>
          </w:tcPr>
          <w:p w14:paraId="256E8A78">
            <w:pPr>
              <w:pStyle w:val="6"/>
              <w:adjustRightInd w:val="0"/>
              <w:snapToGrid w:val="0"/>
              <w:jc w:val="center"/>
              <w:rPr>
                <w:rStyle w:val="5"/>
                <w:rFonts w:ascii="宋体" w:hAnsi="宋体" w:cs="宋体"/>
                <w:b/>
                <w:bCs/>
                <w:szCs w:val="21"/>
                <w:highlight w:val="none"/>
              </w:rPr>
            </w:pPr>
          </w:p>
        </w:tc>
        <w:tc>
          <w:tcPr>
            <w:tcW w:w="1228" w:type="dxa"/>
            <w:vMerge w:val="continue"/>
            <w:noWrap w:val="0"/>
            <w:vAlign w:val="center"/>
          </w:tcPr>
          <w:p w14:paraId="2F0929E5">
            <w:pPr>
              <w:pStyle w:val="6"/>
              <w:adjustRightInd w:val="0"/>
              <w:snapToGrid w:val="0"/>
              <w:jc w:val="center"/>
              <w:rPr>
                <w:rStyle w:val="5"/>
                <w:rFonts w:ascii="宋体" w:hAnsi="宋体" w:cs="宋体"/>
                <w:b/>
                <w:bCs/>
                <w:szCs w:val="21"/>
                <w:highlight w:val="none"/>
              </w:rPr>
            </w:pPr>
          </w:p>
        </w:tc>
        <w:tc>
          <w:tcPr>
            <w:tcW w:w="2135" w:type="dxa"/>
            <w:vMerge w:val="continue"/>
            <w:noWrap w:val="0"/>
            <w:vAlign w:val="center"/>
          </w:tcPr>
          <w:p w14:paraId="3C273AE3">
            <w:pPr>
              <w:pStyle w:val="6"/>
              <w:adjustRightInd w:val="0"/>
              <w:snapToGrid w:val="0"/>
              <w:jc w:val="center"/>
              <w:rPr>
                <w:rStyle w:val="5"/>
                <w:rFonts w:ascii="宋体" w:hAnsi="宋体" w:cs="宋体"/>
                <w:b/>
                <w:bCs/>
                <w:szCs w:val="21"/>
                <w:highlight w:val="none"/>
              </w:rPr>
            </w:pPr>
          </w:p>
        </w:tc>
        <w:tc>
          <w:tcPr>
            <w:tcW w:w="940" w:type="dxa"/>
            <w:vMerge w:val="continue"/>
            <w:tcBorders>
              <w:left w:val="single" w:color="auto" w:sz="4" w:space="0"/>
            </w:tcBorders>
            <w:noWrap w:val="0"/>
            <w:vAlign w:val="center"/>
          </w:tcPr>
          <w:p w14:paraId="0E7C4EBC">
            <w:pPr>
              <w:pStyle w:val="6"/>
              <w:adjustRightInd w:val="0"/>
              <w:snapToGrid w:val="0"/>
              <w:jc w:val="center"/>
              <w:rPr>
                <w:rStyle w:val="5"/>
                <w:rFonts w:ascii="宋体" w:hAnsi="宋体" w:cs="宋体"/>
                <w:b/>
                <w:bCs/>
                <w:kern w:val="0"/>
                <w:szCs w:val="21"/>
                <w:highlight w:val="none"/>
              </w:rPr>
            </w:pPr>
          </w:p>
        </w:tc>
        <w:tc>
          <w:tcPr>
            <w:tcW w:w="666" w:type="dxa"/>
            <w:vMerge w:val="continue"/>
            <w:noWrap w:val="0"/>
            <w:vAlign w:val="center"/>
          </w:tcPr>
          <w:p w14:paraId="309E1383">
            <w:pPr>
              <w:pStyle w:val="6"/>
              <w:adjustRightInd w:val="0"/>
              <w:snapToGrid w:val="0"/>
              <w:jc w:val="center"/>
              <w:rPr>
                <w:rStyle w:val="5"/>
                <w:rFonts w:ascii="宋体" w:hAnsi="宋体" w:cs="宋体"/>
                <w:b/>
                <w:bCs/>
                <w:szCs w:val="21"/>
                <w:highlight w:val="none"/>
              </w:rPr>
            </w:pPr>
          </w:p>
        </w:tc>
        <w:tc>
          <w:tcPr>
            <w:tcW w:w="1396" w:type="dxa"/>
            <w:tcBorders>
              <w:top w:val="single" w:color="auto" w:sz="4" w:space="0"/>
              <w:right w:val="single" w:color="auto" w:sz="4" w:space="0"/>
            </w:tcBorders>
            <w:noWrap w:val="0"/>
            <w:vAlign w:val="center"/>
          </w:tcPr>
          <w:p w14:paraId="60EC3D16">
            <w:pPr>
              <w:pStyle w:val="6"/>
              <w:adjustRightInd w:val="0"/>
              <w:snapToGrid w:val="0"/>
              <w:spacing w:before="156" w:beforeLines="50" w:line="360" w:lineRule="auto"/>
              <w:jc w:val="center"/>
              <w:rPr>
                <w:rStyle w:val="5"/>
                <w:rFonts w:ascii="宋体" w:hAnsi="宋体" w:cs="宋体"/>
                <w:b/>
                <w:bCs/>
                <w:szCs w:val="21"/>
                <w:highlight w:val="none"/>
              </w:rPr>
            </w:pPr>
            <w:r>
              <w:rPr>
                <w:rStyle w:val="5"/>
                <w:rFonts w:hint="eastAsia" w:ascii="宋体" w:hAnsi="宋体" w:cs="宋体"/>
                <w:b/>
                <w:bCs/>
                <w:szCs w:val="21"/>
                <w:highlight w:val="none"/>
              </w:rPr>
              <w:t>时间</w:t>
            </w:r>
          </w:p>
        </w:tc>
        <w:tc>
          <w:tcPr>
            <w:tcW w:w="1313" w:type="dxa"/>
            <w:tcBorders>
              <w:top w:val="single" w:color="auto" w:sz="4" w:space="0"/>
              <w:left w:val="single" w:color="auto" w:sz="4" w:space="0"/>
            </w:tcBorders>
            <w:noWrap w:val="0"/>
            <w:vAlign w:val="center"/>
          </w:tcPr>
          <w:p w14:paraId="53446EC6">
            <w:pPr>
              <w:pStyle w:val="6"/>
              <w:adjustRightInd w:val="0"/>
              <w:snapToGrid w:val="0"/>
              <w:spacing w:before="156" w:beforeLines="50" w:line="360" w:lineRule="auto"/>
              <w:jc w:val="center"/>
              <w:rPr>
                <w:rStyle w:val="5"/>
                <w:rFonts w:ascii="宋体" w:hAnsi="宋体" w:cs="宋体"/>
                <w:b/>
                <w:bCs/>
                <w:szCs w:val="21"/>
                <w:highlight w:val="none"/>
              </w:rPr>
            </w:pPr>
            <w:r>
              <w:rPr>
                <w:rStyle w:val="5"/>
                <w:rFonts w:hint="eastAsia" w:ascii="宋体" w:hAnsi="宋体" w:cs="宋体"/>
                <w:b/>
                <w:bCs/>
                <w:szCs w:val="21"/>
                <w:highlight w:val="none"/>
              </w:rPr>
              <w:t>地点</w:t>
            </w:r>
          </w:p>
        </w:tc>
        <w:tc>
          <w:tcPr>
            <w:tcW w:w="790" w:type="dxa"/>
            <w:vMerge w:val="continue"/>
            <w:noWrap w:val="0"/>
            <w:vAlign w:val="center"/>
          </w:tcPr>
          <w:p w14:paraId="7A8078BF">
            <w:pPr>
              <w:pStyle w:val="6"/>
              <w:adjustRightInd w:val="0"/>
              <w:snapToGrid w:val="0"/>
              <w:jc w:val="center"/>
              <w:rPr>
                <w:rStyle w:val="5"/>
                <w:rFonts w:ascii="宋体" w:hAnsi="宋体" w:cs="宋体"/>
                <w:b/>
                <w:bCs/>
                <w:szCs w:val="21"/>
                <w:highlight w:val="none"/>
              </w:rPr>
            </w:pPr>
          </w:p>
        </w:tc>
      </w:tr>
      <w:tr w14:paraId="11BED1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384" w:hRule="atLeast"/>
          <w:jc w:val="center"/>
        </w:trPr>
        <w:tc>
          <w:tcPr>
            <w:tcW w:w="429" w:type="dxa"/>
            <w:noWrap w:val="0"/>
            <w:vAlign w:val="center"/>
          </w:tcPr>
          <w:p w14:paraId="67BB12F4">
            <w:pPr>
              <w:pStyle w:val="6"/>
              <w:adjustRightInd w:val="0"/>
              <w:snapToGrid w:val="0"/>
              <w:spacing w:before="156" w:beforeLines="50"/>
              <w:jc w:val="center"/>
              <w:rPr>
                <w:rStyle w:val="5"/>
                <w:rFonts w:ascii="宋体" w:hAnsi="宋体" w:cs="宋体"/>
                <w:szCs w:val="21"/>
                <w:highlight w:val="none"/>
              </w:rPr>
            </w:pPr>
            <w:r>
              <w:rPr>
                <w:rStyle w:val="5"/>
                <w:rFonts w:hint="eastAsia" w:ascii="宋体" w:hAnsi="宋体" w:cs="宋体"/>
                <w:szCs w:val="21"/>
                <w:highlight w:val="none"/>
              </w:rPr>
              <w:t>01</w:t>
            </w:r>
          </w:p>
        </w:tc>
        <w:tc>
          <w:tcPr>
            <w:tcW w:w="1228" w:type="dxa"/>
            <w:noWrap w:val="0"/>
            <w:vAlign w:val="center"/>
          </w:tcPr>
          <w:p w14:paraId="57896856">
            <w:pPr>
              <w:pStyle w:val="6"/>
              <w:widowControl/>
              <w:jc w:val="center"/>
              <w:rPr>
                <w:rStyle w:val="5"/>
                <w:rFonts w:ascii="宋体" w:hAnsi="宋体" w:cs="宋体"/>
                <w:szCs w:val="21"/>
                <w:highlight w:val="none"/>
              </w:rPr>
            </w:pPr>
            <w:r>
              <w:rPr>
                <w:rStyle w:val="5"/>
                <w:rFonts w:hint="eastAsia" w:ascii="宋体" w:hAnsi="宋体" w:cs="宋体"/>
                <w:szCs w:val="21"/>
                <w:highlight w:val="none"/>
              </w:rPr>
              <w:t>湖南工学院计算机公共课实践教学中心(分散采购)</w:t>
            </w:r>
          </w:p>
        </w:tc>
        <w:tc>
          <w:tcPr>
            <w:tcW w:w="2135" w:type="dxa"/>
            <w:noWrap w:val="0"/>
            <w:vAlign w:val="center"/>
          </w:tcPr>
          <w:p w14:paraId="49036FA8">
            <w:pPr>
              <w:pStyle w:val="6"/>
              <w:adjustRightInd w:val="0"/>
              <w:snapToGrid w:val="0"/>
              <w:jc w:val="center"/>
              <w:rPr>
                <w:rStyle w:val="5"/>
                <w:rFonts w:hint="eastAsia" w:ascii="宋体" w:hAnsi="宋体" w:eastAsia="宋体" w:cs="宋体"/>
                <w:szCs w:val="21"/>
                <w:highlight w:val="none"/>
                <w:lang w:val="en-US" w:eastAsia="zh-CN"/>
              </w:rPr>
            </w:pPr>
            <w:r>
              <w:rPr>
                <w:rStyle w:val="5"/>
                <w:rFonts w:hint="eastAsia" w:ascii="宋体" w:hAnsi="宋体" w:cs="宋体"/>
                <w:szCs w:val="21"/>
                <w:highlight w:val="none"/>
                <w:lang w:val="en-US" w:eastAsia="zh-CN"/>
              </w:rPr>
              <w:t>A08060303-应用软件-桌面云软件</w:t>
            </w:r>
          </w:p>
        </w:tc>
        <w:tc>
          <w:tcPr>
            <w:tcW w:w="940" w:type="dxa"/>
            <w:tcBorders>
              <w:left w:val="single" w:color="auto" w:sz="4" w:space="0"/>
            </w:tcBorders>
            <w:noWrap w:val="0"/>
            <w:vAlign w:val="center"/>
          </w:tcPr>
          <w:p w14:paraId="58ABC212">
            <w:pPr>
              <w:pStyle w:val="6"/>
              <w:adjustRightInd w:val="0"/>
              <w:snapToGrid w:val="0"/>
              <w:jc w:val="center"/>
              <w:rPr>
                <w:rStyle w:val="5"/>
                <w:rFonts w:ascii="宋体" w:hAnsi="宋体" w:cs="宋体"/>
                <w:highlight w:val="none"/>
              </w:rPr>
            </w:pPr>
            <w:r>
              <w:rPr>
                <w:rStyle w:val="5"/>
                <w:rFonts w:hint="eastAsia" w:ascii="宋体" w:hAnsi="宋体" w:cs="宋体"/>
                <w:highlight w:val="none"/>
              </w:rPr>
              <w:t>不接受</w:t>
            </w:r>
          </w:p>
        </w:tc>
        <w:tc>
          <w:tcPr>
            <w:tcW w:w="666" w:type="dxa"/>
            <w:noWrap w:val="0"/>
            <w:vAlign w:val="center"/>
          </w:tcPr>
          <w:p w14:paraId="79E63536">
            <w:pPr>
              <w:pStyle w:val="6"/>
              <w:adjustRightInd w:val="0"/>
              <w:snapToGrid w:val="0"/>
              <w:jc w:val="center"/>
              <w:rPr>
                <w:rStyle w:val="5"/>
                <w:rFonts w:ascii="宋体" w:hAnsi="宋体" w:cs="宋体"/>
                <w:highlight w:val="none"/>
              </w:rPr>
            </w:pPr>
            <w:r>
              <w:rPr>
                <w:rStyle w:val="5"/>
                <w:rFonts w:hint="eastAsia" w:ascii="宋体" w:hAnsi="宋体" w:cs="宋体"/>
                <w:highlight w:val="none"/>
              </w:rPr>
              <w:t xml:space="preserve">1 </w:t>
            </w:r>
          </w:p>
        </w:tc>
        <w:tc>
          <w:tcPr>
            <w:tcW w:w="1396" w:type="dxa"/>
            <w:tcBorders>
              <w:right w:val="single" w:color="auto" w:sz="4" w:space="0"/>
            </w:tcBorders>
            <w:noWrap w:val="0"/>
            <w:vAlign w:val="center"/>
          </w:tcPr>
          <w:p w14:paraId="0649A046">
            <w:pPr>
              <w:pStyle w:val="6"/>
              <w:adjustRightInd w:val="0"/>
              <w:snapToGrid w:val="0"/>
              <w:jc w:val="center"/>
              <w:rPr>
                <w:rStyle w:val="5"/>
                <w:rFonts w:ascii="宋体" w:hAnsi="宋体" w:cs="宋体"/>
                <w:szCs w:val="21"/>
                <w:highlight w:val="none"/>
              </w:rPr>
            </w:pPr>
            <w:r>
              <w:rPr>
                <w:rStyle w:val="5"/>
                <w:rFonts w:hint="eastAsia" w:ascii="宋体" w:hAnsi="宋体" w:cs="宋体"/>
                <w:szCs w:val="21"/>
                <w:highlight w:val="none"/>
              </w:rPr>
              <w:t>合同签订后30天内交货，并安装调试合格</w:t>
            </w:r>
          </w:p>
        </w:tc>
        <w:tc>
          <w:tcPr>
            <w:tcW w:w="1313" w:type="dxa"/>
            <w:tcBorders>
              <w:left w:val="single" w:color="auto" w:sz="4" w:space="0"/>
            </w:tcBorders>
            <w:noWrap w:val="0"/>
            <w:vAlign w:val="center"/>
          </w:tcPr>
          <w:p w14:paraId="166A6505">
            <w:pPr>
              <w:pStyle w:val="6"/>
              <w:adjustRightInd w:val="0"/>
              <w:snapToGrid w:val="0"/>
              <w:jc w:val="center"/>
              <w:rPr>
                <w:rStyle w:val="5"/>
                <w:rFonts w:ascii="宋体" w:hAnsi="宋体" w:cs="宋体"/>
                <w:szCs w:val="21"/>
                <w:highlight w:val="none"/>
              </w:rPr>
            </w:pPr>
            <w:r>
              <w:rPr>
                <w:rStyle w:val="5"/>
                <w:rFonts w:hint="eastAsia" w:ascii="宋体" w:hAnsi="宋体" w:cs="宋体"/>
                <w:szCs w:val="21"/>
                <w:highlight w:val="none"/>
              </w:rPr>
              <w:t>采购人指定地点</w:t>
            </w:r>
          </w:p>
        </w:tc>
        <w:tc>
          <w:tcPr>
            <w:tcW w:w="790" w:type="dxa"/>
            <w:noWrap w:val="0"/>
            <w:vAlign w:val="center"/>
          </w:tcPr>
          <w:p w14:paraId="0C2CBB03">
            <w:pPr>
              <w:pStyle w:val="6"/>
              <w:adjustRightInd w:val="0"/>
              <w:snapToGrid w:val="0"/>
              <w:jc w:val="center"/>
              <w:rPr>
                <w:rStyle w:val="5"/>
                <w:rFonts w:hint="default" w:ascii="宋体" w:hAnsi="宋体" w:eastAsia="宋体" w:cs="宋体"/>
                <w:szCs w:val="21"/>
                <w:highlight w:val="none"/>
                <w:lang w:val="en-US" w:eastAsia="zh-CN"/>
              </w:rPr>
            </w:pPr>
            <w:r>
              <w:rPr>
                <w:rStyle w:val="5"/>
                <w:rFonts w:hint="eastAsia" w:ascii="宋体" w:hAnsi="宋体" w:cs="宋体"/>
                <w:szCs w:val="21"/>
                <w:highlight w:val="none"/>
                <w:lang w:val="en-US" w:eastAsia="zh-CN"/>
              </w:rPr>
              <w:t>/</w:t>
            </w:r>
          </w:p>
        </w:tc>
      </w:tr>
    </w:tbl>
    <w:p w14:paraId="2244CCC7">
      <w:pPr>
        <w:pStyle w:val="6"/>
        <w:adjustRightInd w:val="0"/>
        <w:snapToGrid w:val="0"/>
        <w:spacing w:before="156" w:beforeLines="50" w:line="360" w:lineRule="auto"/>
        <w:rPr>
          <w:rStyle w:val="5"/>
          <w:rFonts w:ascii="宋体" w:hAnsi="宋体"/>
          <w:szCs w:val="21"/>
          <w:highlight w:val="none"/>
        </w:rPr>
      </w:pPr>
      <w:r>
        <w:rPr>
          <w:rStyle w:val="5"/>
          <w:rFonts w:hint="eastAsia" w:ascii="宋体" w:hAnsi="宋体"/>
          <w:szCs w:val="21"/>
          <w:highlight w:val="none"/>
        </w:rPr>
        <w:t>注：1、“包”为最小合同单位（最小投标单位）。每“包”内容应细化到“品目”（如果分品目的）。</w:t>
      </w:r>
    </w:p>
    <w:p w14:paraId="477B2279">
      <w:pPr>
        <w:pStyle w:val="6"/>
        <w:adjustRightInd w:val="0"/>
        <w:snapToGrid w:val="0"/>
        <w:spacing w:before="156" w:beforeLines="50" w:line="360" w:lineRule="auto"/>
        <w:ind w:firstLine="420" w:firstLineChars="200"/>
        <w:rPr>
          <w:rStyle w:val="5"/>
          <w:rFonts w:ascii="宋体" w:hAnsi="宋体"/>
          <w:szCs w:val="21"/>
          <w:highlight w:val="none"/>
        </w:rPr>
      </w:pPr>
      <w:r>
        <w:rPr>
          <w:rStyle w:val="5"/>
          <w:rFonts w:hint="eastAsia" w:ascii="宋体" w:hAnsi="宋体"/>
          <w:szCs w:val="21"/>
          <w:highlight w:val="none"/>
        </w:rPr>
        <w:t>2、投标人必须对一个完整、独立的包进行投标，不得仅对一个包中的部分品目投标，否则</w:t>
      </w:r>
      <w:r>
        <w:rPr>
          <w:rStyle w:val="5"/>
          <w:rFonts w:hint="eastAsia" w:ascii="宋体" w:hAnsi="宋体"/>
          <w:b/>
          <w:szCs w:val="21"/>
          <w:highlight w:val="none"/>
        </w:rPr>
        <w:t>投标无效。</w:t>
      </w:r>
    </w:p>
    <w:p w14:paraId="2303A96B">
      <w:pPr>
        <w:pStyle w:val="6"/>
        <w:adjustRightInd w:val="0"/>
        <w:snapToGrid w:val="0"/>
        <w:spacing w:before="156" w:beforeLines="50" w:line="360" w:lineRule="auto"/>
        <w:ind w:firstLine="420" w:firstLineChars="200"/>
        <w:rPr>
          <w:rStyle w:val="5"/>
          <w:rFonts w:ascii="宋体" w:hAnsi="宋体" w:cs="宋体"/>
          <w:kern w:val="0"/>
          <w:szCs w:val="21"/>
          <w:highlight w:val="none"/>
        </w:rPr>
      </w:pPr>
      <w:r>
        <w:rPr>
          <w:rStyle w:val="5"/>
          <w:rFonts w:hint="eastAsia" w:ascii="宋体" w:hAnsi="宋体"/>
          <w:szCs w:val="21"/>
          <w:highlight w:val="none"/>
        </w:rPr>
        <w:t>3、货物的主要技术参数或规格：</w:t>
      </w:r>
      <w:r>
        <w:rPr>
          <w:rStyle w:val="5"/>
          <w:rFonts w:ascii="宋体" w:hAnsi="宋体" w:cs="宋体"/>
          <w:kern w:val="0"/>
          <w:szCs w:val="21"/>
          <w:highlight w:val="none"/>
        </w:rPr>
        <w:t>详见“技术要求”中的具体技术参数</w:t>
      </w:r>
      <w:r>
        <w:rPr>
          <w:rStyle w:val="5"/>
          <w:rFonts w:hint="eastAsia" w:ascii="宋体" w:hAnsi="宋体" w:cs="宋体"/>
          <w:kern w:val="0"/>
          <w:szCs w:val="21"/>
          <w:highlight w:val="none"/>
        </w:rPr>
        <w:t>。</w:t>
      </w:r>
    </w:p>
    <w:p w14:paraId="1A2D932F">
      <w:pPr>
        <w:pStyle w:val="6"/>
        <w:adjustRightInd w:val="0"/>
        <w:snapToGrid w:val="0"/>
        <w:spacing w:before="156" w:beforeLines="50" w:line="360" w:lineRule="auto"/>
        <w:ind w:firstLine="420" w:firstLineChars="200"/>
        <w:rPr>
          <w:rStyle w:val="5"/>
          <w:rFonts w:ascii="宋体" w:hAnsi="宋体" w:cs="宋体"/>
          <w:kern w:val="0"/>
          <w:szCs w:val="21"/>
          <w:highlight w:val="none"/>
        </w:rPr>
      </w:pPr>
      <w:r>
        <w:rPr>
          <w:rStyle w:val="5"/>
          <w:rFonts w:hint="eastAsia" w:ascii="宋体" w:hAnsi="宋体" w:cs="宋体"/>
          <w:bCs/>
          <w:kern w:val="0"/>
          <w:szCs w:val="21"/>
          <w:highlight w:val="none"/>
        </w:rPr>
        <w:t>4、投标人应</w:t>
      </w:r>
      <w:r>
        <w:rPr>
          <w:rStyle w:val="5"/>
          <w:rFonts w:hint="eastAsia" w:ascii="宋体" w:hAnsi="宋体" w:cs="宋体"/>
          <w:kern w:val="0"/>
          <w:szCs w:val="21"/>
          <w:highlight w:val="none"/>
        </w:rPr>
        <w:t>在投标文件《分项报价明细表》中按</w:t>
      </w:r>
      <w:r>
        <w:rPr>
          <w:rStyle w:val="5"/>
          <w:rFonts w:hint="eastAsia" w:ascii="宋体" w:hAnsi="宋体"/>
          <w:szCs w:val="21"/>
          <w:highlight w:val="none"/>
        </w:rPr>
        <w:t>分项项目名称（包括</w:t>
      </w:r>
      <w:r>
        <w:rPr>
          <w:rStyle w:val="5"/>
          <w:rFonts w:hint="eastAsia" w:ascii="宋体" w:hAnsi="宋体" w:cs="宋体"/>
          <w:kern w:val="0"/>
          <w:szCs w:val="21"/>
          <w:highlight w:val="none"/>
        </w:rPr>
        <w:t>条目号/品目名称）顺序逐项填写，且每个品目中的条目均需按招标文件规定报价。如有缺项、漏项，其</w:t>
      </w:r>
      <w:r>
        <w:rPr>
          <w:rStyle w:val="5"/>
          <w:rFonts w:hint="eastAsia" w:ascii="宋体" w:hAnsi="宋体" w:cs="宋体"/>
          <w:b/>
          <w:kern w:val="0"/>
          <w:szCs w:val="21"/>
          <w:highlight w:val="none"/>
        </w:rPr>
        <w:t>投标无效</w:t>
      </w:r>
      <w:r>
        <w:rPr>
          <w:rStyle w:val="5"/>
          <w:rFonts w:hint="eastAsia" w:ascii="宋体" w:hAnsi="宋体" w:cs="宋体"/>
          <w:kern w:val="0"/>
          <w:szCs w:val="21"/>
          <w:highlight w:val="none"/>
        </w:rPr>
        <w:t>。</w:t>
      </w:r>
    </w:p>
    <w:p w14:paraId="66F8F22F">
      <w:pPr>
        <w:pStyle w:val="8"/>
        <w:adjustRightInd w:val="0"/>
        <w:snapToGrid w:val="0"/>
        <w:spacing w:before="156" w:beforeLines="50"/>
        <w:jc w:val="center"/>
        <w:outlineLvl w:val="9"/>
        <w:rPr>
          <w:rStyle w:val="5"/>
          <w:rFonts w:hint="eastAsia" w:ascii="黑体" w:hAnsi="黑体" w:eastAsia="黑体"/>
          <w:sz w:val="28"/>
          <w:szCs w:val="28"/>
          <w:highlight w:val="none"/>
        </w:rPr>
      </w:pPr>
    </w:p>
    <w:p w14:paraId="39BDC425">
      <w:pPr>
        <w:pStyle w:val="10"/>
        <w:ind w:firstLine="562" w:firstLineChars="200"/>
        <w:jc w:val="center"/>
        <w:outlineLvl w:val="1"/>
        <w:rPr>
          <w:rStyle w:val="5"/>
          <w:rFonts w:ascii="黑体" w:hAnsi="黑体" w:eastAsia="黑体"/>
          <w:b/>
          <w:bCs/>
          <w:sz w:val="32"/>
          <w:szCs w:val="32"/>
          <w:highlight w:val="none"/>
        </w:rPr>
      </w:pPr>
      <w:r>
        <w:rPr>
          <w:rStyle w:val="5"/>
          <w:rFonts w:hint="eastAsia" w:ascii="宋体" w:hAnsi="宋体" w:eastAsia="宋体" w:cs="宋体"/>
          <w:b/>
          <w:bCs/>
          <w:sz w:val="28"/>
          <w:szCs w:val="28"/>
          <w:highlight w:val="none"/>
          <w:lang w:val="en-US" w:eastAsia="zh-CN"/>
        </w:rPr>
        <w:br w:type="page"/>
      </w:r>
      <w:bookmarkStart w:id="15" w:name="_Toc7297"/>
      <w:bookmarkStart w:id="16" w:name="_Toc256000039"/>
      <w:bookmarkStart w:id="17" w:name="_Toc26882"/>
      <w:bookmarkStart w:id="18" w:name="_Toc5545"/>
      <w:bookmarkStart w:id="19" w:name="_Toc29913943"/>
      <w:r>
        <w:rPr>
          <w:rStyle w:val="5"/>
          <w:rFonts w:hint="eastAsia" w:ascii="黑体" w:hAnsi="黑体" w:eastAsia="黑体"/>
          <w:b/>
          <w:bCs/>
          <w:sz w:val="32"/>
          <w:szCs w:val="32"/>
          <w:highlight w:val="none"/>
        </w:rPr>
        <w:t xml:space="preserve">第二节 </w:t>
      </w:r>
      <w:r>
        <w:rPr>
          <w:rStyle w:val="5"/>
          <w:rFonts w:ascii="黑体" w:hAnsi="黑体" w:eastAsia="黑体"/>
          <w:b/>
          <w:bCs/>
          <w:sz w:val="32"/>
          <w:szCs w:val="32"/>
          <w:highlight w:val="none"/>
        </w:rPr>
        <w:t>技术要求</w:t>
      </w:r>
      <w:bookmarkEnd w:id="15"/>
      <w:bookmarkEnd w:id="16"/>
      <w:bookmarkEnd w:id="17"/>
      <w:bookmarkEnd w:id="18"/>
    </w:p>
    <w:bookmarkEnd w:id="19"/>
    <w:p w14:paraId="25A6971F">
      <w:pPr>
        <w:pStyle w:val="10"/>
        <w:rPr>
          <w:rStyle w:val="5"/>
          <w:rFonts w:hint="eastAsia" w:ascii="宋体" w:hAnsi="宋体"/>
          <w:b/>
          <w:sz w:val="28"/>
          <w:szCs w:val="28"/>
          <w:highlight w:val="none"/>
        </w:rPr>
      </w:pPr>
      <w:r>
        <w:rPr>
          <w:rStyle w:val="5"/>
          <w:rFonts w:hint="eastAsia" w:ascii="宋体" w:hAnsi="宋体"/>
          <w:b/>
          <w:sz w:val="28"/>
          <w:szCs w:val="28"/>
          <w:highlight w:val="none"/>
        </w:rPr>
        <w:t>一、货物清单及技术参数要求</w:t>
      </w:r>
    </w:p>
    <w:tbl>
      <w:tblPr>
        <w:tblStyle w:val="4"/>
        <w:tblW w:w="10028" w:type="dxa"/>
        <w:jc w:val="center"/>
        <w:tblLayout w:type="fixed"/>
        <w:tblCellMar>
          <w:top w:w="0" w:type="dxa"/>
          <w:left w:w="108" w:type="dxa"/>
          <w:bottom w:w="0" w:type="dxa"/>
          <w:right w:w="108" w:type="dxa"/>
        </w:tblCellMar>
      </w:tblPr>
      <w:tblGrid>
        <w:gridCol w:w="409"/>
        <w:gridCol w:w="1031"/>
        <w:gridCol w:w="915"/>
        <w:gridCol w:w="5504"/>
        <w:gridCol w:w="560"/>
        <w:gridCol w:w="530"/>
        <w:gridCol w:w="670"/>
        <w:gridCol w:w="409"/>
      </w:tblGrid>
      <w:tr w14:paraId="4BD5BFE4">
        <w:tblPrEx>
          <w:tblCellMar>
            <w:top w:w="0" w:type="dxa"/>
            <w:left w:w="108" w:type="dxa"/>
            <w:bottom w:w="0" w:type="dxa"/>
            <w:right w:w="108" w:type="dxa"/>
          </w:tblCellMar>
        </w:tblPrEx>
        <w:trPr>
          <w:trHeight w:val="450" w:hRule="atLeast"/>
          <w:jc w:val="center"/>
        </w:trPr>
        <w:tc>
          <w:tcPr>
            <w:tcW w:w="10028" w:type="dxa"/>
            <w:gridSpan w:val="8"/>
            <w:tcBorders>
              <w:top w:val="single" w:color="000000" w:sz="4" w:space="0"/>
              <w:left w:val="single" w:color="000000" w:sz="4" w:space="0"/>
              <w:bottom w:val="nil"/>
              <w:right w:val="single" w:color="000000" w:sz="4" w:space="0"/>
            </w:tcBorders>
            <w:noWrap w:val="0"/>
            <w:vAlign w:val="center"/>
          </w:tcPr>
          <w:p w14:paraId="49678E74">
            <w:pPr>
              <w:pStyle w:val="11"/>
              <w:widowControl/>
              <w:spacing w:line="300" w:lineRule="exact"/>
              <w:jc w:val="center"/>
              <w:textAlignment w:val="center"/>
              <w:rPr>
                <w:rStyle w:val="5"/>
                <w:rFonts w:hint="eastAsia" w:ascii="Times New Roman" w:hAnsi="Times New Roman" w:eastAsia="宋体" w:cs="Times New Roman"/>
                <w:b/>
                <w:bCs/>
                <w:color w:val="000000"/>
                <w:sz w:val="32"/>
                <w:szCs w:val="32"/>
                <w:highlight w:val="none"/>
              </w:rPr>
            </w:pPr>
            <w:r>
              <w:rPr>
                <w:rStyle w:val="5"/>
                <w:rFonts w:ascii="Times New Roman" w:hAnsi="Times New Roman" w:eastAsia="宋体" w:cs="Times New Roman"/>
                <w:b/>
                <w:bCs/>
                <w:color w:val="000000"/>
                <w:kern w:val="0"/>
                <w:sz w:val="32"/>
                <w:szCs w:val="32"/>
                <w:highlight w:val="none"/>
                <w:lang w:bidi="ar"/>
              </w:rPr>
              <w:t>计算机公共课实践教学中心</w:t>
            </w:r>
            <w:r>
              <w:rPr>
                <w:rStyle w:val="5"/>
                <w:rFonts w:hint="eastAsia" w:ascii="Times New Roman" w:hAnsi="Times New Roman" w:eastAsia="宋体" w:cs="Times New Roman"/>
                <w:b/>
                <w:bCs/>
                <w:color w:val="000000"/>
                <w:kern w:val="0"/>
                <w:sz w:val="32"/>
                <w:szCs w:val="32"/>
                <w:highlight w:val="none"/>
                <w:lang w:bidi="ar"/>
              </w:rPr>
              <w:t>——分散采购项目</w:t>
            </w:r>
          </w:p>
        </w:tc>
      </w:tr>
      <w:tr w14:paraId="55161D71">
        <w:tblPrEx>
          <w:tblCellMar>
            <w:top w:w="0" w:type="dxa"/>
            <w:left w:w="108" w:type="dxa"/>
            <w:bottom w:w="0" w:type="dxa"/>
            <w:right w:w="108" w:type="dxa"/>
          </w:tblCellMar>
        </w:tblPrEx>
        <w:trPr>
          <w:trHeight w:val="300" w:hRule="atLeast"/>
          <w:jc w:val="center"/>
        </w:trPr>
        <w:tc>
          <w:tcPr>
            <w:tcW w:w="409" w:type="dxa"/>
            <w:tcBorders>
              <w:top w:val="single" w:color="000000" w:sz="4" w:space="0"/>
              <w:left w:val="single" w:color="000000" w:sz="4" w:space="0"/>
              <w:bottom w:val="single" w:color="000000" w:sz="4" w:space="0"/>
              <w:right w:val="single" w:color="000000" w:sz="4" w:space="0"/>
            </w:tcBorders>
            <w:noWrap w:val="0"/>
            <w:vAlign w:val="center"/>
          </w:tcPr>
          <w:p w14:paraId="5AA2E441">
            <w:pPr>
              <w:pStyle w:val="11"/>
              <w:widowControl/>
              <w:spacing w:line="300" w:lineRule="exact"/>
              <w:jc w:val="center"/>
              <w:textAlignment w:val="center"/>
              <w:rPr>
                <w:rStyle w:val="5"/>
                <w:rFonts w:ascii="Times New Roman" w:hAnsi="Times New Roman" w:eastAsia="宋体" w:cs="Times New Roman"/>
                <w:b/>
                <w:bCs/>
                <w:color w:val="000000"/>
                <w:sz w:val="22"/>
                <w:szCs w:val="22"/>
                <w:highlight w:val="none"/>
              </w:rPr>
            </w:pPr>
            <w:r>
              <w:rPr>
                <w:rStyle w:val="5"/>
                <w:rFonts w:ascii="Times New Roman" w:hAnsi="Times New Roman" w:eastAsia="宋体" w:cs="Times New Roman"/>
                <w:b/>
                <w:bCs/>
                <w:color w:val="000000"/>
                <w:kern w:val="0"/>
                <w:sz w:val="22"/>
                <w:szCs w:val="22"/>
                <w:highlight w:val="none"/>
                <w:lang w:bidi="ar"/>
              </w:rPr>
              <w:t>序号</w:t>
            </w:r>
          </w:p>
        </w:tc>
        <w:tc>
          <w:tcPr>
            <w:tcW w:w="1031" w:type="dxa"/>
            <w:tcBorders>
              <w:top w:val="single" w:color="000000" w:sz="4" w:space="0"/>
              <w:left w:val="single" w:color="000000" w:sz="4" w:space="0"/>
              <w:bottom w:val="single" w:color="000000" w:sz="4" w:space="0"/>
              <w:right w:val="single" w:color="000000" w:sz="4" w:space="0"/>
            </w:tcBorders>
            <w:noWrap w:val="0"/>
            <w:vAlign w:val="center"/>
          </w:tcPr>
          <w:p w14:paraId="730B148A">
            <w:pPr>
              <w:pStyle w:val="11"/>
              <w:widowControl/>
              <w:spacing w:line="300" w:lineRule="exact"/>
              <w:jc w:val="center"/>
              <w:textAlignment w:val="center"/>
              <w:rPr>
                <w:rStyle w:val="5"/>
                <w:rFonts w:ascii="Times New Roman" w:hAnsi="Times New Roman" w:eastAsia="宋体" w:cs="Times New Roman"/>
                <w:b/>
                <w:bCs/>
                <w:color w:val="000000"/>
                <w:sz w:val="22"/>
                <w:szCs w:val="22"/>
                <w:highlight w:val="none"/>
              </w:rPr>
            </w:pPr>
            <w:r>
              <w:rPr>
                <w:rStyle w:val="5"/>
                <w:rFonts w:ascii="Times New Roman" w:hAnsi="Times New Roman" w:eastAsia="宋体" w:cs="Times New Roman"/>
                <w:b/>
                <w:bCs/>
                <w:color w:val="000000"/>
                <w:kern w:val="0"/>
                <w:sz w:val="22"/>
                <w:szCs w:val="22"/>
                <w:highlight w:val="none"/>
                <w:lang w:bidi="ar"/>
              </w:rPr>
              <w:t>房间号</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2C4867CE">
            <w:pPr>
              <w:pStyle w:val="11"/>
              <w:widowControl/>
              <w:spacing w:line="300" w:lineRule="exact"/>
              <w:jc w:val="center"/>
              <w:textAlignment w:val="center"/>
              <w:rPr>
                <w:rStyle w:val="5"/>
                <w:rFonts w:ascii="Times New Roman" w:hAnsi="Times New Roman" w:eastAsia="宋体" w:cs="Times New Roman"/>
                <w:b/>
                <w:bCs/>
                <w:color w:val="000000"/>
                <w:sz w:val="22"/>
                <w:szCs w:val="22"/>
                <w:highlight w:val="none"/>
              </w:rPr>
            </w:pPr>
            <w:r>
              <w:rPr>
                <w:rStyle w:val="5"/>
                <w:rFonts w:ascii="Times New Roman" w:hAnsi="Times New Roman" w:eastAsia="宋体" w:cs="Times New Roman"/>
                <w:b/>
                <w:bCs/>
                <w:color w:val="000000"/>
                <w:kern w:val="0"/>
                <w:sz w:val="22"/>
                <w:szCs w:val="22"/>
                <w:highlight w:val="none"/>
                <w:lang w:bidi="ar"/>
              </w:rPr>
              <w:t>设备名称</w:t>
            </w:r>
          </w:p>
        </w:tc>
        <w:tc>
          <w:tcPr>
            <w:tcW w:w="5504" w:type="dxa"/>
            <w:tcBorders>
              <w:top w:val="single" w:color="000000" w:sz="4" w:space="0"/>
              <w:left w:val="single" w:color="000000" w:sz="4" w:space="0"/>
              <w:bottom w:val="single" w:color="000000" w:sz="4" w:space="0"/>
              <w:right w:val="single" w:color="000000" w:sz="4" w:space="0"/>
            </w:tcBorders>
            <w:noWrap w:val="0"/>
            <w:vAlign w:val="center"/>
          </w:tcPr>
          <w:p w14:paraId="20CB4258">
            <w:pPr>
              <w:pStyle w:val="11"/>
              <w:widowControl/>
              <w:spacing w:line="300" w:lineRule="exact"/>
              <w:jc w:val="center"/>
              <w:textAlignment w:val="center"/>
              <w:rPr>
                <w:rStyle w:val="5"/>
                <w:rFonts w:ascii="Times New Roman" w:hAnsi="Times New Roman" w:eastAsia="宋体" w:cs="Times New Roman"/>
                <w:b/>
                <w:bCs/>
                <w:color w:val="000000"/>
                <w:sz w:val="22"/>
                <w:szCs w:val="22"/>
                <w:highlight w:val="none"/>
              </w:rPr>
            </w:pPr>
            <w:r>
              <w:rPr>
                <w:rStyle w:val="5"/>
                <w:rFonts w:ascii="Times New Roman" w:hAnsi="Times New Roman" w:eastAsia="宋体" w:cs="Times New Roman"/>
                <w:b/>
                <w:bCs/>
                <w:color w:val="000000"/>
                <w:kern w:val="0"/>
                <w:sz w:val="22"/>
                <w:szCs w:val="22"/>
                <w:highlight w:val="none"/>
                <w:lang w:bidi="ar"/>
              </w:rPr>
              <w:t>参数</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C2EF914">
            <w:pPr>
              <w:pStyle w:val="11"/>
              <w:widowControl/>
              <w:spacing w:line="300" w:lineRule="exact"/>
              <w:jc w:val="center"/>
              <w:textAlignment w:val="center"/>
              <w:rPr>
                <w:rStyle w:val="5"/>
                <w:rFonts w:ascii="Times New Roman" w:hAnsi="Times New Roman" w:eastAsia="宋体" w:cs="Times New Roman"/>
                <w:b/>
                <w:bCs/>
                <w:color w:val="000000"/>
                <w:sz w:val="22"/>
                <w:szCs w:val="22"/>
                <w:highlight w:val="none"/>
              </w:rPr>
            </w:pPr>
            <w:r>
              <w:rPr>
                <w:rStyle w:val="5"/>
                <w:rFonts w:ascii="Times New Roman" w:hAnsi="Times New Roman" w:eastAsia="宋体" w:cs="Times New Roman"/>
                <w:b/>
                <w:bCs/>
                <w:color w:val="000000"/>
                <w:kern w:val="0"/>
                <w:sz w:val="22"/>
                <w:szCs w:val="22"/>
                <w:highlight w:val="none"/>
                <w:lang w:bidi="ar"/>
              </w:rPr>
              <w:t>单价</w:t>
            </w: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71675496">
            <w:pPr>
              <w:pStyle w:val="11"/>
              <w:widowControl/>
              <w:spacing w:line="300" w:lineRule="exact"/>
              <w:jc w:val="center"/>
              <w:textAlignment w:val="center"/>
              <w:rPr>
                <w:rStyle w:val="5"/>
                <w:rFonts w:ascii="Times New Roman" w:hAnsi="Times New Roman" w:eastAsia="宋体" w:cs="Times New Roman"/>
                <w:b/>
                <w:bCs/>
                <w:color w:val="000000"/>
                <w:sz w:val="22"/>
                <w:szCs w:val="22"/>
                <w:highlight w:val="none"/>
              </w:rPr>
            </w:pPr>
            <w:r>
              <w:rPr>
                <w:rStyle w:val="5"/>
                <w:rFonts w:ascii="Times New Roman" w:hAnsi="Times New Roman" w:eastAsia="宋体" w:cs="Times New Roman"/>
                <w:b/>
                <w:bCs/>
                <w:color w:val="000000"/>
                <w:kern w:val="0"/>
                <w:sz w:val="22"/>
                <w:szCs w:val="22"/>
                <w:highlight w:val="none"/>
                <w:lang w:bidi="ar"/>
              </w:rPr>
              <w:t>单位</w:t>
            </w: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1E96F718">
            <w:pPr>
              <w:pStyle w:val="11"/>
              <w:widowControl/>
              <w:spacing w:line="300" w:lineRule="exact"/>
              <w:jc w:val="center"/>
              <w:textAlignment w:val="center"/>
              <w:rPr>
                <w:rStyle w:val="5"/>
                <w:rFonts w:ascii="Times New Roman" w:hAnsi="Times New Roman" w:eastAsia="宋体" w:cs="Times New Roman"/>
                <w:b/>
                <w:bCs/>
                <w:color w:val="000000"/>
                <w:sz w:val="22"/>
                <w:szCs w:val="22"/>
                <w:highlight w:val="none"/>
              </w:rPr>
            </w:pPr>
            <w:r>
              <w:rPr>
                <w:rStyle w:val="5"/>
                <w:rFonts w:ascii="Times New Roman" w:hAnsi="Times New Roman" w:eastAsia="宋体" w:cs="Times New Roman"/>
                <w:b/>
                <w:bCs/>
                <w:color w:val="000000"/>
                <w:kern w:val="0"/>
                <w:sz w:val="22"/>
                <w:szCs w:val="22"/>
                <w:highlight w:val="none"/>
                <w:lang w:bidi="ar"/>
              </w:rPr>
              <w:t>数量</w:t>
            </w:r>
          </w:p>
        </w:tc>
        <w:tc>
          <w:tcPr>
            <w:tcW w:w="409" w:type="dxa"/>
            <w:tcBorders>
              <w:top w:val="single" w:color="000000" w:sz="4" w:space="0"/>
              <w:left w:val="single" w:color="000000" w:sz="4" w:space="0"/>
              <w:bottom w:val="single" w:color="000000" w:sz="4" w:space="0"/>
              <w:right w:val="single" w:color="000000" w:sz="4" w:space="0"/>
            </w:tcBorders>
            <w:noWrap w:val="0"/>
            <w:vAlign w:val="center"/>
          </w:tcPr>
          <w:p w14:paraId="33A0391F">
            <w:pPr>
              <w:pStyle w:val="11"/>
              <w:widowControl/>
              <w:spacing w:line="300" w:lineRule="exact"/>
              <w:jc w:val="center"/>
              <w:textAlignment w:val="center"/>
              <w:rPr>
                <w:rStyle w:val="5"/>
                <w:rFonts w:ascii="Times New Roman" w:hAnsi="Times New Roman" w:eastAsia="宋体" w:cs="Times New Roman"/>
                <w:b/>
                <w:bCs/>
                <w:color w:val="000000"/>
                <w:sz w:val="22"/>
                <w:szCs w:val="22"/>
                <w:highlight w:val="none"/>
              </w:rPr>
            </w:pPr>
            <w:r>
              <w:rPr>
                <w:rStyle w:val="5"/>
                <w:rFonts w:ascii="Times New Roman" w:hAnsi="Times New Roman" w:eastAsia="宋体" w:cs="Times New Roman"/>
                <w:b/>
                <w:bCs/>
                <w:color w:val="000000"/>
                <w:kern w:val="0"/>
                <w:sz w:val="22"/>
                <w:szCs w:val="22"/>
                <w:highlight w:val="none"/>
                <w:lang w:bidi="ar"/>
              </w:rPr>
              <w:t>总价</w:t>
            </w:r>
          </w:p>
        </w:tc>
      </w:tr>
      <w:tr w14:paraId="028AC191">
        <w:tblPrEx>
          <w:tblCellMar>
            <w:top w:w="0" w:type="dxa"/>
            <w:left w:w="108" w:type="dxa"/>
            <w:bottom w:w="0" w:type="dxa"/>
            <w:right w:w="108" w:type="dxa"/>
          </w:tblCellMar>
        </w:tblPrEx>
        <w:trPr>
          <w:trHeight w:val="5609" w:hRule="atLeast"/>
          <w:jc w:val="center"/>
        </w:trPr>
        <w:tc>
          <w:tcPr>
            <w:tcW w:w="409" w:type="dxa"/>
            <w:tcBorders>
              <w:top w:val="single" w:color="000000" w:sz="4" w:space="0"/>
              <w:left w:val="single" w:color="000000" w:sz="4" w:space="0"/>
              <w:bottom w:val="single" w:color="000000" w:sz="4" w:space="0"/>
              <w:right w:val="single" w:color="000000" w:sz="4" w:space="0"/>
            </w:tcBorders>
            <w:noWrap w:val="0"/>
            <w:vAlign w:val="center"/>
          </w:tcPr>
          <w:p w14:paraId="0ED1F5E2">
            <w:pPr>
              <w:pStyle w:val="11"/>
              <w:widowControl/>
              <w:numPr>
                <w:ilvl w:val="0"/>
                <w:numId w:val="1"/>
              </w:numPr>
              <w:spacing w:line="300" w:lineRule="exact"/>
              <w:jc w:val="center"/>
              <w:textAlignment w:val="center"/>
              <w:rPr>
                <w:rStyle w:val="5"/>
                <w:rFonts w:ascii="Times New Roman" w:hAnsi="Times New Roman" w:eastAsia="宋体" w:cs="Times New Roman"/>
                <w:color w:val="000000"/>
                <w:sz w:val="20"/>
                <w:szCs w:val="20"/>
                <w:highlight w:val="none"/>
              </w:rPr>
            </w:pPr>
          </w:p>
        </w:tc>
        <w:tc>
          <w:tcPr>
            <w:tcW w:w="1031" w:type="dxa"/>
            <w:vMerge w:val="restart"/>
            <w:tcBorders>
              <w:top w:val="single" w:color="000000" w:sz="4" w:space="0"/>
              <w:left w:val="single" w:color="000000" w:sz="4" w:space="0"/>
              <w:bottom w:val="single" w:color="000000" w:sz="4" w:space="0"/>
              <w:right w:val="single" w:color="000000" w:sz="4" w:space="0"/>
            </w:tcBorders>
            <w:noWrap w:val="0"/>
            <w:vAlign w:val="center"/>
          </w:tcPr>
          <w:p w14:paraId="27348FC9">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2411</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（56点）</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2416</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（56点）</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2516</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（56点）</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25</w:t>
            </w:r>
            <w:r>
              <w:rPr>
                <w:rStyle w:val="5"/>
                <w:rFonts w:hint="eastAsia" w:ascii="Times New Roman" w:hAnsi="Times New Roman" w:eastAsia="宋体" w:cs="Times New Roman"/>
                <w:color w:val="000000"/>
                <w:kern w:val="0"/>
                <w:sz w:val="20"/>
                <w:szCs w:val="20"/>
                <w:highlight w:val="none"/>
                <w:lang w:val="en-US" w:eastAsia="zh-CN" w:bidi="ar"/>
              </w:rPr>
              <w:t>22</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（56点）</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2520</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（56点）</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0D5571DF">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学生云终端</w:t>
            </w:r>
          </w:p>
        </w:tc>
        <w:tc>
          <w:tcPr>
            <w:tcW w:w="5504" w:type="dxa"/>
            <w:tcBorders>
              <w:top w:val="single" w:color="000000" w:sz="4" w:space="0"/>
              <w:left w:val="single" w:color="000000" w:sz="4" w:space="0"/>
              <w:bottom w:val="single" w:color="000000" w:sz="4" w:space="0"/>
              <w:right w:val="single" w:color="000000" w:sz="4" w:space="0"/>
            </w:tcBorders>
            <w:noWrap w:val="0"/>
            <w:vAlign w:val="center"/>
          </w:tcPr>
          <w:p w14:paraId="3CE82F5B">
            <w:pPr>
              <w:pStyle w:val="11"/>
              <w:widowControl/>
              <w:spacing w:line="300" w:lineRule="exact"/>
              <w:jc w:val="left"/>
              <w:textAlignment w:val="center"/>
              <w:rPr>
                <w:rStyle w:val="5"/>
                <w:rFonts w:hint="eastAsia" w:ascii="Times New Roman" w:hAnsi="Times New Roman" w:eastAsia="宋体" w:cs="Times New Roman"/>
                <w:b/>
                <w:bCs/>
                <w:color w:val="000000"/>
                <w:kern w:val="0"/>
                <w:sz w:val="20"/>
                <w:szCs w:val="20"/>
                <w:highlight w:val="none"/>
                <w:lang w:val="en-US" w:eastAsia="zh-CN" w:bidi="ar"/>
              </w:rPr>
            </w:pPr>
            <w:r>
              <w:rPr>
                <w:rStyle w:val="5"/>
                <w:rFonts w:ascii="Times New Roman" w:hAnsi="Times New Roman" w:eastAsia="宋体" w:cs="Times New Roman"/>
                <w:color w:val="000000"/>
                <w:kern w:val="0"/>
                <w:sz w:val="20"/>
                <w:szCs w:val="20"/>
                <w:highlight w:val="none"/>
                <w:lang w:bidi="ar"/>
              </w:rPr>
              <w:t>1.CPU：I5 六核十二线程处理器</w:t>
            </w:r>
            <w:r>
              <w:rPr>
                <w:rStyle w:val="5"/>
                <w:rFonts w:hint="eastAsia" w:ascii="Times New Roman" w:hAnsi="Times New Roman" w:eastAsia="宋体" w:cs="Times New Roman"/>
                <w:color w:val="000000"/>
                <w:kern w:val="0"/>
                <w:sz w:val="20"/>
                <w:szCs w:val="20"/>
                <w:highlight w:val="none"/>
                <w:lang w:eastAsia="zh-CN" w:bidi="ar"/>
              </w:rPr>
              <w:t>、</w:t>
            </w:r>
            <w:r>
              <w:rPr>
                <w:rStyle w:val="5"/>
                <w:rFonts w:ascii="Times New Roman" w:hAnsi="Times New Roman" w:eastAsia="宋体" w:cs="Times New Roman"/>
                <w:color w:val="000000"/>
                <w:kern w:val="0"/>
                <w:sz w:val="20"/>
                <w:szCs w:val="20"/>
                <w:highlight w:val="none"/>
                <w:lang w:bidi="ar"/>
              </w:rPr>
              <w:t>2.6GHz主频</w:t>
            </w:r>
            <w:r>
              <w:rPr>
                <w:rStyle w:val="5"/>
                <w:rFonts w:ascii="Times New Roman" w:hAnsi="Times New Roman" w:eastAsia="宋体" w:cs="Times New Roman"/>
                <w:sz w:val="20"/>
                <w:szCs w:val="20"/>
                <w:highlight w:val="none"/>
                <w:lang w:bidi="ar"/>
              </w:rPr>
              <w:t>及以上</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2.内存：≥16GB DDR4</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3.硬盘：≥512GB SSD ，支持M.2/mSATA多种存储方式</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4.接口：≥8个USB接口（至少含4个USB3.0接口），1对耳机输入输出，1个VGA接口，1个COM（串口），1个HDMI接口</w:t>
            </w:r>
            <w:r>
              <w:rPr>
                <w:rStyle w:val="5"/>
                <w:rFonts w:hint="eastAsia" w:ascii="Times New Roman" w:hAnsi="Times New Roman" w:eastAsia="宋体" w:cs="Times New Roman"/>
                <w:color w:val="000000"/>
                <w:kern w:val="0"/>
                <w:sz w:val="20"/>
                <w:szCs w:val="20"/>
                <w:highlight w:val="none"/>
                <w:lang w:eastAsia="zh-CN" w:bidi="ar"/>
              </w:rPr>
              <w:t>，</w:t>
            </w:r>
            <w:r>
              <w:rPr>
                <w:rStyle w:val="5"/>
                <w:rFonts w:ascii="Times New Roman" w:hAnsi="Times New Roman" w:eastAsia="宋体" w:cs="Times New Roman"/>
                <w:color w:val="000000"/>
                <w:kern w:val="0"/>
                <w:sz w:val="20"/>
                <w:szCs w:val="20"/>
                <w:highlight w:val="none"/>
                <w:lang w:bidi="ar"/>
              </w:rPr>
              <w:t>1个千兆网口</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5.安装方式：终端主体</w:t>
            </w:r>
            <w:r>
              <w:rPr>
                <w:rStyle w:val="5"/>
                <w:rFonts w:hint="eastAsia" w:ascii="Times New Roman" w:hAnsi="Times New Roman" w:eastAsia="宋体" w:cs="Times New Roman"/>
                <w:color w:val="000000"/>
                <w:kern w:val="0"/>
                <w:sz w:val="20"/>
                <w:szCs w:val="20"/>
                <w:highlight w:val="none"/>
                <w:lang w:bidi="ar"/>
              </w:rPr>
              <w:t>长宽高≤210</w:t>
            </w:r>
            <w:r>
              <w:rPr>
                <w:rStyle w:val="5"/>
                <w:rFonts w:hint="eastAsia" w:ascii="Times New Roman" w:hAnsi="Times New Roman" w:eastAsia="宋体" w:cs="Times New Roman"/>
                <w:color w:val="000000"/>
                <w:kern w:val="0"/>
                <w:sz w:val="20"/>
                <w:szCs w:val="20"/>
                <w:highlight w:val="none"/>
                <w:lang w:val="en-US" w:eastAsia="zh-CN" w:bidi="ar"/>
              </w:rPr>
              <w:t>mm</w:t>
            </w:r>
            <w:r>
              <w:rPr>
                <w:rStyle w:val="5"/>
                <w:rFonts w:hint="eastAsia" w:ascii="Times New Roman" w:hAnsi="Times New Roman" w:eastAsia="宋体" w:cs="Times New Roman"/>
                <w:color w:val="000000"/>
                <w:kern w:val="0"/>
                <w:sz w:val="20"/>
                <w:szCs w:val="20"/>
                <w:highlight w:val="none"/>
                <w:lang w:bidi="ar"/>
              </w:rPr>
              <w:t>*182</w:t>
            </w:r>
            <w:r>
              <w:rPr>
                <w:rStyle w:val="5"/>
                <w:rFonts w:hint="eastAsia" w:ascii="Times New Roman" w:hAnsi="Times New Roman" w:eastAsia="宋体" w:cs="Times New Roman"/>
                <w:color w:val="000000"/>
                <w:kern w:val="0"/>
                <w:sz w:val="20"/>
                <w:szCs w:val="20"/>
                <w:highlight w:val="none"/>
                <w:lang w:val="en-US" w:eastAsia="zh-CN" w:bidi="ar"/>
              </w:rPr>
              <w:t>mm</w:t>
            </w:r>
            <w:r>
              <w:rPr>
                <w:rStyle w:val="5"/>
                <w:rFonts w:hint="eastAsia" w:ascii="Times New Roman" w:hAnsi="Times New Roman" w:eastAsia="宋体" w:cs="Times New Roman"/>
                <w:color w:val="000000"/>
                <w:kern w:val="0"/>
                <w:sz w:val="20"/>
                <w:szCs w:val="20"/>
                <w:highlight w:val="none"/>
                <w:lang w:bidi="ar"/>
              </w:rPr>
              <w:t>*43mm</w:t>
            </w:r>
            <w:r>
              <w:rPr>
                <w:rStyle w:val="5"/>
                <w:rFonts w:hint="eastAsia" w:ascii="Times New Roman" w:hAnsi="Times New Roman" w:eastAsia="宋体" w:cs="Times New Roman"/>
                <w:color w:val="000000"/>
                <w:kern w:val="0"/>
                <w:sz w:val="20"/>
                <w:szCs w:val="20"/>
                <w:highlight w:val="none"/>
                <w:lang w:val="en-US" w:eastAsia="zh-CN" w:bidi="ar"/>
              </w:rPr>
              <w:t>，</w:t>
            </w:r>
            <w:r>
              <w:rPr>
                <w:rStyle w:val="5"/>
                <w:rFonts w:ascii="Times New Roman" w:hAnsi="Times New Roman" w:eastAsia="宋体" w:cs="Times New Roman"/>
                <w:color w:val="000000"/>
                <w:kern w:val="0"/>
                <w:sz w:val="20"/>
                <w:szCs w:val="20"/>
                <w:highlight w:val="none"/>
                <w:lang w:bidi="ar"/>
              </w:rPr>
              <w:t>支持背挂/立式</w:t>
            </w:r>
            <w:r>
              <w:rPr>
                <w:rStyle w:val="5"/>
                <w:rFonts w:hint="eastAsia" w:ascii="Times New Roman" w:hAnsi="Times New Roman" w:eastAsia="宋体" w:cs="Times New Roman"/>
                <w:color w:val="000000"/>
                <w:kern w:val="0"/>
                <w:sz w:val="20"/>
                <w:szCs w:val="20"/>
                <w:highlight w:val="none"/>
                <w:lang w:val="en-US" w:eastAsia="zh-CN" w:bidi="ar"/>
              </w:rPr>
              <w:t>安装方式</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6.显示屏与外设：≥23.8寸，分辩率≥1920*1080，配套有线USB键鼠套装</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7.</w:t>
            </w:r>
            <w:r>
              <w:rPr>
                <w:rStyle w:val="5"/>
                <w:rFonts w:ascii="Times New Roman" w:hAnsi="Times New Roman" w:eastAsia="宋体" w:cs="Times New Roman"/>
                <w:b/>
                <w:bCs/>
                <w:color w:val="000000"/>
                <w:kern w:val="0"/>
                <w:sz w:val="20"/>
                <w:szCs w:val="20"/>
                <w:highlight w:val="none"/>
                <w:lang w:bidi="ar"/>
              </w:rPr>
              <w:t>三年原厂售后服务支持，提供</w:t>
            </w:r>
            <w:r>
              <w:rPr>
                <w:rStyle w:val="5"/>
                <w:rFonts w:hint="eastAsia" w:ascii="Times New Roman" w:hAnsi="Times New Roman" w:eastAsia="宋体" w:cs="Times New Roman"/>
                <w:b/>
                <w:bCs/>
                <w:color w:val="000000"/>
                <w:kern w:val="0"/>
                <w:sz w:val="20"/>
                <w:szCs w:val="20"/>
                <w:highlight w:val="none"/>
                <w:lang w:val="en-US" w:eastAsia="zh-CN" w:bidi="ar"/>
              </w:rPr>
              <w:t>投标人</w:t>
            </w:r>
            <w:r>
              <w:rPr>
                <w:rStyle w:val="5"/>
                <w:rFonts w:ascii="Times New Roman" w:hAnsi="Times New Roman" w:eastAsia="宋体" w:cs="Times New Roman"/>
                <w:b/>
                <w:bCs/>
                <w:color w:val="000000"/>
                <w:kern w:val="0"/>
                <w:sz w:val="20"/>
                <w:szCs w:val="20"/>
                <w:highlight w:val="none"/>
                <w:lang w:bidi="ar"/>
              </w:rPr>
              <w:t>承诺函</w:t>
            </w:r>
            <w:r>
              <w:rPr>
                <w:rStyle w:val="5"/>
                <w:rFonts w:hint="eastAsia" w:ascii="Times New Roman" w:hAnsi="Times New Roman" w:eastAsia="宋体" w:cs="Times New Roman"/>
                <w:b/>
                <w:bCs/>
                <w:color w:val="000000"/>
                <w:kern w:val="0"/>
                <w:sz w:val="20"/>
                <w:szCs w:val="20"/>
                <w:highlight w:val="none"/>
                <w:lang w:val="en-US" w:eastAsia="zh-CN" w:bidi="ar"/>
              </w:rPr>
              <w:t>并加盖投标人公章</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8.产品符合电压暂降和短时中断和电压变化抗扰度要求（符合GB/T17626.11-2008相关标准）：在实验时间条件下，设备不出现画面质量降低，存储数据丢失，按键失灵现象</w:t>
            </w:r>
            <w:r>
              <w:rPr>
                <w:rStyle w:val="5"/>
                <w:rFonts w:hint="eastAsia" w:ascii="Times New Roman" w:hAnsi="Times New Roman" w:eastAsia="宋体" w:cs="Times New Roman"/>
                <w:b/>
                <w:bCs/>
                <w:color w:val="000000"/>
                <w:kern w:val="0"/>
                <w:sz w:val="20"/>
                <w:szCs w:val="20"/>
                <w:highlight w:val="none"/>
                <w:lang w:val="en-US" w:eastAsia="zh-CN" w:bidi="ar"/>
              </w:rPr>
              <w:t>（提供国家认可的第三方检测机构出具的带CNAS和CMA标识的功能性测试报告复印件并加盖投标人公章）</w:t>
            </w:r>
          </w:p>
          <w:p w14:paraId="18EA4F15">
            <w:pPr>
              <w:pStyle w:val="11"/>
              <w:widowControl/>
              <w:spacing w:line="300" w:lineRule="exact"/>
              <w:jc w:val="left"/>
              <w:textAlignment w:val="center"/>
              <w:rPr>
                <w:rStyle w:val="5"/>
                <w:rFonts w:hint="default" w:ascii="Times New Roman" w:hAnsi="Times New Roman" w:eastAsia="宋体" w:cs="Times New Roman"/>
                <w:b/>
                <w:bCs/>
                <w:color w:val="000000"/>
                <w:kern w:val="0"/>
                <w:sz w:val="20"/>
                <w:szCs w:val="20"/>
                <w:highlight w:val="none"/>
                <w:lang w:val="en-US" w:eastAsia="zh-CN" w:bidi="ar"/>
              </w:rPr>
            </w:pPr>
            <w:r>
              <w:rPr>
                <w:rStyle w:val="5"/>
                <w:rFonts w:hint="eastAsia" w:ascii="Times New Roman" w:hAnsi="Times New Roman" w:eastAsia="宋体" w:cs="Times New Roman"/>
                <w:color w:val="000000"/>
                <w:kern w:val="0"/>
                <w:sz w:val="20"/>
                <w:szCs w:val="20"/>
                <w:highlight w:val="none"/>
                <w:lang w:val="en-US" w:eastAsia="zh-CN" w:bidi="ar"/>
              </w:rPr>
              <w:t>9.为响应国家政策，培养信息技术应用创新人才，产品应支持部署银河麒麟、统信等国产桌面操作系统，且厂商能够提供国产化操作系统培训、运维等相关技术服务。</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8B43A19">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7344FD8C">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台</w:t>
            </w: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4122E350">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280</w:t>
            </w:r>
          </w:p>
        </w:tc>
        <w:tc>
          <w:tcPr>
            <w:tcW w:w="409" w:type="dxa"/>
            <w:tcBorders>
              <w:top w:val="single" w:color="000000" w:sz="4" w:space="0"/>
              <w:left w:val="single" w:color="000000" w:sz="4" w:space="0"/>
              <w:bottom w:val="single" w:color="000000" w:sz="4" w:space="0"/>
              <w:right w:val="single" w:color="000000" w:sz="4" w:space="0"/>
            </w:tcBorders>
            <w:noWrap w:val="0"/>
            <w:vAlign w:val="center"/>
          </w:tcPr>
          <w:p w14:paraId="29D1166E">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r>
      <w:tr w14:paraId="18BFD931">
        <w:tblPrEx>
          <w:tblCellMar>
            <w:top w:w="0" w:type="dxa"/>
            <w:left w:w="108" w:type="dxa"/>
            <w:bottom w:w="0" w:type="dxa"/>
            <w:right w:w="108" w:type="dxa"/>
          </w:tblCellMar>
        </w:tblPrEx>
        <w:trPr>
          <w:trHeight w:val="3300" w:hRule="atLeast"/>
          <w:jc w:val="center"/>
        </w:trPr>
        <w:tc>
          <w:tcPr>
            <w:tcW w:w="409" w:type="dxa"/>
            <w:tcBorders>
              <w:top w:val="single" w:color="000000" w:sz="4" w:space="0"/>
              <w:left w:val="single" w:color="000000" w:sz="4" w:space="0"/>
              <w:bottom w:val="single" w:color="000000" w:sz="4" w:space="0"/>
              <w:right w:val="single" w:color="000000" w:sz="4" w:space="0"/>
            </w:tcBorders>
            <w:noWrap w:val="0"/>
            <w:vAlign w:val="center"/>
          </w:tcPr>
          <w:p w14:paraId="5D78FE39">
            <w:pPr>
              <w:pStyle w:val="11"/>
              <w:widowControl/>
              <w:numPr>
                <w:ilvl w:val="0"/>
                <w:numId w:val="1"/>
              </w:numPr>
              <w:spacing w:line="300" w:lineRule="exact"/>
              <w:jc w:val="center"/>
              <w:textAlignment w:val="center"/>
              <w:rPr>
                <w:rStyle w:val="5"/>
                <w:rFonts w:ascii="Times New Roman" w:hAnsi="Times New Roman" w:eastAsia="宋体" w:cs="Times New Roman"/>
                <w:color w:val="000000"/>
                <w:sz w:val="20"/>
                <w:szCs w:val="20"/>
                <w:highlight w:val="none"/>
              </w:rPr>
            </w:pPr>
          </w:p>
        </w:tc>
        <w:tc>
          <w:tcPr>
            <w:tcW w:w="10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753CCF">
            <w:pPr>
              <w:pStyle w:val="11"/>
              <w:widowControl/>
              <w:spacing w:line="300" w:lineRule="exact"/>
              <w:jc w:val="center"/>
              <w:rPr>
                <w:rStyle w:val="5"/>
                <w:rFonts w:ascii="Times New Roman" w:hAnsi="Times New Roman" w:eastAsia="宋体" w:cs="Times New Roman"/>
                <w:color w:val="000000"/>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1F3568E3">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教师云终端</w:t>
            </w:r>
          </w:p>
        </w:tc>
        <w:tc>
          <w:tcPr>
            <w:tcW w:w="5504" w:type="dxa"/>
            <w:tcBorders>
              <w:top w:val="single" w:color="000000" w:sz="4" w:space="0"/>
              <w:left w:val="single" w:color="000000" w:sz="4" w:space="0"/>
              <w:bottom w:val="single" w:color="000000" w:sz="4" w:space="0"/>
              <w:right w:val="single" w:color="000000" w:sz="4" w:space="0"/>
            </w:tcBorders>
            <w:noWrap w:val="0"/>
            <w:vAlign w:val="center"/>
          </w:tcPr>
          <w:p w14:paraId="0C05210D">
            <w:pPr>
              <w:pStyle w:val="11"/>
              <w:widowControl/>
              <w:spacing w:line="300" w:lineRule="exact"/>
              <w:jc w:val="left"/>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1.CPU：I5 六核十二线程处理器</w:t>
            </w:r>
            <w:r>
              <w:rPr>
                <w:rStyle w:val="5"/>
                <w:rFonts w:hint="eastAsia" w:ascii="Times New Roman" w:hAnsi="Times New Roman" w:eastAsia="宋体" w:cs="Times New Roman"/>
                <w:color w:val="000000"/>
                <w:kern w:val="0"/>
                <w:sz w:val="20"/>
                <w:szCs w:val="20"/>
                <w:highlight w:val="none"/>
                <w:lang w:eastAsia="zh-CN" w:bidi="ar"/>
              </w:rPr>
              <w:t>、</w:t>
            </w:r>
            <w:r>
              <w:rPr>
                <w:rStyle w:val="5"/>
                <w:rFonts w:ascii="Times New Roman" w:hAnsi="Times New Roman" w:eastAsia="宋体" w:cs="Times New Roman"/>
                <w:color w:val="000000"/>
                <w:kern w:val="0"/>
                <w:sz w:val="20"/>
                <w:szCs w:val="20"/>
                <w:highlight w:val="none"/>
                <w:lang w:bidi="ar"/>
              </w:rPr>
              <w:t>2.6GHz主频</w:t>
            </w:r>
            <w:r>
              <w:rPr>
                <w:rStyle w:val="5"/>
                <w:rFonts w:hint="eastAsia" w:ascii="Times New Roman" w:hAnsi="Times New Roman" w:eastAsia="宋体" w:cs="Times New Roman"/>
                <w:color w:val="000000"/>
                <w:kern w:val="0"/>
                <w:sz w:val="20"/>
                <w:szCs w:val="20"/>
                <w:highlight w:val="none"/>
                <w:lang w:val="en-US" w:eastAsia="zh-CN" w:bidi="ar"/>
              </w:rPr>
              <w:t>及以上</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2.内存：≥16GB DDR4</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3.硬盘：≥</w:t>
            </w:r>
            <w:r>
              <w:rPr>
                <w:rStyle w:val="5"/>
                <w:rFonts w:hint="eastAsia" w:ascii="Times New Roman" w:hAnsi="Times New Roman" w:eastAsia="宋体" w:cs="Times New Roman"/>
                <w:color w:val="000000"/>
                <w:kern w:val="0"/>
                <w:sz w:val="20"/>
                <w:szCs w:val="20"/>
                <w:highlight w:val="none"/>
                <w:lang w:val="en-US" w:eastAsia="zh-CN" w:bidi="ar"/>
              </w:rPr>
              <w:t>1T</w:t>
            </w:r>
            <w:r>
              <w:rPr>
                <w:rStyle w:val="5"/>
                <w:rFonts w:ascii="Times New Roman" w:hAnsi="Times New Roman" w:eastAsia="宋体" w:cs="Times New Roman"/>
                <w:color w:val="000000"/>
                <w:kern w:val="0"/>
                <w:sz w:val="20"/>
                <w:szCs w:val="20"/>
                <w:highlight w:val="none"/>
                <w:lang w:bidi="ar"/>
              </w:rPr>
              <w:t>B SSD ，支持M.2/mSATA多种存储方式</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4.接口：≥8个USB接口（至少含4个USB3.0接口），1对耳机输入输出，1个VGA接口，1个COM（串口），1个HDMI接口,1个千兆网口</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5.安装方式：终端主体</w:t>
            </w:r>
            <w:r>
              <w:rPr>
                <w:rStyle w:val="5"/>
                <w:rFonts w:hint="eastAsia" w:ascii="Times New Roman" w:hAnsi="Times New Roman" w:eastAsia="宋体" w:cs="Times New Roman"/>
                <w:color w:val="000000"/>
                <w:kern w:val="0"/>
                <w:sz w:val="20"/>
                <w:szCs w:val="20"/>
                <w:highlight w:val="none"/>
                <w:lang w:bidi="ar"/>
              </w:rPr>
              <w:t>长宽高≤210</w:t>
            </w:r>
            <w:r>
              <w:rPr>
                <w:rStyle w:val="5"/>
                <w:rFonts w:hint="eastAsia" w:ascii="Times New Roman" w:hAnsi="Times New Roman" w:eastAsia="宋体" w:cs="Times New Roman"/>
                <w:color w:val="000000"/>
                <w:kern w:val="0"/>
                <w:sz w:val="20"/>
                <w:szCs w:val="20"/>
                <w:highlight w:val="none"/>
                <w:lang w:val="en-US" w:eastAsia="zh-CN" w:bidi="ar"/>
              </w:rPr>
              <w:t>mm</w:t>
            </w:r>
            <w:r>
              <w:rPr>
                <w:rStyle w:val="5"/>
                <w:rFonts w:hint="eastAsia" w:ascii="Times New Roman" w:hAnsi="Times New Roman" w:eastAsia="宋体" w:cs="Times New Roman"/>
                <w:color w:val="000000"/>
                <w:kern w:val="0"/>
                <w:sz w:val="20"/>
                <w:szCs w:val="20"/>
                <w:highlight w:val="none"/>
                <w:lang w:bidi="ar"/>
              </w:rPr>
              <w:t>*182</w:t>
            </w:r>
            <w:r>
              <w:rPr>
                <w:rStyle w:val="5"/>
                <w:rFonts w:hint="eastAsia" w:ascii="Times New Roman" w:hAnsi="Times New Roman" w:eastAsia="宋体" w:cs="Times New Roman"/>
                <w:color w:val="000000"/>
                <w:kern w:val="0"/>
                <w:sz w:val="20"/>
                <w:szCs w:val="20"/>
                <w:highlight w:val="none"/>
                <w:lang w:val="en-US" w:eastAsia="zh-CN" w:bidi="ar"/>
              </w:rPr>
              <w:t>mm</w:t>
            </w:r>
            <w:r>
              <w:rPr>
                <w:rStyle w:val="5"/>
                <w:rFonts w:hint="eastAsia" w:ascii="Times New Roman" w:hAnsi="Times New Roman" w:eastAsia="宋体" w:cs="Times New Roman"/>
                <w:color w:val="000000"/>
                <w:kern w:val="0"/>
                <w:sz w:val="20"/>
                <w:szCs w:val="20"/>
                <w:highlight w:val="none"/>
                <w:lang w:bidi="ar"/>
              </w:rPr>
              <w:t>*43mm</w:t>
            </w:r>
            <w:r>
              <w:rPr>
                <w:rStyle w:val="5"/>
                <w:rFonts w:hint="eastAsia" w:ascii="Times New Roman" w:hAnsi="Times New Roman" w:eastAsia="宋体" w:cs="Times New Roman"/>
                <w:color w:val="000000"/>
                <w:kern w:val="0"/>
                <w:sz w:val="20"/>
                <w:szCs w:val="20"/>
                <w:highlight w:val="none"/>
                <w:lang w:val="en-US" w:eastAsia="zh-CN" w:bidi="ar"/>
              </w:rPr>
              <w:t>，</w:t>
            </w:r>
            <w:r>
              <w:rPr>
                <w:rStyle w:val="5"/>
                <w:rFonts w:ascii="Times New Roman" w:hAnsi="Times New Roman" w:eastAsia="宋体" w:cs="Times New Roman"/>
                <w:color w:val="000000"/>
                <w:kern w:val="0"/>
                <w:sz w:val="20"/>
                <w:szCs w:val="20"/>
                <w:highlight w:val="none"/>
                <w:lang w:bidi="ar"/>
              </w:rPr>
              <w:t>支持背挂/立式</w:t>
            </w:r>
            <w:r>
              <w:rPr>
                <w:rStyle w:val="5"/>
                <w:rFonts w:hint="eastAsia" w:ascii="Times New Roman" w:hAnsi="Times New Roman" w:eastAsia="宋体" w:cs="Times New Roman"/>
                <w:color w:val="000000"/>
                <w:kern w:val="0"/>
                <w:sz w:val="20"/>
                <w:szCs w:val="20"/>
                <w:highlight w:val="none"/>
                <w:lang w:val="en-US" w:eastAsia="zh-CN" w:bidi="ar"/>
              </w:rPr>
              <w:t>安装方式</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6.显示屏与外设：≥23.8寸，分辩率≥1920*1080，配套有线USB键鼠套装</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7.</w:t>
            </w:r>
            <w:r>
              <w:rPr>
                <w:rStyle w:val="5"/>
                <w:rFonts w:ascii="Times New Roman" w:hAnsi="Times New Roman" w:eastAsia="宋体" w:cs="Times New Roman"/>
                <w:b/>
                <w:bCs/>
                <w:color w:val="000000"/>
                <w:kern w:val="0"/>
                <w:sz w:val="20"/>
                <w:szCs w:val="20"/>
                <w:highlight w:val="none"/>
                <w:lang w:bidi="ar"/>
              </w:rPr>
              <w:t>三年原厂售后服务支持，提供投标人承诺函</w:t>
            </w:r>
            <w:r>
              <w:rPr>
                <w:rStyle w:val="5"/>
                <w:rFonts w:hint="eastAsia" w:ascii="Times New Roman" w:hAnsi="Times New Roman" w:eastAsia="宋体" w:cs="Times New Roman"/>
                <w:b/>
                <w:bCs/>
                <w:color w:val="000000"/>
                <w:kern w:val="0"/>
                <w:sz w:val="20"/>
                <w:szCs w:val="20"/>
                <w:highlight w:val="none"/>
                <w:lang w:val="en-US" w:eastAsia="zh-CN" w:bidi="ar"/>
              </w:rPr>
              <w:t>并加盖投标人公章</w:t>
            </w:r>
            <w:r>
              <w:rPr>
                <w:rStyle w:val="5"/>
                <w:rFonts w:ascii="Times New Roman" w:hAnsi="Times New Roman" w:eastAsia="宋体" w:cs="Times New Roman"/>
                <w:b/>
                <w:bCs/>
                <w:color w:val="000000"/>
                <w:kern w:val="0"/>
                <w:sz w:val="20"/>
                <w:szCs w:val="20"/>
                <w:highlight w:val="none"/>
                <w:lang w:bidi="ar"/>
              </w:rPr>
              <w:t>。</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8.</w:t>
            </w:r>
            <w:r>
              <w:rPr>
                <w:rStyle w:val="5"/>
                <w:rFonts w:ascii="Times New Roman" w:hAnsi="Times New Roman" w:eastAsia="宋体" w:cs="Times New Roman"/>
                <w:color w:val="000000"/>
                <w:kern w:val="0"/>
                <w:sz w:val="20"/>
                <w:szCs w:val="20"/>
                <w:highlight w:val="none"/>
                <w:lang w:bidi="ar"/>
              </w:rPr>
              <w:t>要求终端平均无故障时间（MTBF）不低于160000小时</w:t>
            </w:r>
            <w:r>
              <w:rPr>
                <w:rStyle w:val="5"/>
                <w:rFonts w:hint="eastAsia" w:ascii="Times New Roman" w:hAnsi="Times New Roman" w:eastAsia="宋体" w:cs="Times New Roman"/>
                <w:color w:val="000000"/>
                <w:kern w:val="0"/>
                <w:sz w:val="20"/>
                <w:szCs w:val="20"/>
                <w:highlight w:val="none"/>
                <w:lang w:eastAsia="zh-CN" w:bidi="ar"/>
              </w:rPr>
              <w:t>。</w:t>
            </w:r>
            <w:r>
              <w:rPr>
                <w:rStyle w:val="5"/>
                <w:rFonts w:hint="eastAsia" w:ascii="Times New Roman" w:hAnsi="Times New Roman" w:eastAsia="宋体" w:cs="Times New Roman"/>
                <w:b/>
                <w:bCs/>
                <w:color w:val="000000"/>
                <w:kern w:val="0"/>
                <w:sz w:val="20"/>
                <w:szCs w:val="20"/>
                <w:highlight w:val="none"/>
                <w:lang w:eastAsia="zh-CN" w:bidi="ar"/>
              </w:rPr>
              <w:t>（</w:t>
            </w:r>
            <w:r>
              <w:rPr>
                <w:rStyle w:val="5"/>
                <w:rFonts w:hint="eastAsia" w:ascii="Times New Roman" w:hAnsi="Times New Roman" w:eastAsia="宋体" w:cs="Times New Roman"/>
                <w:b/>
                <w:bCs/>
                <w:color w:val="000000"/>
                <w:kern w:val="0"/>
                <w:sz w:val="20"/>
                <w:szCs w:val="20"/>
                <w:highlight w:val="none"/>
                <w:lang w:bidi="ar"/>
              </w:rPr>
              <w:t>提供国家认可的第三方检测机构出具的</w:t>
            </w:r>
            <w:r>
              <w:rPr>
                <w:rStyle w:val="5"/>
                <w:rFonts w:hint="eastAsia" w:ascii="Times New Roman" w:hAnsi="Times New Roman" w:eastAsia="宋体" w:cs="Times New Roman"/>
                <w:b/>
                <w:bCs/>
                <w:color w:val="000000"/>
                <w:kern w:val="0"/>
                <w:sz w:val="20"/>
                <w:szCs w:val="20"/>
                <w:highlight w:val="none"/>
                <w:lang w:val="en-US" w:eastAsia="zh-CN" w:bidi="ar"/>
              </w:rPr>
              <w:t>带CNAS和CMA标识的</w:t>
            </w:r>
            <w:r>
              <w:rPr>
                <w:rStyle w:val="5"/>
                <w:rFonts w:ascii="Times New Roman" w:hAnsi="Times New Roman" w:eastAsia="宋体" w:cs="Times New Roman"/>
                <w:b/>
                <w:bCs/>
                <w:color w:val="000000"/>
                <w:kern w:val="0"/>
                <w:sz w:val="20"/>
                <w:szCs w:val="20"/>
                <w:highlight w:val="none"/>
                <w:lang w:bidi="ar"/>
              </w:rPr>
              <w:t>检测证书及检测报告复印件</w:t>
            </w:r>
            <w:r>
              <w:rPr>
                <w:rStyle w:val="5"/>
                <w:rFonts w:hint="eastAsia" w:ascii="Times New Roman" w:hAnsi="Times New Roman" w:eastAsia="宋体" w:cs="Times New Roman"/>
                <w:b/>
                <w:bCs/>
                <w:color w:val="000000"/>
                <w:kern w:val="0"/>
                <w:sz w:val="20"/>
                <w:szCs w:val="20"/>
                <w:highlight w:val="none"/>
                <w:lang w:bidi="ar"/>
              </w:rPr>
              <w:t>并加盖投标人公章</w:t>
            </w:r>
            <w:r>
              <w:rPr>
                <w:rStyle w:val="5"/>
                <w:rFonts w:hint="eastAsia" w:ascii="Times New Roman" w:hAnsi="Times New Roman" w:eastAsia="宋体" w:cs="Times New Roman"/>
                <w:b/>
                <w:bCs/>
                <w:color w:val="000000"/>
                <w:kern w:val="0"/>
                <w:sz w:val="20"/>
                <w:szCs w:val="20"/>
                <w:highlight w:val="none"/>
                <w:lang w:eastAsia="zh-CN" w:bidi="ar"/>
              </w:rPr>
              <w:t>）</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8CA66A8">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3F768B77">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套</w:t>
            </w: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084B2A92">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5</w:t>
            </w:r>
          </w:p>
        </w:tc>
        <w:tc>
          <w:tcPr>
            <w:tcW w:w="409" w:type="dxa"/>
            <w:tcBorders>
              <w:top w:val="single" w:color="000000" w:sz="4" w:space="0"/>
              <w:left w:val="single" w:color="000000" w:sz="4" w:space="0"/>
              <w:bottom w:val="single" w:color="000000" w:sz="4" w:space="0"/>
              <w:right w:val="single" w:color="000000" w:sz="4" w:space="0"/>
            </w:tcBorders>
            <w:noWrap w:val="0"/>
            <w:vAlign w:val="center"/>
          </w:tcPr>
          <w:p w14:paraId="786FC1AE">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r>
      <w:tr w14:paraId="74AD8C66">
        <w:trPr>
          <w:trHeight w:val="748" w:hRule="atLeast"/>
          <w:jc w:val="center"/>
        </w:trPr>
        <w:tc>
          <w:tcPr>
            <w:tcW w:w="409" w:type="dxa"/>
            <w:tcBorders>
              <w:top w:val="single" w:color="000000" w:sz="4" w:space="0"/>
              <w:left w:val="single" w:color="000000" w:sz="4" w:space="0"/>
              <w:bottom w:val="single" w:color="000000" w:sz="4" w:space="0"/>
              <w:right w:val="single" w:color="000000" w:sz="4" w:space="0"/>
            </w:tcBorders>
            <w:noWrap w:val="0"/>
            <w:vAlign w:val="center"/>
          </w:tcPr>
          <w:p w14:paraId="16E6C841">
            <w:pPr>
              <w:pStyle w:val="11"/>
              <w:widowControl/>
              <w:numPr>
                <w:ilvl w:val="0"/>
                <w:numId w:val="1"/>
              </w:numPr>
              <w:spacing w:line="300" w:lineRule="exact"/>
              <w:jc w:val="center"/>
              <w:textAlignment w:val="center"/>
              <w:rPr>
                <w:rStyle w:val="5"/>
                <w:rFonts w:ascii="Times New Roman" w:hAnsi="Times New Roman" w:eastAsia="宋体" w:cs="Times New Roman"/>
                <w:color w:val="000000"/>
                <w:sz w:val="20"/>
                <w:szCs w:val="20"/>
                <w:highlight w:val="none"/>
              </w:rPr>
            </w:pPr>
          </w:p>
        </w:tc>
        <w:tc>
          <w:tcPr>
            <w:tcW w:w="10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5A4F75">
            <w:pPr>
              <w:pStyle w:val="11"/>
              <w:widowControl/>
              <w:spacing w:line="300" w:lineRule="exact"/>
              <w:jc w:val="center"/>
              <w:rPr>
                <w:rStyle w:val="5"/>
                <w:rFonts w:ascii="Times New Roman" w:hAnsi="Times New Roman" w:eastAsia="宋体" w:cs="Times New Roman"/>
                <w:color w:val="000000"/>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0C719FEA">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桌面云软件</w:t>
            </w:r>
          </w:p>
        </w:tc>
        <w:tc>
          <w:tcPr>
            <w:tcW w:w="5504" w:type="dxa"/>
            <w:tcBorders>
              <w:top w:val="single" w:color="000000" w:sz="4" w:space="0"/>
              <w:left w:val="single" w:color="000000" w:sz="4" w:space="0"/>
              <w:bottom w:val="single" w:color="000000" w:sz="4" w:space="0"/>
              <w:right w:val="single" w:color="000000" w:sz="4" w:space="0"/>
            </w:tcBorders>
            <w:noWrap w:val="0"/>
            <w:vAlign w:val="center"/>
          </w:tcPr>
          <w:p w14:paraId="5A2535D9">
            <w:pPr>
              <w:pStyle w:val="11"/>
              <w:widowControl/>
              <w:numPr>
                <w:ilvl w:val="0"/>
                <w:numId w:val="2"/>
              </w:numPr>
              <w:spacing w:line="300" w:lineRule="exact"/>
              <w:jc w:val="left"/>
              <w:textAlignment w:val="center"/>
              <w:rPr>
                <w:rStyle w:val="5"/>
                <w:rFonts w:ascii="Times New Roman" w:hAnsi="Times New Roman" w:eastAsia="宋体" w:cs="Times New Roman"/>
                <w:color w:val="000000"/>
                <w:kern w:val="0"/>
                <w:sz w:val="20"/>
                <w:szCs w:val="20"/>
                <w:highlight w:val="none"/>
                <w:lang w:bidi="ar"/>
              </w:rPr>
            </w:pPr>
            <w:r>
              <w:rPr>
                <w:rStyle w:val="5"/>
                <w:rFonts w:ascii="Times New Roman" w:hAnsi="Times New Roman" w:eastAsia="宋体" w:cs="Times New Roman"/>
                <w:color w:val="000000"/>
                <w:kern w:val="0"/>
                <w:sz w:val="20"/>
                <w:szCs w:val="20"/>
                <w:highlight w:val="none"/>
                <w:lang w:bidi="ar"/>
              </w:rPr>
              <w:t>管理平台采用B/S架构，无需安装客户端，管理员可以在任意地点使用PC、手机、平板电脑等设备访问WEB页面即可进行终端和桌面的管理，支持账号密码和微信扫码多种登录方式；</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2.不限定终端类型，能够将学院现有的不同品牌、配置的PC改造成胖终端模式，实现多类异构设备的统一管理，一个桌面模板自动适配所有异构设备；</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3.系统下发支持BT和广播两种模式，广播支持跨VLAN环境且无需第三方软硬件设备，支持系统环境的批量部署，可根据不同专业的教学、考试要求，快速创建多套教学环境，使用时开放，不使用时随时回收；</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4.终端支持裸机部署模式，本地无操作系统也可连接服务器部署客户端，且局域网内任意安装好VOI底层客户端的终端，都可以给其他终端传底层客户端系统，便于终端和服务器处在跨VLAN环境下的环境部署；</w:t>
            </w:r>
          </w:p>
          <w:p w14:paraId="34B7AB82">
            <w:pPr>
              <w:pStyle w:val="11"/>
              <w:widowControl/>
              <w:numPr>
                <w:ilvl w:val="0"/>
                <w:numId w:val="0"/>
              </w:numPr>
              <w:spacing w:line="300" w:lineRule="exact"/>
              <w:jc w:val="left"/>
              <w:textAlignment w:val="center"/>
              <w:rPr>
                <w:rStyle w:val="5"/>
                <w:rFonts w:ascii="Times New Roman" w:hAnsi="Times New Roman" w:eastAsia="宋体" w:cs="Times New Roman"/>
                <w:color w:val="000000"/>
                <w:kern w:val="0"/>
                <w:sz w:val="20"/>
                <w:szCs w:val="20"/>
                <w:highlight w:val="none"/>
                <w:lang w:bidi="ar"/>
              </w:rPr>
            </w:pPr>
            <w:r>
              <w:rPr>
                <w:rStyle w:val="5"/>
                <w:rFonts w:hint="eastAsia" w:ascii="Times New Roman" w:hAnsi="Times New Roman" w:eastAsia="宋体" w:cs="Times New Roman"/>
                <w:color w:val="000000"/>
                <w:kern w:val="0"/>
                <w:sz w:val="20"/>
                <w:szCs w:val="20"/>
                <w:highlight w:val="none"/>
                <w:lang w:val="en-US" w:eastAsia="zh-CN" w:bidi="ar"/>
              </w:rPr>
              <w:t>5.</w:t>
            </w:r>
            <w:r>
              <w:rPr>
                <w:rStyle w:val="5"/>
                <w:rFonts w:ascii="Times New Roman" w:hAnsi="Times New Roman" w:eastAsia="宋体" w:cs="Times New Roman"/>
                <w:color w:val="000000"/>
                <w:kern w:val="0"/>
                <w:sz w:val="20"/>
                <w:szCs w:val="20"/>
                <w:highlight w:val="none"/>
                <w:lang w:bidi="ar"/>
              </w:rPr>
              <w:t>支持端对端数据智能传输，可将已有镜像的终端作为发送端，给同教室内其他终端下发镜像；</w:t>
            </w:r>
            <w:r>
              <w:rPr>
                <w:rStyle w:val="5"/>
                <w:rFonts w:ascii="Times New Roman" w:hAnsi="Times New Roman" w:eastAsia="宋体" w:cs="Times New Roman"/>
                <w:b/>
                <w:bCs/>
                <w:color w:val="000000"/>
                <w:kern w:val="0"/>
                <w:sz w:val="20"/>
                <w:szCs w:val="20"/>
                <w:highlight w:val="none"/>
                <w:lang w:bidi="ar"/>
              </w:rPr>
              <w:t>（</w:t>
            </w:r>
            <w:r>
              <w:rPr>
                <w:rStyle w:val="5"/>
                <w:rFonts w:hint="eastAsia" w:ascii="Times New Roman" w:hAnsi="Times New Roman" w:eastAsia="宋体" w:cs="Times New Roman"/>
                <w:b/>
                <w:bCs/>
                <w:color w:val="000000"/>
                <w:kern w:val="0"/>
                <w:sz w:val="20"/>
                <w:szCs w:val="20"/>
                <w:highlight w:val="none"/>
                <w:lang w:bidi="ar"/>
              </w:rPr>
              <w:t>提供国家认可的第三方检测机构出具的</w:t>
            </w:r>
            <w:r>
              <w:rPr>
                <w:rStyle w:val="5"/>
                <w:rFonts w:hint="eastAsia" w:ascii="Times New Roman" w:hAnsi="Times New Roman" w:eastAsia="宋体" w:cs="Times New Roman"/>
                <w:b/>
                <w:bCs/>
                <w:color w:val="000000"/>
                <w:kern w:val="0"/>
                <w:sz w:val="20"/>
                <w:szCs w:val="20"/>
                <w:highlight w:val="none"/>
                <w:lang w:val="en-US" w:eastAsia="zh-CN" w:bidi="ar"/>
              </w:rPr>
              <w:t>带CNAS和CMA标识</w:t>
            </w:r>
            <w:r>
              <w:rPr>
                <w:rStyle w:val="5"/>
                <w:rFonts w:hint="eastAsia" w:ascii="Times New Roman" w:hAnsi="Times New Roman" w:eastAsia="宋体" w:cs="Times New Roman"/>
                <w:b/>
                <w:bCs/>
                <w:color w:val="000000"/>
                <w:kern w:val="0"/>
                <w:sz w:val="20"/>
                <w:szCs w:val="20"/>
                <w:highlight w:val="none"/>
                <w:lang w:bidi="ar"/>
              </w:rPr>
              <w:t>的</w:t>
            </w:r>
            <w:r>
              <w:rPr>
                <w:rStyle w:val="5"/>
                <w:rFonts w:hint="eastAsia" w:ascii="Times New Roman" w:hAnsi="Times New Roman" w:eastAsia="宋体" w:cs="Times New Roman"/>
                <w:b/>
                <w:bCs/>
                <w:color w:val="000000"/>
                <w:kern w:val="0"/>
                <w:sz w:val="20"/>
                <w:szCs w:val="20"/>
                <w:highlight w:val="none"/>
                <w:lang w:val="en-US" w:eastAsia="zh-CN" w:bidi="ar"/>
              </w:rPr>
              <w:t>的</w:t>
            </w:r>
            <w:r>
              <w:rPr>
                <w:rStyle w:val="5"/>
                <w:rFonts w:ascii="Times New Roman" w:hAnsi="Times New Roman" w:eastAsia="宋体" w:cs="Times New Roman"/>
                <w:b/>
                <w:bCs/>
                <w:color w:val="000000"/>
                <w:kern w:val="0"/>
                <w:sz w:val="20"/>
                <w:szCs w:val="20"/>
                <w:highlight w:val="none"/>
                <w:lang w:bidi="ar"/>
              </w:rPr>
              <w:t>产品功能测试报告复印件</w:t>
            </w:r>
            <w:r>
              <w:rPr>
                <w:rStyle w:val="5"/>
                <w:rFonts w:hint="eastAsia" w:ascii="Times New Roman" w:hAnsi="Times New Roman" w:eastAsia="宋体" w:cs="Times New Roman"/>
                <w:b/>
                <w:bCs/>
                <w:color w:val="000000"/>
                <w:kern w:val="0"/>
                <w:sz w:val="20"/>
                <w:szCs w:val="20"/>
                <w:highlight w:val="none"/>
                <w:lang w:val="en-US" w:eastAsia="zh-CN" w:bidi="ar"/>
              </w:rPr>
              <w:t>并加盖投标人公章</w:t>
            </w:r>
            <w:r>
              <w:rPr>
                <w:rStyle w:val="5"/>
                <w:rFonts w:ascii="Times New Roman" w:hAnsi="Times New Roman" w:eastAsia="宋体" w:cs="Times New Roman"/>
                <w:b/>
                <w:bCs/>
                <w:color w:val="000000"/>
                <w:kern w:val="0"/>
                <w:sz w:val="20"/>
                <w:szCs w:val="20"/>
                <w:highlight w:val="none"/>
                <w:lang w:bidi="ar"/>
              </w:rPr>
              <w:t xml:space="preserve">）   </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6</w:t>
            </w:r>
            <w:r>
              <w:rPr>
                <w:rStyle w:val="5"/>
                <w:rFonts w:ascii="Times New Roman" w:hAnsi="Times New Roman" w:eastAsia="宋体" w:cs="Times New Roman"/>
                <w:color w:val="000000"/>
                <w:kern w:val="0"/>
                <w:sz w:val="20"/>
                <w:szCs w:val="20"/>
                <w:highlight w:val="none"/>
                <w:lang w:bidi="ar"/>
              </w:rPr>
              <w:t>.制作系统模板时支持样机制作方式，可在教室任意选择一台样机，系统和软件安装完成后将样机模板上传到服务器端；同时支持web平台制作方式，无需到教室寻找样机，直接在管理平台上通过虚拟机制作模板然后下发；</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7.</w:t>
            </w:r>
            <w:r>
              <w:rPr>
                <w:rStyle w:val="5"/>
                <w:rFonts w:ascii="Times New Roman" w:hAnsi="Times New Roman" w:eastAsia="宋体" w:cs="Times New Roman"/>
                <w:color w:val="000000"/>
                <w:kern w:val="0"/>
                <w:sz w:val="20"/>
                <w:szCs w:val="20"/>
                <w:highlight w:val="none"/>
                <w:lang w:bidi="ar"/>
              </w:rPr>
              <w:t>系统下发支持分盘下发，可同时下发系统盘和数据盘数据，也可独立分发系统盘数据，满足系统盘更新同时保留数据盘数据的需求；</w:t>
            </w:r>
            <w:r>
              <w:rPr>
                <w:rStyle w:val="5"/>
                <w:rFonts w:ascii="Times New Roman" w:hAnsi="Times New Roman" w:eastAsia="宋体" w:cs="Times New Roman"/>
                <w:b/>
                <w:bCs/>
                <w:color w:val="000000"/>
                <w:kern w:val="0"/>
                <w:sz w:val="20"/>
                <w:szCs w:val="20"/>
                <w:highlight w:val="none"/>
                <w:lang w:bidi="ar"/>
              </w:rPr>
              <w:t>（</w:t>
            </w:r>
            <w:r>
              <w:rPr>
                <w:rStyle w:val="5"/>
                <w:rFonts w:hint="eastAsia" w:ascii="Times New Roman" w:hAnsi="Times New Roman" w:eastAsia="宋体" w:cs="Times New Roman"/>
                <w:b/>
                <w:bCs/>
                <w:color w:val="000000"/>
                <w:kern w:val="0"/>
                <w:sz w:val="20"/>
                <w:szCs w:val="20"/>
                <w:highlight w:val="none"/>
                <w:lang w:bidi="ar"/>
              </w:rPr>
              <w:t>提供国家认可的第三方检测机构出具</w:t>
            </w:r>
            <w:r>
              <w:rPr>
                <w:rStyle w:val="5"/>
                <w:rFonts w:hint="eastAsia" w:ascii="Times New Roman" w:hAnsi="Times New Roman" w:eastAsia="宋体" w:cs="Times New Roman"/>
                <w:b/>
                <w:bCs/>
                <w:color w:val="000000"/>
                <w:kern w:val="0"/>
                <w:sz w:val="20"/>
                <w:szCs w:val="20"/>
                <w:highlight w:val="none"/>
                <w:lang w:val="en-US" w:eastAsia="zh-CN" w:bidi="ar"/>
              </w:rPr>
              <w:t>的带CNAS和CMA标识</w:t>
            </w:r>
            <w:r>
              <w:rPr>
                <w:rStyle w:val="5"/>
                <w:rFonts w:hint="eastAsia" w:ascii="Times New Roman" w:hAnsi="Times New Roman" w:eastAsia="宋体" w:cs="Times New Roman"/>
                <w:b/>
                <w:bCs/>
                <w:color w:val="000000"/>
                <w:kern w:val="0"/>
                <w:sz w:val="20"/>
                <w:szCs w:val="20"/>
                <w:highlight w:val="none"/>
                <w:lang w:bidi="ar"/>
              </w:rPr>
              <w:t>的</w:t>
            </w:r>
            <w:r>
              <w:rPr>
                <w:rStyle w:val="5"/>
                <w:rFonts w:ascii="Times New Roman" w:hAnsi="Times New Roman" w:eastAsia="宋体" w:cs="Times New Roman"/>
                <w:b/>
                <w:bCs/>
                <w:color w:val="000000"/>
                <w:kern w:val="0"/>
                <w:sz w:val="20"/>
                <w:szCs w:val="20"/>
                <w:highlight w:val="none"/>
                <w:lang w:bidi="ar"/>
              </w:rPr>
              <w:t>产品功能测试报告复印件</w:t>
            </w:r>
            <w:r>
              <w:rPr>
                <w:rStyle w:val="5"/>
                <w:rFonts w:hint="eastAsia" w:ascii="Times New Roman" w:hAnsi="Times New Roman" w:eastAsia="宋体" w:cs="Times New Roman"/>
                <w:b/>
                <w:bCs/>
                <w:color w:val="000000"/>
                <w:kern w:val="0"/>
                <w:sz w:val="20"/>
                <w:szCs w:val="20"/>
                <w:highlight w:val="none"/>
                <w:lang w:val="en-US" w:eastAsia="zh-CN" w:bidi="ar"/>
              </w:rPr>
              <w:t>并加盖投标人公章</w:t>
            </w:r>
            <w:r>
              <w:rPr>
                <w:rStyle w:val="5"/>
                <w:rFonts w:ascii="Times New Roman" w:hAnsi="Times New Roman" w:eastAsia="宋体" w:cs="Times New Roman"/>
                <w:b/>
                <w:bCs/>
                <w:color w:val="000000"/>
                <w:kern w:val="0"/>
                <w:sz w:val="20"/>
                <w:szCs w:val="20"/>
                <w:highlight w:val="none"/>
                <w:lang w:bidi="ar"/>
              </w:rPr>
              <w:t xml:space="preserve">）  </w:t>
            </w:r>
            <w:r>
              <w:rPr>
                <w:rStyle w:val="5"/>
                <w:rFonts w:ascii="Times New Roman" w:hAnsi="Times New Roman" w:eastAsia="宋体" w:cs="Times New Roman"/>
                <w:b/>
                <w:bCs/>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8</w:t>
            </w:r>
            <w:r>
              <w:rPr>
                <w:rStyle w:val="5"/>
                <w:rFonts w:ascii="Times New Roman" w:hAnsi="Times New Roman" w:eastAsia="宋体" w:cs="Times New Roman"/>
                <w:color w:val="000000"/>
                <w:kern w:val="0"/>
                <w:sz w:val="20"/>
                <w:szCs w:val="20"/>
                <w:highlight w:val="none"/>
                <w:lang w:bidi="ar"/>
              </w:rPr>
              <w:t xml:space="preserve">.支持软件方式实现跨VLAN环境下的终端网络唤醒，无需第三方硬件设备； </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9</w:t>
            </w:r>
            <w:r>
              <w:rPr>
                <w:rStyle w:val="5"/>
                <w:rFonts w:ascii="Times New Roman" w:hAnsi="Times New Roman" w:eastAsia="宋体" w:cs="Times New Roman"/>
                <w:color w:val="000000"/>
                <w:kern w:val="0"/>
                <w:sz w:val="20"/>
                <w:szCs w:val="20"/>
                <w:highlight w:val="none"/>
                <w:lang w:bidi="ar"/>
              </w:rPr>
              <w:t>.支持在WEB管理平台上直接对服务器SSD硬盘进行性能测试，不依赖第三方测试工具，可获取SSD硬盘16K随机读、顺序写数值，并给出测试评级结果，便于管理员定位系统故障；</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10</w:t>
            </w:r>
            <w:r>
              <w:rPr>
                <w:rStyle w:val="5"/>
                <w:rFonts w:ascii="Times New Roman" w:hAnsi="Times New Roman" w:eastAsia="宋体" w:cs="Times New Roman"/>
                <w:color w:val="000000"/>
                <w:kern w:val="0"/>
                <w:sz w:val="20"/>
                <w:szCs w:val="20"/>
                <w:highlight w:val="none"/>
                <w:lang w:bidi="ar"/>
              </w:rPr>
              <w:t>.为满足计算机学院不同教学环境需求，平台需要支持下发windows和linux系统，并支持Linux系统环境下的桌面还原与IP地址统一分配，在为教室分配桌面时，能够手动选择配置好的windows和linux模板，桌面创建支持自动编排终端的计算机名及编号，能够单独设定桌面系统盘/数据盘的还原属性，支持不还原/每次还原/每周还原/每月还原，支持自动更新桌面</w:t>
            </w:r>
            <w:r>
              <w:rPr>
                <w:rStyle w:val="5"/>
                <w:rFonts w:hint="eastAsia" w:ascii="Times New Roman" w:hAnsi="Times New Roman" w:eastAsia="宋体" w:cs="Times New Roman"/>
                <w:color w:val="000000"/>
                <w:kern w:val="0"/>
                <w:sz w:val="20"/>
                <w:szCs w:val="20"/>
                <w:highlight w:val="none"/>
                <w:lang w:eastAsia="zh-CN" w:bidi="ar"/>
              </w:rPr>
              <w:t>；</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1</w:t>
            </w:r>
            <w:r>
              <w:rPr>
                <w:rStyle w:val="5"/>
                <w:rFonts w:ascii="Times New Roman" w:hAnsi="Times New Roman" w:eastAsia="宋体" w:cs="Times New Roman"/>
                <w:color w:val="000000"/>
                <w:kern w:val="0"/>
                <w:sz w:val="20"/>
                <w:szCs w:val="20"/>
                <w:highlight w:val="none"/>
                <w:lang w:bidi="ar"/>
              </w:rPr>
              <w:t>.支持windows系统下的屏幕水印功能，可设置水印显示位置、字体大小、颜色、透明度，可设置显示内容，包括桌面计算机名，终端序号，桌面IP地址，MAC地址，还原方式等信息，还可自定义显示内容，进入系统后，桌面右上角可置顶显示设置的信息水印，便于管理员维护时快速查找对应的终端；</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2</w:t>
            </w:r>
            <w:r>
              <w:rPr>
                <w:rStyle w:val="5"/>
                <w:rFonts w:ascii="Times New Roman" w:hAnsi="Times New Roman" w:eastAsia="宋体" w:cs="Times New Roman"/>
                <w:color w:val="000000"/>
                <w:kern w:val="0"/>
                <w:sz w:val="20"/>
                <w:szCs w:val="20"/>
                <w:highlight w:val="none"/>
                <w:lang w:bidi="ar"/>
              </w:rPr>
              <w:t>.支持硬件虚拟化功能，开启后针对硬件识别码的软件可实现软件统一注册，大幅度降低激活软件带来的工作量；</w:t>
            </w:r>
            <w:r>
              <w:rPr>
                <w:rStyle w:val="5"/>
                <w:rFonts w:ascii="Times New Roman" w:hAnsi="Times New Roman" w:eastAsia="宋体" w:cs="Times New Roman"/>
                <w:b/>
                <w:bCs/>
                <w:color w:val="000000"/>
                <w:kern w:val="0"/>
                <w:sz w:val="20"/>
                <w:szCs w:val="20"/>
                <w:highlight w:val="none"/>
                <w:lang w:bidi="ar"/>
              </w:rPr>
              <w:t xml:space="preserve"> </w:t>
            </w:r>
            <w:r>
              <w:rPr>
                <w:rStyle w:val="5"/>
                <w:rFonts w:ascii="Times New Roman" w:hAnsi="Times New Roman" w:eastAsia="宋体" w:cs="Times New Roman"/>
                <w:b/>
                <w:bCs/>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3</w:t>
            </w:r>
            <w:r>
              <w:rPr>
                <w:rStyle w:val="5"/>
                <w:rFonts w:ascii="Times New Roman" w:hAnsi="Times New Roman" w:eastAsia="宋体" w:cs="Times New Roman"/>
                <w:color w:val="000000"/>
                <w:kern w:val="0"/>
                <w:sz w:val="20"/>
                <w:szCs w:val="20"/>
                <w:highlight w:val="none"/>
                <w:lang w:bidi="ar"/>
              </w:rPr>
              <w:t>.支持模板</w:t>
            </w:r>
            <w:r>
              <w:rPr>
                <w:rStyle w:val="5"/>
                <w:rFonts w:hint="eastAsia" w:ascii="Times New Roman" w:hAnsi="Times New Roman" w:eastAsia="宋体" w:cs="Times New Roman"/>
                <w:color w:val="000000"/>
                <w:kern w:val="0"/>
                <w:sz w:val="20"/>
                <w:szCs w:val="20"/>
                <w:highlight w:val="none"/>
                <w:lang w:val="en-US" w:eastAsia="zh-CN" w:bidi="ar"/>
              </w:rPr>
              <w:t>改进点</w:t>
            </w:r>
            <w:r>
              <w:rPr>
                <w:rStyle w:val="5"/>
                <w:rFonts w:ascii="Times New Roman" w:hAnsi="Times New Roman" w:eastAsia="宋体" w:cs="Times New Roman"/>
                <w:color w:val="000000"/>
                <w:kern w:val="0"/>
                <w:sz w:val="20"/>
                <w:szCs w:val="20"/>
                <w:highlight w:val="none"/>
                <w:lang w:bidi="ar"/>
              </w:rPr>
              <w:t>管理，可默认保留不少于三个时间点的更新进度，可对</w:t>
            </w:r>
            <w:r>
              <w:rPr>
                <w:rStyle w:val="5"/>
                <w:rFonts w:hint="eastAsia" w:ascii="Times New Roman" w:hAnsi="Times New Roman" w:eastAsia="宋体" w:cs="Times New Roman"/>
                <w:color w:val="000000"/>
                <w:kern w:val="0"/>
                <w:sz w:val="20"/>
                <w:szCs w:val="20"/>
                <w:highlight w:val="none"/>
                <w:lang w:val="en-US" w:eastAsia="zh-CN" w:bidi="ar"/>
              </w:rPr>
              <w:t>改进点</w:t>
            </w:r>
            <w:r>
              <w:rPr>
                <w:rStyle w:val="5"/>
                <w:rFonts w:ascii="Times New Roman" w:hAnsi="Times New Roman" w:eastAsia="宋体" w:cs="Times New Roman"/>
                <w:color w:val="000000"/>
                <w:kern w:val="0"/>
                <w:sz w:val="20"/>
                <w:szCs w:val="20"/>
                <w:highlight w:val="none"/>
                <w:lang w:bidi="ar"/>
              </w:rPr>
              <w:t>进行合并、删除，减少资源占用；</w:t>
            </w:r>
            <w:r>
              <w:rPr>
                <w:rStyle w:val="5"/>
                <w:rFonts w:ascii="Times New Roman" w:hAnsi="Times New Roman" w:eastAsia="宋体" w:cs="Times New Roman"/>
                <w:b/>
                <w:bCs/>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4</w:t>
            </w:r>
            <w:r>
              <w:rPr>
                <w:rStyle w:val="5"/>
                <w:rFonts w:ascii="Times New Roman" w:hAnsi="Times New Roman" w:eastAsia="宋体" w:cs="Times New Roman"/>
                <w:color w:val="000000"/>
                <w:kern w:val="0"/>
                <w:sz w:val="20"/>
                <w:szCs w:val="20"/>
                <w:highlight w:val="none"/>
                <w:lang w:bidi="ar"/>
              </w:rPr>
              <w:t>.支持模板分享链接，管理员可以将编辑模板的链接分享给需要编辑模板的用户，在浏览器中直接输入链接地址即可对模板进行编辑，支持分享日期、分享链接的失效期设置。</w:t>
            </w:r>
            <w:r>
              <w:rPr>
                <w:rStyle w:val="5"/>
                <w:rFonts w:ascii="Times New Roman" w:hAnsi="Times New Roman" w:eastAsia="宋体" w:cs="Times New Roman"/>
                <w:b/>
                <w:bCs/>
                <w:color w:val="000000"/>
                <w:kern w:val="0"/>
                <w:sz w:val="20"/>
                <w:szCs w:val="20"/>
                <w:highlight w:val="none"/>
                <w:lang w:bidi="ar"/>
              </w:rPr>
              <w:t>（</w:t>
            </w:r>
            <w:r>
              <w:rPr>
                <w:rStyle w:val="5"/>
                <w:rFonts w:hint="eastAsia" w:ascii="Times New Roman" w:hAnsi="Times New Roman" w:eastAsia="宋体" w:cs="Times New Roman"/>
                <w:b/>
                <w:bCs/>
                <w:color w:val="000000"/>
                <w:kern w:val="0"/>
                <w:sz w:val="20"/>
                <w:szCs w:val="20"/>
                <w:highlight w:val="none"/>
                <w:lang w:bidi="ar"/>
              </w:rPr>
              <w:t>提供国家认可的第三方检测机构出具的</w:t>
            </w:r>
            <w:r>
              <w:rPr>
                <w:rStyle w:val="5"/>
                <w:rFonts w:hint="eastAsia" w:ascii="Times New Roman" w:hAnsi="Times New Roman" w:eastAsia="宋体" w:cs="Times New Roman"/>
                <w:b/>
                <w:bCs/>
                <w:color w:val="000000"/>
                <w:kern w:val="0"/>
                <w:sz w:val="20"/>
                <w:szCs w:val="20"/>
                <w:highlight w:val="none"/>
                <w:lang w:val="en-US" w:eastAsia="zh-CN" w:bidi="ar"/>
              </w:rPr>
              <w:t>带CNAS和CMA标识的</w:t>
            </w:r>
            <w:r>
              <w:rPr>
                <w:rStyle w:val="5"/>
                <w:rFonts w:ascii="Times New Roman" w:hAnsi="Times New Roman" w:eastAsia="宋体" w:cs="Times New Roman"/>
                <w:b/>
                <w:bCs/>
                <w:color w:val="000000"/>
                <w:kern w:val="0"/>
                <w:sz w:val="20"/>
                <w:szCs w:val="20"/>
                <w:highlight w:val="none"/>
                <w:lang w:bidi="ar"/>
              </w:rPr>
              <w:t>产品功能测试报告复印件</w:t>
            </w:r>
            <w:r>
              <w:rPr>
                <w:rStyle w:val="5"/>
                <w:rFonts w:hint="eastAsia" w:ascii="Times New Roman" w:hAnsi="Times New Roman" w:eastAsia="宋体" w:cs="Times New Roman"/>
                <w:b/>
                <w:bCs/>
                <w:color w:val="000000"/>
                <w:kern w:val="0"/>
                <w:sz w:val="20"/>
                <w:szCs w:val="20"/>
                <w:highlight w:val="none"/>
                <w:lang w:val="en-US" w:eastAsia="zh-CN" w:bidi="ar"/>
              </w:rPr>
              <w:t>并加盖投标人公章</w:t>
            </w:r>
            <w:r>
              <w:rPr>
                <w:rStyle w:val="5"/>
                <w:rFonts w:ascii="Times New Roman" w:hAnsi="Times New Roman" w:eastAsia="宋体" w:cs="Times New Roman"/>
                <w:b/>
                <w:bCs/>
                <w:color w:val="000000"/>
                <w:kern w:val="0"/>
                <w:sz w:val="20"/>
                <w:szCs w:val="20"/>
                <w:highlight w:val="none"/>
                <w:lang w:bidi="ar"/>
              </w:rPr>
              <w:t xml:space="preserve">）   </w:t>
            </w:r>
            <w:r>
              <w:rPr>
                <w:rStyle w:val="5"/>
                <w:rFonts w:ascii="Times New Roman" w:hAnsi="Times New Roman" w:eastAsia="宋体" w:cs="Times New Roman"/>
                <w:b/>
                <w:bCs/>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5</w:t>
            </w:r>
            <w:r>
              <w:rPr>
                <w:rStyle w:val="5"/>
                <w:rFonts w:ascii="Times New Roman" w:hAnsi="Times New Roman" w:eastAsia="宋体" w:cs="Times New Roman"/>
                <w:color w:val="000000"/>
                <w:kern w:val="0"/>
                <w:sz w:val="20"/>
                <w:szCs w:val="20"/>
                <w:highlight w:val="none"/>
                <w:lang w:bidi="ar"/>
              </w:rPr>
              <w:t>.可通过管理平台上传系统镜像、应用及补丁包（上传文件不限格式），并可进行分类管理，便于在web平台进行模板制作和更新时随时调用本地文件；</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6</w:t>
            </w:r>
            <w:r>
              <w:rPr>
                <w:rStyle w:val="5"/>
                <w:rFonts w:ascii="Times New Roman" w:hAnsi="Times New Roman" w:eastAsia="宋体" w:cs="Times New Roman"/>
                <w:color w:val="000000"/>
                <w:kern w:val="0"/>
                <w:sz w:val="20"/>
                <w:szCs w:val="20"/>
                <w:highlight w:val="none"/>
                <w:lang w:bidi="ar"/>
              </w:rPr>
              <w:t>.支持消息发布功能，管理员可直接通过web管理平台给终端发送消息，终端无需进入操作系统，在场景选单页面即可接收消息，消息可在屏幕上方显示。</w:t>
            </w:r>
            <w:r>
              <w:rPr>
                <w:rStyle w:val="5"/>
                <w:rFonts w:ascii="Times New Roman" w:hAnsi="Times New Roman" w:eastAsia="宋体" w:cs="Times New Roman"/>
                <w:b/>
                <w:bCs/>
                <w:color w:val="000000"/>
                <w:kern w:val="0"/>
                <w:sz w:val="20"/>
                <w:szCs w:val="20"/>
                <w:highlight w:val="none"/>
                <w:lang w:bidi="ar"/>
              </w:rPr>
              <w:t xml:space="preserve"> </w:t>
            </w:r>
            <w:r>
              <w:rPr>
                <w:rStyle w:val="5"/>
                <w:rFonts w:ascii="Times New Roman" w:hAnsi="Times New Roman" w:eastAsia="宋体" w:cs="Times New Roman"/>
                <w:b/>
                <w:bCs/>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7</w:t>
            </w:r>
            <w:r>
              <w:rPr>
                <w:rStyle w:val="5"/>
                <w:rFonts w:ascii="Times New Roman" w:hAnsi="Times New Roman" w:eastAsia="宋体" w:cs="Times New Roman"/>
                <w:color w:val="000000"/>
                <w:kern w:val="0"/>
                <w:sz w:val="20"/>
                <w:szCs w:val="20"/>
                <w:highlight w:val="none"/>
                <w:lang w:bidi="ar"/>
              </w:rPr>
              <w:t>.针对终端可设置定时开关机计划，可按周期在固定时间唤醒和关闭对应的教学桌面终端，日期精确到天、时间精确到分钟，并可以指定开机的范围所对应的终端教室；</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8</w:t>
            </w:r>
            <w:r>
              <w:rPr>
                <w:rStyle w:val="5"/>
                <w:rFonts w:ascii="Times New Roman" w:hAnsi="Times New Roman" w:eastAsia="宋体" w:cs="Times New Roman"/>
                <w:color w:val="000000"/>
                <w:kern w:val="0"/>
                <w:sz w:val="20"/>
                <w:szCs w:val="20"/>
                <w:highlight w:val="none"/>
                <w:lang w:bidi="ar"/>
              </w:rPr>
              <w:t>.可针对不同的功能模块和教室范围进行权限角色的划分，可授权管理员能操作的管理平台功能，权限细分到每一个功能菜单操作；可授权管理员可管理的教室范围；</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19</w:t>
            </w:r>
            <w:r>
              <w:rPr>
                <w:rStyle w:val="5"/>
                <w:rFonts w:ascii="Times New Roman" w:hAnsi="Times New Roman" w:eastAsia="宋体" w:cs="Times New Roman"/>
                <w:color w:val="000000"/>
                <w:kern w:val="0"/>
                <w:sz w:val="20"/>
                <w:szCs w:val="20"/>
                <w:highlight w:val="none"/>
                <w:lang w:bidi="ar"/>
              </w:rPr>
              <w:t>.桌面云平台支持教学网盘功能，无需第三方组件，创建桌面账户时可同步生成网盘账号，启用网盘后可通过该账号直接登录网盘，网盘直接网页端和本地客户端两种登录方式，用户在本地同步目录下的文件会自动与云端保持同步，便于数据移动访问和使用；</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20</w:t>
            </w:r>
            <w:r>
              <w:rPr>
                <w:rStyle w:val="5"/>
                <w:rFonts w:ascii="Times New Roman" w:hAnsi="Times New Roman" w:eastAsia="宋体" w:cs="Times New Roman"/>
                <w:color w:val="000000"/>
                <w:kern w:val="0"/>
                <w:sz w:val="20"/>
                <w:szCs w:val="20"/>
                <w:highlight w:val="none"/>
                <w:lang w:bidi="ar"/>
              </w:rPr>
              <w:t>.支持保留最少一周内的桌面下发记录，包括下发的终端名称，桌面名称，起止时间，下发状态等信息，便于后期可追溯；</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w:t>
            </w:r>
            <w:r>
              <w:rPr>
                <w:rStyle w:val="5"/>
                <w:rFonts w:hint="eastAsia" w:ascii="Times New Roman" w:hAnsi="Times New Roman" w:eastAsia="宋体" w:cs="Times New Roman"/>
                <w:color w:val="000000"/>
                <w:kern w:val="0"/>
                <w:sz w:val="20"/>
                <w:szCs w:val="20"/>
                <w:highlight w:val="none"/>
                <w:lang w:val="en-US" w:eastAsia="zh-CN" w:bidi="ar"/>
              </w:rPr>
              <w:t>1</w:t>
            </w:r>
            <w:r>
              <w:rPr>
                <w:rStyle w:val="5"/>
                <w:rFonts w:ascii="Times New Roman" w:hAnsi="Times New Roman" w:eastAsia="宋体" w:cs="Times New Roman"/>
                <w:color w:val="000000"/>
                <w:kern w:val="0"/>
                <w:sz w:val="20"/>
                <w:szCs w:val="20"/>
                <w:highlight w:val="none"/>
                <w:lang w:bidi="ar"/>
              </w:rPr>
              <w:t>.支持usb急救恢复，无需通过管理平台或者样机模式下发桌面，直接在终端插入专用急救u盘，即可快速恢复操作系统，恢复以后仍可被管理平台识别和管理；</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w:t>
            </w:r>
            <w:r>
              <w:rPr>
                <w:rStyle w:val="5"/>
                <w:rFonts w:hint="eastAsia" w:ascii="Times New Roman" w:hAnsi="Times New Roman" w:eastAsia="宋体" w:cs="Times New Roman"/>
                <w:color w:val="000000"/>
                <w:kern w:val="0"/>
                <w:sz w:val="20"/>
                <w:szCs w:val="20"/>
                <w:highlight w:val="none"/>
                <w:lang w:val="en-US" w:eastAsia="zh-CN" w:bidi="ar"/>
              </w:rPr>
              <w:t>2</w:t>
            </w:r>
            <w:r>
              <w:rPr>
                <w:rStyle w:val="5"/>
                <w:rFonts w:ascii="Times New Roman" w:hAnsi="Times New Roman" w:eastAsia="宋体" w:cs="Times New Roman"/>
                <w:color w:val="000000"/>
                <w:kern w:val="0"/>
                <w:sz w:val="20"/>
                <w:szCs w:val="20"/>
                <w:highlight w:val="none"/>
                <w:lang w:bidi="ar"/>
              </w:rPr>
              <w:t>.</w:t>
            </w:r>
            <w:r>
              <w:rPr>
                <w:rStyle w:val="5"/>
                <w:rFonts w:ascii="Times New Roman" w:hAnsi="Times New Roman" w:eastAsia="宋体" w:cs="Times New Roman"/>
                <w:b/>
                <w:bCs/>
                <w:color w:val="000000"/>
                <w:kern w:val="0"/>
                <w:sz w:val="20"/>
                <w:szCs w:val="20"/>
                <w:highlight w:val="none"/>
                <w:lang w:bidi="ar"/>
              </w:rPr>
              <w:t>三年原厂技术服务支持，提供投标人承诺函</w:t>
            </w:r>
            <w:r>
              <w:rPr>
                <w:rStyle w:val="5"/>
                <w:rFonts w:hint="eastAsia" w:ascii="Times New Roman" w:hAnsi="Times New Roman" w:eastAsia="宋体" w:cs="Times New Roman"/>
                <w:b/>
                <w:bCs/>
                <w:color w:val="000000"/>
                <w:kern w:val="0"/>
                <w:sz w:val="20"/>
                <w:szCs w:val="20"/>
                <w:highlight w:val="none"/>
                <w:lang w:bidi="ar"/>
              </w:rPr>
              <w:t>并加盖投标人公章</w:t>
            </w:r>
            <w:r>
              <w:rPr>
                <w:rStyle w:val="5"/>
                <w:rFonts w:hint="eastAsia" w:ascii="Times New Roman" w:hAnsi="Times New Roman" w:eastAsia="宋体" w:cs="Times New Roman"/>
                <w:color w:val="000000"/>
                <w:kern w:val="0"/>
                <w:sz w:val="20"/>
                <w:szCs w:val="20"/>
                <w:highlight w:val="none"/>
                <w:lang w:eastAsia="zh-CN" w:bidi="ar"/>
              </w:rPr>
              <w:t>；</w:t>
            </w:r>
          </w:p>
          <w:p w14:paraId="3AA7A398">
            <w:pPr>
              <w:pStyle w:val="11"/>
              <w:widowControl/>
              <w:numPr>
                <w:ilvl w:val="0"/>
                <w:numId w:val="0"/>
              </w:numPr>
              <w:spacing w:line="300" w:lineRule="exact"/>
              <w:jc w:val="left"/>
              <w:textAlignment w:val="center"/>
              <w:rPr>
                <w:rStyle w:val="5"/>
                <w:rFonts w:hint="default" w:ascii="Times New Roman" w:hAnsi="Times New Roman" w:eastAsia="宋体" w:cs="Times New Roman"/>
                <w:color w:val="000000"/>
                <w:kern w:val="0"/>
                <w:sz w:val="20"/>
                <w:szCs w:val="20"/>
                <w:highlight w:val="none"/>
                <w:lang w:val="en-US" w:eastAsia="zh-CN" w:bidi="ar"/>
              </w:rPr>
            </w:pPr>
            <w:r>
              <w:rPr>
                <w:rStyle w:val="5"/>
                <w:rFonts w:hint="eastAsia" w:ascii="Times New Roman" w:hAnsi="Times New Roman" w:eastAsia="宋体" w:cs="Times New Roman"/>
                <w:color w:val="000000"/>
                <w:kern w:val="0"/>
                <w:sz w:val="20"/>
                <w:szCs w:val="20"/>
                <w:highlight w:val="none"/>
                <w:lang w:val="en-US" w:eastAsia="zh-CN" w:bidi="ar"/>
              </w:rPr>
              <w:t>23.单个终端可以部署多个操作系统，支持在管理平台上设置终端数据盘，可以任意选定可使用共享盘的操作系统数量，可以设置终端数据盘的的空间大小，并能设定清除策略，包含不清除/每周清除/每月清除；</w:t>
            </w:r>
          </w:p>
          <w:p w14:paraId="6424C92C">
            <w:pPr>
              <w:pStyle w:val="11"/>
              <w:widowControl/>
              <w:spacing w:line="300" w:lineRule="exact"/>
              <w:jc w:val="left"/>
              <w:textAlignment w:val="center"/>
              <w:rPr>
                <w:rStyle w:val="5"/>
                <w:rFonts w:hint="default" w:ascii="Times New Roman" w:hAnsi="Times New Roman" w:eastAsia="宋体" w:cs="Times New Roman"/>
                <w:color w:val="000000"/>
                <w:kern w:val="0"/>
                <w:sz w:val="20"/>
                <w:szCs w:val="20"/>
                <w:highlight w:val="none"/>
                <w:lang w:val="en-US" w:eastAsia="zh-CN" w:bidi="ar"/>
              </w:rPr>
            </w:pPr>
            <w:r>
              <w:rPr>
                <w:rStyle w:val="5"/>
                <w:rFonts w:hint="eastAsia" w:ascii="Times New Roman" w:hAnsi="Times New Roman" w:eastAsia="宋体" w:cs="Times New Roman"/>
                <w:b/>
                <w:bCs/>
                <w:color w:val="000000"/>
                <w:kern w:val="0"/>
                <w:sz w:val="20"/>
                <w:szCs w:val="20"/>
                <w:highlight w:val="none"/>
                <w:lang w:val="en-US" w:eastAsia="zh-CN" w:bidi="ar"/>
              </w:rPr>
              <w:t>24.</w:t>
            </w:r>
            <w:r>
              <w:rPr>
                <w:rStyle w:val="5"/>
                <w:rFonts w:hint="eastAsia" w:ascii="宋体" w:hAnsi="宋体" w:eastAsia="宋体" w:cs="宋体"/>
                <w:b/>
                <w:bCs/>
                <w:i w:val="0"/>
                <w:iCs w:val="0"/>
                <w:color w:val="000000"/>
                <w:kern w:val="0"/>
                <w:sz w:val="21"/>
                <w:szCs w:val="21"/>
                <w:highlight w:val="none"/>
                <w:u w:val="none"/>
                <w:lang w:val="en-US" w:eastAsia="zh-CN" w:bidi="ar"/>
              </w:rPr>
              <w:t>为保障用户方权益，中标公示7个工作日内中标人需自带设备到用户指定地点对投标文件已提供的功能参数进行逐条演示，否则当虚假响应处理，提供中标后功能演示承诺函并加盖投标人公章。</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679148A">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4FD70C21">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点</w:t>
            </w: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05268551">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285</w:t>
            </w:r>
          </w:p>
        </w:tc>
        <w:tc>
          <w:tcPr>
            <w:tcW w:w="409" w:type="dxa"/>
            <w:tcBorders>
              <w:top w:val="single" w:color="000000" w:sz="4" w:space="0"/>
              <w:left w:val="single" w:color="000000" w:sz="4" w:space="0"/>
              <w:bottom w:val="single" w:color="000000" w:sz="4" w:space="0"/>
              <w:right w:val="single" w:color="000000" w:sz="4" w:space="0"/>
            </w:tcBorders>
            <w:noWrap w:val="0"/>
            <w:vAlign w:val="center"/>
          </w:tcPr>
          <w:p w14:paraId="3A099A65">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r>
      <w:tr w14:paraId="61312E3F">
        <w:tblPrEx>
          <w:tblCellMar>
            <w:top w:w="0" w:type="dxa"/>
            <w:left w:w="108" w:type="dxa"/>
            <w:bottom w:w="0" w:type="dxa"/>
            <w:right w:w="108" w:type="dxa"/>
          </w:tblCellMar>
        </w:tblPrEx>
        <w:trPr>
          <w:trHeight w:val="5235" w:hRule="atLeast"/>
          <w:jc w:val="center"/>
        </w:trPr>
        <w:tc>
          <w:tcPr>
            <w:tcW w:w="409" w:type="dxa"/>
            <w:tcBorders>
              <w:top w:val="single" w:color="000000" w:sz="4" w:space="0"/>
              <w:left w:val="single" w:color="000000" w:sz="4" w:space="0"/>
              <w:bottom w:val="single" w:color="000000" w:sz="4" w:space="0"/>
              <w:right w:val="single" w:color="000000" w:sz="4" w:space="0"/>
            </w:tcBorders>
            <w:noWrap w:val="0"/>
            <w:vAlign w:val="center"/>
          </w:tcPr>
          <w:p w14:paraId="70F2CBFB">
            <w:pPr>
              <w:pStyle w:val="11"/>
              <w:widowControl/>
              <w:numPr>
                <w:ilvl w:val="0"/>
                <w:numId w:val="1"/>
              </w:numPr>
              <w:spacing w:line="300" w:lineRule="exact"/>
              <w:jc w:val="center"/>
              <w:textAlignment w:val="center"/>
              <w:rPr>
                <w:rStyle w:val="5"/>
                <w:rFonts w:ascii="Times New Roman" w:hAnsi="Times New Roman" w:eastAsia="宋体" w:cs="Times New Roman"/>
                <w:color w:val="000000"/>
                <w:sz w:val="20"/>
                <w:szCs w:val="20"/>
                <w:highlight w:val="none"/>
              </w:rPr>
            </w:pPr>
          </w:p>
        </w:tc>
        <w:tc>
          <w:tcPr>
            <w:tcW w:w="10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FC4C9A">
            <w:pPr>
              <w:pStyle w:val="11"/>
              <w:widowControl/>
              <w:spacing w:line="300" w:lineRule="exact"/>
              <w:jc w:val="center"/>
              <w:rPr>
                <w:rStyle w:val="5"/>
                <w:rFonts w:ascii="Times New Roman" w:hAnsi="Times New Roman" w:eastAsia="宋体" w:cs="Times New Roman"/>
                <w:color w:val="000000"/>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12D77145">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多媒体教学管理软件</w:t>
            </w:r>
          </w:p>
        </w:tc>
        <w:tc>
          <w:tcPr>
            <w:tcW w:w="5504" w:type="dxa"/>
            <w:tcBorders>
              <w:top w:val="single" w:color="000000" w:sz="4" w:space="0"/>
              <w:left w:val="single" w:color="000000" w:sz="4" w:space="0"/>
              <w:bottom w:val="single" w:color="000000" w:sz="4" w:space="0"/>
              <w:right w:val="single" w:color="000000" w:sz="4" w:space="0"/>
            </w:tcBorders>
            <w:noWrap w:val="0"/>
            <w:vAlign w:val="center"/>
          </w:tcPr>
          <w:p w14:paraId="6A8BD640">
            <w:pPr>
              <w:pStyle w:val="11"/>
              <w:widowControl/>
              <w:numPr>
                <w:ilvl w:val="0"/>
                <w:numId w:val="0"/>
              </w:numPr>
              <w:spacing w:line="300" w:lineRule="exact"/>
              <w:jc w:val="left"/>
              <w:textAlignment w:val="center"/>
              <w:rPr>
                <w:rStyle w:val="5"/>
                <w:rFonts w:ascii="Times New Roman" w:hAnsi="Times New Roman" w:eastAsia="宋体" w:cs="Times New Roman"/>
                <w:color w:val="000000"/>
                <w:kern w:val="0"/>
                <w:sz w:val="20"/>
                <w:szCs w:val="20"/>
                <w:highlight w:val="none"/>
                <w:lang w:bidi="ar"/>
              </w:rPr>
            </w:pPr>
            <w:r>
              <w:rPr>
                <w:rStyle w:val="5"/>
                <w:rFonts w:ascii="Times New Roman" w:hAnsi="Times New Roman" w:eastAsia="宋体" w:cs="Times New Roman"/>
                <w:color w:val="000000"/>
                <w:kern w:val="0"/>
                <w:sz w:val="20"/>
                <w:szCs w:val="20"/>
                <w:highlight w:val="none"/>
                <w:lang w:val="en-US" w:eastAsia="zh-CN" w:bidi="ar"/>
              </w:rPr>
              <w:t>1.</w:t>
            </w:r>
            <w:r>
              <w:rPr>
                <w:rStyle w:val="5"/>
                <w:rFonts w:ascii="Times New Roman" w:hAnsi="Times New Roman" w:eastAsia="宋体" w:cs="Times New Roman"/>
                <w:color w:val="000000"/>
                <w:kern w:val="0"/>
                <w:sz w:val="20"/>
                <w:szCs w:val="20"/>
                <w:highlight w:val="none"/>
                <w:lang w:bidi="ar"/>
              </w:rPr>
              <w:t>支持IPV4、IPV6网络环境下安装和正常使用，支持windows 7 32位/64位，windows10 64位、windows11 64位操作系统；</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2.支持屏幕广播功能，能够实现两种接收模式，包括学生全屏/窗口模式接收教师机广播的画面，全屏状态锁定学生鼠标和键盘；</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3.屏幕广播支持区域广播方式，教师端可选取一块区域广播给学生机；</w:t>
            </w:r>
            <w:r>
              <w:rPr>
                <w:rStyle w:val="5"/>
                <w:rFonts w:ascii="Times New Roman" w:hAnsi="Times New Roman" w:eastAsia="宋体" w:cs="Times New Roman"/>
                <w:b/>
                <w:bCs/>
                <w:color w:val="000000"/>
                <w:kern w:val="0"/>
                <w:sz w:val="20"/>
                <w:szCs w:val="20"/>
                <w:highlight w:val="none"/>
                <w:lang w:bidi="ar"/>
              </w:rPr>
              <w:t xml:space="preserve"> </w:t>
            </w:r>
            <w:r>
              <w:rPr>
                <w:rStyle w:val="5"/>
                <w:rFonts w:ascii="Times New Roman" w:hAnsi="Times New Roman" w:eastAsia="宋体" w:cs="Times New Roman"/>
                <w:color w:val="000000"/>
                <w:kern w:val="0"/>
                <w:sz w:val="20"/>
                <w:szCs w:val="20"/>
                <w:highlight w:val="none"/>
                <w:lang w:bidi="ar"/>
              </w:rPr>
              <w:t xml:space="preserve">  </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4.屏幕广播支持弹幕，教师机开启弹幕后，教师机和学生机可发送弹幕信息，便于及时交流、增强教学互动性；支持笔记截屏，教师机开启笔记截屏后，全屏广播时学生机可一键截取屏幕，保存上课重点信息；</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5.支持影音广播，即使在终端未进入桌面的状态，也能够实现全体学生的影音广播，影音广播下支持视频的切换、暂停，并支持点击进度条任意地方以改变视频播放进度；</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6.在屏幕广播之后连接上来的终端可直接接收屏幕广播内容，用户终端关闭虚拟桌面仍可同步广播教师机屏幕和视频，不会中断教学；</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7.教师可选定一个学生操作本机或操作教师机进行教学演示，并将该学生演示的画面广播给每一个学生；被广播的学生将全屏/窗口接收演示学生的画面，全屏状态键盘和鼠标被锁定；</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8.教师机可以连续监看所选学生机屏幕，每屏可监视多个学生,可设置每屏学生机的数量以及学生机屏幕轮循的时间间隔；</w:t>
            </w:r>
            <w:r>
              <w:rPr>
                <w:rStyle w:val="5"/>
                <w:rFonts w:ascii="Times New Roman" w:hAnsi="Times New Roman" w:eastAsia="宋体" w:cs="Times New Roman"/>
                <w:b/>
                <w:bCs/>
                <w:color w:val="000000"/>
                <w:kern w:val="0"/>
                <w:sz w:val="20"/>
                <w:szCs w:val="20"/>
                <w:highlight w:val="none"/>
                <w:lang w:bidi="ar"/>
              </w:rPr>
              <w:t xml:space="preserve"> </w:t>
            </w:r>
            <w:r>
              <w:rPr>
                <w:rStyle w:val="5"/>
                <w:rFonts w:ascii="Times New Roman" w:hAnsi="Times New Roman" w:eastAsia="宋体" w:cs="Times New Roman"/>
                <w:color w:val="000000"/>
                <w:kern w:val="0"/>
                <w:sz w:val="20"/>
                <w:szCs w:val="20"/>
                <w:highlight w:val="none"/>
                <w:lang w:bidi="ar"/>
              </w:rPr>
              <w:t xml:space="preserve"> </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9.上课过程中，老师可对学生</w:t>
            </w:r>
            <w:r>
              <w:rPr>
                <w:rStyle w:val="5"/>
                <w:rFonts w:hint="eastAsia" w:ascii="Times New Roman" w:hAnsi="Times New Roman" w:eastAsia="宋体" w:cs="Times New Roman"/>
                <w:color w:val="000000"/>
                <w:kern w:val="0"/>
                <w:sz w:val="20"/>
                <w:szCs w:val="20"/>
                <w:highlight w:val="none"/>
                <w:lang w:val="en-US" w:eastAsia="zh-CN" w:bidi="ar"/>
              </w:rPr>
              <w:t>进行</w:t>
            </w:r>
            <w:r>
              <w:rPr>
                <w:rStyle w:val="5"/>
                <w:rFonts w:ascii="Times New Roman" w:hAnsi="Times New Roman" w:eastAsia="宋体" w:cs="Times New Roman"/>
                <w:color w:val="000000"/>
                <w:kern w:val="0"/>
                <w:sz w:val="20"/>
                <w:szCs w:val="20"/>
                <w:highlight w:val="none"/>
                <w:lang w:bidi="ar"/>
              </w:rPr>
              <w:t>奖励，教师机可显示奖励排行榜，显示每个学生的奖励</w:t>
            </w:r>
            <w:r>
              <w:rPr>
                <w:rStyle w:val="5"/>
                <w:rFonts w:hint="eastAsia" w:ascii="Times New Roman" w:hAnsi="Times New Roman" w:eastAsia="宋体" w:cs="Times New Roman"/>
                <w:color w:val="000000"/>
                <w:kern w:val="0"/>
                <w:sz w:val="20"/>
                <w:szCs w:val="20"/>
                <w:highlight w:val="none"/>
                <w:lang w:val="en-US" w:eastAsia="zh-CN" w:bidi="ar"/>
              </w:rPr>
              <w:t>次数</w:t>
            </w:r>
            <w:r>
              <w:rPr>
                <w:rStyle w:val="5"/>
                <w:rFonts w:ascii="Times New Roman" w:hAnsi="Times New Roman" w:eastAsia="宋体" w:cs="Times New Roman"/>
                <w:color w:val="000000"/>
                <w:kern w:val="0"/>
                <w:sz w:val="20"/>
                <w:szCs w:val="20"/>
                <w:highlight w:val="none"/>
                <w:lang w:bidi="ar"/>
              </w:rPr>
              <w:t>，并可向学生发布奖励排行榜；</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10.教师可对学生进行电子点名，可以自定义院系、专业、班级等单位类别，可导入导出学生信息，可设置迟到时间，可显示签到人数；</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11.支持作业下发，教师机可将自己机器上的文件传输到学生机，支持一对多传输，当选中多台学生机执行下发文件时，教师端需选择其中一台学生机作为样本机，并选择存放路径，支持发送文件或文件夹；</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12.支持收取作业，教师可发起作业提交，学生提交作业后自动收取，默认将收取上来的作业存放在桌面，该路径可自定义更换；作业命名方式支持学生自定义和教师自定义，教师自定义命名支持加入学生姓名、学号、学生机器名或学生机IP地址中的一种方式；</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13.支持远程命令（包括一键关闭应用程序，一键关闭学生打开的Windows类窗口）、远程开机，远程关机等功能；</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14.支持电子白板功能，可用电子白版进行绘制演示，并可共享到学生机，支持教师和学生协作共同通过电子白版进行知识总结、画面制作等；</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15.支持黑屏肃静，教师可对学生执行黑屏肃静操作，能够自定义黑屏肃静的提示信息，支持手动解锁、按时解锁、按时长解锁；</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 xml:space="preserve">16.提供行为管控模块，支持程序黑白名单限制，支持禁用外网，禁用USB设备，教师端主界面可展示USB设备、程序、网络禁用状态； </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 xml:space="preserve">17.支持对学生的网络搜索进行关键字屏蔽，教师机设置限制搜索的关键词后，学生机通过浏览器搜索禁用的关键词，会自动弹出提示信息，或直接关闭学生机浏览器； </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18.支持考试功能，包括试题编辑、下发试卷、考试监控、成绩统计。可添加单选题、多选题、判断题、填空题、问答题；可设置考试时长，倒计时结束后自动结束考试。阅卷时，单选题、多选题、判断题支持自动评分和统计正确率。</w:t>
            </w:r>
          </w:p>
          <w:p w14:paraId="71769CAF">
            <w:pPr>
              <w:pStyle w:val="11"/>
              <w:widowControl/>
              <w:spacing w:line="300" w:lineRule="exact"/>
              <w:jc w:val="left"/>
              <w:textAlignment w:val="center"/>
              <w:rPr>
                <w:rStyle w:val="5"/>
                <w:rFonts w:ascii="Times New Roman" w:hAnsi="Times New Roman" w:eastAsia="宋体" w:cs="Times New Roman"/>
                <w:color w:val="000000"/>
                <w:kern w:val="0"/>
                <w:sz w:val="20"/>
                <w:szCs w:val="20"/>
                <w:highlight w:val="none"/>
                <w:lang w:bidi="ar"/>
              </w:rPr>
            </w:pPr>
            <w:r>
              <w:rPr>
                <w:rStyle w:val="5"/>
                <w:rFonts w:ascii="Times New Roman" w:hAnsi="Times New Roman" w:eastAsia="宋体" w:cs="Times New Roman"/>
                <w:color w:val="000000"/>
                <w:kern w:val="0"/>
                <w:sz w:val="20"/>
                <w:szCs w:val="20"/>
                <w:highlight w:val="none"/>
                <w:lang w:bidi="ar"/>
              </w:rPr>
              <w:t>19.提供试题编制小工具，可下载小工具到教师自己的机器上，便于随时进行试卷编辑，编辑好的试卷可直接在教师机界面导入和下发；</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20.支持与桌面云软件融合打通，通过教学软件实现操作系统一键切换，可关闭桌面云服务器和学生机；</w:t>
            </w:r>
          </w:p>
          <w:p w14:paraId="14CDA9C7">
            <w:pPr>
              <w:pStyle w:val="11"/>
              <w:widowControl/>
              <w:spacing w:line="300" w:lineRule="exact"/>
              <w:jc w:val="left"/>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21.为保障功能的完整性与兼容性，要求与桌面云软件同一品牌</w:t>
            </w:r>
            <w:r>
              <w:rPr>
                <w:rStyle w:val="5"/>
                <w:rFonts w:hint="eastAsia" w:ascii="Times New Roman" w:hAnsi="Times New Roman" w:eastAsia="宋体" w:cs="Times New Roman"/>
                <w:highlight w:val="none"/>
                <w:lang w:eastAsia="zh-CN"/>
              </w:rPr>
              <w:t>（</w:t>
            </w:r>
            <w:r>
              <w:rPr>
                <w:rStyle w:val="5"/>
                <w:rFonts w:ascii="Times New Roman" w:hAnsi="Times New Roman" w:eastAsia="宋体" w:cs="Times New Roman"/>
                <w:b/>
                <w:bCs/>
                <w:color w:val="000000"/>
                <w:kern w:val="0"/>
                <w:sz w:val="20"/>
                <w:szCs w:val="20"/>
                <w:highlight w:val="none"/>
                <w:lang w:bidi="ar"/>
              </w:rPr>
              <w:t>提供同一品牌承诺函</w:t>
            </w:r>
            <w:r>
              <w:rPr>
                <w:rStyle w:val="5"/>
                <w:rFonts w:hint="eastAsia" w:ascii="Times New Roman" w:hAnsi="Times New Roman" w:eastAsia="宋体" w:cs="Times New Roman"/>
                <w:b/>
                <w:bCs/>
                <w:color w:val="000000"/>
                <w:kern w:val="0"/>
                <w:sz w:val="20"/>
                <w:szCs w:val="20"/>
                <w:highlight w:val="none"/>
                <w:lang w:bidi="ar"/>
              </w:rPr>
              <w:t>并加盖投标人公章</w:t>
            </w:r>
            <w:r>
              <w:rPr>
                <w:rStyle w:val="5"/>
                <w:rFonts w:hint="eastAsia" w:ascii="Times New Roman" w:hAnsi="Times New Roman" w:eastAsia="宋体" w:cs="Times New Roman"/>
                <w:highlight w:val="none"/>
                <w:lang w:eastAsia="zh-CN"/>
              </w:rPr>
              <w:t>）</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EF8B560">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30E49142">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套</w:t>
            </w: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4356E1D2">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5</w:t>
            </w:r>
          </w:p>
        </w:tc>
        <w:tc>
          <w:tcPr>
            <w:tcW w:w="409" w:type="dxa"/>
            <w:tcBorders>
              <w:top w:val="single" w:color="000000" w:sz="4" w:space="0"/>
              <w:left w:val="single" w:color="000000" w:sz="4" w:space="0"/>
              <w:bottom w:val="single" w:color="000000" w:sz="4" w:space="0"/>
              <w:right w:val="single" w:color="000000" w:sz="4" w:space="0"/>
            </w:tcBorders>
            <w:noWrap w:val="0"/>
            <w:vAlign w:val="center"/>
          </w:tcPr>
          <w:p w14:paraId="6EB89A25">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r>
      <w:tr w14:paraId="799D4A3D">
        <w:tblPrEx>
          <w:tblCellMar>
            <w:top w:w="0" w:type="dxa"/>
            <w:left w:w="108" w:type="dxa"/>
            <w:bottom w:w="0" w:type="dxa"/>
            <w:right w:w="108" w:type="dxa"/>
          </w:tblCellMar>
        </w:tblPrEx>
        <w:trPr>
          <w:trHeight w:val="8390" w:hRule="atLeast"/>
          <w:jc w:val="center"/>
        </w:trPr>
        <w:tc>
          <w:tcPr>
            <w:tcW w:w="409" w:type="dxa"/>
            <w:tcBorders>
              <w:top w:val="single" w:color="000000" w:sz="4" w:space="0"/>
              <w:left w:val="single" w:color="000000" w:sz="4" w:space="0"/>
              <w:bottom w:val="single" w:color="000000" w:sz="4" w:space="0"/>
              <w:right w:val="single" w:color="000000" w:sz="4" w:space="0"/>
            </w:tcBorders>
            <w:noWrap w:val="0"/>
            <w:vAlign w:val="center"/>
          </w:tcPr>
          <w:p w14:paraId="51D73FA4">
            <w:pPr>
              <w:pStyle w:val="11"/>
              <w:widowControl/>
              <w:numPr>
                <w:ilvl w:val="0"/>
                <w:numId w:val="1"/>
              </w:numPr>
              <w:spacing w:line="300" w:lineRule="exact"/>
              <w:jc w:val="center"/>
              <w:textAlignment w:val="center"/>
              <w:rPr>
                <w:rStyle w:val="5"/>
                <w:rFonts w:ascii="Times New Roman" w:hAnsi="Times New Roman" w:eastAsia="宋体" w:cs="Times New Roman"/>
                <w:color w:val="000000"/>
                <w:sz w:val="20"/>
                <w:szCs w:val="20"/>
                <w:highlight w:val="none"/>
              </w:rPr>
            </w:pPr>
          </w:p>
        </w:tc>
        <w:tc>
          <w:tcPr>
            <w:tcW w:w="10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AADBEC">
            <w:pPr>
              <w:pStyle w:val="11"/>
              <w:widowControl/>
              <w:spacing w:line="300" w:lineRule="exact"/>
              <w:jc w:val="center"/>
              <w:rPr>
                <w:rStyle w:val="5"/>
                <w:rFonts w:ascii="Times New Roman" w:hAnsi="Times New Roman" w:eastAsia="宋体" w:cs="Times New Roman"/>
                <w:color w:val="000000"/>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1DFAC653">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云桌面服务端</w:t>
            </w:r>
          </w:p>
        </w:tc>
        <w:tc>
          <w:tcPr>
            <w:tcW w:w="5504" w:type="dxa"/>
            <w:tcBorders>
              <w:top w:val="single" w:color="000000" w:sz="4" w:space="0"/>
              <w:left w:val="single" w:color="000000" w:sz="4" w:space="0"/>
              <w:bottom w:val="single" w:color="000000" w:sz="4" w:space="0"/>
              <w:right w:val="single" w:color="000000" w:sz="4" w:space="0"/>
            </w:tcBorders>
            <w:noWrap w:val="0"/>
            <w:vAlign w:val="center"/>
          </w:tcPr>
          <w:p w14:paraId="0553EEDD">
            <w:pPr>
              <w:pStyle w:val="11"/>
              <w:widowControl/>
              <w:numPr>
                <w:ilvl w:val="0"/>
                <w:numId w:val="0"/>
              </w:numPr>
              <w:spacing w:line="300" w:lineRule="exact"/>
              <w:jc w:val="left"/>
              <w:textAlignment w:val="center"/>
              <w:rPr>
                <w:rStyle w:val="5"/>
                <w:rFonts w:ascii="Times New Roman" w:hAnsi="Times New Roman" w:eastAsia="宋体" w:cs="Times New Roman"/>
                <w:b/>
                <w:bCs/>
                <w:color w:val="000000"/>
                <w:kern w:val="0"/>
                <w:sz w:val="20"/>
                <w:szCs w:val="20"/>
                <w:highlight w:val="none"/>
                <w:lang w:bidi="ar"/>
              </w:rPr>
            </w:pPr>
            <w:r>
              <w:rPr>
                <w:rStyle w:val="5"/>
                <w:rFonts w:ascii="Times New Roman" w:hAnsi="Times New Roman" w:eastAsia="宋体" w:cs="Times New Roman"/>
                <w:b w:val="0"/>
                <w:bCs w:val="0"/>
                <w:color w:val="000000"/>
                <w:kern w:val="0"/>
                <w:sz w:val="20"/>
                <w:szCs w:val="20"/>
                <w:highlight w:val="none"/>
                <w:lang w:val="en-US" w:eastAsia="zh-CN" w:bidi="ar"/>
              </w:rPr>
              <w:t>1.</w:t>
            </w:r>
            <w:r>
              <w:rPr>
                <w:rStyle w:val="5"/>
                <w:rFonts w:ascii="Times New Roman" w:hAnsi="Times New Roman" w:eastAsia="宋体" w:cs="Times New Roman"/>
                <w:b w:val="0"/>
                <w:bCs w:val="0"/>
                <w:color w:val="000000"/>
                <w:kern w:val="0"/>
                <w:sz w:val="20"/>
                <w:szCs w:val="20"/>
                <w:highlight w:val="none"/>
                <w:lang w:bidi="ar"/>
              </w:rPr>
              <w:t>C</w:t>
            </w:r>
            <w:r>
              <w:rPr>
                <w:rStyle w:val="5"/>
                <w:rFonts w:ascii="Times New Roman" w:hAnsi="Times New Roman" w:eastAsia="宋体" w:cs="Times New Roman"/>
                <w:color w:val="000000"/>
                <w:kern w:val="0"/>
                <w:sz w:val="20"/>
                <w:szCs w:val="20"/>
                <w:highlight w:val="none"/>
                <w:lang w:bidi="ar"/>
              </w:rPr>
              <w:t>PU：1颗</w:t>
            </w:r>
            <w:r>
              <w:rPr>
                <w:rStyle w:val="5"/>
                <w:rFonts w:hint="eastAsia" w:ascii="Times New Roman" w:hAnsi="Times New Roman" w:eastAsia="宋体" w:cs="Times New Roman"/>
                <w:color w:val="000000"/>
                <w:kern w:val="0"/>
                <w:sz w:val="20"/>
                <w:szCs w:val="20"/>
                <w:highlight w:val="none"/>
                <w:lang w:bidi="ar"/>
              </w:rPr>
              <w:t>不低于</w:t>
            </w:r>
            <w:r>
              <w:rPr>
                <w:rStyle w:val="5"/>
                <w:rFonts w:ascii="Times New Roman" w:hAnsi="Times New Roman" w:eastAsia="宋体" w:cs="Times New Roman"/>
                <w:color w:val="000000"/>
                <w:kern w:val="0"/>
                <w:sz w:val="20"/>
                <w:szCs w:val="20"/>
                <w:highlight w:val="none"/>
                <w:lang w:bidi="ar"/>
              </w:rPr>
              <w:t xml:space="preserve">Intel Xeon </w:t>
            </w:r>
            <w:r>
              <w:rPr>
                <w:rStyle w:val="5"/>
                <w:rFonts w:hint="eastAsia" w:ascii="Times New Roman" w:hAnsi="Times New Roman" w:eastAsia="宋体" w:cs="Times New Roman"/>
                <w:color w:val="000000"/>
                <w:kern w:val="0"/>
                <w:sz w:val="20"/>
                <w:szCs w:val="20"/>
                <w:highlight w:val="none"/>
                <w:lang w:val="en-US" w:eastAsia="zh-CN" w:bidi="ar"/>
              </w:rPr>
              <w:t>10核20线程</w:t>
            </w:r>
            <w:r>
              <w:rPr>
                <w:rStyle w:val="5"/>
                <w:rFonts w:ascii="Times New Roman" w:hAnsi="Times New Roman" w:eastAsia="宋体" w:cs="Times New Roman"/>
                <w:color w:val="000000"/>
                <w:kern w:val="0"/>
                <w:sz w:val="20"/>
                <w:szCs w:val="20"/>
                <w:highlight w:val="none"/>
                <w:lang w:bidi="ar"/>
              </w:rPr>
              <w:t>处理器</w:t>
            </w:r>
            <w:r>
              <w:rPr>
                <w:rStyle w:val="5"/>
                <w:rFonts w:hint="eastAsia" w:ascii="Times New Roman" w:hAnsi="Times New Roman" w:eastAsia="宋体" w:cs="Times New Roman"/>
                <w:color w:val="000000"/>
                <w:kern w:val="0"/>
                <w:sz w:val="20"/>
                <w:szCs w:val="20"/>
                <w:highlight w:val="none"/>
                <w:lang w:eastAsia="zh-CN" w:bidi="ar"/>
              </w:rPr>
              <w:t>，</w:t>
            </w:r>
            <w:r>
              <w:rPr>
                <w:rStyle w:val="5"/>
                <w:rFonts w:hint="eastAsia" w:ascii="Times New Roman" w:hAnsi="Times New Roman" w:eastAsia="宋体" w:cs="Times New Roman"/>
                <w:color w:val="000000"/>
                <w:kern w:val="0"/>
                <w:sz w:val="20"/>
                <w:szCs w:val="20"/>
                <w:highlight w:val="none"/>
                <w:lang w:val="en-US" w:eastAsia="zh-CN" w:bidi="ar"/>
              </w:rPr>
              <w:t>主频不低于2.4GHz</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2.内存：≥64GB DDR4</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3.硬盘：≥8T SATA + 3.84TB SATA SSD，支持8个热插拔3.5”或2.5”SATA/SAS数据盘</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4.网卡：2*1000M，2*万兆光口（含万兆多模模块），集成1个1000Base-T管理网口</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5.电源：服务器专用电源</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6.支持控制服务器HA，配置两台控制服务器时采用主备模式，当主控服务器故障，备控服务器自动完成接管，执行HA切换前后，所有终端连接服务器的网络配置无需更改，HA触发的敏感时间可精细化到秒并可配置；</w:t>
            </w:r>
            <w:r>
              <w:rPr>
                <w:rStyle w:val="5"/>
                <w:rFonts w:hint="eastAsia" w:ascii="Times New Roman" w:hAnsi="Times New Roman" w:eastAsia="宋体" w:cs="Times New Roman"/>
                <w:b/>
                <w:bCs/>
                <w:color w:val="auto"/>
                <w:kern w:val="0"/>
                <w:sz w:val="20"/>
                <w:szCs w:val="20"/>
                <w:highlight w:val="none"/>
                <w:lang w:val="en-US" w:eastAsia="zh-CN" w:bidi="ar"/>
              </w:rPr>
              <w:t>（支持实验室现有的服务器）</w:t>
            </w:r>
            <w:r>
              <w:rPr>
                <w:rStyle w:val="5"/>
                <w:rFonts w:ascii="Times New Roman" w:hAnsi="Times New Roman" w:eastAsia="宋体" w:cs="Times New Roman"/>
                <w:b/>
                <w:bCs/>
                <w:color w:val="000000"/>
                <w:kern w:val="0"/>
                <w:sz w:val="20"/>
                <w:szCs w:val="20"/>
                <w:highlight w:val="none"/>
                <w:lang w:bidi="ar"/>
              </w:rPr>
              <w:t>（提供功能截图</w:t>
            </w:r>
            <w:r>
              <w:rPr>
                <w:rStyle w:val="5"/>
                <w:rFonts w:hint="eastAsia" w:ascii="Times New Roman" w:hAnsi="Times New Roman" w:eastAsia="宋体" w:cs="Times New Roman"/>
                <w:b/>
                <w:bCs/>
                <w:color w:val="000000"/>
                <w:kern w:val="0"/>
                <w:sz w:val="20"/>
                <w:szCs w:val="20"/>
                <w:highlight w:val="none"/>
                <w:lang w:val="en-US" w:eastAsia="zh-CN" w:bidi="ar"/>
              </w:rPr>
              <w:t>并加盖投标人公章</w:t>
            </w:r>
            <w:r>
              <w:rPr>
                <w:rStyle w:val="5"/>
                <w:rFonts w:ascii="Times New Roman" w:hAnsi="Times New Roman" w:eastAsia="宋体" w:cs="Times New Roman"/>
                <w:b/>
                <w:bCs/>
                <w:color w:val="000000"/>
                <w:kern w:val="0"/>
                <w:sz w:val="20"/>
                <w:szCs w:val="20"/>
                <w:highlight w:val="none"/>
                <w:lang w:bidi="ar"/>
              </w:rPr>
              <w:t>）</w:t>
            </w:r>
            <w:r>
              <w:rPr>
                <w:rStyle w:val="5"/>
                <w:rFonts w:ascii="Times New Roman" w:hAnsi="Times New Roman" w:eastAsia="宋体" w:cs="Times New Roman"/>
                <w:b/>
                <w:bCs/>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7.</w:t>
            </w:r>
            <w:r>
              <w:rPr>
                <w:rStyle w:val="5"/>
                <w:rFonts w:hint="eastAsia" w:ascii="Times New Roman" w:hAnsi="Times New Roman" w:eastAsia="宋体" w:cs="Times New Roman"/>
                <w:b/>
                <w:bCs/>
                <w:color w:val="000000"/>
                <w:kern w:val="0"/>
                <w:sz w:val="20"/>
                <w:szCs w:val="20"/>
                <w:highlight w:val="none"/>
                <w:lang w:bidi="ar"/>
              </w:rPr>
              <w:t>提供国家认可的第三方检测机构出具的</w:t>
            </w:r>
            <w:r>
              <w:rPr>
                <w:rStyle w:val="5"/>
                <w:rFonts w:hint="eastAsia" w:ascii="Times New Roman" w:hAnsi="Times New Roman" w:eastAsia="宋体" w:cs="Times New Roman"/>
                <w:b/>
                <w:bCs/>
                <w:color w:val="000000"/>
                <w:kern w:val="0"/>
                <w:sz w:val="20"/>
                <w:szCs w:val="20"/>
                <w:highlight w:val="none"/>
                <w:lang w:val="en-US" w:eastAsia="zh-CN" w:bidi="ar"/>
              </w:rPr>
              <w:t>带CNAS和CMA标识的</w:t>
            </w:r>
            <w:r>
              <w:rPr>
                <w:rStyle w:val="5"/>
                <w:rFonts w:ascii="Times New Roman" w:hAnsi="Times New Roman" w:eastAsia="宋体" w:cs="Times New Roman"/>
                <w:b/>
                <w:bCs/>
                <w:color w:val="000000"/>
                <w:kern w:val="0"/>
                <w:sz w:val="20"/>
                <w:szCs w:val="20"/>
                <w:highlight w:val="none"/>
                <w:lang w:bidi="ar"/>
              </w:rPr>
              <w:t>产品检测报告</w:t>
            </w:r>
            <w:r>
              <w:rPr>
                <w:rStyle w:val="5"/>
                <w:rFonts w:hint="eastAsia" w:ascii="Times New Roman" w:hAnsi="Times New Roman" w:eastAsia="宋体" w:cs="Times New Roman"/>
                <w:b/>
                <w:bCs/>
                <w:color w:val="000000"/>
                <w:kern w:val="0"/>
                <w:sz w:val="20"/>
                <w:szCs w:val="20"/>
                <w:highlight w:val="none"/>
                <w:lang w:val="en-US" w:eastAsia="zh-CN" w:bidi="ar"/>
              </w:rPr>
              <w:t>复印件并加盖投标人公章</w:t>
            </w:r>
            <w:r>
              <w:rPr>
                <w:rStyle w:val="5"/>
                <w:rFonts w:ascii="Times New Roman" w:hAnsi="Times New Roman" w:eastAsia="宋体" w:cs="Times New Roman"/>
                <w:b/>
                <w:bCs/>
                <w:color w:val="000000"/>
                <w:kern w:val="0"/>
                <w:sz w:val="20"/>
                <w:szCs w:val="20"/>
                <w:highlight w:val="none"/>
                <w:lang w:bidi="ar"/>
              </w:rPr>
              <w:t>，报告至少涵盖高温工作、交变湿热、随机振动、压力试验、跌落实验、碰撞试验等内容；</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8.含云管理平台，可过WEB管理台上的控制台直接进入服务器底层操作系统，实现底层系统编辑和维护，为保障云平台的稳定性，产品底层虚拟化软件厂商需通过“信息技术 虚拟机管理通用要求”，“信息技术 弹性计算应用接口”测评；</w:t>
            </w:r>
            <w:r>
              <w:rPr>
                <w:rStyle w:val="5"/>
                <w:rFonts w:ascii="Times New Roman" w:hAnsi="Times New Roman" w:eastAsia="宋体" w:cs="Times New Roman"/>
                <w:b/>
                <w:bCs/>
                <w:color w:val="000000"/>
                <w:kern w:val="0"/>
                <w:sz w:val="20"/>
                <w:szCs w:val="20"/>
                <w:highlight w:val="none"/>
                <w:lang w:bidi="ar"/>
              </w:rPr>
              <w:t>（</w:t>
            </w:r>
            <w:r>
              <w:rPr>
                <w:rStyle w:val="5"/>
                <w:rFonts w:hint="eastAsia" w:ascii="Times New Roman" w:hAnsi="Times New Roman" w:eastAsia="宋体" w:cs="Times New Roman"/>
                <w:b/>
                <w:bCs/>
                <w:color w:val="000000"/>
                <w:kern w:val="0"/>
                <w:sz w:val="20"/>
                <w:szCs w:val="20"/>
                <w:highlight w:val="none"/>
                <w:lang w:bidi="ar"/>
              </w:rPr>
              <w:t>提供国家认可的第三方检测机构出具的</w:t>
            </w:r>
            <w:r>
              <w:rPr>
                <w:rStyle w:val="5"/>
                <w:rFonts w:hint="eastAsia" w:ascii="Times New Roman" w:hAnsi="Times New Roman" w:eastAsia="宋体" w:cs="Times New Roman"/>
                <w:b/>
                <w:bCs/>
                <w:color w:val="000000"/>
                <w:kern w:val="0"/>
                <w:sz w:val="20"/>
                <w:szCs w:val="20"/>
                <w:highlight w:val="none"/>
                <w:lang w:val="en-US" w:eastAsia="zh-CN" w:bidi="ar"/>
              </w:rPr>
              <w:t>带CNAS和CMA标识的</w:t>
            </w:r>
            <w:r>
              <w:rPr>
                <w:rStyle w:val="5"/>
                <w:rFonts w:ascii="Times New Roman" w:hAnsi="Times New Roman" w:eastAsia="宋体" w:cs="Times New Roman"/>
                <w:b/>
                <w:bCs/>
                <w:color w:val="000000"/>
                <w:kern w:val="0"/>
                <w:sz w:val="20"/>
                <w:szCs w:val="20"/>
                <w:highlight w:val="none"/>
                <w:lang w:bidi="ar"/>
              </w:rPr>
              <w:t>证书及测试报告复印件</w:t>
            </w:r>
            <w:r>
              <w:rPr>
                <w:rStyle w:val="5"/>
                <w:rFonts w:hint="eastAsia" w:ascii="Times New Roman" w:hAnsi="Times New Roman" w:eastAsia="宋体" w:cs="Times New Roman"/>
                <w:b/>
                <w:bCs/>
                <w:color w:val="000000"/>
                <w:kern w:val="0"/>
                <w:sz w:val="20"/>
                <w:szCs w:val="20"/>
                <w:highlight w:val="none"/>
                <w:lang w:val="en-US" w:eastAsia="zh-CN" w:bidi="ar"/>
              </w:rPr>
              <w:t>并加盖公章</w:t>
            </w:r>
            <w:r>
              <w:rPr>
                <w:rStyle w:val="5"/>
                <w:rFonts w:ascii="Times New Roman" w:hAnsi="Times New Roman" w:eastAsia="宋体" w:cs="Times New Roman"/>
                <w:b/>
                <w:bCs/>
                <w:color w:val="000000"/>
                <w:kern w:val="0"/>
                <w:sz w:val="20"/>
                <w:szCs w:val="20"/>
                <w:highlight w:val="none"/>
                <w:lang w:bidi="ar"/>
              </w:rPr>
              <w:t>）</w:t>
            </w:r>
          </w:p>
          <w:p w14:paraId="775D372A">
            <w:pPr>
              <w:pStyle w:val="11"/>
              <w:widowControl/>
              <w:numPr>
                <w:ilvl w:val="0"/>
                <w:numId w:val="0"/>
              </w:numPr>
              <w:spacing w:line="300" w:lineRule="exact"/>
              <w:jc w:val="left"/>
              <w:textAlignment w:val="center"/>
              <w:rPr>
                <w:rStyle w:val="5"/>
                <w:rFonts w:hint="default" w:ascii="Times New Roman" w:hAnsi="Times New Roman" w:eastAsia="宋体" w:cs="Times New Roman"/>
                <w:color w:val="000000"/>
                <w:kern w:val="0"/>
                <w:sz w:val="20"/>
                <w:szCs w:val="20"/>
                <w:highlight w:val="none"/>
                <w:lang w:val="en-US" w:eastAsia="zh-CN" w:bidi="ar"/>
              </w:rPr>
            </w:pPr>
            <w:r>
              <w:rPr>
                <w:rStyle w:val="5"/>
                <w:rFonts w:hint="eastAsia" w:ascii="Times New Roman" w:hAnsi="Times New Roman" w:eastAsia="宋体" w:cs="Times New Roman"/>
                <w:color w:val="000000"/>
                <w:kern w:val="0"/>
                <w:sz w:val="20"/>
                <w:szCs w:val="20"/>
                <w:highlight w:val="none"/>
                <w:lang w:val="en-US" w:eastAsia="zh-CN" w:bidi="ar"/>
              </w:rPr>
              <w:t>9.产品满足辐射骚扰抗扰度要求，在80MHz-1000MHz和1000MHz-2700MHz范围内符合GB/T17626.3-2016相关标准</w:t>
            </w:r>
            <w:r>
              <w:rPr>
                <w:rStyle w:val="5"/>
                <w:rFonts w:hint="eastAsia" w:ascii="Times New Roman" w:hAnsi="Times New Roman" w:eastAsia="宋体" w:cs="Times New Roman"/>
                <w:b/>
                <w:bCs/>
                <w:color w:val="000000"/>
                <w:kern w:val="0"/>
                <w:sz w:val="20"/>
                <w:szCs w:val="20"/>
                <w:highlight w:val="none"/>
                <w:lang w:val="en-US" w:eastAsia="zh-CN" w:bidi="ar"/>
              </w:rPr>
              <w:t>（提供国家认可的第三方检测机构出具的带CNAS和CMA标识的功能性测试报告复印件并加盖投标人公章）</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8C0AC45">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29AFA831">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台</w:t>
            </w: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58D6D256">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1</w:t>
            </w:r>
          </w:p>
        </w:tc>
        <w:tc>
          <w:tcPr>
            <w:tcW w:w="409" w:type="dxa"/>
            <w:tcBorders>
              <w:top w:val="single" w:color="000000" w:sz="4" w:space="0"/>
              <w:left w:val="single" w:color="000000" w:sz="4" w:space="0"/>
              <w:bottom w:val="single" w:color="000000" w:sz="4" w:space="0"/>
              <w:right w:val="single" w:color="000000" w:sz="4" w:space="0"/>
            </w:tcBorders>
            <w:noWrap w:val="0"/>
            <w:vAlign w:val="center"/>
          </w:tcPr>
          <w:p w14:paraId="6C3A0AB2">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r>
      <w:tr w14:paraId="0778FE14">
        <w:tblPrEx>
          <w:tblCellMar>
            <w:top w:w="0" w:type="dxa"/>
            <w:left w:w="108" w:type="dxa"/>
            <w:bottom w:w="0" w:type="dxa"/>
            <w:right w:w="108" w:type="dxa"/>
          </w:tblCellMar>
        </w:tblPrEx>
        <w:trPr>
          <w:trHeight w:val="424" w:hRule="atLeast"/>
          <w:jc w:val="center"/>
        </w:trPr>
        <w:tc>
          <w:tcPr>
            <w:tcW w:w="409" w:type="dxa"/>
            <w:tcBorders>
              <w:top w:val="single" w:color="000000" w:sz="4" w:space="0"/>
              <w:left w:val="single" w:color="000000" w:sz="4" w:space="0"/>
              <w:bottom w:val="single" w:color="000000" w:sz="4" w:space="0"/>
              <w:right w:val="single" w:color="000000" w:sz="4" w:space="0"/>
            </w:tcBorders>
            <w:noWrap w:val="0"/>
            <w:vAlign w:val="center"/>
          </w:tcPr>
          <w:p w14:paraId="506DAB46">
            <w:pPr>
              <w:pStyle w:val="11"/>
              <w:widowControl/>
              <w:numPr>
                <w:ilvl w:val="0"/>
                <w:numId w:val="1"/>
              </w:numPr>
              <w:spacing w:line="300" w:lineRule="exact"/>
              <w:jc w:val="center"/>
              <w:textAlignment w:val="center"/>
              <w:rPr>
                <w:rStyle w:val="5"/>
                <w:rFonts w:ascii="Times New Roman" w:hAnsi="Times New Roman" w:eastAsia="宋体" w:cs="Times New Roman"/>
                <w:color w:val="000000"/>
                <w:sz w:val="20"/>
                <w:szCs w:val="20"/>
                <w:highlight w:val="none"/>
              </w:rPr>
            </w:pPr>
          </w:p>
        </w:tc>
        <w:tc>
          <w:tcPr>
            <w:tcW w:w="1031" w:type="dxa"/>
            <w:vMerge w:val="restart"/>
            <w:tcBorders>
              <w:top w:val="single" w:color="000000" w:sz="4" w:space="0"/>
              <w:left w:val="single" w:color="000000" w:sz="4" w:space="0"/>
              <w:bottom w:val="single" w:color="000000" w:sz="4" w:space="0"/>
              <w:right w:val="single" w:color="000000" w:sz="4" w:space="0"/>
            </w:tcBorders>
            <w:noWrap w:val="0"/>
            <w:vAlign w:val="center"/>
          </w:tcPr>
          <w:p w14:paraId="5CAEF3A4">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2310-1</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（48点）</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2310-2</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（48点）</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2415</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（56点）</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2515</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(40点)</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2314</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（56点）</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2316</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（56点），每间机房2台教师机，利旧</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713F144B">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桌面云软件</w:t>
            </w:r>
          </w:p>
        </w:tc>
        <w:tc>
          <w:tcPr>
            <w:tcW w:w="5504" w:type="dxa"/>
            <w:tcBorders>
              <w:top w:val="single" w:color="000000" w:sz="4" w:space="0"/>
              <w:left w:val="single" w:color="000000" w:sz="4" w:space="0"/>
              <w:bottom w:val="single" w:color="000000" w:sz="4" w:space="0"/>
              <w:right w:val="single" w:color="000000" w:sz="4" w:space="0"/>
            </w:tcBorders>
            <w:noWrap w:val="0"/>
            <w:vAlign w:val="center"/>
          </w:tcPr>
          <w:p w14:paraId="3011FB6E">
            <w:pPr>
              <w:pStyle w:val="11"/>
              <w:widowControl/>
              <w:numPr>
                <w:ilvl w:val="0"/>
                <w:numId w:val="3"/>
              </w:numPr>
              <w:spacing w:line="300" w:lineRule="exact"/>
              <w:jc w:val="left"/>
              <w:textAlignment w:val="center"/>
              <w:rPr>
                <w:rStyle w:val="5"/>
                <w:rFonts w:ascii="Times New Roman" w:hAnsi="Times New Roman" w:eastAsia="宋体" w:cs="Times New Roman"/>
                <w:color w:val="000000"/>
                <w:kern w:val="0"/>
                <w:sz w:val="20"/>
                <w:szCs w:val="20"/>
                <w:highlight w:val="none"/>
                <w:lang w:bidi="ar"/>
              </w:rPr>
            </w:pPr>
            <w:r>
              <w:rPr>
                <w:rStyle w:val="5"/>
                <w:rFonts w:ascii="Times New Roman" w:hAnsi="Times New Roman" w:eastAsia="宋体" w:cs="Times New Roman"/>
                <w:color w:val="000000"/>
                <w:kern w:val="0"/>
                <w:sz w:val="20"/>
                <w:szCs w:val="20"/>
                <w:highlight w:val="none"/>
                <w:lang w:bidi="ar"/>
              </w:rPr>
              <w:t>管理平台采用B/S架构，无需安装客户端，管理员可以在任意地点使用PC、手机、平板电脑等设备访问WEB页面即可进行终端和桌面的管理，支持账号密码和微信扫码多种登录方式；</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2.不限定终端类型，能够将学院现有的不同品牌、配置的PC改造成胖终端模式，实现多类异构设备的统一管理，一个桌面模板自动适配所有异构设备；</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3.系统下发支持BT和广播两种模式，广播支持跨VLAN环境且无需第三方软硬件设备，支持系统环境的批量部署，可根据不同专业的教学、考试要求，快速创建多套教学环境，使用时开放，不使用时随时回收；</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4.终端支持裸机部署模式，本地无操作系统也可连接服务器部署客户端，且局域网内任意安装好VOI底层客户端的终端，都可以给其他终端传底层客户端系统，便于终端和服务器处在跨VLAN环境下的环境部署；</w:t>
            </w:r>
          </w:p>
          <w:p w14:paraId="20B57B3A">
            <w:pPr>
              <w:pStyle w:val="11"/>
              <w:widowControl/>
              <w:numPr>
                <w:ilvl w:val="0"/>
                <w:numId w:val="0"/>
              </w:numPr>
              <w:spacing w:line="300" w:lineRule="exact"/>
              <w:jc w:val="left"/>
              <w:textAlignment w:val="center"/>
              <w:rPr>
                <w:rStyle w:val="5"/>
                <w:rFonts w:ascii="Times New Roman" w:hAnsi="Times New Roman" w:eastAsia="宋体" w:cs="Times New Roman"/>
                <w:color w:val="000000"/>
                <w:kern w:val="0"/>
                <w:sz w:val="20"/>
                <w:szCs w:val="20"/>
                <w:highlight w:val="none"/>
                <w:lang w:bidi="ar"/>
              </w:rPr>
            </w:pPr>
            <w:r>
              <w:rPr>
                <w:rStyle w:val="5"/>
                <w:rFonts w:hint="eastAsia" w:ascii="Times New Roman" w:hAnsi="Times New Roman" w:eastAsia="宋体" w:cs="Times New Roman"/>
                <w:color w:val="000000"/>
                <w:kern w:val="0"/>
                <w:sz w:val="20"/>
                <w:szCs w:val="20"/>
                <w:highlight w:val="none"/>
                <w:lang w:val="en-US" w:eastAsia="zh-CN" w:bidi="ar"/>
              </w:rPr>
              <w:t xml:space="preserve">5.支持端对端数据智能传输，可将已有镜像的终端作为发送端，给同教室内其他终端下发镜像； </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6</w:t>
            </w:r>
            <w:r>
              <w:rPr>
                <w:rStyle w:val="5"/>
                <w:rFonts w:ascii="Times New Roman" w:hAnsi="Times New Roman" w:eastAsia="宋体" w:cs="Times New Roman"/>
                <w:color w:val="000000"/>
                <w:kern w:val="0"/>
                <w:sz w:val="20"/>
                <w:szCs w:val="20"/>
                <w:highlight w:val="none"/>
                <w:lang w:bidi="ar"/>
              </w:rPr>
              <w:t>.制作系统模板时支持样机制作方式，可在教室任意选择一台样机，系统和软件安装完成后将样机模板上传到服务器端；同时支持web平台制作方式，无需到教室寻找样机，直接在管理平台上通过虚拟机制作模板然后下发；</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7</w:t>
            </w:r>
            <w:r>
              <w:rPr>
                <w:rStyle w:val="5"/>
                <w:rFonts w:ascii="Times New Roman" w:hAnsi="Times New Roman" w:eastAsia="宋体" w:cs="Times New Roman"/>
                <w:color w:val="000000"/>
                <w:kern w:val="0"/>
                <w:sz w:val="20"/>
                <w:szCs w:val="20"/>
                <w:highlight w:val="none"/>
                <w:lang w:bidi="ar"/>
              </w:rPr>
              <w:t xml:space="preserve">.系统下发支持分盘下发，可同时下发系统盘和数据盘数据，也可独立分发系统盘数据，满足系统盘更新同时保留数据盘数据的需求；  </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8</w:t>
            </w:r>
            <w:r>
              <w:rPr>
                <w:rStyle w:val="5"/>
                <w:rFonts w:ascii="Times New Roman" w:hAnsi="Times New Roman" w:eastAsia="宋体" w:cs="Times New Roman"/>
                <w:color w:val="000000"/>
                <w:kern w:val="0"/>
                <w:sz w:val="20"/>
                <w:szCs w:val="20"/>
                <w:highlight w:val="none"/>
                <w:lang w:bidi="ar"/>
              </w:rPr>
              <w:t xml:space="preserve">.支持软件方式实现跨VLAN环境下的终端网络唤醒，无需第三方硬件设备； </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9</w:t>
            </w:r>
            <w:r>
              <w:rPr>
                <w:rStyle w:val="5"/>
                <w:rFonts w:ascii="Times New Roman" w:hAnsi="Times New Roman" w:eastAsia="宋体" w:cs="Times New Roman"/>
                <w:color w:val="000000"/>
                <w:kern w:val="0"/>
                <w:sz w:val="20"/>
                <w:szCs w:val="20"/>
                <w:highlight w:val="none"/>
                <w:lang w:bidi="ar"/>
              </w:rPr>
              <w:t>.支持在WEB管理平台上直接对服务器SSD硬盘进行性能测试，不依赖第三方测试工具，可获取SSD硬盘16K随机读、顺序写数值，并给出测试评级结果，便于管理员定位系统故障；</w:t>
            </w:r>
            <w:r>
              <w:rPr>
                <w:rStyle w:val="5"/>
                <w:rFonts w:ascii="Times New Roman" w:hAnsi="Times New Roman" w:eastAsia="宋体" w:cs="Times New Roman"/>
                <w:b/>
                <w:bCs/>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10</w:t>
            </w:r>
            <w:r>
              <w:rPr>
                <w:rStyle w:val="5"/>
                <w:rFonts w:ascii="Times New Roman" w:hAnsi="Times New Roman" w:eastAsia="宋体" w:cs="Times New Roman"/>
                <w:color w:val="000000"/>
                <w:kern w:val="0"/>
                <w:sz w:val="20"/>
                <w:szCs w:val="20"/>
                <w:highlight w:val="none"/>
                <w:lang w:bidi="ar"/>
              </w:rPr>
              <w:t>.为满足计算机学院不同教学环境需求，平台需要支持下发windows和linux系统，并支持Linux系统环境下的桌面还原与IP地址统一分配，在为教室分配桌面时，能够手动选择配置好的windows和linux模板，桌面创建支持自动编排终端的计算机名及编号，能够单独设定桌面系统盘/数据盘的还原属性，支持不还原/每次还原/每周还原/每月还原，支持自动更新桌面</w:t>
            </w:r>
            <w:r>
              <w:rPr>
                <w:rStyle w:val="5"/>
                <w:rFonts w:hint="eastAsia" w:ascii="Times New Roman" w:hAnsi="Times New Roman" w:eastAsia="宋体" w:cs="Times New Roman"/>
                <w:color w:val="000000"/>
                <w:kern w:val="0"/>
                <w:sz w:val="20"/>
                <w:szCs w:val="20"/>
                <w:highlight w:val="none"/>
                <w:lang w:eastAsia="zh-CN" w:bidi="ar"/>
              </w:rPr>
              <w:t>；</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11</w:t>
            </w:r>
            <w:r>
              <w:rPr>
                <w:rStyle w:val="5"/>
                <w:rFonts w:ascii="Times New Roman" w:hAnsi="Times New Roman" w:eastAsia="宋体" w:cs="Times New Roman"/>
                <w:color w:val="000000"/>
                <w:kern w:val="0"/>
                <w:sz w:val="20"/>
                <w:szCs w:val="20"/>
                <w:highlight w:val="none"/>
                <w:lang w:bidi="ar"/>
              </w:rPr>
              <w:t>.支持windows系统下的屏幕水印功能，可设置水印显示位置、字体大小、颜色、透明度，可设置显示内容，包括桌面计算机名，终端序号，桌面IP地址，MAC地址，还原方式等信息，还可自定义显示内容，进入系统后，桌面右上角可置顶显示设置的信息水印，便于管理员维护时快速查找对应的终端；</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2</w:t>
            </w:r>
            <w:r>
              <w:rPr>
                <w:rStyle w:val="5"/>
                <w:rFonts w:ascii="Times New Roman" w:hAnsi="Times New Roman" w:eastAsia="宋体" w:cs="Times New Roman"/>
                <w:color w:val="000000"/>
                <w:kern w:val="0"/>
                <w:sz w:val="20"/>
                <w:szCs w:val="20"/>
                <w:highlight w:val="none"/>
                <w:lang w:bidi="ar"/>
              </w:rPr>
              <w:t xml:space="preserve">.支持硬件虚拟化功能，开启后针对硬件识别码的软件可实现软件统一注册，大幅度降低激活软件带来的工作量；   </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3</w:t>
            </w:r>
            <w:r>
              <w:rPr>
                <w:rStyle w:val="5"/>
                <w:rFonts w:ascii="Times New Roman" w:hAnsi="Times New Roman" w:eastAsia="宋体" w:cs="Times New Roman"/>
                <w:color w:val="000000"/>
                <w:kern w:val="0"/>
                <w:sz w:val="20"/>
                <w:szCs w:val="20"/>
                <w:highlight w:val="none"/>
                <w:lang w:bidi="ar"/>
              </w:rPr>
              <w:t>.支持模板</w:t>
            </w:r>
            <w:r>
              <w:rPr>
                <w:rStyle w:val="5"/>
                <w:rFonts w:hint="eastAsia" w:ascii="Times New Roman" w:hAnsi="Times New Roman" w:eastAsia="宋体" w:cs="Times New Roman"/>
                <w:color w:val="000000"/>
                <w:kern w:val="0"/>
                <w:sz w:val="20"/>
                <w:szCs w:val="20"/>
                <w:highlight w:val="none"/>
                <w:lang w:val="en-US" w:eastAsia="zh-CN" w:bidi="ar"/>
              </w:rPr>
              <w:t>改进点</w:t>
            </w:r>
            <w:r>
              <w:rPr>
                <w:rStyle w:val="5"/>
                <w:rFonts w:ascii="Times New Roman" w:hAnsi="Times New Roman" w:eastAsia="宋体" w:cs="Times New Roman"/>
                <w:color w:val="000000"/>
                <w:kern w:val="0"/>
                <w:sz w:val="20"/>
                <w:szCs w:val="20"/>
                <w:highlight w:val="none"/>
                <w:lang w:bidi="ar"/>
              </w:rPr>
              <w:t>管理，可默认保留不少于三个时间点的更新进度，可对</w:t>
            </w:r>
            <w:r>
              <w:rPr>
                <w:rStyle w:val="5"/>
                <w:rFonts w:hint="eastAsia" w:ascii="Times New Roman" w:hAnsi="Times New Roman" w:eastAsia="宋体" w:cs="Times New Roman"/>
                <w:color w:val="000000"/>
                <w:kern w:val="0"/>
                <w:sz w:val="20"/>
                <w:szCs w:val="20"/>
                <w:highlight w:val="none"/>
                <w:lang w:val="en-US" w:eastAsia="zh-CN" w:bidi="ar"/>
              </w:rPr>
              <w:t>改进点</w:t>
            </w:r>
            <w:r>
              <w:rPr>
                <w:rStyle w:val="5"/>
                <w:rFonts w:ascii="Times New Roman" w:hAnsi="Times New Roman" w:eastAsia="宋体" w:cs="Times New Roman"/>
                <w:color w:val="000000"/>
                <w:kern w:val="0"/>
                <w:sz w:val="20"/>
                <w:szCs w:val="20"/>
                <w:highlight w:val="none"/>
                <w:lang w:bidi="ar"/>
              </w:rPr>
              <w:t>进行合并、删除，减少资源占用；</w:t>
            </w:r>
          </w:p>
          <w:p w14:paraId="7D046943">
            <w:pPr>
              <w:pStyle w:val="11"/>
              <w:widowControl/>
              <w:numPr>
                <w:ilvl w:val="0"/>
                <w:numId w:val="0"/>
              </w:numPr>
              <w:spacing w:line="300" w:lineRule="exact"/>
              <w:jc w:val="left"/>
              <w:textAlignment w:val="center"/>
              <w:rPr>
                <w:rStyle w:val="5"/>
                <w:rFonts w:ascii="Times New Roman" w:hAnsi="Times New Roman" w:eastAsia="宋体" w:cs="Times New Roman"/>
                <w:color w:val="000000"/>
                <w:kern w:val="0"/>
                <w:sz w:val="20"/>
                <w:szCs w:val="20"/>
                <w:highlight w:val="none"/>
                <w:lang w:bidi="ar"/>
              </w:rPr>
            </w:pP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4</w:t>
            </w:r>
            <w:r>
              <w:rPr>
                <w:rStyle w:val="5"/>
                <w:rFonts w:ascii="Times New Roman" w:hAnsi="Times New Roman" w:eastAsia="宋体" w:cs="Times New Roman"/>
                <w:color w:val="000000"/>
                <w:kern w:val="0"/>
                <w:sz w:val="20"/>
                <w:szCs w:val="20"/>
                <w:highlight w:val="none"/>
                <w:lang w:bidi="ar"/>
              </w:rPr>
              <w:t>.支持模板分享链接，管理员可以将编辑模板的链接分享给需要编辑模板的用户，在浏览器中直接输入链接地址即可对模板进行编辑，支持分享日期、分享链接的失效期设置。</w:t>
            </w:r>
            <w:r>
              <w:rPr>
                <w:rStyle w:val="5"/>
                <w:rFonts w:ascii="Times New Roman" w:hAnsi="Times New Roman" w:eastAsia="宋体" w:cs="Times New Roman"/>
                <w:b/>
                <w:bCs/>
                <w:color w:val="000000"/>
                <w:kern w:val="0"/>
                <w:sz w:val="20"/>
                <w:szCs w:val="20"/>
                <w:highlight w:val="none"/>
                <w:lang w:bidi="ar"/>
              </w:rPr>
              <w:t xml:space="preserve">   </w:t>
            </w:r>
            <w:r>
              <w:rPr>
                <w:rStyle w:val="5"/>
                <w:rFonts w:ascii="Times New Roman" w:hAnsi="Times New Roman" w:eastAsia="宋体" w:cs="Times New Roman"/>
                <w:b/>
                <w:bCs/>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5</w:t>
            </w:r>
            <w:r>
              <w:rPr>
                <w:rStyle w:val="5"/>
                <w:rFonts w:ascii="Times New Roman" w:hAnsi="Times New Roman" w:eastAsia="宋体" w:cs="Times New Roman"/>
                <w:color w:val="000000"/>
                <w:kern w:val="0"/>
                <w:sz w:val="20"/>
                <w:szCs w:val="20"/>
                <w:highlight w:val="none"/>
                <w:lang w:bidi="ar"/>
              </w:rPr>
              <w:t>.可通过管理平台上传系统镜像、应用及补丁包（上传文件不限格式），并可进行分类管理，便于在web平台进行模板制作和更新时随时调用本地文件；</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6</w:t>
            </w:r>
            <w:r>
              <w:rPr>
                <w:rStyle w:val="5"/>
                <w:rFonts w:ascii="Times New Roman" w:hAnsi="Times New Roman" w:eastAsia="宋体" w:cs="Times New Roman"/>
                <w:color w:val="000000"/>
                <w:kern w:val="0"/>
                <w:sz w:val="20"/>
                <w:szCs w:val="20"/>
                <w:highlight w:val="none"/>
                <w:lang w:bidi="ar"/>
              </w:rPr>
              <w:t xml:space="preserve">.支持消息发布功能，管理员可直接通过web管理平台给终端发送消息，终端无需进入操作系统，在场景选单页面即可接收消息，消息可在屏幕上方显示。     </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7</w:t>
            </w:r>
            <w:r>
              <w:rPr>
                <w:rStyle w:val="5"/>
                <w:rFonts w:ascii="Times New Roman" w:hAnsi="Times New Roman" w:eastAsia="宋体" w:cs="Times New Roman"/>
                <w:color w:val="000000"/>
                <w:kern w:val="0"/>
                <w:sz w:val="20"/>
                <w:szCs w:val="20"/>
                <w:highlight w:val="none"/>
                <w:lang w:bidi="ar"/>
              </w:rPr>
              <w:t>.针对终端可设置定时开关机计划，可按周期在固定时间唤醒和关闭对应的教学桌面终端，日期精确到天、时间精确到分钟，并可以指定开机的范围所对应的终端教室；</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w:t>
            </w:r>
            <w:r>
              <w:rPr>
                <w:rStyle w:val="5"/>
                <w:rFonts w:hint="eastAsia" w:ascii="Times New Roman" w:hAnsi="Times New Roman" w:eastAsia="宋体" w:cs="Times New Roman"/>
                <w:color w:val="000000"/>
                <w:kern w:val="0"/>
                <w:sz w:val="20"/>
                <w:szCs w:val="20"/>
                <w:highlight w:val="none"/>
                <w:lang w:val="en-US" w:eastAsia="zh-CN" w:bidi="ar"/>
              </w:rPr>
              <w:t>8</w:t>
            </w:r>
            <w:r>
              <w:rPr>
                <w:rStyle w:val="5"/>
                <w:rFonts w:ascii="Times New Roman" w:hAnsi="Times New Roman" w:eastAsia="宋体" w:cs="Times New Roman"/>
                <w:color w:val="000000"/>
                <w:kern w:val="0"/>
                <w:sz w:val="20"/>
                <w:szCs w:val="20"/>
                <w:highlight w:val="none"/>
                <w:lang w:bidi="ar"/>
              </w:rPr>
              <w:t>.可针对不同的功能模块和教室范围进行权限角色的划分，可授权管理员能操作的管理平台功能，权限细分到每一个功能菜单操作；可授权管理员可管理的教室范围；</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19</w:t>
            </w:r>
            <w:r>
              <w:rPr>
                <w:rStyle w:val="5"/>
                <w:rFonts w:ascii="Times New Roman" w:hAnsi="Times New Roman" w:eastAsia="宋体" w:cs="Times New Roman"/>
                <w:color w:val="000000"/>
                <w:kern w:val="0"/>
                <w:sz w:val="20"/>
                <w:szCs w:val="20"/>
                <w:highlight w:val="none"/>
                <w:lang w:bidi="ar"/>
              </w:rPr>
              <w:t>.桌面云平台支持教学网盘功能，无需第三方组件，创建桌面账户时可同步生成网盘账号，启用网盘后可通过该账号直接登录网盘，网盘直接网页端和本地客户端两种登录方式，用户在本地同步目录下的文件会自动与云端保持同步，便于数据移动访问和使用；</w:t>
            </w:r>
            <w:r>
              <w:rPr>
                <w:rStyle w:val="5"/>
                <w:rFonts w:ascii="Times New Roman" w:hAnsi="Times New Roman" w:eastAsia="宋体" w:cs="Times New Roman"/>
                <w:color w:val="000000"/>
                <w:kern w:val="0"/>
                <w:sz w:val="20"/>
                <w:szCs w:val="20"/>
                <w:highlight w:val="none"/>
                <w:lang w:bidi="ar"/>
              </w:rPr>
              <w:br w:type="textWrapping"/>
            </w:r>
            <w:r>
              <w:rPr>
                <w:rStyle w:val="5"/>
                <w:rFonts w:hint="eastAsia" w:ascii="Times New Roman" w:hAnsi="Times New Roman" w:eastAsia="宋体" w:cs="Times New Roman"/>
                <w:color w:val="000000"/>
                <w:kern w:val="0"/>
                <w:sz w:val="20"/>
                <w:szCs w:val="20"/>
                <w:highlight w:val="none"/>
                <w:lang w:val="en-US" w:eastAsia="zh-CN" w:bidi="ar"/>
              </w:rPr>
              <w:t>20</w:t>
            </w:r>
            <w:r>
              <w:rPr>
                <w:rStyle w:val="5"/>
                <w:rFonts w:ascii="Times New Roman" w:hAnsi="Times New Roman" w:eastAsia="宋体" w:cs="Times New Roman"/>
                <w:color w:val="000000"/>
                <w:kern w:val="0"/>
                <w:sz w:val="20"/>
                <w:szCs w:val="20"/>
                <w:highlight w:val="none"/>
                <w:lang w:bidi="ar"/>
              </w:rPr>
              <w:t>.支持保留最少一周内的桌面下发记录，包括下发的终端名称，桌面名称，起止时间，下发状态等信息，便于后期可追溯；</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w:t>
            </w:r>
            <w:r>
              <w:rPr>
                <w:rStyle w:val="5"/>
                <w:rFonts w:hint="eastAsia" w:ascii="Times New Roman" w:hAnsi="Times New Roman" w:eastAsia="宋体" w:cs="Times New Roman"/>
                <w:color w:val="000000"/>
                <w:kern w:val="0"/>
                <w:sz w:val="20"/>
                <w:szCs w:val="20"/>
                <w:highlight w:val="none"/>
                <w:lang w:val="en-US" w:eastAsia="zh-CN" w:bidi="ar"/>
              </w:rPr>
              <w:t>1</w:t>
            </w:r>
            <w:r>
              <w:rPr>
                <w:rStyle w:val="5"/>
                <w:rFonts w:ascii="Times New Roman" w:hAnsi="Times New Roman" w:eastAsia="宋体" w:cs="Times New Roman"/>
                <w:color w:val="000000"/>
                <w:kern w:val="0"/>
                <w:sz w:val="20"/>
                <w:szCs w:val="20"/>
                <w:highlight w:val="none"/>
                <w:lang w:bidi="ar"/>
              </w:rPr>
              <w:t>.支持usb急救恢复，无需通过管理平台或者样机模式下发桌面，直接在终端插入专用急救u盘，即可快速恢复操作系统，恢复以后仍可被管理平台识别和管理；</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w:t>
            </w:r>
            <w:r>
              <w:rPr>
                <w:rStyle w:val="5"/>
                <w:rFonts w:hint="eastAsia" w:ascii="Times New Roman" w:hAnsi="Times New Roman" w:eastAsia="宋体" w:cs="Times New Roman"/>
                <w:color w:val="000000"/>
                <w:kern w:val="0"/>
                <w:sz w:val="20"/>
                <w:szCs w:val="20"/>
                <w:highlight w:val="none"/>
                <w:lang w:val="en-US" w:eastAsia="zh-CN" w:bidi="ar"/>
              </w:rPr>
              <w:t>2</w:t>
            </w:r>
            <w:r>
              <w:rPr>
                <w:rStyle w:val="5"/>
                <w:rFonts w:ascii="Times New Roman" w:hAnsi="Times New Roman" w:eastAsia="宋体" w:cs="Times New Roman"/>
                <w:color w:val="000000"/>
                <w:kern w:val="0"/>
                <w:sz w:val="20"/>
                <w:szCs w:val="20"/>
                <w:highlight w:val="none"/>
                <w:lang w:bidi="ar"/>
              </w:rPr>
              <w:t>.</w:t>
            </w:r>
            <w:r>
              <w:rPr>
                <w:rStyle w:val="5"/>
                <w:rFonts w:ascii="Times New Roman" w:hAnsi="Times New Roman" w:eastAsia="宋体" w:cs="Times New Roman"/>
                <w:b/>
                <w:bCs/>
                <w:color w:val="000000"/>
                <w:kern w:val="0"/>
                <w:sz w:val="20"/>
                <w:szCs w:val="20"/>
                <w:highlight w:val="none"/>
                <w:lang w:bidi="ar"/>
              </w:rPr>
              <w:t>三年原厂技术服务支持，提供</w:t>
            </w:r>
            <w:r>
              <w:rPr>
                <w:rStyle w:val="5"/>
                <w:rFonts w:ascii="Times New Roman" w:hAnsi="Times New Roman" w:eastAsia="宋体" w:cs="Times New Roman"/>
                <w:b/>
                <w:bCs/>
                <w:highlight w:val="none"/>
              </w:rPr>
              <w:t>投标人</w:t>
            </w:r>
            <w:r>
              <w:rPr>
                <w:rStyle w:val="5"/>
                <w:rFonts w:ascii="Times New Roman" w:hAnsi="Times New Roman" w:eastAsia="宋体" w:cs="Times New Roman"/>
                <w:b/>
                <w:bCs/>
                <w:color w:val="000000"/>
                <w:kern w:val="0"/>
                <w:sz w:val="20"/>
                <w:szCs w:val="20"/>
                <w:highlight w:val="none"/>
                <w:lang w:bidi="ar"/>
              </w:rPr>
              <w:t>承诺函</w:t>
            </w:r>
            <w:r>
              <w:rPr>
                <w:rStyle w:val="5"/>
                <w:rFonts w:hint="eastAsia" w:ascii="Times New Roman" w:hAnsi="Times New Roman" w:eastAsia="宋体" w:cs="Times New Roman"/>
                <w:b/>
                <w:bCs/>
                <w:color w:val="000000"/>
                <w:kern w:val="0"/>
                <w:sz w:val="20"/>
                <w:szCs w:val="20"/>
                <w:highlight w:val="none"/>
                <w:lang w:bidi="ar"/>
              </w:rPr>
              <w:t>并加盖投标人公章</w:t>
            </w:r>
          </w:p>
          <w:p w14:paraId="569C510B">
            <w:pPr>
              <w:pStyle w:val="11"/>
              <w:widowControl/>
              <w:numPr>
                <w:ilvl w:val="0"/>
                <w:numId w:val="0"/>
              </w:numPr>
              <w:spacing w:line="300" w:lineRule="exact"/>
              <w:jc w:val="left"/>
              <w:textAlignment w:val="center"/>
              <w:rPr>
                <w:rStyle w:val="5"/>
                <w:rFonts w:ascii="Times New Roman" w:hAnsi="Times New Roman" w:eastAsia="宋体" w:cs="Times New Roman"/>
                <w:color w:val="000000"/>
                <w:kern w:val="0"/>
                <w:sz w:val="20"/>
                <w:szCs w:val="20"/>
                <w:highlight w:val="none"/>
                <w:lang w:bidi="ar"/>
              </w:rPr>
            </w:pPr>
            <w:r>
              <w:rPr>
                <w:rStyle w:val="5"/>
                <w:rFonts w:hint="eastAsia" w:ascii="Times New Roman" w:hAnsi="Times New Roman" w:eastAsia="宋体" w:cs="Times New Roman"/>
                <w:color w:val="000000"/>
                <w:kern w:val="0"/>
                <w:sz w:val="20"/>
                <w:szCs w:val="20"/>
                <w:highlight w:val="none"/>
                <w:lang w:val="en-US" w:eastAsia="zh-CN" w:bidi="ar"/>
              </w:rPr>
              <w:t>23.单个终端可以部署多个操作系统，支持在管理平台上设置终端数据盘，可以任意选定可使用共享盘的操作系统数量，可以设置终端数据盘的的空间大小，并能设定清除策略，包含不清除/每周清除/每月清除；</w:t>
            </w:r>
          </w:p>
          <w:p w14:paraId="650A7A50">
            <w:pPr>
              <w:pStyle w:val="11"/>
              <w:widowControl/>
              <w:numPr>
                <w:ilvl w:val="0"/>
                <w:numId w:val="0"/>
              </w:numPr>
              <w:spacing w:line="300" w:lineRule="exact"/>
              <w:jc w:val="left"/>
              <w:textAlignment w:val="center"/>
              <w:rPr>
                <w:rStyle w:val="5"/>
                <w:rFonts w:hint="eastAsia" w:ascii="宋体" w:hAnsi="宋体" w:eastAsia="宋体" w:cs="宋体"/>
                <w:b/>
                <w:bCs/>
                <w:i w:val="0"/>
                <w:iCs w:val="0"/>
                <w:color w:val="000000"/>
                <w:kern w:val="0"/>
                <w:sz w:val="21"/>
                <w:szCs w:val="21"/>
                <w:highlight w:val="none"/>
                <w:u w:val="none"/>
                <w:lang w:val="en-US" w:eastAsia="zh-CN" w:bidi="ar"/>
              </w:rPr>
            </w:pPr>
            <w:r>
              <w:rPr>
                <w:rStyle w:val="5"/>
                <w:rFonts w:hint="eastAsia" w:ascii="Times New Roman" w:hAnsi="Times New Roman" w:eastAsia="宋体" w:cs="Times New Roman"/>
                <w:b/>
                <w:bCs/>
                <w:color w:val="000000"/>
                <w:kern w:val="0"/>
                <w:sz w:val="20"/>
                <w:szCs w:val="20"/>
                <w:highlight w:val="none"/>
                <w:lang w:val="en-US" w:eastAsia="zh-CN" w:bidi="ar"/>
              </w:rPr>
              <w:t>24.</w:t>
            </w:r>
            <w:r>
              <w:rPr>
                <w:rStyle w:val="5"/>
                <w:rFonts w:hint="eastAsia" w:ascii="宋体" w:hAnsi="宋体" w:eastAsia="宋体" w:cs="宋体"/>
                <w:b/>
                <w:bCs/>
                <w:i w:val="0"/>
                <w:iCs w:val="0"/>
                <w:color w:val="000000"/>
                <w:kern w:val="0"/>
                <w:sz w:val="21"/>
                <w:szCs w:val="21"/>
                <w:highlight w:val="none"/>
                <w:u w:val="none"/>
                <w:lang w:val="en-US" w:eastAsia="zh-CN" w:bidi="ar"/>
              </w:rPr>
              <w:t>为保障用户方权益，中标公示7个工作日内中标人需自带设备到用户指定地点对投标文件已提供的功能参数进行逐条演示，否则当虚假响应处理，提供中标后功能演示承诺函并加盖投标人公章。</w:t>
            </w:r>
          </w:p>
          <w:p w14:paraId="075DA0E0">
            <w:pPr>
              <w:pStyle w:val="11"/>
              <w:widowControl/>
              <w:numPr>
                <w:ilvl w:val="0"/>
                <w:numId w:val="0"/>
              </w:numPr>
              <w:spacing w:line="300" w:lineRule="exact"/>
              <w:jc w:val="left"/>
              <w:textAlignment w:val="center"/>
              <w:rPr>
                <w:rStyle w:val="5"/>
                <w:rFonts w:hint="default" w:ascii="宋体" w:hAnsi="宋体" w:eastAsia="宋体" w:cs="宋体"/>
                <w:b/>
                <w:bCs/>
                <w:i w:val="0"/>
                <w:iCs w:val="0"/>
                <w:color w:val="000000"/>
                <w:kern w:val="0"/>
                <w:sz w:val="21"/>
                <w:szCs w:val="21"/>
                <w:highlight w:val="none"/>
                <w:u w:val="none"/>
                <w:lang w:val="en-US" w:eastAsia="zh-CN" w:bidi="ar"/>
              </w:rPr>
            </w:pPr>
            <w:r>
              <w:rPr>
                <w:rStyle w:val="5"/>
                <w:rFonts w:hint="default" w:ascii="宋体" w:hAnsi="宋体" w:eastAsia="宋体" w:cs="宋体"/>
                <w:b/>
                <w:bCs/>
                <w:i w:val="0"/>
                <w:iCs w:val="0"/>
                <w:color w:val="000000"/>
                <w:kern w:val="0"/>
                <w:sz w:val="21"/>
                <w:szCs w:val="21"/>
                <w:highlight w:val="none"/>
                <w:u w:val="none"/>
                <w:lang w:val="en-US" w:eastAsia="zh-CN" w:bidi="ar"/>
              </w:rPr>
              <w:t>25.支持PC利旧，可将学院现有316台不同品牌、配置的旧PC进行虚拟化改造，纳入平台统一管理。</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7698AE5A">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77FE219C">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点</w:t>
            </w: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63B07CF2">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316</w:t>
            </w:r>
          </w:p>
        </w:tc>
        <w:tc>
          <w:tcPr>
            <w:tcW w:w="409" w:type="dxa"/>
            <w:tcBorders>
              <w:top w:val="single" w:color="000000" w:sz="4" w:space="0"/>
              <w:left w:val="single" w:color="000000" w:sz="4" w:space="0"/>
              <w:bottom w:val="single" w:color="000000" w:sz="4" w:space="0"/>
              <w:right w:val="single" w:color="000000" w:sz="4" w:space="0"/>
            </w:tcBorders>
            <w:noWrap w:val="0"/>
            <w:vAlign w:val="center"/>
          </w:tcPr>
          <w:p w14:paraId="1C92C5E7">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r>
      <w:tr w14:paraId="48BA4C76">
        <w:tblPrEx>
          <w:tblCellMar>
            <w:top w:w="0" w:type="dxa"/>
            <w:left w:w="108" w:type="dxa"/>
            <w:bottom w:w="0" w:type="dxa"/>
            <w:right w:w="108" w:type="dxa"/>
          </w:tblCellMar>
        </w:tblPrEx>
        <w:trPr>
          <w:trHeight w:val="5271" w:hRule="atLeast"/>
          <w:jc w:val="center"/>
        </w:trPr>
        <w:tc>
          <w:tcPr>
            <w:tcW w:w="409" w:type="dxa"/>
            <w:tcBorders>
              <w:top w:val="single" w:color="000000" w:sz="4" w:space="0"/>
              <w:left w:val="single" w:color="000000" w:sz="4" w:space="0"/>
              <w:bottom w:val="single" w:color="000000" w:sz="4" w:space="0"/>
              <w:right w:val="single" w:color="000000" w:sz="4" w:space="0"/>
            </w:tcBorders>
            <w:noWrap w:val="0"/>
            <w:vAlign w:val="center"/>
          </w:tcPr>
          <w:p w14:paraId="560EB0C3">
            <w:pPr>
              <w:pStyle w:val="11"/>
              <w:widowControl/>
              <w:numPr>
                <w:ilvl w:val="0"/>
                <w:numId w:val="1"/>
              </w:numPr>
              <w:spacing w:line="300" w:lineRule="exact"/>
              <w:jc w:val="center"/>
              <w:textAlignment w:val="center"/>
              <w:rPr>
                <w:rStyle w:val="5"/>
                <w:rFonts w:ascii="Times New Roman" w:hAnsi="Times New Roman" w:eastAsia="宋体" w:cs="Times New Roman"/>
                <w:color w:val="000000"/>
                <w:sz w:val="20"/>
                <w:szCs w:val="20"/>
                <w:highlight w:val="none"/>
              </w:rPr>
            </w:pPr>
          </w:p>
        </w:tc>
        <w:tc>
          <w:tcPr>
            <w:tcW w:w="10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A1D137">
            <w:pPr>
              <w:pStyle w:val="11"/>
              <w:widowControl/>
              <w:spacing w:line="300" w:lineRule="exact"/>
              <w:jc w:val="center"/>
              <w:rPr>
                <w:rStyle w:val="5"/>
                <w:rFonts w:ascii="Times New Roman" w:hAnsi="Times New Roman" w:eastAsia="宋体" w:cs="Times New Roman"/>
                <w:color w:val="000000"/>
                <w:sz w:val="20"/>
                <w:szCs w:val="20"/>
                <w:highlight w:val="none"/>
              </w:rPr>
            </w:pPr>
          </w:p>
        </w:tc>
        <w:tc>
          <w:tcPr>
            <w:tcW w:w="915" w:type="dxa"/>
            <w:tcBorders>
              <w:top w:val="single" w:color="000000" w:sz="4" w:space="0"/>
              <w:left w:val="single" w:color="000000" w:sz="4" w:space="0"/>
              <w:bottom w:val="single" w:color="000000" w:sz="4" w:space="0"/>
              <w:right w:val="single" w:color="000000" w:sz="4" w:space="0"/>
            </w:tcBorders>
            <w:noWrap w:val="0"/>
            <w:vAlign w:val="center"/>
          </w:tcPr>
          <w:p w14:paraId="31C0BF4E">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多媒体教学管理软件</w:t>
            </w:r>
          </w:p>
        </w:tc>
        <w:tc>
          <w:tcPr>
            <w:tcW w:w="5504" w:type="dxa"/>
            <w:tcBorders>
              <w:top w:val="single" w:color="000000" w:sz="4" w:space="0"/>
              <w:left w:val="single" w:color="000000" w:sz="4" w:space="0"/>
              <w:bottom w:val="single" w:color="000000" w:sz="4" w:space="0"/>
              <w:right w:val="single" w:color="000000" w:sz="4" w:space="0"/>
            </w:tcBorders>
            <w:noWrap w:val="0"/>
            <w:vAlign w:val="center"/>
          </w:tcPr>
          <w:p w14:paraId="5CABFED3">
            <w:pPr>
              <w:pStyle w:val="11"/>
              <w:widowControl/>
              <w:numPr>
                <w:ilvl w:val="0"/>
                <w:numId w:val="0"/>
              </w:numPr>
              <w:spacing w:line="300" w:lineRule="exact"/>
              <w:jc w:val="left"/>
              <w:textAlignment w:val="center"/>
              <w:rPr>
                <w:rStyle w:val="5"/>
                <w:rFonts w:ascii="Times New Roman" w:hAnsi="Times New Roman" w:eastAsia="宋体" w:cs="Times New Roman"/>
                <w:color w:val="000000"/>
                <w:kern w:val="0"/>
                <w:sz w:val="20"/>
                <w:szCs w:val="20"/>
                <w:highlight w:val="none"/>
                <w:lang w:bidi="ar"/>
              </w:rPr>
            </w:pPr>
            <w:r>
              <w:rPr>
                <w:rStyle w:val="5"/>
                <w:rFonts w:hint="eastAsia" w:ascii="Times New Roman" w:hAnsi="Times New Roman" w:eastAsia="宋体" w:cs="Times New Roman"/>
                <w:color w:val="000000"/>
                <w:kern w:val="0"/>
                <w:sz w:val="20"/>
                <w:szCs w:val="20"/>
                <w:highlight w:val="none"/>
                <w:lang w:val="en-US" w:eastAsia="zh-CN" w:bidi="ar"/>
              </w:rPr>
              <w:t>1.</w:t>
            </w:r>
            <w:r>
              <w:rPr>
                <w:rStyle w:val="5"/>
                <w:rFonts w:ascii="Times New Roman" w:hAnsi="Times New Roman" w:eastAsia="宋体" w:cs="Times New Roman"/>
                <w:color w:val="000000"/>
                <w:kern w:val="0"/>
                <w:sz w:val="20"/>
                <w:szCs w:val="20"/>
                <w:highlight w:val="none"/>
                <w:lang w:bidi="ar"/>
              </w:rPr>
              <w:t>支持IPV4、IPV6网络环境下安装和正常使用，支持windows 7 32位/64位，windows10 64位、windows11 64位操作系统；</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2.支持屏幕广播功能，能够实现两种接收模式，包括学生全屏/窗口模式接收教师机广播的画面，全屏状态锁定学生鼠标和键盘；</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 xml:space="preserve">3.屏幕广播支持区域广播方式，教师端可选取一块区域广播给学生机；  </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4.屏幕广播支持弹幕，教师机开启弹幕后，教师机和学生机可发送弹幕信息，便于及时交流、增强教学互动性；支持笔记截屏，教师机开启笔记截屏后，全屏广播时学生机可一键截取屏幕，保存上课重点信息；</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5.支持影音广播，即使在终端未进入桌面的状态，也能够实现全体学生的影音广播，影音广播下支持视频的切换、暂停，并支持点击进度条任意地方以改变视频播放进度；</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6.在屏幕广播之后连接上来的终端可直接接收屏幕广播内容，用户终端关闭虚拟桌面仍可同步广播教师机屏幕和视频，不会中断教学；</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7.教师可选定一个学生操作本机或操作教师机进行教学演示，并将该学生演示的画面广播给每一个学生；被广播的学生将全屏/窗口接收演示学生的画面，全屏状态键盘和鼠标被锁定；</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 xml:space="preserve">8.教师机可以连续监看所选学生机屏幕，每屏可监视多个学生,可设置每屏学生机的数量以及学生机屏幕轮循的时间间隔；  </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9.上课过程中，老师可对学生</w:t>
            </w:r>
            <w:r>
              <w:rPr>
                <w:rStyle w:val="5"/>
                <w:rFonts w:hint="eastAsia" w:ascii="Times New Roman" w:hAnsi="Times New Roman" w:eastAsia="宋体" w:cs="Times New Roman"/>
                <w:color w:val="000000"/>
                <w:kern w:val="0"/>
                <w:sz w:val="20"/>
                <w:szCs w:val="20"/>
                <w:highlight w:val="none"/>
                <w:lang w:val="en-US" w:eastAsia="zh-CN" w:bidi="ar"/>
              </w:rPr>
              <w:t>进行</w:t>
            </w:r>
            <w:r>
              <w:rPr>
                <w:rStyle w:val="5"/>
                <w:rFonts w:ascii="Times New Roman" w:hAnsi="Times New Roman" w:eastAsia="宋体" w:cs="Times New Roman"/>
                <w:color w:val="000000"/>
                <w:kern w:val="0"/>
                <w:sz w:val="20"/>
                <w:szCs w:val="20"/>
                <w:highlight w:val="none"/>
                <w:lang w:bidi="ar"/>
              </w:rPr>
              <w:t>奖励，教师机可显示奖励排行榜，显示每个学生的奖励</w:t>
            </w:r>
            <w:r>
              <w:rPr>
                <w:rStyle w:val="5"/>
                <w:rFonts w:hint="eastAsia" w:ascii="Times New Roman" w:hAnsi="Times New Roman" w:eastAsia="宋体" w:cs="Times New Roman"/>
                <w:color w:val="000000"/>
                <w:kern w:val="0"/>
                <w:sz w:val="20"/>
                <w:szCs w:val="20"/>
                <w:highlight w:val="none"/>
                <w:lang w:val="en-US" w:eastAsia="zh-CN" w:bidi="ar"/>
              </w:rPr>
              <w:t>次数</w:t>
            </w:r>
            <w:r>
              <w:rPr>
                <w:rStyle w:val="5"/>
                <w:rFonts w:ascii="Times New Roman" w:hAnsi="Times New Roman" w:eastAsia="宋体" w:cs="Times New Roman"/>
                <w:color w:val="000000"/>
                <w:kern w:val="0"/>
                <w:sz w:val="20"/>
                <w:szCs w:val="20"/>
                <w:highlight w:val="none"/>
                <w:lang w:bidi="ar"/>
              </w:rPr>
              <w:t>，并可向学生发布奖励排行榜；</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10.教师可对学生进行电子点名，可以自定义院系、专业、班级等单位类别，可导入导出学生信息，可设置迟到时间，可显示签到人数；</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11.支持作业下发，教师机可将自己机器上的文件传输到学生机，支持一对多传输，当选中多台学生机执行下发文件时，教师端需选择其中一台学生机作为样本机，并选择存放路径，支持发送文件或文件夹；</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12.支持收取作业，教师可发起作业提交，学生提交作业后自动收取，默认将收取上来的作业存放在桌面，该路径可自定义更换；作业命名方式支持学生自定义和教师自定义，教师自定义命名支持加入学生姓名、学号、学生机器名或学生机IP地址中的一种方式；</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13.支持远程命令（包括一键关闭应用程序，一键关闭学生打开的Windows类窗口）、远程开机，远程关机等功能；</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14.支持电子白板功能，可用电子白版进行绘制演示，并可共享到学生机，支持教师和学生协作共同通过电子白版进行知识总结、画面制作等；</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 xml:space="preserve">15.支持黑屏肃静，教师可对学生执行黑屏肃静操作，能够自定义黑屏肃静的提示信息，支持手动解锁、按时解锁、按时长解锁；  </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 xml:space="preserve">16.提供行为管控模块，支持程序黑白名单限制，支持禁用外网，禁用USB设备，教师端主界面可展示USB设备、程序、网络禁用状态； </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 xml:space="preserve">17.支持对学生的网络搜索进行关键字屏蔽，教师机设置限制搜索的关键词后，学生机通过浏览器搜索禁用的关键词，会自动弹出提示信息，或直接关闭学生机浏览器； </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18.支持考试功能，包括试题编辑、下发试卷、考试监控、成绩统计。可添加单选题、多选题、判断题、填空题、问答题；可设置考试时长，倒计时结束后自动结束考试。阅卷时，单选题、多选题、判断题支持自动评分和统计正确率</w:t>
            </w:r>
            <w:r>
              <w:rPr>
                <w:rStyle w:val="5"/>
                <w:rFonts w:hint="eastAsia" w:ascii="Times New Roman" w:hAnsi="Times New Roman" w:eastAsia="宋体" w:cs="Times New Roman"/>
                <w:color w:val="000000"/>
                <w:kern w:val="0"/>
                <w:sz w:val="20"/>
                <w:szCs w:val="20"/>
                <w:highlight w:val="none"/>
                <w:lang w:bidi="ar"/>
              </w:rPr>
              <w:t>；</w:t>
            </w:r>
          </w:p>
          <w:p w14:paraId="1832DA55">
            <w:pPr>
              <w:pStyle w:val="11"/>
              <w:widowControl/>
              <w:numPr>
                <w:ilvl w:val="0"/>
                <w:numId w:val="0"/>
              </w:numPr>
              <w:spacing w:line="300" w:lineRule="exact"/>
              <w:jc w:val="left"/>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19.提供试题编制小工具，可下载小工具到教师自己的机器上，便于随时进行试卷编辑，编辑好的试卷可直接在教师机界面导入和下发；</w:t>
            </w:r>
            <w:r>
              <w:rPr>
                <w:rStyle w:val="5"/>
                <w:rFonts w:ascii="Times New Roman" w:hAnsi="Times New Roman" w:eastAsia="宋体" w:cs="Times New Roman"/>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20.支持与桌面云软件融合打通，通过教学软件实现操作系统一键切换，可关闭桌面云服务器和学生机</w:t>
            </w:r>
            <w:r>
              <w:rPr>
                <w:rStyle w:val="5"/>
                <w:rFonts w:hint="eastAsia" w:ascii="Times New Roman" w:hAnsi="Times New Roman" w:eastAsia="宋体" w:cs="Times New Roman"/>
                <w:color w:val="000000"/>
                <w:kern w:val="0"/>
                <w:sz w:val="20"/>
                <w:szCs w:val="20"/>
                <w:highlight w:val="none"/>
                <w:lang w:eastAsia="zh-CN" w:bidi="ar"/>
              </w:rPr>
              <w:t>；</w:t>
            </w:r>
            <w:r>
              <w:rPr>
                <w:rStyle w:val="5"/>
                <w:rFonts w:ascii="Times New Roman" w:hAnsi="Times New Roman" w:eastAsia="宋体" w:cs="Times New Roman"/>
                <w:b/>
                <w:bCs/>
                <w:color w:val="000000"/>
                <w:kern w:val="0"/>
                <w:sz w:val="20"/>
                <w:szCs w:val="20"/>
                <w:highlight w:val="none"/>
                <w:lang w:bidi="ar"/>
              </w:rPr>
              <w:br w:type="textWrapping"/>
            </w:r>
            <w:r>
              <w:rPr>
                <w:rStyle w:val="5"/>
                <w:rFonts w:ascii="Times New Roman" w:hAnsi="Times New Roman" w:eastAsia="宋体" w:cs="Times New Roman"/>
                <w:color w:val="000000"/>
                <w:kern w:val="0"/>
                <w:sz w:val="20"/>
                <w:szCs w:val="20"/>
                <w:highlight w:val="none"/>
                <w:lang w:bidi="ar"/>
              </w:rPr>
              <w:t>21.为保障功能的完整性与兼容性，要求与桌面云软件同一品牌</w:t>
            </w:r>
            <w:r>
              <w:rPr>
                <w:rStyle w:val="5"/>
                <w:rFonts w:hint="eastAsia" w:ascii="Times New Roman" w:hAnsi="Times New Roman" w:eastAsia="宋体" w:cs="Times New Roman"/>
                <w:b/>
                <w:bCs/>
                <w:color w:val="000000"/>
                <w:kern w:val="0"/>
                <w:sz w:val="20"/>
                <w:szCs w:val="20"/>
                <w:highlight w:val="none"/>
                <w:lang w:eastAsia="zh-CN" w:bidi="ar"/>
              </w:rPr>
              <w:t>（</w:t>
            </w:r>
            <w:r>
              <w:rPr>
                <w:rStyle w:val="5"/>
                <w:rFonts w:ascii="Times New Roman" w:hAnsi="Times New Roman" w:eastAsia="宋体" w:cs="Times New Roman"/>
                <w:b/>
                <w:bCs/>
                <w:color w:val="000000"/>
                <w:kern w:val="0"/>
                <w:sz w:val="20"/>
                <w:szCs w:val="20"/>
                <w:highlight w:val="none"/>
                <w:lang w:bidi="ar"/>
              </w:rPr>
              <w:t>提供同一品牌承诺函</w:t>
            </w:r>
            <w:r>
              <w:rPr>
                <w:rStyle w:val="5"/>
                <w:rFonts w:hint="eastAsia" w:ascii="Times New Roman" w:hAnsi="Times New Roman" w:eastAsia="宋体" w:cs="Times New Roman"/>
                <w:b/>
                <w:bCs/>
                <w:color w:val="000000"/>
                <w:kern w:val="0"/>
                <w:sz w:val="20"/>
                <w:szCs w:val="20"/>
                <w:highlight w:val="none"/>
                <w:lang w:bidi="ar"/>
              </w:rPr>
              <w:t>并加盖投标人公章</w:t>
            </w:r>
            <w:r>
              <w:rPr>
                <w:rStyle w:val="5"/>
                <w:rFonts w:hint="eastAsia" w:ascii="Times New Roman" w:hAnsi="Times New Roman" w:eastAsia="宋体" w:cs="Times New Roman"/>
                <w:b/>
                <w:bCs/>
                <w:color w:val="000000"/>
                <w:kern w:val="0"/>
                <w:sz w:val="20"/>
                <w:szCs w:val="20"/>
                <w:highlight w:val="none"/>
                <w:lang w:eastAsia="zh-CN" w:bidi="ar"/>
              </w:rPr>
              <w:t>）</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7704724">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c>
          <w:tcPr>
            <w:tcW w:w="530" w:type="dxa"/>
            <w:tcBorders>
              <w:top w:val="single" w:color="000000" w:sz="4" w:space="0"/>
              <w:left w:val="single" w:color="000000" w:sz="4" w:space="0"/>
              <w:bottom w:val="single" w:color="000000" w:sz="4" w:space="0"/>
              <w:right w:val="single" w:color="000000" w:sz="4" w:space="0"/>
            </w:tcBorders>
            <w:noWrap w:val="0"/>
            <w:vAlign w:val="center"/>
          </w:tcPr>
          <w:p w14:paraId="6A005C22">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套</w:t>
            </w:r>
          </w:p>
        </w:tc>
        <w:tc>
          <w:tcPr>
            <w:tcW w:w="670" w:type="dxa"/>
            <w:tcBorders>
              <w:top w:val="single" w:color="000000" w:sz="4" w:space="0"/>
              <w:left w:val="single" w:color="000000" w:sz="4" w:space="0"/>
              <w:bottom w:val="single" w:color="000000" w:sz="4" w:space="0"/>
              <w:right w:val="single" w:color="000000" w:sz="4" w:space="0"/>
            </w:tcBorders>
            <w:noWrap w:val="0"/>
            <w:vAlign w:val="center"/>
          </w:tcPr>
          <w:p w14:paraId="79D85506">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r>
              <w:rPr>
                <w:rStyle w:val="5"/>
                <w:rFonts w:ascii="Times New Roman" w:hAnsi="Times New Roman" w:eastAsia="宋体" w:cs="Times New Roman"/>
                <w:color w:val="000000"/>
                <w:kern w:val="0"/>
                <w:sz w:val="20"/>
                <w:szCs w:val="20"/>
                <w:highlight w:val="none"/>
                <w:lang w:bidi="ar"/>
              </w:rPr>
              <w:t>6</w:t>
            </w:r>
          </w:p>
        </w:tc>
        <w:tc>
          <w:tcPr>
            <w:tcW w:w="409" w:type="dxa"/>
            <w:tcBorders>
              <w:top w:val="single" w:color="000000" w:sz="4" w:space="0"/>
              <w:left w:val="single" w:color="000000" w:sz="4" w:space="0"/>
              <w:bottom w:val="single" w:color="000000" w:sz="4" w:space="0"/>
              <w:right w:val="single" w:color="000000" w:sz="4" w:space="0"/>
            </w:tcBorders>
            <w:noWrap w:val="0"/>
            <w:vAlign w:val="center"/>
          </w:tcPr>
          <w:p w14:paraId="580861E8">
            <w:pPr>
              <w:pStyle w:val="11"/>
              <w:widowControl/>
              <w:spacing w:line="300" w:lineRule="exact"/>
              <w:jc w:val="center"/>
              <w:textAlignment w:val="center"/>
              <w:rPr>
                <w:rStyle w:val="5"/>
                <w:rFonts w:ascii="Times New Roman" w:hAnsi="Times New Roman" w:eastAsia="宋体" w:cs="Times New Roman"/>
                <w:color w:val="000000"/>
                <w:sz w:val="20"/>
                <w:szCs w:val="20"/>
                <w:highlight w:val="none"/>
              </w:rPr>
            </w:pPr>
          </w:p>
        </w:tc>
      </w:tr>
    </w:tbl>
    <w:p w14:paraId="20640523">
      <w:pPr>
        <w:pStyle w:val="7"/>
        <w:ind w:firstLine="0" w:firstLineChars="0"/>
        <w:rPr>
          <w:rStyle w:val="5"/>
          <w:rFonts w:hint="eastAsia" w:ascii="宋体" w:hAnsi="宋体"/>
          <w:b/>
          <w:bCs w:val="0"/>
          <w:color w:val="auto"/>
          <w:sz w:val="28"/>
          <w:szCs w:val="28"/>
          <w:highlight w:val="none"/>
          <w:lang w:val="en-US" w:eastAsia="zh-CN"/>
        </w:rPr>
      </w:pPr>
      <w:r>
        <w:rPr>
          <w:rStyle w:val="5"/>
          <w:rFonts w:hint="eastAsia" w:ascii="宋体" w:hAnsi="宋体"/>
          <w:b/>
          <w:bCs w:val="0"/>
          <w:color w:val="auto"/>
          <w:sz w:val="22"/>
          <w:szCs w:val="22"/>
          <w:highlight w:val="none"/>
          <w:lang w:val="en-US" w:eastAsia="zh-CN"/>
        </w:rPr>
        <w:t>多媒体教学管理软件是按照每间机房一套计算，11间机房，本次新建+利旧总共是5+6套。</w:t>
      </w:r>
    </w:p>
    <w:p w14:paraId="0F66BED7">
      <w:pPr>
        <w:pStyle w:val="7"/>
        <w:ind w:firstLine="0" w:firstLineChars="0"/>
        <w:rPr>
          <w:rStyle w:val="5"/>
          <w:rFonts w:hint="eastAsia" w:ascii="宋体" w:hAnsi="宋体"/>
          <w:b/>
          <w:sz w:val="28"/>
          <w:szCs w:val="28"/>
          <w:highlight w:val="none"/>
          <w:lang w:val="en-US" w:eastAsia="zh-CN"/>
        </w:rPr>
      </w:pPr>
      <w:r>
        <w:rPr>
          <w:rStyle w:val="5"/>
          <w:rFonts w:hint="eastAsia" w:ascii="宋体" w:hAnsi="宋体"/>
          <w:b/>
          <w:sz w:val="28"/>
          <w:szCs w:val="28"/>
          <w:highlight w:val="none"/>
          <w:lang w:val="en-US" w:eastAsia="zh-CN"/>
        </w:rPr>
        <w:t>二、供货服务：</w:t>
      </w:r>
    </w:p>
    <w:p w14:paraId="11315345">
      <w:pPr>
        <w:pStyle w:val="12"/>
        <w:numPr>
          <w:ilvl w:val="0"/>
          <w:numId w:val="0"/>
        </w:numPr>
        <w:spacing w:line="360" w:lineRule="auto"/>
        <w:ind w:firstLine="400" w:firstLineChars="200"/>
        <w:rPr>
          <w:rStyle w:val="5"/>
          <w:rFonts w:hint="eastAsia" w:ascii="宋体" w:hAnsi="宋体" w:eastAsia="宋体" w:cs="宋体"/>
          <w:i w:val="0"/>
          <w:iCs w:val="0"/>
          <w:color w:val="auto"/>
          <w:szCs w:val="21"/>
          <w:highlight w:val="none"/>
          <w:lang w:val="en-US" w:eastAsia="zh-CN" w:bidi="ar-SA"/>
        </w:rPr>
      </w:pPr>
      <w:r>
        <w:rPr>
          <w:rStyle w:val="5"/>
          <w:rFonts w:hint="eastAsia" w:ascii="宋体" w:hAnsi="宋体" w:eastAsia="宋体" w:cs="宋体"/>
          <w:i w:val="0"/>
          <w:iCs w:val="0"/>
          <w:color w:val="auto"/>
          <w:szCs w:val="21"/>
          <w:highlight w:val="none"/>
          <w:lang w:val="en-US" w:eastAsia="zh-CN" w:bidi="ar-SA"/>
        </w:rPr>
        <w:t>1、合同签订后30天内交货，并安装调试合格。</w:t>
      </w:r>
    </w:p>
    <w:p w14:paraId="2C7785A8">
      <w:pPr>
        <w:pStyle w:val="12"/>
        <w:numPr>
          <w:ilvl w:val="0"/>
          <w:numId w:val="0"/>
        </w:numPr>
        <w:spacing w:line="360" w:lineRule="auto"/>
        <w:ind w:firstLine="400" w:firstLineChars="200"/>
        <w:rPr>
          <w:rStyle w:val="5"/>
          <w:rFonts w:hint="eastAsia" w:ascii="宋体" w:hAnsi="宋体" w:eastAsia="宋体" w:cs="宋体"/>
          <w:i w:val="0"/>
          <w:iCs w:val="0"/>
          <w:color w:val="auto"/>
          <w:szCs w:val="21"/>
          <w:highlight w:val="none"/>
          <w:lang w:val="en-US" w:eastAsia="zh-CN" w:bidi="ar-SA"/>
        </w:rPr>
      </w:pPr>
      <w:r>
        <w:rPr>
          <w:rStyle w:val="5"/>
          <w:rFonts w:hint="eastAsia" w:ascii="宋体" w:hAnsi="宋体" w:eastAsia="宋体" w:cs="宋体"/>
          <w:i w:val="0"/>
          <w:iCs w:val="0"/>
          <w:color w:val="auto"/>
          <w:szCs w:val="21"/>
          <w:highlight w:val="none"/>
          <w:lang w:val="en-US" w:eastAsia="zh-CN" w:bidi="ar-SA"/>
        </w:rPr>
        <w:t>2、中标供应商在设备安装前应派人到实地进行场地勘察和确认，确保有关设备安装规范、使用方便、安全、维护便捷等。</w:t>
      </w:r>
    </w:p>
    <w:p w14:paraId="585251E8">
      <w:pPr>
        <w:pStyle w:val="12"/>
        <w:numPr>
          <w:ilvl w:val="0"/>
          <w:numId w:val="0"/>
        </w:numPr>
        <w:spacing w:line="360" w:lineRule="auto"/>
        <w:ind w:firstLine="400" w:firstLineChars="200"/>
        <w:rPr>
          <w:rStyle w:val="5"/>
          <w:rFonts w:hint="eastAsia" w:ascii="宋体" w:hAnsi="宋体" w:eastAsia="宋体" w:cs="宋体"/>
          <w:i w:val="0"/>
          <w:iCs w:val="0"/>
          <w:color w:val="auto"/>
          <w:szCs w:val="21"/>
          <w:highlight w:val="none"/>
          <w:lang w:val="en-US" w:eastAsia="zh-CN" w:bidi="ar-SA"/>
        </w:rPr>
      </w:pPr>
      <w:r>
        <w:rPr>
          <w:rStyle w:val="5"/>
          <w:rFonts w:hint="eastAsia" w:ascii="宋体" w:hAnsi="宋体" w:eastAsia="宋体" w:cs="宋体"/>
          <w:i w:val="0"/>
          <w:iCs w:val="0"/>
          <w:color w:val="auto"/>
          <w:szCs w:val="21"/>
          <w:highlight w:val="none"/>
          <w:lang w:val="en-US" w:eastAsia="zh-CN" w:bidi="ar-SA"/>
        </w:rPr>
        <w:t>3、中标供应商须自行完成指定点设备的运输、卸载、安装和调试等工作，须负责产品在采购人指定地点的保管，直至项目验收合格。经采购人委托的接收点相关人员验收合格后再交付使用。</w:t>
      </w:r>
    </w:p>
    <w:p w14:paraId="167E1A51">
      <w:pPr>
        <w:pStyle w:val="12"/>
        <w:spacing w:line="360" w:lineRule="auto"/>
        <w:ind w:firstLine="0" w:firstLineChars="0"/>
        <w:rPr>
          <w:rStyle w:val="5"/>
          <w:rFonts w:hint="eastAsia" w:ascii="宋体" w:hAnsi="宋体"/>
          <w:b/>
          <w:sz w:val="28"/>
          <w:szCs w:val="28"/>
          <w:highlight w:val="none"/>
          <w:lang w:val="en-US" w:eastAsia="zh-CN"/>
        </w:rPr>
      </w:pPr>
      <w:r>
        <w:rPr>
          <w:rStyle w:val="5"/>
          <w:rFonts w:hint="eastAsia" w:ascii="宋体" w:hAnsi="宋体" w:eastAsia="宋体" w:cs="Times New Roman"/>
          <w:b/>
          <w:kern w:val="2"/>
          <w:sz w:val="28"/>
          <w:szCs w:val="28"/>
          <w:highlight w:val="none"/>
          <w:lang w:val="en-US" w:eastAsia="zh-CN" w:bidi="ar-SA"/>
        </w:rPr>
        <w:t>三、</w:t>
      </w:r>
      <w:r>
        <w:rPr>
          <w:rStyle w:val="5"/>
          <w:rFonts w:hint="default" w:ascii="宋体" w:hAnsi="宋体" w:eastAsia="宋体" w:cs="Times New Roman"/>
          <w:b/>
          <w:kern w:val="2"/>
          <w:sz w:val="28"/>
          <w:szCs w:val="28"/>
          <w:highlight w:val="none"/>
          <w:lang w:val="en-US" w:eastAsia="zh-CN" w:bidi="ar-SA"/>
        </w:rPr>
        <w:t>售后服务</w:t>
      </w:r>
      <w:r>
        <w:rPr>
          <w:rStyle w:val="5"/>
          <w:rFonts w:hint="eastAsia" w:ascii="宋体" w:hAnsi="宋体" w:eastAsia="宋体"/>
          <w:b/>
          <w:kern w:val="2"/>
          <w:sz w:val="28"/>
          <w:szCs w:val="28"/>
          <w:highlight w:val="none"/>
          <w:lang w:val="en-US" w:eastAsia="zh-CN"/>
        </w:rPr>
        <w:t>：</w:t>
      </w:r>
    </w:p>
    <w:p w14:paraId="4B9D664B">
      <w:pPr>
        <w:pStyle w:val="12"/>
        <w:numPr>
          <w:ilvl w:val="0"/>
          <w:numId w:val="0"/>
        </w:numPr>
        <w:spacing w:line="360" w:lineRule="auto"/>
        <w:ind w:firstLine="400" w:firstLineChars="200"/>
        <w:rPr>
          <w:rStyle w:val="5"/>
          <w:rFonts w:hint="default" w:ascii="宋体" w:hAnsi="宋体" w:eastAsia="宋体" w:cs="宋体"/>
          <w:i w:val="0"/>
          <w:iCs w:val="0"/>
          <w:color w:val="auto"/>
          <w:szCs w:val="21"/>
          <w:highlight w:val="none"/>
          <w:lang w:val="en-US" w:eastAsia="zh-CN" w:bidi="ar-SA"/>
        </w:rPr>
      </w:pPr>
      <w:r>
        <w:rPr>
          <w:rStyle w:val="5"/>
          <w:rFonts w:hint="eastAsia" w:ascii="宋体" w:hAnsi="宋体" w:eastAsia="宋体" w:cs="宋体"/>
          <w:i w:val="0"/>
          <w:iCs w:val="0"/>
          <w:color w:val="auto"/>
          <w:szCs w:val="21"/>
          <w:highlight w:val="none"/>
          <w:lang w:val="en-US" w:eastAsia="zh-CN" w:bidi="ar-SA"/>
        </w:rPr>
        <w:t>1、项目整体免费质保期为3年，质保期应从安装调试完成并经验收合格之日起算。</w:t>
      </w:r>
    </w:p>
    <w:p w14:paraId="69A48D45">
      <w:pPr>
        <w:pStyle w:val="12"/>
        <w:numPr>
          <w:ilvl w:val="0"/>
          <w:numId w:val="0"/>
        </w:numPr>
        <w:spacing w:line="360" w:lineRule="auto"/>
        <w:ind w:firstLine="400" w:firstLineChars="200"/>
        <w:rPr>
          <w:rStyle w:val="5"/>
          <w:rFonts w:hint="eastAsia" w:ascii="宋体" w:hAnsi="宋体" w:eastAsia="宋体" w:cs="宋体"/>
          <w:i w:val="0"/>
          <w:iCs w:val="0"/>
          <w:color w:val="auto"/>
          <w:szCs w:val="21"/>
          <w:highlight w:val="none"/>
        </w:rPr>
      </w:pPr>
      <w:r>
        <w:rPr>
          <w:rStyle w:val="5"/>
          <w:rFonts w:hint="eastAsia" w:ascii="宋体" w:hAnsi="宋体" w:eastAsia="宋体" w:cs="宋体"/>
          <w:i w:val="0"/>
          <w:iCs w:val="0"/>
          <w:color w:val="auto"/>
          <w:szCs w:val="21"/>
          <w:highlight w:val="none"/>
          <w:lang w:val="en-US" w:eastAsia="zh-CN" w:bidi="ar-SA"/>
        </w:rPr>
        <w:t>2、系统平台运行期间，中标人须提供</w:t>
      </w:r>
      <w:r>
        <w:rPr>
          <w:rStyle w:val="5"/>
          <w:rFonts w:hint="eastAsia" w:ascii="宋体" w:hAnsi="宋体" w:eastAsia="宋体" w:cs="宋体"/>
          <w:i w:val="0"/>
          <w:iCs w:val="0"/>
          <w:color w:val="auto"/>
          <w:kern w:val="2"/>
          <w:sz w:val="21"/>
          <w:szCs w:val="21"/>
          <w:highlight w:val="none"/>
        </w:rPr>
        <w:t>7×24小时的故障服务受理。接到故障处理通知后，2小时内响应，一般故障应在24小时内排除；重大故障应在24小时内响应并提出解决方案，需在48小时内解决排除。</w:t>
      </w:r>
    </w:p>
    <w:p w14:paraId="754E07B1">
      <w:pPr>
        <w:pStyle w:val="12"/>
        <w:numPr>
          <w:ilvl w:val="0"/>
          <w:numId w:val="0"/>
        </w:numPr>
        <w:spacing w:line="360" w:lineRule="auto"/>
        <w:ind w:firstLine="420" w:firstLineChars="200"/>
        <w:rPr>
          <w:rStyle w:val="5"/>
          <w:rFonts w:hint="eastAsia" w:ascii="宋体" w:hAnsi="宋体" w:eastAsia="宋体" w:cs="宋体"/>
          <w:i w:val="0"/>
          <w:iCs w:val="0"/>
          <w:color w:val="auto"/>
          <w:szCs w:val="21"/>
          <w:highlight w:val="none"/>
          <w:lang w:val="en-US" w:eastAsia="zh-CN"/>
        </w:rPr>
      </w:pPr>
      <w:r>
        <w:rPr>
          <w:rStyle w:val="5"/>
          <w:rFonts w:hint="eastAsia" w:ascii="宋体" w:hAnsi="宋体" w:eastAsia="宋体" w:cs="宋体"/>
          <w:i w:val="0"/>
          <w:iCs w:val="0"/>
          <w:color w:val="auto"/>
          <w:kern w:val="2"/>
          <w:sz w:val="21"/>
          <w:szCs w:val="21"/>
          <w:highlight w:val="none"/>
          <w:lang w:val="en-US" w:eastAsia="zh-CN"/>
        </w:rPr>
        <w:t>3、质保期内出现任何质量问题（人为破坏或自然灾害等不可抗力除外），由中标人负责全免费（免全部工时费、材料费、管理费、财务费等等）更换或维修。质保期满后，无论采购人是否另行选择维保供应商，中标人应及时优惠提供所需的备品备件。</w:t>
      </w:r>
    </w:p>
    <w:p w14:paraId="4316AE96">
      <w:pPr>
        <w:pStyle w:val="12"/>
        <w:numPr>
          <w:ilvl w:val="0"/>
          <w:numId w:val="0"/>
        </w:numPr>
        <w:spacing w:line="360" w:lineRule="auto"/>
        <w:ind w:firstLine="420" w:firstLineChars="200"/>
        <w:rPr>
          <w:rStyle w:val="5"/>
          <w:rFonts w:hint="default" w:ascii="宋体" w:hAnsi="宋体" w:eastAsia="宋体" w:cs="宋体"/>
          <w:i w:val="0"/>
          <w:iCs w:val="0"/>
          <w:color w:val="auto"/>
          <w:szCs w:val="21"/>
          <w:highlight w:val="none"/>
          <w:lang w:val="en-US" w:eastAsia="zh-CN"/>
        </w:rPr>
      </w:pPr>
      <w:r>
        <w:rPr>
          <w:rStyle w:val="5"/>
          <w:rFonts w:hint="eastAsia" w:ascii="宋体" w:hAnsi="宋体" w:eastAsia="宋体" w:cs="宋体"/>
          <w:i w:val="0"/>
          <w:iCs w:val="0"/>
          <w:color w:val="auto"/>
          <w:kern w:val="2"/>
          <w:sz w:val="21"/>
          <w:szCs w:val="21"/>
          <w:highlight w:val="none"/>
          <w:lang w:val="en-US" w:eastAsia="zh-CN"/>
        </w:rPr>
        <w:t>4、中标人应免费上门进行定期巡检维护。</w:t>
      </w:r>
    </w:p>
    <w:p w14:paraId="5E917D25">
      <w:pPr>
        <w:pStyle w:val="12"/>
        <w:numPr>
          <w:ilvl w:val="0"/>
          <w:numId w:val="0"/>
        </w:numPr>
        <w:spacing w:line="360" w:lineRule="auto"/>
        <w:ind w:firstLine="420" w:firstLineChars="200"/>
        <w:rPr>
          <w:rStyle w:val="5"/>
          <w:rFonts w:hint="default" w:ascii="宋体" w:hAnsi="宋体" w:eastAsia="宋体" w:cs="宋体"/>
          <w:i w:val="0"/>
          <w:iCs w:val="0"/>
          <w:color w:val="auto"/>
          <w:szCs w:val="21"/>
          <w:highlight w:val="none"/>
          <w:lang w:val="en-US" w:eastAsia="zh-CN"/>
        </w:rPr>
      </w:pPr>
      <w:r>
        <w:rPr>
          <w:rStyle w:val="5"/>
          <w:rFonts w:hint="eastAsia" w:ascii="宋体" w:hAnsi="宋体" w:eastAsia="宋体" w:cs="宋体"/>
          <w:i w:val="0"/>
          <w:iCs w:val="0"/>
          <w:color w:val="auto"/>
          <w:kern w:val="2"/>
          <w:sz w:val="21"/>
          <w:szCs w:val="21"/>
          <w:highlight w:val="none"/>
          <w:lang w:val="en-US" w:eastAsia="zh-CN"/>
        </w:rPr>
        <w:t>5、中标人应配备专业技术人员为采购人提供培训，培训相关费用包含在投标报价中。培训期间发放各类设备使用说明书、培训资料等；中标人上门为采购人培训至少3名操作人员，其培训内容指设备（软件）的基本原理、国产化软硬件基础知识以及相关政策、国产系统部署和常用命令培训、教学系统安装、调试、操作使用和日常保养维修等，使操作人员能熟练独立操作。</w:t>
      </w:r>
    </w:p>
    <w:p w14:paraId="39856AB9">
      <w:pPr>
        <w:pStyle w:val="12"/>
        <w:numPr>
          <w:ilvl w:val="0"/>
          <w:numId w:val="0"/>
        </w:numPr>
        <w:spacing w:line="360" w:lineRule="auto"/>
        <w:ind w:firstLine="0" w:firstLineChars="0"/>
        <w:rPr>
          <w:rStyle w:val="5"/>
          <w:rFonts w:hint="eastAsia" w:ascii="宋体" w:hAnsi="宋体"/>
          <w:b/>
          <w:sz w:val="28"/>
          <w:szCs w:val="28"/>
          <w:highlight w:val="none"/>
          <w:lang w:val="en-US" w:eastAsia="zh-CN"/>
        </w:rPr>
      </w:pPr>
      <w:r>
        <w:rPr>
          <w:rStyle w:val="5"/>
          <w:rFonts w:hint="eastAsia" w:ascii="宋体" w:hAnsi="宋体" w:eastAsia="宋体" w:cs="Times New Roman"/>
          <w:b/>
          <w:kern w:val="2"/>
          <w:sz w:val="28"/>
          <w:szCs w:val="28"/>
          <w:highlight w:val="none"/>
          <w:lang w:val="en-US" w:eastAsia="zh-CN" w:bidi="ar-SA"/>
        </w:rPr>
        <w:t>四、</w:t>
      </w:r>
      <w:r>
        <w:rPr>
          <w:rStyle w:val="5"/>
          <w:rFonts w:hint="default" w:ascii="宋体" w:hAnsi="宋体" w:eastAsia="宋体" w:cs="Times New Roman"/>
          <w:b/>
          <w:kern w:val="2"/>
          <w:sz w:val="28"/>
          <w:szCs w:val="28"/>
          <w:highlight w:val="none"/>
          <w:lang w:val="en-US" w:eastAsia="zh-CN" w:bidi="ar-SA"/>
        </w:rPr>
        <w:t>验收要求</w:t>
      </w:r>
      <w:r>
        <w:rPr>
          <w:rStyle w:val="5"/>
          <w:rFonts w:hint="eastAsia" w:ascii="宋体" w:hAnsi="宋体" w:eastAsia="宋体"/>
          <w:b/>
          <w:kern w:val="2"/>
          <w:sz w:val="28"/>
          <w:szCs w:val="28"/>
          <w:highlight w:val="none"/>
          <w:lang w:val="en-US" w:eastAsia="zh-CN"/>
        </w:rPr>
        <w:t>：</w:t>
      </w:r>
    </w:p>
    <w:p w14:paraId="3952FE5C">
      <w:pPr>
        <w:pStyle w:val="12"/>
        <w:numPr>
          <w:ilvl w:val="0"/>
          <w:numId w:val="0"/>
        </w:numPr>
        <w:spacing w:line="360" w:lineRule="auto"/>
        <w:ind w:firstLine="400" w:firstLineChars="200"/>
        <w:rPr>
          <w:rStyle w:val="5"/>
          <w:rFonts w:hint="eastAsia" w:ascii="宋体" w:hAnsi="宋体" w:eastAsia="宋体" w:cs="宋体"/>
          <w:i w:val="0"/>
          <w:iCs w:val="0"/>
          <w:color w:val="auto"/>
          <w:szCs w:val="21"/>
          <w:highlight w:val="none"/>
          <w:lang w:val="en-US" w:eastAsia="zh-CN" w:bidi="ar-SA"/>
        </w:rPr>
      </w:pPr>
      <w:r>
        <w:rPr>
          <w:rStyle w:val="5"/>
          <w:rFonts w:hint="eastAsia" w:ascii="宋体" w:hAnsi="宋体" w:eastAsia="宋体" w:cs="宋体"/>
          <w:i w:val="0"/>
          <w:iCs w:val="0"/>
          <w:color w:val="auto"/>
          <w:szCs w:val="21"/>
          <w:highlight w:val="none"/>
          <w:lang w:val="en-US" w:eastAsia="zh-CN" w:bidi="ar-SA"/>
        </w:rPr>
        <w:t>1、货物验收须按相关的国际或国家标准和规范及合同要求进行。采购人代表有权参与有关的验收试验，投标人应向采购人验收代表提交试验数据的报告、主要零部件、原材料、原始资料和检查记录等资料，供采购人验收时审查。</w:t>
      </w:r>
    </w:p>
    <w:p w14:paraId="19CE5CC4">
      <w:pPr>
        <w:pStyle w:val="12"/>
        <w:numPr>
          <w:ilvl w:val="0"/>
          <w:numId w:val="0"/>
        </w:numPr>
        <w:spacing w:line="360" w:lineRule="auto"/>
        <w:ind w:firstLine="400" w:firstLineChars="200"/>
        <w:rPr>
          <w:rStyle w:val="5"/>
          <w:rFonts w:hint="eastAsia" w:ascii="宋体" w:hAnsi="宋体" w:eastAsia="宋体" w:cs="宋体"/>
          <w:i w:val="0"/>
          <w:iCs w:val="0"/>
          <w:color w:val="auto"/>
          <w:szCs w:val="21"/>
          <w:highlight w:val="none"/>
          <w:lang w:val="en-US" w:eastAsia="zh-CN" w:bidi="ar-SA"/>
        </w:rPr>
      </w:pPr>
      <w:r>
        <w:rPr>
          <w:rStyle w:val="5"/>
          <w:rFonts w:hint="eastAsia" w:ascii="宋体" w:hAnsi="宋体" w:eastAsia="宋体" w:cs="宋体"/>
          <w:i w:val="0"/>
          <w:iCs w:val="0"/>
          <w:color w:val="auto"/>
          <w:szCs w:val="21"/>
          <w:highlight w:val="none"/>
          <w:lang w:val="en-US" w:eastAsia="zh-CN" w:bidi="ar-SA"/>
        </w:rPr>
        <w:t>2、货物及其材料的各项技术性能必须达到合同和相关技术文件规定的要求，必须符合国家和行业的相关规定和标准。</w:t>
      </w:r>
    </w:p>
    <w:p w14:paraId="167F6360">
      <w:pPr>
        <w:pStyle w:val="12"/>
        <w:numPr>
          <w:ilvl w:val="0"/>
          <w:numId w:val="0"/>
        </w:numPr>
        <w:spacing w:line="360" w:lineRule="auto"/>
        <w:ind w:firstLine="400" w:firstLineChars="200"/>
        <w:rPr>
          <w:rStyle w:val="5"/>
          <w:rFonts w:hint="eastAsia" w:ascii="宋体" w:hAnsi="宋体" w:eastAsia="宋体" w:cs="宋体"/>
          <w:i w:val="0"/>
          <w:iCs w:val="0"/>
          <w:color w:val="auto"/>
          <w:szCs w:val="21"/>
          <w:highlight w:val="none"/>
          <w:lang w:val="en-US" w:eastAsia="zh-CN" w:bidi="ar-SA"/>
        </w:rPr>
      </w:pPr>
      <w:r>
        <w:rPr>
          <w:rStyle w:val="5"/>
          <w:rFonts w:hint="eastAsia" w:ascii="宋体" w:hAnsi="宋体" w:eastAsia="宋体" w:cs="宋体"/>
          <w:i w:val="0"/>
          <w:iCs w:val="0"/>
          <w:color w:val="auto"/>
          <w:szCs w:val="21"/>
          <w:highlight w:val="none"/>
          <w:lang w:val="en-US" w:eastAsia="zh-CN" w:bidi="ar-SA"/>
        </w:rPr>
        <w:t>3、货物的验收由双方代表在采购人的指定地点根据上述验收标准的规定进行。验收费用由中标人承担，验收报告作为申请付款的凭证之一。</w:t>
      </w:r>
    </w:p>
    <w:p w14:paraId="30D86287">
      <w:pPr>
        <w:pStyle w:val="12"/>
        <w:numPr>
          <w:ilvl w:val="0"/>
          <w:numId w:val="0"/>
        </w:numPr>
        <w:spacing w:line="360" w:lineRule="auto"/>
        <w:ind w:firstLine="400" w:firstLineChars="200"/>
        <w:rPr>
          <w:rStyle w:val="5"/>
          <w:rFonts w:hint="eastAsia" w:ascii="宋体" w:hAnsi="宋体" w:eastAsia="宋体" w:cs="宋体"/>
          <w:i w:val="0"/>
          <w:iCs w:val="0"/>
          <w:color w:val="auto"/>
          <w:szCs w:val="21"/>
          <w:highlight w:val="none"/>
          <w:lang w:val="en-US" w:eastAsia="zh-CN" w:bidi="ar-SA"/>
        </w:rPr>
      </w:pPr>
      <w:r>
        <w:rPr>
          <w:rStyle w:val="5"/>
          <w:rFonts w:hint="eastAsia" w:ascii="宋体" w:hAnsi="宋体" w:eastAsia="宋体" w:cs="宋体"/>
          <w:i w:val="0"/>
          <w:iCs w:val="0"/>
          <w:color w:val="auto"/>
          <w:szCs w:val="21"/>
          <w:highlight w:val="none"/>
          <w:lang w:val="en-US" w:eastAsia="zh-CN" w:bidi="ar-SA"/>
        </w:rPr>
        <w:t>4、验收过程中产生纠纷的，由质量技术监督部门认定的检测机构检测,如为中标人原因造成的，由中标人承担全部检测费用；否则，由采购人承担。</w:t>
      </w:r>
    </w:p>
    <w:p w14:paraId="0A20AA8D">
      <w:pPr>
        <w:pStyle w:val="12"/>
        <w:numPr>
          <w:ilvl w:val="0"/>
          <w:numId w:val="0"/>
        </w:numPr>
        <w:spacing w:line="360" w:lineRule="auto"/>
        <w:ind w:firstLine="400" w:firstLineChars="200"/>
        <w:rPr>
          <w:rStyle w:val="5"/>
          <w:rFonts w:hint="eastAsia" w:ascii="宋体" w:hAnsi="宋体" w:eastAsia="宋体" w:cs="宋体"/>
          <w:i w:val="0"/>
          <w:iCs w:val="0"/>
          <w:color w:val="auto"/>
          <w:szCs w:val="21"/>
          <w:highlight w:val="none"/>
          <w:lang w:val="en-US" w:eastAsia="zh-CN" w:bidi="ar-SA"/>
        </w:rPr>
      </w:pPr>
      <w:r>
        <w:rPr>
          <w:rStyle w:val="5"/>
          <w:rFonts w:hint="eastAsia" w:ascii="宋体" w:hAnsi="宋体" w:eastAsia="宋体" w:cs="宋体"/>
          <w:i w:val="0"/>
          <w:iCs w:val="0"/>
          <w:color w:val="auto"/>
          <w:szCs w:val="21"/>
          <w:highlight w:val="none"/>
          <w:lang w:val="en-US" w:eastAsia="zh-CN" w:bidi="ar-SA"/>
        </w:rPr>
        <w:t>5、项目验收不合格，由中标人返工直至合格，有关返工、再行验收，以及给采购人造成的损失等费用由中标人承担。连续两次项目验收不合格的，采购人可终止合同，由此带来的一切损失由中标人承担。</w:t>
      </w:r>
    </w:p>
    <w:p w14:paraId="4A126BA9">
      <w:pPr>
        <w:pStyle w:val="12"/>
        <w:spacing w:line="360" w:lineRule="auto"/>
        <w:ind w:firstLine="0" w:firstLineChars="0"/>
        <w:rPr>
          <w:rStyle w:val="5"/>
          <w:rFonts w:hint="eastAsia" w:ascii="宋体" w:hAnsi="宋体"/>
          <w:b/>
          <w:sz w:val="28"/>
          <w:szCs w:val="28"/>
          <w:highlight w:val="none"/>
          <w:lang w:val="en-US" w:eastAsia="zh-CN"/>
        </w:rPr>
      </w:pPr>
      <w:r>
        <w:rPr>
          <w:rStyle w:val="5"/>
          <w:rFonts w:hint="eastAsia" w:ascii="宋体" w:hAnsi="宋体" w:eastAsia="宋体" w:cs="Times New Roman"/>
          <w:b/>
          <w:kern w:val="2"/>
          <w:sz w:val="28"/>
          <w:szCs w:val="28"/>
          <w:highlight w:val="none"/>
          <w:lang w:val="en-US" w:eastAsia="zh-CN" w:bidi="ar-SA"/>
        </w:rPr>
        <w:t>五、</w:t>
      </w:r>
      <w:r>
        <w:rPr>
          <w:rStyle w:val="5"/>
          <w:rFonts w:hint="default" w:ascii="宋体" w:hAnsi="宋体" w:eastAsia="宋体" w:cs="Times New Roman"/>
          <w:b/>
          <w:kern w:val="2"/>
          <w:sz w:val="28"/>
          <w:szCs w:val="28"/>
          <w:highlight w:val="none"/>
          <w:lang w:val="en-US" w:eastAsia="zh-CN" w:bidi="ar-SA"/>
        </w:rPr>
        <w:t>其他要求</w:t>
      </w:r>
      <w:r>
        <w:rPr>
          <w:rStyle w:val="5"/>
          <w:rFonts w:hint="eastAsia" w:ascii="宋体" w:hAnsi="宋体" w:eastAsia="宋体"/>
          <w:b/>
          <w:kern w:val="2"/>
          <w:sz w:val="28"/>
          <w:szCs w:val="28"/>
          <w:highlight w:val="none"/>
          <w:lang w:val="en-US" w:eastAsia="zh-CN"/>
        </w:rPr>
        <w:t>：</w:t>
      </w:r>
    </w:p>
    <w:p w14:paraId="66CBF329">
      <w:pPr>
        <w:pStyle w:val="12"/>
        <w:numPr>
          <w:ilvl w:val="0"/>
          <w:numId w:val="0"/>
        </w:numPr>
        <w:spacing w:line="360" w:lineRule="auto"/>
        <w:ind w:firstLine="400" w:firstLineChars="200"/>
        <w:rPr>
          <w:rStyle w:val="5"/>
          <w:rFonts w:hint="eastAsia" w:ascii="宋体" w:hAnsi="宋体" w:eastAsia="宋体" w:cs="宋体"/>
          <w:color w:val="auto"/>
          <w:kern w:val="0"/>
          <w:sz w:val="20"/>
          <w:szCs w:val="21"/>
          <w:highlight w:val="none"/>
          <w:lang w:val="en-US" w:eastAsia="zh-CN" w:bidi="ar-SA"/>
        </w:rPr>
      </w:pPr>
      <w:r>
        <w:rPr>
          <w:rStyle w:val="5"/>
          <w:rFonts w:hint="eastAsia" w:ascii="宋体" w:hAnsi="宋体" w:eastAsia="宋体" w:cs="宋体"/>
          <w:color w:val="auto"/>
          <w:sz w:val="20"/>
          <w:szCs w:val="21"/>
          <w:highlight w:val="none"/>
          <w:lang w:val="en-US" w:eastAsia="zh-CN"/>
        </w:rPr>
        <w:t>1</w:t>
      </w:r>
      <w:r>
        <w:rPr>
          <w:rStyle w:val="5"/>
          <w:rFonts w:hint="eastAsia" w:ascii="宋体" w:hAnsi="宋体" w:eastAsia="宋体" w:cs="宋体"/>
          <w:color w:val="auto"/>
          <w:sz w:val="20"/>
          <w:szCs w:val="21"/>
          <w:highlight w:val="none"/>
        </w:rPr>
        <w:t>、</w:t>
      </w:r>
      <w:r>
        <w:rPr>
          <w:rStyle w:val="5"/>
          <w:rFonts w:hint="eastAsia" w:ascii="宋体" w:hAnsi="宋体" w:eastAsia="宋体" w:cs="宋体"/>
          <w:color w:val="auto"/>
          <w:kern w:val="0"/>
          <w:sz w:val="20"/>
          <w:szCs w:val="21"/>
          <w:highlight w:val="none"/>
          <w:lang w:val="en-US" w:eastAsia="zh-CN" w:bidi="ar-SA"/>
        </w:rPr>
        <w:t>本项目采用费用包干方式，投标人应根据项目要求和现场情况，详细列明项目所需费用，如一旦中标，在项目实施中出现任何遗漏，均由中标人提供，采购人不再支付任何费用。</w:t>
      </w:r>
    </w:p>
    <w:p w14:paraId="4164F5E6">
      <w:pPr>
        <w:pStyle w:val="12"/>
        <w:rPr>
          <w:rStyle w:val="5"/>
          <w:rFonts w:hint="default" w:ascii="宋体" w:hAnsi="宋体"/>
          <w:b/>
          <w:sz w:val="28"/>
          <w:szCs w:val="28"/>
          <w:highlight w:val="none"/>
          <w:lang w:val="en-US" w:eastAsia="zh-CN"/>
        </w:rPr>
      </w:pPr>
    </w:p>
    <w:p w14:paraId="113DBAA9">
      <w:pPr>
        <w:pStyle w:val="12"/>
        <w:jc w:val="center"/>
        <w:rPr>
          <w:rStyle w:val="5"/>
          <w:rFonts w:hint="default" w:ascii="宋体" w:hAnsi="宋体" w:eastAsia="宋体" w:cs="Times New Roman"/>
          <w:b/>
          <w:kern w:val="2"/>
          <w:sz w:val="24"/>
          <w:szCs w:val="24"/>
          <w:highlight w:val="none"/>
          <w:lang w:val="en-US" w:eastAsia="zh-CN" w:bidi="ar-SA"/>
        </w:rPr>
      </w:pPr>
      <w:r>
        <w:rPr>
          <w:rStyle w:val="5"/>
          <w:rFonts w:hint="default" w:ascii="宋体" w:hAnsi="宋体" w:eastAsia="宋体" w:cs="Times New Roman"/>
          <w:b/>
          <w:kern w:val="2"/>
          <w:sz w:val="24"/>
          <w:szCs w:val="24"/>
          <w:highlight w:val="none"/>
          <w:lang w:val="en-US" w:eastAsia="zh-CN" w:bidi="ar-SA"/>
        </w:rPr>
        <w:t>对于上述项目要求，投标人应在投标文件中进行响应。</w:t>
      </w:r>
    </w:p>
    <w:p w14:paraId="5C9715E3">
      <w:pPr>
        <w:pStyle w:val="11"/>
        <w:widowControl w:val="0"/>
        <w:jc w:val="both"/>
        <w:rPr>
          <w:rStyle w:val="5"/>
          <w:rFonts w:hint="eastAsia" w:ascii="宋体" w:hAnsi="宋体" w:eastAsia="宋体" w:cs="宋体"/>
          <w:b/>
          <w:bCs/>
          <w:kern w:val="2"/>
          <w:sz w:val="28"/>
          <w:szCs w:val="28"/>
          <w:highlight w:val="none"/>
          <w:lang w:val="en-US" w:eastAsia="zh-CN" w:bidi="ar-SA"/>
        </w:rPr>
      </w:pPr>
    </w:p>
    <w:p w14:paraId="04EC01C2">
      <w:pPr>
        <w:pStyle w:val="12"/>
        <w:jc w:val="center"/>
        <w:rPr>
          <w:rStyle w:val="5"/>
          <w:rFonts w:hint="default" w:ascii="宋体" w:hAnsi="宋体" w:eastAsia="宋体" w:cs="Times New Roman"/>
          <w:b/>
          <w:kern w:val="2"/>
          <w:sz w:val="24"/>
          <w:szCs w:val="24"/>
          <w:highlight w:val="none"/>
          <w:lang w:val="en-US" w:eastAsia="zh-CN" w:bidi="ar-SA"/>
        </w:rPr>
      </w:pPr>
    </w:p>
    <w:p w14:paraId="746EAD6D">
      <w:pPr>
        <w:pStyle w:val="13"/>
        <w:rPr>
          <w:rStyle w:val="5"/>
          <w:rFonts w:hint="eastAsia" w:ascii="宋体" w:hAnsi="宋体" w:eastAsia="宋体" w:cs="宋体"/>
          <w:b/>
          <w:bCs/>
          <w:sz w:val="28"/>
          <w:szCs w:val="28"/>
          <w:highlight w:val="none"/>
          <w:lang w:val="en-US" w:eastAsia="zh-CN"/>
        </w:rPr>
      </w:pPr>
    </w:p>
    <w:p w14:paraId="52021898">
      <w:pPr>
        <w:pStyle w:val="13"/>
        <w:rPr>
          <w:rStyle w:val="5"/>
          <w:rFonts w:ascii="Calibri" w:hAnsi="Calibri" w:eastAsia="宋体" w:cs="Times New Roman"/>
          <w:highlight w:val="none"/>
        </w:rPr>
      </w:pPr>
    </w:p>
    <w:p w14:paraId="580BE836">
      <w:pPr>
        <w:pStyle w:val="7"/>
        <w:rPr>
          <w:rStyle w:val="5"/>
          <w:highlight w:val="none"/>
        </w:rPr>
      </w:pPr>
    </w:p>
    <w:p w14:paraId="363E750E">
      <w:pPr>
        <w:pStyle w:val="2"/>
        <w:rPr>
          <w:rStyle w:val="5"/>
          <w:rFonts w:ascii="Calibri" w:hAnsi="Calibri" w:eastAsia="宋体" w:cs="Times New Roman"/>
          <w:highlight w:val="none"/>
        </w:rPr>
      </w:pPr>
    </w:p>
    <w:p w14:paraId="79ADEC38">
      <w:pPr>
        <w:pStyle w:val="14"/>
        <w:rPr>
          <w:rStyle w:val="5"/>
          <w:rFonts w:ascii="Calibri" w:hAnsi="Calibri"/>
          <w:sz w:val="20"/>
          <w:highlight w:val="none"/>
        </w:rPr>
      </w:pPr>
      <w:r>
        <w:rPr>
          <w:rStyle w:val="5"/>
          <w:rFonts w:hint="eastAsia" w:ascii="Calibri" w:hAnsi="Calibri"/>
          <w:sz w:val="20"/>
          <w:highlight w:val="none"/>
        </w:rPr>
        <w:t xml:space="preserve"> </w:t>
      </w:r>
    </w:p>
    <w:p w14:paraId="780EB450">
      <w:pPr>
        <w:pStyle w:val="11"/>
        <w:rPr>
          <w:rStyle w:val="5"/>
          <w:rFonts w:hint="eastAsia" w:ascii="Calibri" w:hAnsi="Calibri" w:eastAsia="宋体" w:cs="Times New Roman"/>
          <w:color w:val="000080"/>
          <w:sz w:val="20"/>
          <w:highlight w:val="none"/>
        </w:rPr>
      </w:pPr>
      <w:r>
        <w:rPr>
          <w:rStyle w:val="5"/>
          <w:rFonts w:hint="eastAsia" w:ascii="Times New Roman" w:hAnsi="Times New Roman" w:eastAsia="宋体" w:cs="Times New Roman"/>
          <w:color w:val="000080"/>
          <w:sz w:val="20"/>
          <w:highlight w:val="none"/>
        </w:rPr>
        <w:t xml:space="preserve"> </w:t>
      </w:r>
    </w:p>
    <w:p w14:paraId="09128118">
      <w:pPr>
        <w:pStyle w:val="7"/>
        <w:jc w:val="center"/>
        <w:outlineLvl w:val="1"/>
        <w:rPr>
          <w:rStyle w:val="5"/>
          <w:highlight w:val="none"/>
        </w:rPr>
      </w:pPr>
      <w:bookmarkStart w:id="20" w:name="_Toc150348868"/>
      <w:bookmarkStart w:id="21" w:name="_Toc3695"/>
      <w:bookmarkStart w:id="22" w:name="_Toc256000040"/>
      <w:r>
        <w:rPr>
          <w:rStyle w:val="5"/>
          <w:rFonts w:hint="eastAsia" w:ascii="宋体" w:hAnsi="宋体"/>
          <w:b/>
          <w:bCs/>
          <w:sz w:val="28"/>
          <w:szCs w:val="28"/>
          <w:highlight w:val="none"/>
        </w:rPr>
        <w:t>第三节 商务要求</w:t>
      </w:r>
      <w:bookmarkEnd w:id="20"/>
      <w:bookmarkEnd w:id="21"/>
      <w:bookmarkEnd w:id="22"/>
    </w:p>
    <w:tbl>
      <w:tblPr>
        <w:tblStyle w:val="4"/>
        <w:tblW w:w="5000" w:type="pct"/>
        <w:jc w:val="center"/>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Layout w:type="autofit"/>
        <w:tblCellMar>
          <w:top w:w="0" w:type="dxa"/>
          <w:left w:w="108" w:type="dxa"/>
          <w:bottom w:w="0" w:type="dxa"/>
          <w:right w:w="108" w:type="dxa"/>
        </w:tblCellMar>
      </w:tblPr>
      <w:tblGrid>
        <w:gridCol w:w="2446"/>
        <w:gridCol w:w="6076"/>
      </w:tblGrid>
      <w:tr w14:paraId="56A8CF48">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35" w:type="pct"/>
            <w:tcBorders>
              <w:top w:val="double" w:color="auto" w:sz="2" w:space="0"/>
              <w:left w:val="double" w:color="auto" w:sz="2" w:space="0"/>
              <w:bottom w:val="single" w:color="auto" w:sz="4" w:space="0"/>
              <w:right w:val="single" w:color="auto" w:sz="4" w:space="0"/>
            </w:tcBorders>
            <w:noWrap w:val="0"/>
            <w:vAlign w:val="center"/>
          </w:tcPr>
          <w:p w14:paraId="42BADC66">
            <w:pPr>
              <w:pStyle w:val="10"/>
              <w:widowControl/>
              <w:spacing w:line="360" w:lineRule="exact"/>
              <w:jc w:val="center"/>
              <w:rPr>
                <w:rStyle w:val="5"/>
                <w:b/>
                <w:bCs/>
                <w:szCs w:val="21"/>
                <w:highlight w:val="none"/>
              </w:rPr>
            </w:pPr>
            <w:r>
              <w:rPr>
                <w:rStyle w:val="5"/>
                <w:rFonts w:hint="eastAsia" w:ascii="Calibri" w:hAnsi="Calibri"/>
                <w:b/>
                <w:bCs/>
                <w:szCs w:val="21"/>
                <w:highlight w:val="none"/>
              </w:rPr>
              <w:t>甲方名称、地址</w:t>
            </w:r>
          </w:p>
        </w:tc>
        <w:tc>
          <w:tcPr>
            <w:tcW w:w="3564" w:type="pct"/>
            <w:tcBorders>
              <w:top w:val="double" w:color="auto" w:sz="2" w:space="0"/>
              <w:left w:val="single" w:color="auto" w:sz="4" w:space="0"/>
              <w:bottom w:val="single" w:color="auto" w:sz="4" w:space="0"/>
              <w:right w:val="double" w:color="auto" w:sz="2" w:space="0"/>
            </w:tcBorders>
            <w:noWrap w:val="0"/>
            <w:vAlign w:val="center"/>
          </w:tcPr>
          <w:p w14:paraId="01A317A8">
            <w:pPr>
              <w:pStyle w:val="10"/>
              <w:widowControl/>
              <w:spacing w:line="360" w:lineRule="exact"/>
              <w:jc w:val="left"/>
              <w:rPr>
                <w:rStyle w:val="5"/>
                <w:rFonts w:hint="eastAsia" w:eastAsia="宋体"/>
                <w:szCs w:val="21"/>
                <w:highlight w:val="none"/>
                <w:lang w:eastAsia="zh-CN"/>
              </w:rPr>
            </w:pPr>
            <w:r>
              <w:rPr>
                <w:rStyle w:val="5"/>
                <w:rFonts w:hint="eastAsia" w:ascii="Calibri" w:hAnsi="Calibri"/>
                <w:szCs w:val="21"/>
                <w:highlight w:val="none"/>
              </w:rPr>
              <w:t>名称：</w:t>
            </w:r>
            <w:r>
              <w:rPr>
                <w:rStyle w:val="5"/>
                <w:rFonts w:hint="eastAsia" w:ascii="Calibri" w:hAnsi="Calibri"/>
                <w:szCs w:val="21"/>
                <w:highlight w:val="none"/>
                <w:lang w:eastAsia="zh-CN"/>
              </w:rPr>
              <w:t>湖南工学院</w:t>
            </w:r>
          </w:p>
          <w:p w14:paraId="4DAF86CB">
            <w:pPr>
              <w:pStyle w:val="10"/>
              <w:widowControl/>
              <w:spacing w:line="360" w:lineRule="exact"/>
              <w:jc w:val="left"/>
              <w:rPr>
                <w:rStyle w:val="5"/>
                <w:szCs w:val="21"/>
                <w:highlight w:val="none"/>
              </w:rPr>
            </w:pPr>
            <w:r>
              <w:rPr>
                <w:rStyle w:val="5"/>
                <w:rFonts w:hint="eastAsia" w:ascii="Calibri" w:hAnsi="Calibri"/>
                <w:szCs w:val="21"/>
                <w:highlight w:val="none"/>
              </w:rPr>
              <w:t>地址：湖南省衡阳市珠晖区衡花路18号</w:t>
            </w:r>
          </w:p>
        </w:tc>
      </w:tr>
      <w:tr w14:paraId="5652A858">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35" w:type="pct"/>
            <w:tcBorders>
              <w:top w:val="single" w:color="auto" w:sz="4" w:space="0"/>
              <w:left w:val="double" w:color="auto" w:sz="2" w:space="0"/>
              <w:bottom w:val="single" w:color="auto" w:sz="4" w:space="0"/>
              <w:right w:val="single" w:color="auto" w:sz="4" w:space="0"/>
            </w:tcBorders>
            <w:noWrap w:val="0"/>
            <w:vAlign w:val="center"/>
          </w:tcPr>
          <w:p w14:paraId="06563867">
            <w:pPr>
              <w:pStyle w:val="10"/>
              <w:widowControl/>
              <w:spacing w:line="360" w:lineRule="exact"/>
              <w:jc w:val="center"/>
              <w:rPr>
                <w:rStyle w:val="5"/>
                <w:b/>
                <w:bCs/>
                <w:szCs w:val="21"/>
                <w:highlight w:val="none"/>
              </w:rPr>
            </w:pPr>
            <w:r>
              <w:rPr>
                <w:rStyle w:val="5"/>
                <w:rFonts w:hint="eastAsia" w:ascii="Calibri" w:hAnsi="Calibri"/>
                <w:b/>
                <w:bCs/>
                <w:szCs w:val="21"/>
                <w:highlight w:val="none"/>
              </w:rPr>
              <w:t>项目现场</w:t>
            </w:r>
          </w:p>
        </w:tc>
        <w:tc>
          <w:tcPr>
            <w:tcW w:w="3564" w:type="pct"/>
            <w:tcBorders>
              <w:top w:val="single" w:color="auto" w:sz="4" w:space="0"/>
              <w:left w:val="single" w:color="auto" w:sz="4" w:space="0"/>
              <w:bottom w:val="single" w:color="auto" w:sz="4" w:space="0"/>
              <w:right w:val="double" w:color="auto" w:sz="2" w:space="0"/>
            </w:tcBorders>
            <w:noWrap w:val="0"/>
            <w:vAlign w:val="center"/>
          </w:tcPr>
          <w:p w14:paraId="4F64E3BA">
            <w:pPr>
              <w:pStyle w:val="10"/>
              <w:widowControl/>
              <w:spacing w:line="360" w:lineRule="exact"/>
              <w:jc w:val="left"/>
              <w:rPr>
                <w:rStyle w:val="5"/>
                <w:szCs w:val="21"/>
                <w:highlight w:val="none"/>
              </w:rPr>
            </w:pPr>
            <w:r>
              <w:rPr>
                <w:rStyle w:val="5"/>
                <w:rFonts w:hint="eastAsia" w:ascii="Calibri" w:hAnsi="Calibri"/>
                <w:szCs w:val="21"/>
                <w:highlight w:val="none"/>
              </w:rPr>
              <w:t>采购人指定地点</w:t>
            </w:r>
          </w:p>
        </w:tc>
      </w:tr>
      <w:tr w14:paraId="539D9067">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35" w:type="pct"/>
            <w:tcBorders>
              <w:top w:val="single" w:color="auto" w:sz="4" w:space="0"/>
              <w:left w:val="double" w:color="auto" w:sz="2" w:space="0"/>
              <w:bottom w:val="single" w:color="auto" w:sz="4" w:space="0"/>
              <w:right w:val="single" w:color="auto" w:sz="4" w:space="0"/>
            </w:tcBorders>
            <w:noWrap w:val="0"/>
            <w:vAlign w:val="center"/>
          </w:tcPr>
          <w:p w14:paraId="7A939DFD">
            <w:pPr>
              <w:pStyle w:val="10"/>
              <w:widowControl/>
              <w:spacing w:line="360" w:lineRule="exact"/>
              <w:jc w:val="center"/>
              <w:rPr>
                <w:rStyle w:val="5"/>
                <w:b/>
                <w:bCs/>
                <w:szCs w:val="21"/>
                <w:highlight w:val="none"/>
              </w:rPr>
            </w:pPr>
            <w:r>
              <w:rPr>
                <w:rStyle w:val="5"/>
                <w:rFonts w:hint="eastAsia" w:ascii="Calibri" w:hAnsi="Calibri"/>
                <w:b/>
                <w:bCs/>
                <w:szCs w:val="21"/>
                <w:highlight w:val="none"/>
              </w:rPr>
              <w:t>履行合同的时间、</w:t>
            </w:r>
          </w:p>
          <w:p w14:paraId="5F90858E">
            <w:pPr>
              <w:pStyle w:val="10"/>
              <w:widowControl/>
              <w:spacing w:line="360" w:lineRule="exact"/>
              <w:jc w:val="center"/>
              <w:rPr>
                <w:rStyle w:val="5"/>
                <w:b/>
                <w:bCs/>
                <w:szCs w:val="21"/>
                <w:highlight w:val="none"/>
              </w:rPr>
            </w:pPr>
            <w:r>
              <w:rPr>
                <w:rStyle w:val="5"/>
                <w:rFonts w:hint="eastAsia" w:ascii="Calibri" w:hAnsi="Calibri"/>
                <w:b/>
                <w:bCs/>
                <w:szCs w:val="21"/>
                <w:highlight w:val="none"/>
              </w:rPr>
              <w:t>地点及方式</w:t>
            </w:r>
          </w:p>
        </w:tc>
        <w:tc>
          <w:tcPr>
            <w:tcW w:w="3564" w:type="pct"/>
            <w:tcBorders>
              <w:top w:val="single" w:color="auto" w:sz="4" w:space="0"/>
              <w:left w:val="single" w:color="auto" w:sz="4" w:space="0"/>
              <w:bottom w:val="single" w:color="auto" w:sz="4" w:space="0"/>
              <w:right w:val="double" w:color="auto" w:sz="2" w:space="0"/>
            </w:tcBorders>
            <w:noWrap w:val="0"/>
            <w:vAlign w:val="center"/>
          </w:tcPr>
          <w:p w14:paraId="470BC557">
            <w:pPr>
              <w:pStyle w:val="10"/>
              <w:widowControl/>
              <w:spacing w:line="360" w:lineRule="exact"/>
              <w:jc w:val="left"/>
              <w:rPr>
                <w:rStyle w:val="5"/>
                <w:szCs w:val="21"/>
                <w:highlight w:val="none"/>
              </w:rPr>
            </w:pPr>
            <w:r>
              <w:rPr>
                <w:rStyle w:val="5"/>
                <w:rFonts w:hint="eastAsia" w:ascii="Calibri" w:hAnsi="Calibri"/>
                <w:szCs w:val="21"/>
                <w:highlight w:val="none"/>
              </w:rPr>
              <w:t>交货时间：合同签定后</w:t>
            </w:r>
            <w:r>
              <w:rPr>
                <w:rStyle w:val="5"/>
                <w:rFonts w:hint="eastAsia" w:ascii="Calibri" w:hAnsi="Calibri"/>
                <w:szCs w:val="21"/>
                <w:highlight w:val="none"/>
                <w:lang w:val="en-US" w:eastAsia="zh-CN"/>
              </w:rPr>
              <w:t>30</w:t>
            </w:r>
            <w:r>
              <w:rPr>
                <w:rStyle w:val="5"/>
                <w:rFonts w:hint="eastAsia" w:ascii="Calibri" w:hAnsi="Calibri"/>
                <w:szCs w:val="21"/>
                <w:highlight w:val="none"/>
              </w:rPr>
              <w:t>天内交货，并安装调试合格。</w:t>
            </w:r>
          </w:p>
          <w:p w14:paraId="0256D233">
            <w:pPr>
              <w:pStyle w:val="10"/>
              <w:widowControl/>
              <w:spacing w:line="360" w:lineRule="exact"/>
              <w:jc w:val="left"/>
              <w:rPr>
                <w:rStyle w:val="5"/>
                <w:szCs w:val="21"/>
                <w:highlight w:val="none"/>
              </w:rPr>
            </w:pPr>
            <w:r>
              <w:rPr>
                <w:rStyle w:val="5"/>
                <w:rFonts w:hint="eastAsia" w:ascii="Calibri" w:hAnsi="Calibri"/>
                <w:szCs w:val="21"/>
                <w:highlight w:val="none"/>
              </w:rPr>
              <w:t>交货地点：采购人指定地点</w:t>
            </w:r>
          </w:p>
          <w:p w14:paraId="671936B0">
            <w:pPr>
              <w:pStyle w:val="10"/>
              <w:widowControl/>
              <w:spacing w:line="360" w:lineRule="exact"/>
              <w:jc w:val="left"/>
              <w:rPr>
                <w:rStyle w:val="5"/>
                <w:szCs w:val="21"/>
                <w:highlight w:val="none"/>
              </w:rPr>
            </w:pPr>
            <w:r>
              <w:rPr>
                <w:rStyle w:val="5"/>
                <w:rFonts w:hint="eastAsia" w:ascii="Calibri" w:hAnsi="Calibri"/>
                <w:szCs w:val="21"/>
                <w:highlight w:val="none"/>
              </w:rPr>
              <w:t>交货方式：采购人指定方式</w:t>
            </w:r>
          </w:p>
        </w:tc>
      </w:tr>
      <w:tr w14:paraId="0F32488A">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435" w:type="pct"/>
            <w:tcBorders>
              <w:top w:val="single" w:color="auto" w:sz="4" w:space="0"/>
              <w:left w:val="double" w:color="auto" w:sz="2" w:space="0"/>
              <w:bottom w:val="single" w:color="auto" w:sz="4" w:space="0"/>
              <w:right w:val="single" w:color="auto" w:sz="4" w:space="0"/>
            </w:tcBorders>
            <w:noWrap w:val="0"/>
            <w:vAlign w:val="center"/>
          </w:tcPr>
          <w:p w14:paraId="1FED63B7">
            <w:pPr>
              <w:pStyle w:val="10"/>
              <w:widowControl/>
              <w:spacing w:line="360" w:lineRule="exact"/>
              <w:jc w:val="center"/>
              <w:rPr>
                <w:rStyle w:val="5"/>
                <w:b/>
                <w:bCs/>
                <w:szCs w:val="21"/>
                <w:highlight w:val="none"/>
              </w:rPr>
            </w:pPr>
            <w:r>
              <w:rPr>
                <w:rStyle w:val="5"/>
                <w:rFonts w:hint="eastAsia" w:ascii="Calibri" w:hAnsi="Calibri"/>
                <w:b/>
                <w:bCs/>
                <w:szCs w:val="21"/>
                <w:highlight w:val="none"/>
              </w:rPr>
              <w:t>质量保证期</w:t>
            </w:r>
          </w:p>
        </w:tc>
        <w:tc>
          <w:tcPr>
            <w:tcW w:w="3564" w:type="pct"/>
            <w:tcBorders>
              <w:top w:val="single" w:color="auto" w:sz="4" w:space="0"/>
              <w:left w:val="single" w:color="auto" w:sz="4" w:space="0"/>
              <w:bottom w:val="single" w:color="auto" w:sz="4" w:space="0"/>
              <w:right w:val="double" w:color="auto" w:sz="2" w:space="0"/>
            </w:tcBorders>
            <w:noWrap w:val="0"/>
            <w:vAlign w:val="center"/>
          </w:tcPr>
          <w:p w14:paraId="1329406E">
            <w:pPr>
              <w:pStyle w:val="10"/>
              <w:widowControl/>
              <w:spacing w:line="360" w:lineRule="exact"/>
              <w:jc w:val="left"/>
              <w:rPr>
                <w:rStyle w:val="5"/>
                <w:szCs w:val="21"/>
                <w:highlight w:val="none"/>
              </w:rPr>
            </w:pPr>
            <w:r>
              <w:rPr>
                <w:rStyle w:val="5"/>
                <w:rFonts w:hint="eastAsia" w:ascii="Calibri" w:hAnsi="Calibri"/>
                <w:szCs w:val="21"/>
                <w:highlight w:val="none"/>
              </w:rPr>
              <w:t>详见第五章</w:t>
            </w:r>
            <w:r>
              <w:rPr>
                <w:rStyle w:val="5"/>
                <w:rFonts w:ascii="Calibri" w:hAnsi="Calibri"/>
                <w:szCs w:val="21"/>
                <w:highlight w:val="none"/>
              </w:rPr>
              <w:t>“</w:t>
            </w:r>
            <w:r>
              <w:rPr>
                <w:rStyle w:val="5"/>
                <w:rFonts w:hint="eastAsia" w:ascii="Calibri" w:hAnsi="Calibri"/>
                <w:szCs w:val="21"/>
                <w:highlight w:val="none"/>
              </w:rPr>
              <w:t>采购需求</w:t>
            </w:r>
            <w:r>
              <w:rPr>
                <w:rStyle w:val="5"/>
                <w:rFonts w:ascii="Calibri" w:hAnsi="Calibri"/>
                <w:szCs w:val="21"/>
                <w:highlight w:val="none"/>
              </w:rPr>
              <w:t>”</w:t>
            </w:r>
          </w:p>
        </w:tc>
      </w:tr>
      <w:tr w14:paraId="47123330">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435" w:type="pct"/>
            <w:tcBorders>
              <w:top w:val="single" w:color="auto" w:sz="4" w:space="0"/>
              <w:left w:val="double" w:color="auto" w:sz="2" w:space="0"/>
              <w:bottom w:val="single" w:color="auto" w:sz="4" w:space="0"/>
              <w:right w:val="single" w:color="auto" w:sz="4" w:space="0"/>
            </w:tcBorders>
            <w:noWrap w:val="0"/>
            <w:vAlign w:val="center"/>
          </w:tcPr>
          <w:p w14:paraId="0BD6D2A2">
            <w:pPr>
              <w:pStyle w:val="10"/>
              <w:widowControl/>
              <w:spacing w:line="360" w:lineRule="exact"/>
              <w:jc w:val="center"/>
              <w:rPr>
                <w:rStyle w:val="5"/>
                <w:b/>
                <w:bCs/>
                <w:szCs w:val="21"/>
                <w:highlight w:val="none"/>
              </w:rPr>
            </w:pPr>
            <w:r>
              <w:rPr>
                <w:rStyle w:val="5"/>
                <w:rFonts w:hint="eastAsia" w:ascii="Calibri" w:hAnsi="Calibri"/>
                <w:b/>
                <w:bCs/>
                <w:szCs w:val="21"/>
                <w:highlight w:val="none"/>
              </w:rPr>
              <w:t>响应时间</w:t>
            </w:r>
          </w:p>
        </w:tc>
        <w:tc>
          <w:tcPr>
            <w:tcW w:w="3564" w:type="pct"/>
            <w:tcBorders>
              <w:top w:val="single" w:color="auto" w:sz="4" w:space="0"/>
              <w:left w:val="single" w:color="auto" w:sz="4" w:space="0"/>
              <w:bottom w:val="single" w:color="auto" w:sz="4" w:space="0"/>
              <w:right w:val="double" w:color="auto" w:sz="2" w:space="0"/>
            </w:tcBorders>
            <w:noWrap w:val="0"/>
            <w:vAlign w:val="center"/>
          </w:tcPr>
          <w:p w14:paraId="3057D8AA">
            <w:pPr>
              <w:pStyle w:val="10"/>
              <w:widowControl/>
              <w:spacing w:line="360" w:lineRule="exact"/>
              <w:jc w:val="left"/>
              <w:rPr>
                <w:rStyle w:val="5"/>
                <w:szCs w:val="21"/>
                <w:highlight w:val="none"/>
              </w:rPr>
            </w:pPr>
            <w:r>
              <w:rPr>
                <w:rStyle w:val="5"/>
                <w:rFonts w:hint="eastAsia" w:ascii="Calibri" w:hAnsi="Calibri"/>
                <w:szCs w:val="21"/>
                <w:highlight w:val="none"/>
              </w:rPr>
              <w:t>详见第五章</w:t>
            </w:r>
            <w:r>
              <w:rPr>
                <w:rStyle w:val="5"/>
                <w:rFonts w:ascii="Calibri" w:hAnsi="Calibri"/>
                <w:szCs w:val="21"/>
                <w:highlight w:val="none"/>
              </w:rPr>
              <w:t>“</w:t>
            </w:r>
            <w:r>
              <w:rPr>
                <w:rStyle w:val="5"/>
                <w:rFonts w:hint="eastAsia" w:ascii="Calibri" w:hAnsi="Calibri"/>
                <w:szCs w:val="21"/>
                <w:highlight w:val="none"/>
              </w:rPr>
              <w:t>采购需求</w:t>
            </w:r>
            <w:r>
              <w:rPr>
                <w:rStyle w:val="5"/>
                <w:rFonts w:ascii="Calibri" w:hAnsi="Calibri"/>
                <w:szCs w:val="21"/>
                <w:highlight w:val="none"/>
              </w:rPr>
              <w:t>”</w:t>
            </w:r>
          </w:p>
        </w:tc>
      </w:tr>
      <w:tr w14:paraId="4663B658">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35" w:type="pct"/>
            <w:tcBorders>
              <w:top w:val="single" w:color="auto" w:sz="4" w:space="0"/>
              <w:left w:val="double" w:color="auto" w:sz="2" w:space="0"/>
              <w:bottom w:val="single" w:color="auto" w:sz="4" w:space="0"/>
              <w:right w:val="single" w:color="auto" w:sz="4" w:space="0"/>
            </w:tcBorders>
            <w:noWrap w:val="0"/>
            <w:vAlign w:val="center"/>
          </w:tcPr>
          <w:p w14:paraId="5851453B">
            <w:pPr>
              <w:pStyle w:val="10"/>
              <w:widowControl/>
              <w:spacing w:line="360" w:lineRule="exact"/>
              <w:jc w:val="center"/>
              <w:rPr>
                <w:rStyle w:val="5"/>
                <w:b/>
                <w:bCs/>
                <w:szCs w:val="21"/>
                <w:highlight w:val="none"/>
              </w:rPr>
            </w:pPr>
            <w:r>
              <w:rPr>
                <w:rStyle w:val="5"/>
                <w:rFonts w:hint="eastAsia" w:ascii="Calibri" w:hAnsi="Calibri"/>
                <w:b/>
                <w:bCs/>
                <w:szCs w:val="21"/>
                <w:highlight w:val="none"/>
              </w:rPr>
              <w:t>合同价款支付方式和条件</w:t>
            </w:r>
          </w:p>
        </w:tc>
        <w:tc>
          <w:tcPr>
            <w:tcW w:w="3564" w:type="pct"/>
            <w:tcBorders>
              <w:top w:val="single" w:color="auto" w:sz="4" w:space="0"/>
              <w:left w:val="single" w:color="auto" w:sz="4" w:space="0"/>
              <w:bottom w:val="single" w:color="auto" w:sz="4" w:space="0"/>
              <w:right w:val="double" w:color="auto" w:sz="2" w:space="0"/>
            </w:tcBorders>
            <w:noWrap w:val="0"/>
            <w:vAlign w:val="center"/>
          </w:tcPr>
          <w:p w14:paraId="2E6F26E2">
            <w:pPr>
              <w:pStyle w:val="6"/>
              <w:widowControl w:val="0"/>
              <w:adjustRightInd w:val="0"/>
              <w:snapToGrid w:val="0"/>
              <w:spacing w:line="360" w:lineRule="exact"/>
              <w:jc w:val="left"/>
              <w:rPr>
                <w:rStyle w:val="5"/>
                <w:rFonts w:ascii="宋体" w:hAnsi="宋体" w:cs="宋体"/>
                <w:kern w:val="2"/>
                <w:sz w:val="21"/>
                <w:szCs w:val="22"/>
                <w:highlight w:val="none"/>
                <w:lang w:val="en-US" w:eastAsia="zh-CN" w:bidi="ar-SA"/>
              </w:rPr>
            </w:pPr>
            <w:r>
              <w:rPr>
                <w:rStyle w:val="5"/>
                <w:rFonts w:hint="eastAsia" w:ascii="宋体" w:hAnsi="宋体" w:cs="宋体"/>
                <w:kern w:val="2"/>
                <w:sz w:val="21"/>
                <w:szCs w:val="22"/>
                <w:highlight w:val="none"/>
                <w:lang w:val="en-US" w:eastAsia="zh-CN" w:bidi="ar-SA"/>
              </w:rPr>
              <w:t>支付人：湖南工学院</w:t>
            </w:r>
          </w:p>
          <w:p w14:paraId="26FF91E8">
            <w:pPr>
              <w:pStyle w:val="10"/>
              <w:widowControl/>
              <w:spacing w:line="360" w:lineRule="exact"/>
              <w:jc w:val="left"/>
              <w:rPr>
                <w:rStyle w:val="5"/>
                <w:rFonts w:hint="eastAsia"/>
                <w:color w:val="auto"/>
                <w:highlight w:val="none"/>
              </w:rPr>
            </w:pPr>
            <w:r>
              <w:rPr>
                <w:rStyle w:val="5"/>
                <w:rFonts w:hint="eastAsia" w:ascii="宋体" w:hAnsi="宋体" w:cs="宋体"/>
                <w:kern w:val="2"/>
                <w:sz w:val="21"/>
                <w:szCs w:val="22"/>
                <w:highlight w:val="none"/>
                <w:lang w:val="en-US" w:eastAsia="zh-CN" w:bidi="ar-SA"/>
              </w:rPr>
              <w:t>支付方式：</w:t>
            </w:r>
            <w:r>
              <w:rPr>
                <w:rStyle w:val="5"/>
                <w:rFonts w:hint="eastAsia" w:ascii="Calibri" w:hAnsi="Calibri"/>
                <w:highlight w:val="none"/>
              </w:rPr>
              <w:t>合同签订后采购人</w:t>
            </w:r>
            <w:r>
              <w:rPr>
                <w:rStyle w:val="5"/>
                <w:rFonts w:hint="eastAsia" w:ascii="Calibri" w:hAnsi="Calibri"/>
                <w:highlight w:val="none"/>
                <w:lang w:val="en-US" w:eastAsia="zh-CN"/>
              </w:rPr>
              <w:t>向中标人</w:t>
            </w:r>
            <w:r>
              <w:rPr>
                <w:rStyle w:val="5"/>
                <w:rFonts w:hint="eastAsia" w:ascii="Calibri" w:hAnsi="Calibri"/>
                <w:highlight w:val="none"/>
              </w:rPr>
              <w:t>预付合同总价的30%，验收合格后采购人向</w:t>
            </w:r>
            <w:r>
              <w:rPr>
                <w:rStyle w:val="5"/>
                <w:rFonts w:hint="eastAsia" w:ascii="Calibri" w:hAnsi="Calibri"/>
                <w:highlight w:val="none"/>
                <w:lang w:val="en-US" w:eastAsia="zh-CN"/>
              </w:rPr>
              <w:t>中标人</w:t>
            </w:r>
            <w:r>
              <w:rPr>
                <w:rStyle w:val="5"/>
                <w:rFonts w:hint="eastAsia" w:ascii="Calibri" w:hAnsi="Calibri"/>
                <w:highlight w:val="none"/>
              </w:rPr>
              <w:t>支付合同总价的65%，</w:t>
            </w:r>
            <w:r>
              <w:rPr>
                <w:rStyle w:val="5"/>
                <w:rFonts w:hint="eastAsia" w:ascii="Calibri" w:hAnsi="Calibri"/>
                <w:color w:val="auto"/>
                <w:highlight w:val="none"/>
              </w:rPr>
              <w:t>本项目质保期满且确保无质量问题及其他经济法律纠纷后，采购人向中标人支付合同总价的5%。</w:t>
            </w:r>
          </w:p>
          <w:p w14:paraId="098EAE56">
            <w:pPr>
              <w:pStyle w:val="10"/>
              <w:widowControl/>
              <w:spacing w:line="360" w:lineRule="exact"/>
              <w:jc w:val="left"/>
              <w:rPr>
                <w:rStyle w:val="5"/>
                <w:szCs w:val="21"/>
                <w:highlight w:val="none"/>
              </w:rPr>
            </w:pPr>
            <w:r>
              <w:rPr>
                <w:rStyle w:val="5"/>
                <w:rFonts w:hint="eastAsia" w:ascii="宋体" w:hAnsi="宋体" w:cs="宋体"/>
                <w:kern w:val="2"/>
                <w:sz w:val="21"/>
                <w:szCs w:val="22"/>
                <w:highlight w:val="none"/>
                <w:lang w:val="en-US" w:eastAsia="zh-CN" w:bidi="ar-SA"/>
              </w:rPr>
              <w:t>本项目采用费用包干方式，投标人应根据项目要求和现场情况，详细列明项目所需费用，如一旦中标，在项目实施中出现任何遗漏，均由中标人提供，采购人不再支付任何费用。</w:t>
            </w:r>
          </w:p>
        </w:tc>
      </w:tr>
      <w:tr w14:paraId="564C2B06">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435" w:type="pct"/>
            <w:tcBorders>
              <w:top w:val="single" w:color="auto" w:sz="4" w:space="0"/>
              <w:left w:val="double" w:color="auto" w:sz="2" w:space="0"/>
              <w:bottom w:val="single" w:color="auto" w:sz="4" w:space="0"/>
              <w:right w:val="single" w:color="auto" w:sz="4" w:space="0"/>
            </w:tcBorders>
            <w:noWrap w:val="0"/>
            <w:vAlign w:val="center"/>
          </w:tcPr>
          <w:p w14:paraId="7DD841B6">
            <w:pPr>
              <w:pStyle w:val="10"/>
              <w:widowControl/>
              <w:spacing w:line="360" w:lineRule="exact"/>
              <w:jc w:val="center"/>
              <w:rPr>
                <w:rStyle w:val="5"/>
                <w:b/>
                <w:bCs/>
                <w:szCs w:val="21"/>
                <w:highlight w:val="none"/>
              </w:rPr>
            </w:pPr>
            <w:r>
              <w:rPr>
                <w:rStyle w:val="5"/>
                <w:rFonts w:hint="eastAsia" w:ascii="Calibri" w:hAnsi="Calibri"/>
                <w:b/>
                <w:bCs/>
                <w:szCs w:val="21"/>
                <w:highlight w:val="none"/>
              </w:rPr>
              <w:t>乙方提供的其他服务</w:t>
            </w:r>
          </w:p>
        </w:tc>
        <w:tc>
          <w:tcPr>
            <w:tcW w:w="3564" w:type="pct"/>
            <w:tcBorders>
              <w:top w:val="single" w:color="auto" w:sz="4" w:space="0"/>
              <w:left w:val="single" w:color="auto" w:sz="4" w:space="0"/>
              <w:bottom w:val="single" w:color="auto" w:sz="4" w:space="0"/>
              <w:right w:val="double" w:color="auto" w:sz="2" w:space="0"/>
            </w:tcBorders>
            <w:noWrap w:val="0"/>
            <w:vAlign w:val="center"/>
          </w:tcPr>
          <w:p w14:paraId="7B08A856">
            <w:pPr>
              <w:pStyle w:val="10"/>
              <w:widowControl/>
              <w:spacing w:line="360" w:lineRule="exact"/>
              <w:jc w:val="left"/>
              <w:rPr>
                <w:rStyle w:val="5"/>
                <w:szCs w:val="21"/>
                <w:highlight w:val="none"/>
              </w:rPr>
            </w:pPr>
            <w:r>
              <w:rPr>
                <w:rStyle w:val="5"/>
                <w:rFonts w:hint="eastAsia" w:ascii="Calibri" w:hAnsi="Calibri"/>
                <w:szCs w:val="21"/>
                <w:highlight w:val="none"/>
              </w:rPr>
              <w:t>详见第五章</w:t>
            </w:r>
            <w:r>
              <w:rPr>
                <w:rStyle w:val="5"/>
                <w:rFonts w:ascii="Calibri" w:hAnsi="Calibri"/>
                <w:szCs w:val="21"/>
                <w:highlight w:val="none"/>
              </w:rPr>
              <w:t>“</w:t>
            </w:r>
            <w:r>
              <w:rPr>
                <w:rStyle w:val="5"/>
                <w:rFonts w:hint="eastAsia" w:ascii="Calibri" w:hAnsi="Calibri"/>
                <w:szCs w:val="21"/>
                <w:highlight w:val="none"/>
              </w:rPr>
              <w:t>采购需求</w:t>
            </w:r>
            <w:r>
              <w:rPr>
                <w:rStyle w:val="5"/>
                <w:rFonts w:ascii="Calibri" w:hAnsi="Calibri"/>
                <w:szCs w:val="21"/>
                <w:highlight w:val="none"/>
              </w:rPr>
              <w:t>”</w:t>
            </w:r>
          </w:p>
        </w:tc>
      </w:tr>
      <w:tr w14:paraId="435A4B17">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35" w:type="pct"/>
            <w:tcBorders>
              <w:top w:val="single" w:color="auto" w:sz="4" w:space="0"/>
              <w:left w:val="double" w:color="auto" w:sz="2" w:space="0"/>
              <w:bottom w:val="single" w:color="auto" w:sz="4" w:space="0"/>
              <w:right w:val="single" w:color="auto" w:sz="4" w:space="0"/>
            </w:tcBorders>
            <w:noWrap w:val="0"/>
            <w:vAlign w:val="center"/>
          </w:tcPr>
          <w:p w14:paraId="74C2EBFE">
            <w:pPr>
              <w:pStyle w:val="10"/>
              <w:widowControl/>
              <w:spacing w:line="360" w:lineRule="exact"/>
              <w:jc w:val="center"/>
              <w:rPr>
                <w:rStyle w:val="5"/>
                <w:b/>
                <w:bCs/>
                <w:szCs w:val="21"/>
                <w:highlight w:val="none"/>
              </w:rPr>
            </w:pPr>
            <w:r>
              <w:rPr>
                <w:rStyle w:val="5"/>
                <w:rFonts w:hint="eastAsia" w:ascii="Calibri" w:hAnsi="Calibri"/>
                <w:b/>
                <w:bCs/>
                <w:szCs w:val="21"/>
                <w:highlight w:val="none"/>
              </w:rPr>
              <w:t>解决争议的方式</w:t>
            </w:r>
          </w:p>
        </w:tc>
        <w:tc>
          <w:tcPr>
            <w:tcW w:w="3564" w:type="pct"/>
            <w:tcBorders>
              <w:top w:val="single" w:color="auto" w:sz="4" w:space="0"/>
              <w:left w:val="single" w:color="auto" w:sz="4" w:space="0"/>
              <w:bottom w:val="single" w:color="auto" w:sz="4" w:space="0"/>
              <w:right w:val="double" w:color="auto" w:sz="2" w:space="0"/>
            </w:tcBorders>
            <w:noWrap w:val="0"/>
            <w:vAlign w:val="center"/>
          </w:tcPr>
          <w:p w14:paraId="4744174A">
            <w:pPr>
              <w:pStyle w:val="10"/>
              <w:widowControl/>
              <w:spacing w:line="360" w:lineRule="exact"/>
              <w:jc w:val="left"/>
              <w:rPr>
                <w:rStyle w:val="5"/>
                <w:szCs w:val="21"/>
                <w:highlight w:val="none"/>
              </w:rPr>
            </w:pPr>
            <w:r>
              <w:rPr>
                <w:rStyle w:val="5"/>
                <w:rFonts w:hint="eastAsia" w:ascii="Calibri" w:hAnsi="Calibri"/>
                <w:szCs w:val="21"/>
                <w:highlight w:val="none"/>
              </w:rPr>
              <w:t>☑诉讼</w:t>
            </w:r>
          </w:p>
          <w:p w14:paraId="7AC4D037">
            <w:pPr>
              <w:pStyle w:val="10"/>
              <w:widowControl/>
              <w:spacing w:line="360" w:lineRule="exact"/>
              <w:jc w:val="left"/>
              <w:rPr>
                <w:rStyle w:val="5"/>
                <w:szCs w:val="21"/>
                <w:highlight w:val="none"/>
              </w:rPr>
            </w:pPr>
            <w:r>
              <w:rPr>
                <w:rStyle w:val="5"/>
                <w:rFonts w:ascii="Calibri" w:hAnsi="Calibri"/>
                <w:szCs w:val="21"/>
                <w:highlight w:val="none"/>
              </w:rPr>
              <w:t xml:space="preserve">□ </w:t>
            </w:r>
            <w:r>
              <w:rPr>
                <w:rStyle w:val="5"/>
                <w:rFonts w:hint="eastAsia" w:ascii="Calibri" w:hAnsi="Calibri"/>
                <w:szCs w:val="21"/>
                <w:highlight w:val="none"/>
              </w:rPr>
              <w:t>仲裁</w:t>
            </w:r>
          </w:p>
        </w:tc>
      </w:tr>
      <w:tr w14:paraId="36CBFC86">
        <w:tblPrEx>
          <w:tblBorders>
            <w:top w:val="double" w:color="auto" w:sz="2" w:space="0"/>
            <w:left w:val="double" w:color="auto" w:sz="2" w:space="0"/>
            <w:bottom w:val="double" w:color="auto" w:sz="2" w:space="0"/>
            <w:right w:val="double" w:color="auto" w:sz="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35" w:type="pct"/>
            <w:tcBorders>
              <w:top w:val="single" w:color="auto" w:sz="4" w:space="0"/>
              <w:left w:val="double" w:color="auto" w:sz="2" w:space="0"/>
              <w:bottom w:val="double" w:color="auto" w:sz="2" w:space="0"/>
              <w:right w:val="single" w:color="auto" w:sz="4" w:space="0"/>
            </w:tcBorders>
            <w:noWrap w:val="0"/>
            <w:vAlign w:val="center"/>
          </w:tcPr>
          <w:p w14:paraId="58DB3159">
            <w:pPr>
              <w:pStyle w:val="10"/>
              <w:widowControl/>
              <w:spacing w:line="360" w:lineRule="exact"/>
              <w:jc w:val="center"/>
              <w:rPr>
                <w:rStyle w:val="5"/>
                <w:b/>
                <w:bCs/>
                <w:szCs w:val="21"/>
                <w:highlight w:val="none"/>
              </w:rPr>
            </w:pPr>
            <w:r>
              <w:rPr>
                <w:rStyle w:val="5"/>
                <w:rFonts w:hint="eastAsia" w:ascii="Calibri" w:hAnsi="Calibri"/>
                <w:b/>
                <w:bCs/>
                <w:szCs w:val="21"/>
                <w:highlight w:val="none"/>
              </w:rPr>
              <w:t>合同未尽事项</w:t>
            </w:r>
          </w:p>
        </w:tc>
        <w:tc>
          <w:tcPr>
            <w:tcW w:w="3564" w:type="pct"/>
            <w:tcBorders>
              <w:top w:val="single" w:color="auto" w:sz="4" w:space="0"/>
              <w:left w:val="single" w:color="auto" w:sz="4" w:space="0"/>
              <w:bottom w:val="double" w:color="auto" w:sz="2" w:space="0"/>
              <w:right w:val="double" w:color="auto" w:sz="2" w:space="0"/>
            </w:tcBorders>
            <w:noWrap w:val="0"/>
            <w:vAlign w:val="center"/>
          </w:tcPr>
          <w:p w14:paraId="1B6F0799">
            <w:pPr>
              <w:pStyle w:val="10"/>
              <w:adjustRightInd w:val="0"/>
              <w:snapToGrid w:val="0"/>
              <w:spacing w:line="360" w:lineRule="exact"/>
              <w:jc w:val="left"/>
              <w:rPr>
                <w:rStyle w:val="5"/>
                <w:szCs w:val="21"/>
                <w:highlight w:val="none"/>
              </w:rPr>
            </w:pPr>
            <w:r>
              <w:rPr>
                <w:rStyle w:val="5"/>
                <w:rFonts w:ascii="Calibri" w:hAnsi="Calibri"/>
                <w:szCs w:val="21"/>
                <w:highlight w:val="none"/>
              </w:rPr>
              <w:t>1</w:t>
            </w:r>
            <w:r>
              <w:rPr>
                <w:rStyle w:val="5"/>
                <w:rFonts w:hint="eastAsia" w:ascii="Calibri" w:hAnsi="Calibri"/>
                <w:szCs w:val="21"/>
                <w:highlight w:val="none"/>
              </w:rPr>
              <w:t>、详见第五章</w:t>
            </w:r>
            <w:r>
              <w:rPr>
                <w:rStyle w:val="5"/>
                <w:rFonts w:ascii="Calibri" w:hAnsi="Calibri"/>
                <w:szCs w:val="21"/>
                <w:highlight w:val="none"/>
              </w:rPr>
              <w:t>“</w:t>
            </w:r>
            <w:r>
              <w:rPr>
                <w:rStyle w:val="5"/>
                <w:rFonts w:hint="eastAsia" w:ascii="Calibri" w:hAnsi="Calibri"/>
                <w:szCs w:val="21"/>
                <w:highlight w:val="none"/>
              </w:rPr>
              <w:t>采购需求</w:t>
            </w:r>
            <w:r>
              <w:rPr>
                <w:rStyle w:val="5"/>
                <w:rFonts w:ascii="Calibri" w:hAnsi="Calibri"/>
                <w:szCs w:val="21"/>
                <w:highlight w:val="none"/>
              </w:rPr>
              <w:t>”</w:t>
            </w:r>
          </w:p>
          <w:p w14:paraId="103AEE9F">
            <w:pPr>
              <w:pStyle w:val="10"/>
              <w:widowControl/>
              <w:spacing w:line="360" w:lineRule="exact"/>
              <w:jc w:val="left"/>
              <w:rPr>
                <w:rStyle w:val="5"/>
                <w:szCs w:val="21"/>
                <w:highlight w:val="none"/>
              </w:rPr>
            </w:pPr>
            <w:r>
              <w:rPr>
                <w:rStyle w:val="5"/>
                <w:rFonts w:ascii="Calibri" w:hAnsi="Calibri"/>
                <w:szCs w:val="21"/>
                <w:highlight w:val="none"/>
              </w:rPr>
              <w:t>2</w:t>
            </w:r>
            <w:r>
              <w:rPr>
                <w:rStyle w:val="5"/>
                <w:rFonts w:hint="eastAsia" w:ascii="Calibri" w:hAnsi="Calibri"/>
                <w:szCs w:val="21"/>
                <w:highlight w:val="none"/>
              </w:rPr>
              <w:t>、</w:t>
            </w:r>
            <w:r>
              <w:rPr>
                <w:rStyle w:val="5"/>
                <w:rFonts w:ascii="宋体" w:hAnsi="宋体"/>
                <w:szCs w:val="21"/>
                <w:highlight w:val="none"/>
              </w:rPr>
              <w:t>按相关法律法规及合同双方协商拟定。</w:t>
            </w:r>
          </w:p>
        </w:tc>
      </w:tr>
    </w:tbl>
    <w:p w14:paraId="257183C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9958A4"/>
    <w:multiLevelType w:val="multilevel"/>
    <w:tmpl w:val="7C9958A4"/>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7C9958A5"/>
    <w:multiLevelType w:val="singleLevel"/>
    <w:tmpl w:val="7C9958A5"/>
    <w:lvl w:ilvl="0" w:tentative="0">
      <w:start w:val="1"/>
      <w:numFmt w:val="decimal"/>
      <w:lvlText w:val="%1."/>
      <w:lvlJc w:val="left"/>
      <w:pPr>
        <w:tabs>
          <w:tab w:val="left" w:pos="312"/>
        </w:tabs>
      </w:pPr>
    </w:lvl>
  </w:abstractNum>
  <w:abstractNum w:abstractNumId="2">
    <w:nsid w:val="7C9958A6"/>
    <w:multiLevelType w:val="singleLevel"/>
    <w:tmpl w:val="7C9958A6"/>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3OTE2MTIyNzlmODNmMjY1MTRhMzQ1NDhmYWMwZTUifQ=="/>
  </w:docVars>
  <w:rsids>
    <w:rsidRoot w:val="00000000"/>
    <w:rsid w:val="508010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First Indent 2"/>
    <w:next w:val="3"/>
    <w:unhideWhenUsed/>
    <w:qFormat/>
    <w:uiPriority w:val="99"/>
    <w:pPr>
      <w:widowControl w:val="0"/>
      <w:spacing w:after="120"/>
      <w:ind w:left="420" w:leftChars="200" w:firstLine="420" w:firstLineChars="200"/>
      <w:jc w:val="both"/>
    </w:pPr>
    <w:rPr>
      <w:rFonts w:ascii="Times New Roman" w:hAnsi="Times New Roman" w:eastAsia="宋体" w:cs="Times New Roman"/>
      <w:kern w:val="2"/>
      <w:sz w:val="21"/>
      <w:szCs w:val="22"/>
      <w:lang w:val="en-US" w:eastAsia="zh-CN" w:bidi="ar-SA"/>
    </w:rPr>
  </w:style>
  <w:style w:type="paragraph" w:customStyle="1" w:styleId="3">
    <w:name w:val="正文缩进_0"/>
    <w:qFormat/>
    <w:uiPriority w:val="0"/>
    <w:pPr>
      <w:widowControl/>
      <w:ind w:firstLine="420"/>
      <w:jc w:val="left"/>
    </w:pPr>
    <w:rPr>
      <w:rFonts w:ascii="Times New Roman" w:hAnsi="Times New Roman" w:eastAsia="宋体" w:cs="Times New Roman"/>
      <w:kern w:val="0"/>
      <w:sz w:val="20"/>
      <w:szCs w:val="20"/>
      <w:lang w:val="en-US" w:eastAsia="zh-CN" w:bidi="ar-SA"/>
    </w:rPr>
  </w:style>
  <w:style w:type="paragraph" w:customStyle="1" w:styleId="6">
    <w:name w:val="正文_0"/>
    <w:next w:val="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
    <w:name w:val="正文文本_0"/>
    <w:qFormat/>
    <w:uiPriority w:val="0"/>
    <w:pPr>
      <w:widowControl w:val="0"/>
      <w:spacing w:after="120"/>
      <w:jc w:val="both"/>
    </w:pPr>
    <w:rPr>
      <w:rFonts w:ascii="Times New Roman" w:hAnsi="Times New Roman" w:eastAsia="宋体" w:cs="Times New Roman"/>
      <w:kern w:val="2"/>
      <w:sz w:val="21"/>
      <w:szCs w:val="22"/>
      <w:lang w:val="en-US" w:eastAsia="zh-CN" w:bidi="ar-SA"/>
    </w:rPr>
  </w:style>
  <w:style w:type="paragraph" w:customStyle="1" w:styleId="8">
    <w:name w:val="标题 2_0"/>
    <w:next w:val="9"/>
    <w:unhideWhenUsed/>
    <w:qFormat/>
    <w:uiPriority w:val="0"/>
    <w:pPr>
      <w:keepNext/>
      <w:keepLines/>
      <w:widowControl w:val="0"/>
      <w:spacing w:line="360" w:lineRule="auto"/>
      <w:jc w:val="both"/>
      <w:outlineLvl w:val="1"/>
    </w:pPr>
    <w:rPr>
      <w:rFonts w:ascii="Arial" w:hAnsi="Arial" w:eastAsia="宋体" w:cs="Times New Roman"/>
      <w:b/>
      <w:bCs/>
      <w:kern w:val="0"/>
      <w:sz w:val="24"/>
      <w:szCs w:val="32"/>
      <w:lang w:val="en-US" w:eastAsia="zh-CN" w:bidi="ar-SA"/>
    </w:rPr>
  </w:style>
  <w:style w:type="paragraph" w:customStyle="1" w:styleId="9">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
    <w:name w:val="正文_0_0"/>
    <w:next w:val="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1">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
    <w:name w:val="Default_0"/>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13">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4">
    <w:name w:val="正文_2_0_0"/>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2024-09-11T06:47:53Z</dcterms:created>
  <dc:creator>Administrator</dc:creator>
  <cp:lastModifiedBy>tong</cp:lastModifiedBy>
  <dcterms:modified xsi:type="dcterms:W3CDTF">2024-09-11T06:48:01Z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2652DA2223FF4282A78969BD1A9255A1_12</vt:lpwstr>
  </property>
</Properties>
</file>