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版本号：N511301202600003320260509001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集中办公区后勤服务项目政府采购(三次)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N5113012026000033</w:t>
      </w:r>
    </w:p>
    <w:p>
      <w:pPr>
        <w:pStyle w:val="null3"/>
        <w:jc w:val="left"/>
        <w:outlineLvl w:val="2"/>
      </w:pPr>
      <w:r>
        <w:rPr>
          <w:rFonts w:ascii="仿宋_GB2312" w:hAnsi="仿宋_GB2312" w:cs="仿宋_GB2312" w:eastAsia="仿宋_GB2312"/>
          <w:sz w:val="28"/>
          <w:b/>
        </w:rPr>
        <w:t>南充市机关事务管理局</w:t>
      </w:r>
    </w:p>
    <w:p>
      <w:pPr>
        <w:pStyle w:val="null3"/>
        <w:jc w:val="center"/>
        <w:outlineLvl w:val="2"/>
      </w:pPr>
      <w:r>
        <w:rPr>
          <w:rFonts w:ascii="仿宋_GB2312" w:hAnsi="仿宋_GB2312" w:cs="仿宋_GB2312" w:eastAsia="仿宋_GB2312"/>
          <w:sz w:val="28"/>
          <w:b/>
        </w:rPr>
        <w:t>南充市政府采购中心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南充市政府采购中心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南充市机关事务管理局</w:t>
      </w:r>
      <w:r>
        <w:rPr>
          <w:rFonts w:ascii="仿宋_GB2312" w:hAnsi="仿宋_GB2312" w:cs="仿宋_GB2312" w:eastAsia="仿宋_GB2312"/>
        </w:rPr>
        <w:t xml:space="preserve"> 委托，拟对 </w:t>
      </w:r>
      <w:r>
        <w:rPr>
          <w:rFonts w:ascii="仿宋_GB2312" w:hAnsi="仿宋_GB2312" w:cs="仿宋_GB2312" w:eastAsia="仿宋_GB2312"/>
        </w:rPr>
        <w:t>集中办公区后勤服务项目政府采购(三次)</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南充市市本级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N5113012026000033</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集中办公区后勤服务项目政府采购(三次)</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因工作需要，现需对统筹管理集中办公区（1.市委群团大楼办公区；2.市委3号楼办公区；3.市政府3号楼办公区；4.市委党校旧址办公区）的房屋日常维护管理、电梯运行维护、公共设施设备管理（供电设备监控维护、消防系统维护、给排水设备运行维护）、安全维护管理绿化管理、会议服务管理等采购后勤服务，总服务期限三年。</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供应商合同分包的，分包意向协议中分包意向供应商应当为中小企业。接受分包合同的中小企业与分包企业之间不得存在直接控股、管理关系。</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具有《中华人民共和国特种设备生产许可证》（电梯安装、维修类）A级资质证书。（描述：1.若投标人将电梯运行维护服务合同分包，则需承诺提供分包承接的供应商具有有效的《中华人民共和国特种设备生产许可证》（电梯安装、维修类）A级资质证书； 2.若投标人将电梯运行维护服务合同不分包，则需提供投标人具有有效的《中华人民共和国特种设备生产许可证》（电梯安装、维修类）A级资质证书(投标时提供扫描件)。）</w:t>
      </w:r>
    </w:p>
    <w:p>
      <w:pPr>
        <w:pStyle w:val="null3"/>
        <w:jc w:val="left"/>
      </w:pPr>
      <w:r>
        <w:rPr>
          <w:rFonts w:ascii="仿宋_GB2312" w:hAnsi="仿宋_GB2312" w:cs="仿宋_GB2312" w:eastAsia="仿宋_GB2312"/>
        </w:rPr>
        <w:t>2、具有“省级消防技术服务机构管理平台”和“社会消防技术服务信息系统”备案。（描述：1.若投标人将消防设备维护服务合同分包，则需承诺提供分包承接的供应商具有“省级消防技术服务机构管理平台”和“社会消防技术服务信息系统”备案； 2.若投标人将消防设备维护服务合同不分包，则需提供投标人具有的“省级消防技术服务机构管理平台”和“社会消防技术服务信息系统”备案（投标时提供网页截图）。）</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南充市机关事务管理局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南充市顺庆区万年西路2号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637300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彭文隆</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15298206611</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南充市政府采购中心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四川省南充市顺庆区南充市顺庆区涪江路19号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637300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钟女士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咨询电话文件2221768；评审2338861、2666592；开标2928699（区号：0817）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采购包1：8,012,500.00元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开户银行：建行南充市政新区支行</w:t>
              <w:br/>
              <w:t>银行账号：5105 0173 0043 0000 0454</w:t>
              <w:br/>
              <w:t>交款时间：中标通知书发放后，政府采购合同签订前。</w:t>
              <w:br/>
              <w:t>履约保证金退还方式：原账号返回。</w:t>
              <w:br/>
              <w:t>履约保证金退还时间：项目履约验收完成后。</w:t>
              <w:br/>
              <w:t>履约保证金不予退还情形：中标供应商不履行与采购人订立的合同的，履约保证金不予退还。履约保证金不予退还的，将按照有关规定上缴国库。</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南充市机关事务管理局</w:t>
      </w:r>
      <w:r>
        <w:rPr>
          <w:rFonts w:ascii="仿宋_GB2312" w:hAnsi="仿宋_GB2312" w:cs="仿宋_GB2312" w:eastAsia="仿宋_GB2312"/>
        </w:rPr>
        <w:t xml:space="preserve"> 和 </w:t>
      </w:r>
      <w:r>
        <w:rPr>
          <w:rFonts w:ascii="仿宋_GB2312" w:hAnsi="仿宋_GB2312" w:cs="仿宋_GB2312" w:eastAsia="仿宋_GB2312"/>
        </w:rPr>
        <w:t>南充市政府采购中心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南充市机关事务管理局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南充市政府采购中心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本项目以下采购包允许合同分包。</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采购包号</w:t>
            </w:r>
          </w:p>
        </w:tc>
        <w:tc>
          <w:tcPr>
            <w:tcW w:type="dxa" w:w="2076"/>
          </w:tcPr>
          <w:p>
            <w:pPr>
              <w:pStyle w:val="null3"/>
              <w:jc w:val="left"/>
            </w:pPr>
            <w:r>
              <w:rPr>
                <w:rFonts w:ascii="仿宋_GB2312" w:hAnsi="仿宋_GB2312" w:cs="仿宋_GB2312" w:eastAsia="仿宋_GB2312"/>
              </w:rPr>
              <w:t>分包方式</w:t>
            </w:r>
          </w:p>
        </w:tc>
        <w:tc>
          <w:tcPr>
            <w:tcW w:type="dxa" w:w="2076"/>
          </w:tcPr>
          <w:p>
            <w:pPr>
              <w:pStyle w:val="null3"/>
              <w:jc w:val="left"/>
            </w:pPr>
            <w:r>
              <w:rPr>
                <w:rFonts w:ascii="仿宋_GB2312" w:hAnsi="仿宋_GB2312" w:cs="仿宋_GB2312" w:eastAsia="仿宋_GB2312"/>
              </w:rPr>
              <w:t>分包说明</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采购包1</w:t>
            </w:r>
          </w:p>
        </w:tc>
        <w:tc>
          <w:tcPr>
            <w:tcW w:type="dxa" w:w="2076"/>
          </w:tcPr>
          <w:p>
            <w:pPr>
              <w:pStyle w:val="null3"/>
              <w:jc w:val="left"/>
            </w:pPr>
            <w:r>
              <w:rPr>
                <w:rFonts w:ascii="仿宋_GB2312" w:hAnsi="仿宋_GB2312" w:cs="仿宋_GB2312" w:eastAsia="仿宋_GB2312"/>
              </w:rPr>
              <w:t>内容</w:t>
            </w:r>
          </w:p>
        </w:tc>
        <w:tc>
          <w:tcPr>
            <w:tcW w:type="dxa" w:w="2076"/>
          </w:tcPr>
          <w:p>
            <w:pPr>
              <w:pStyle w:val="null3"/>
              <w:jc w:val="left"/>
            </w:pPr>
            <w:r>
              <w:rPr>
                <w:rFonts w:ascii="仿宋_GB2312" w:hAnsi="仿宋_GB2312" w:cs="仿宋_GB2312" w:eastAsia="仿宋_GB2312"/>
              </w:rPr>
              <w:t>本项目允许分包的内容为：电梯维保服务与消防设施设备维护。 （1）若投标人将电梯运行维护服务合同分包，则需承诺提供分包承接的供应商具有有效的《中华人民共和国特种设备生产许可证》（电梯安装、维修类）A级资质证书； （2）若投标人将消防设备维护服务合同分包，则需承诺提供分包承接的供应商具有“省级消防技术服务机构管理平台”和“社会消防技术服务信息系统”备案； （3）电梯运行维护（三年期）分包金额为8万元；消防系统维护（三年期）分包金额为7万元。</w:t>
            </w:r>
          </w:p>
        </w:tc>
      </w:tr>
    </w:tbl>
    <w:p>
      <w:pPr>
        <w:pStyle w:val="null3"/>
        <w:jc w:val="left"/>
      </w:pPr>
      <w:r>
        <w:rPr>
          <w:rFonts w:ascii="仿宋_GB2312" w:hAnsi="仿宋_GB2312" w:cs="仿宋_GB2312" w:eastAsia="仿宋_GB2312"/>
        </w:rPr>
        <w:t>注：</w:t>
      </w:r>
    </w:p>
    <w:p>
      <w:pPr>
        <w:pStyle w:val="null3"/>
        <w:jc w:val="left"/>
      </w:pPr>
      <w:r>
        <w:rPr>
          <w:rFonts w:ascii="仿宋_GB2312" w:hAnsi="仿宋_GB2312" w:cs="仿宋_GB2312" w:eastAsia="仿宋_GB2312"/>
        </w:rPr>
        <w:t xml:space="preserve"> 1.投标人根据招标文件的规定和采购项目的实际情况，拟在中标后将中标项目的非主体、非关键性工作分包的，应当在投标文件中载明分包承担主体，分包承担主体应当具备相应资质条件且不得再次分包。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jc w:val="left"/>
      </w:pPr>
      <w:r>
        <w:rPr>
          <w:rFonts w:ascii="仿宋_GB2312" w:hAnsi="仿宋_GB2312" w:cs="仿宋_GB2312" w:eastAsia="仿宋_GB2312"/>
        </w:rPr>
        <w:t xml:space="preserve"> 2.采购合同实行分包履行的，中标人就采购项目和分包项目向采购人负责，分包供应商就分包项目承担责任。</w:t>
      </w:r>
    </w:p>
    <w:p>
      <w:pPr>
        <w:pStyle w:val="null3"/>
        <w:jc w:val="left"/>
      </w:pPr>
      <w:r>
        <w:rPr>
          <w:rFonts w:ascii="仿宋_GB2312" w:hAnsi="仿宋_GB2312" w:cs="仿宋_GB2312" w:eastAsia="仿宋_GB2312"/>
        </w:rPr>
        <w:t xml:space="preserve"> 3.中小企业依据《政府采购促进中小企业发展管理办法》（财库〔2020〕46号）规定的政策获取政府采购合同后，小型、微型企业不得将合同分包给大型、中型企业，中型企业不得将合同分包给大型企业。</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结合工作安排，采购人组织适时检查验收</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日常工作监督检查考核由采购人相关职能部门负责。采购人按照“南充市机关事务管理局集中统筹管理集中办公区后勤服务验收考核评分表”对供应商予以考核，日常开展督导检查。连续两次考核不合格的，采购人有权单方面中止采购合同，并由供应商承担一切经济损失与相关责任。</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详见采购文件商务条款。</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严格按照《财政部关于进一步加强政府采购需求和履约验收管理的指导意见》（财库〔2016〕205号）等政府采购相关法律法规的要求进行。</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南充市机关事务管理局</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南充市政府采购中心</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南充市政府采购中心</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联系人：彭文隆</w:t>
      </w:r>
    </w:p>
    <w:p>
      <w:pPr>
        <w:pStyle w:val="null3"/>
        <w:jc w:val="left"/>
      </w:pPr>
      <w:r>
        <w:rPr>
          <w:rFonts w:ascii="仿宋_GB2312" w:hAnsi="仿宋_GB2312" w:cs="仿宋_GB2312" w:eastAsia="仿宋_GB2312"/>
        </w:rPr>
        <w:t>联系电话：15298206611</w:t>
      </w:r>
    </w:p>
    <w:p>
      <w:pPr>
        <w:pStyle w:val="null3"/>
        <w:jc w:val="left"/>
      </w:pPr>
      <w:r>
        <w:rPr>
          <w:rFonts w:ascii="仿宋_GB2312" w:hAnsi="仿宋_GB2312" w:cs="仿宋_GB2312" w:eastAsia="仿宋_GB2312"/>
        </w:rPr>
        <w:t>地址：南充市顺庆区万年西路2号</w:t>
      </w:r>
    </w:p>
    <w:p>
      <w:pPr>
        <w:pStyle w:val="null3"/>
        <w:jc w:val="left"/>
      </w:pPr>
      <w:r>
        <w:rPr>
          <w:rFonts w:ascii="仿宋_GB2312" w:hAnsi="仿宋_GB2312" w:cs="仿宋_GB2312" w:eastAsia="仿宋_GB2312"/>
        </w:rPr>
        <w:t>邮编：637300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联系人：现场监督科</w:t>
      </w:r>
    </w:p>
    <w:p>
      <w:pPr>
        <w:pStyle w:val="null3"/>
        <w:jc w:val="left"/>
      </w:pPr>
      <w:r>
        <w:rPr>
          <w:rFonts w:ascii="仿宋_GB2312" w:hAnsi="仿宋_GB2312" w:cs="仿宋_GB2312" w:eastAsia="仿宋_GB2312"/>
        </w:rPr>
        <w:t>联系电话：0817-2697475</w:t>
      </w:r>
    </w:p>
    <w:p>
      <w:pPr>
        <w:pStyle w:val="null3"/>
        <w:jc w:val="left"/>
      </w:pPr>
      <w:r>
        <w:rPr>
          <w:rFonts w:ascii="仿宋_GB2312" w:hAnsi="仿宋_GB2312" w:cs="仿宋_GB2312" w:eastAsia="仿宋_GB2312"/>
        </w:rPr>
        <w:t>地址：四川省南充市顺庆区涪江路19号</w:t>
      </w:r>
    </w:p>
    <w:p>
      <w:pPr>
        <w:pStyle w:val="null3"/>
        <w:jc w:val="left"/>
      </w:pPr>
      <w:r>
        <w:rPr>
          <w:rFonts w:ascii="仿宋_GB2312" w:hAnsi="仿宋_GB2312" w:cs="仿宋_GB2312" w:eastAsia="仿宋_GB2312"/>
        </w:rPr>
        <w:t>邮编：637300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8,012,500.00</w:t>
      </w:r>
    </w:p>
    <w:p>
      <w:pPr>
        <w:pStyle w:val="null3"/>
        <w:jc w:val="left"/>
      </w:pPr>
      <w:r>
        <w:rPr>
          <w:rFonts w:ascii="仿宋_GB2312" w:hAnsi="仿宋_GB2312" w:cs="仿宋_GB2312" w:eastAsia="仿宋_GB2312"/>
        </w:rPr>
        <w:t>采购包最高限价（元）: 8,012,500.00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C21040000 物业管理服务</w:t>
            </w:r>
          </w:p>
        </w:tc>
        <w:tc>
          <w:tcPr>
            <w:tcW w:type="dxa" w:w="821"/>
          </w:tcPr>
          <w:p>
            <w:pPr>
              <w:pStyle w:val="null3"/>
              <w:jc w:val="left"/>
            </w:pPr>
            <w:r>
              <w:rPr>
                <w:rFonts w:ascii="仿宋_GB2312" w:hAnsi="仿宋_GB2312" w:cs="仿宋_GB2312" w:eastAsia="仿宋_GB2312"/>
              </w:rPr>
              <w:t>后勤服务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8,012,500.00</w:t>
            </w:r>
          </w:p>
        </w:tc>
        <w:tc>
          <w:tcPr>
            <w:tcW w:type="dxa" w:w="821"/>
          </w:tcPr>
          <w:p>
            <w:pPr>
              <w:pStyle w:val="null3"/>
              <w:jc w:val="left"/>
            </w:pPr>
            <w:r>
              <w:rPr>
                <w:rFonts w:ascii="仿宋_GB2312" w:hAnsi="仿宋_GB2312" w:cs="仿宋_GB2312" w:eastAsia="仿宋_GB2312"/>
              </w:rPr>
              <w:t>物业管理</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后勤服务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8,012,500.00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标的名称：后勤服务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服务技术参数与性能指标</w:t>
            </w:r>
          </w:p>
        </w:tc>
        <w:tc>
          <w:tcPr>
            <w:tcW w:type="dxa" w:w="5814"/>
          </w:tcPr>
          <w:p>
            <w:pPr>
              <w:pStyle w:val="null3"/>
              <w:jc w:val="both"/>
            </w:pPr>
            <w:r>
              <w:rPr>
                <w:rFonts w:ascii="仿宋_GB2312" w:hAnsi="仿宋_GB2312" w:cs="仿宋_GB2312" w:eastAsia="仿宋_GB2312"/>
                <w:sz w:val="24"/>
                <w:color w:val="000000"/>
              </w:rPr>
              <w:t>一、采购项目服务内容及要求</w:t>
            </w:r>
          </w:p>
          <w:p>
            <w:pPr>
              <w:pStyle w:val="null3"/>
              <w:jc w:val="both"/>
            </w:pPr>
            <w:r>
              <w:rPr>
                <w:rFonts w:ascii="仿宋_GB2312" w:hAnsi="仿宋_GB2312" w:cs="仿宋_GB2312" w:eastAsia="仿宋_GB2312"/>
                <w:sz w:val="24"/>
                <w:color w:val="000000"/>
              </w:rPr>
              <w:t>（一）环境卫生管理：</w:t>
            </w:r>
          </w:p>
          <w:p>
            <w:pPr>
              <w:pStyle w:val="null3"/>
              <w:ind w:firstLine="560"/>
              <w:jc w:val="both"/>
            </w:pPr>
            <w:r>
              <w:rPr>
                <w:rFonts w:ascii="仿宋_GB2312" w:hAnsi="仿宋_GB2312" w:cs="仿宋_GB2312" w:eastAsia="仿宋_GB2312"/>
                <w:sz w:val="24"/>
                <w:color w:val="000000"/>
              </w:rPr>
              <w:t>环境卫生管理的服务范围为除开办公室内以外的所有办公区域及公共场地的日常清洁保养，垃圾等废弃物清理和化粪池清掏等。</w:t>
            </w:r>
          </w:p>
          <w:p>
            <w:pPr>
              <w:pStyle w:val="null3"/>
              <w:ind w:firstLine="56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大厅，过道、走廊、楼梯及楼梯间每日至少清洁1次。大厅、出入口在每天早上上班时间前清洁完毕。保持梯步、扶手栏杆、门框、窗框、指示牌、照明灯等公共区域（公用设施）表面光亮无尘无污渍。大理石、花岗石等材质定期养护，进出口地垫整洁。按需擦拭电梯轿厢门、面板，清拖轿厢地面，保持轿厢内无污渍无粘贴物、无异味，保证电梯轿厢常态化清洁。地面、门槽无垃圾。电器、消防等设施设备每周清洁1次。配电箱、设备机房、消防栓、报警器及开关插座等表面干净，无尘无污迹。监控摄像头、门警器等表面光亮，无尘无污。</w:t>
            </w:r>
          </w:p>
          <w:p>
            <w:pPr>
              <w:pStyle w:val="null3"/>
              <w:ind w:firstLine="56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区域内的停车场、道路、绿化带及景观每日清洁1次。绿地内无杂物，花台、雕塑、景观表面干净无污渍；景观水质清澈无异味无漂浮物，建筑整洁无涂污。及时清理雨水管落水口、排水沟内的杂物，保持排水通畅。</w:t>
            </w:r>
          </w:p>
          <w:p>
            <w:pPr>
              <w:pStyle w:val="null3"/>
              <w:ind w:firstLine="56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卫生间每日全面清洁2次，清扫时悬挂标识，做到洗手台、地面、玻璃、墙壁、换气扇等无灰尘、无污渍、无积印；洁具无尿渍、污物、异味；五金件清洁光亮；垃圾桶内外清洁、无污渍，桶内垃圾每天及时清理。</w:t>
            </w:r>
          </w:p>
          <w:p>
            <w:pPr>
              <w:pStyle w:val="null3"/>
              <w:ind w:firstLine="56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4）露台、屋顶每季度清扫1次，雨季每半月清扫1次；每月巡查1次天台、内天井，有杂物及时清扫。外墙按需清洁，保持洁净无污迹和积尘。</w:t>
            </w:r>
          </w:p>
          <w:p>
            <w:pPr>
              <w:pStyle w:val="null3"/>
              <w:ind w:firstLine="56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5）垃圾桶（箱）摆放合理，桶（箱）身表面干净无污渍，地面无垃圾，垃圾中转区域无明显异味。负责将垃圾及时清运出办公区，确保周边环境卫生干净、清爽。</w:t>
            </w:r>
          </w:p>
          <w:p>
            <w:pPr>
              <w:pStyle w:val="null3"/>
              <w:ind w:firstLine="56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6）公共场所和周围环境定期预防性卫生消杀。每月至少两次采取综合措施除“四害”（苍蝇、蚊子、老鼠、蟑螂），在化学防治中注重合理用药，不使用违禁药品。</w:t>
            </w:r>
          </w:p>
          <w:p>
            <w:pPr>
              <w:pStyle w:val="null3"/>
              <w:ind w:firstLine="56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7）当发现电梯、电源线路等设施设备出现异常情况时，及时报告物管项目经理及时采取措施，特别紧急时可直接报告市机关事务管理局，之后再报告物管项目经理，协助相关人员做好后续工作。</w:t>
            </w:r>
          </w:p>
          <w:p>
            <w:pPr>
              <w:pStyle w:val="null3"/>
              <w:ind w:firstLine="56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8）保洁人员对区域内的水电等设施设备运行情况有使用检查的责任，发现问题及时报告，项目经理应及时安排人员恢复正常。</w:t>
            </w:r>
          </w:p>
          <w:p>
            <w:pPr>
              <w:pStyle w:val="null3"/>
              <w:ind w:firstLine="560"/>
              <w:jc w:val="both"/>
            </w:pPr>
            <w:r>
              <w:rPr>
                <w:rFonts w:ascii="仿宋_GB2312" w:hAnsi="仿宋_GB2312" w:cs="仿宋_GB2312" w:eastAsia="仿宋_GB2312"/>
                <w:sz w:val="24"/>
                <w:color w:val="000000"/>
              </w:rPr>
              <w:t>（9）环境卫生清洁所需的水桶、毛巾、拖把、手套、钢丝球、垃圾袋、洁厕液、洗手液、消毒液、清洁剂、痰盂、厕所卷纸等清洁用具、洗涤用品的购买及费用由中标人承担，具体数量以合同约定或工作实际需要为准。</w:t>
            </w:r>
          </w:p>
          <w:p>
            <w:pPr>
              <w:pStyle w:val="null3"/>
              <w:jc w:val="both"/>
            </w:pPr>
            <w:r>
              <w:rPr>
                <w:rFonts w:ascii="仿宋_GB2312" w:hAnsi="仿宋_GB2312" w:cs="仿宋_GB2312" w:eastAsia="仿宋_GB2312"/>
                <w:sz w:val="24"/>
                <w:color w:val="000000"/>
              </w:rPr>
              <w:t>（二）安全维护管理：</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建立来访人员登记薄，实行出入人员验证、登记，发现疑点及时询问，防止闲杂人员进入，积极疏导群访人员；有效疏导进出车辆，保持出入畅通；对物品进出实施分类记录，大宗物品进出应进行审验，严防危险物品进入；及时制止乱停、乱放、营利性宣传活动等行为。</w:t>
            </w:r>
            <w:r>
              <w:rPr>
                <w:rFonts w:ascii="仿宋_GB2312" w:hAnsi="仿宋_GB2312" w:cs="仿宋_GB2312" w:eastAsia="仿宋_GB2312"/>
                <w:sz w:val="24"/>
                <w:color w:val="000000"/>
              </w:rPr>
              <w:t>（</w:t>
            </w:r>
            <w:r>
              <w:rPr>
                <w:rFonts w:ascii="仿宋_GB2312" w:hAnsi="仿宋_GB2312" w:cs="仿宋_GB2312" w:eastAsia="仿宋_GB2312"/>
                <w:sz w:val="24"/>
                <w:color w:val="000000"/>
              </w:rPr>
              <w:t>2）办公区域每日巡查全覆盖，排除不安全因素。发现违规行为及时制止。办公楼的消火栓、安全警示标志等涉及公共安全的设施设备每日至少巡查</w:t>
            </w:r>
            <w:r>
              <w:rPr>
                <w:rFonts w:ascii="仿宋_GB2312" w:hAnsi="仿宋_GB2312" w:cs="仿宋_GB2312" w:eastAsia="仿宋_GB2312"/>
                <w:sz w:val="24"/>
                <w:color w:val="000000"/>
              </w:rPr>
              <w:t>1</w:t>
            </w:r>
            <w:r>
              <w:rPr>
                <w:rFonts w:ascii="仿宋_GB2312" w:hAnsi="仿宋_GB2312" w:cs="仿宋_GB2312" w:eastAsia="仿宋_GB2312"/>
                <w:sz w:val="24"/>
                <w:color w:val="000000"/>
              </w:rPr>
              <w:t>次，发现缺失、损坏或不能正常使用等情况，及时报告项目主管通知维修人员维修并记录。</w:t>
            </w:r>
            <w:r>
              <w:rPr>
                <w:rFonts w:ascii="仿宋_GB2312" w:hAnsi="仿宋_GB2312" w:cs="仿宋_GB2312" w:eastAsia="仿宋_GB2312"/>
                <w:sz w:val="24"/>
                <w:color w:val="000000"/>
              </w:rPr>
              <w:t>（</w:t>
            </w:r>
            <w:r>
              <w:rPr>
                <w:rFonts w:ascii="仿宋_GB2312" w:hAnsi="仿宋_GB2312" w:cs="仿宋_GB2312" w:eastAsia="仿宋_GB2312"/>
                <w:sz w:val="24"/>
                <w:color w:val="000000"/>
              </w:rPr>
              <w:t>3）监控值守保障。监控设施应</w:t>
            </w:r>
            <w:r>
              <w:rPr>
                <w:rFonts w:ascii="仿宋_GB2312" w:hAnsi="仿宋_GB2312" w:cs="仿宋_GB2312" w:eastAsia="仿宋_GB2312"/>
                <w:sz w:val="24"/>
                <w:color w:val="000000"/>
              </w:rPr>
              <w:t>24</w:t>
            </w:r>
            <w:r>
              <w:rPr>
                <w:rFonts w:ascii="仿宋_GB2312" w:hAnsi="仿宋_GB2312" w:cs="仿宋_GB2312" w:eastAsia="仿宋_GB2312"/>
                <w:sz w:val="24"/>
                <w:color w:val="000000"/>
              </w:rPr>
              <w:t>小时正常运行，保证对安全出入口、内部重点区域的安全监控，保持完整记录；监控室收到火情、险情等报警信号及其它异常情况信号后，及时报警并安排安全维护员及时赶到处理；监控资料至少保持</w:t>
            </w:r>
            <w:r>
              <w:rPr>
                <w:rFonts w:ascii="仿宋_GB2312" w:hAnsi="仿宋_GB2312" w:cs="仿宋_GB2312" w:eastAsia="仿宋_GB2312"/>
                <w:sz w:val="24"/>
                <w:color w:val="000000"/>
              </w:rPr>
              <w:t>3</w:t>
            </w:r>
            <w:r>
              <w:rPr>
                <w:rFonts w:ascii="仿宋_GB2312" w:hAnsi="仿宋_GB2312" w:cs="仿宋_GB2312" w:eastAsia="仿宋_GB2312"/>
                <w:sz w:val="24"/>
                <w:color w:val="000000"/>
              </w:rPr>
              <w:t>个月；保持治安电话畅通，接听及时。</w:t>
            </w:r>
            <w:r>
              <w:rPr>
                <w:rFonts w:ascii="仿宋_GB2312" w:hAnsi="仿宋_GB2312" w:cs="仿宋_GB2312" w:eastAsia="仿宋_GB2312"/>
                <w:sz w:val="24"/>
                <w:color w:val="000000"/>
              </w:rPr>
              <w:t>（</w:t>
            </w:r>
            <w:r>
              <w:rPr>
                <w:rFonts w:ascii="仿宋_GB2312" w:hAnsi="仿宋_GB2312" w:cs="仿宋_GB2312" w:eastAsia="仿宋_GB2312"/>
                <w:sz w:val="24"/>
                <w:color w:val="000000"/>
              </w:rPr>
              <w:t>4）车辆停放。安全维护员对进出车辆进行管理，维护交通秩序；设置行车指示标志，规定行驶路线，指定停放区域，保证车辆有序通行、易于停放；车库应指派专人管理，定时清扫，无易燃易爆等危险物品存放，监控、照明、消防器械配置齐全。</w:t>
            </w:r>
            <w:r>
              <w:rPr>
                <w:rFonts w:ascii="仿宋_GB2312" w:hAnsi="仿宋_GB2312" w:cs="仿宋_GB2312" w:eastAsia="仿宋_GB2312"/>
                <w:sz w:val="24"/>
                <w:color w:val="000000"/>
              </w:rPr>
              <w:t>（</w:t>
            </w:r>
            <w:r>
              <w:rPr>
                <w:rFonts w:ascii="仿宋_GB2312" w:hAnsi="仿宋_GB2312" w:cs="仿宋_GB2312" w:eastAsia="仿宋_GB2312"/>
                <w:sz w:val="24"/>
                <w:color w:val="000000"/>
              </w:rPr>
              <w:t>5）消防安全管理。建立消防安全责任制；楼内设置消防设施，保持消防通道畅通，在明显位置设置疏散示意图；定期巡视、检查和维护消防设施，保持完整、完好和正常使用；对易燃易爆品设专人专区管理。</w:t>
            </w:r>
            <w:r>
              <w:rPr>
                <w:rFonts w:ascii="仿宋_GB2312" w:hAnsi="仿宋_GB2312" w:cs="仿宋_GB2312" w:eastAsia="仿宋_GB2312"/>
                <w:sz w:val="24"/>
                <w:color w:val="000000"/>
              </w:rPr>
              <w:t>（</w:t>
            </w:r>
            <w:r>
              <w:rPr>
                <w:rFonts w:ascii="仿宋_GB2312" w:hAnsi="仿宋_GB2312" w:cs="仿宋_GB2312" w:eastAsia="仿宋_GB2312"/>
                <w:sz w:val="24"/>
                <w:color w:val="000000"/>
              </w:rPr>
              <w:t>6）对火灾、治安、公共卫生等突发事件、自然灾害有应急预案，事发时及时按规定程序报告市机关事务管理局、市公告局等职能部门。开展组织好消防设施、设备定期（每月一次）和不定期检查，做好每月防火巡查，作好巡查检查记录，并按要求上报相关信息资料。</w:t>
            </w:r>
            <w:r>
              <w:rPr>
                <w:rFonts w:ascii="仿宋_GB2312" w:hAnsi="仿宋_GB2312" w:cs="仿宋_GB2312" w:eastAsia="仿宋_GB2312"/>
                <w:sz w:val="24"/>
                <w:color w:val="000000"/>
              </w:rPr>
              <w:t>（</w:t>
            </w:r>
            <w:r>
              <w:rPr>
                <w:rFonts w:ascii="仿宋_GB2312" w:hAnsi="仿宋_GB2312" w:cs="仿宋_GB2312" w:eastAsia="仿宋_GB2312"/>
                <w:sz w:val="24"/>
                <w:color w:val="000000"/>
              </w:rPr>
              <w:t>7）若发生案件，应采取下列步骤协助破案。</w:t>
            </w:r>
            <w:r>
              <w:rPr>
                <w:rFonts w:ascii="仿宋_GB2312" w:hAnsi="仿宋_GB2312" w:cs="仿宋_GB2312" w:eastAsia="仿宋_GB2312"/>
                <w:sz w:val="24"/>
                <w:color w:val="000000"/>
              </w:rPr>
              <w:t>①立即报案并保护现场直至公安人员到达；</w:t>
            </w:r>
            <w:r>
              <w:rPr>
                <w:rFonts w:ascii="仿宋_GB2312" w:hAnsi="仿宋_GB2312" w:cs="仿宋_GB2312" w:eastAsia="仿宋_GB2312"/>
                <w:sz w:val="24"/>
                <w:color w:val="000000"/>
              </w:rPr>
              <w:t>②切勿移动和容许他人移动、触摸现场物品，保留现场证据，方便取证工作；</w:t>
            </w:r>
            <w:r>
              <w:rPr>
                <w:rFonts w:ascii="仿宋_GB2312" w:hAnsi="仿宋_GB2312" w:cs="仿宋_GB2312" w:eastAsia="仿宋_GB2312"/>
                <w:sz w:val="24"/>
                <w:color w:val="000000"/>
              </w:rPr>
              <w:t>③禁止任何人在现场走动，并礼貌地劝阻闲人进入现场，以方便公安人员现场调查；</w:t>
            </w:r>
            <w:r>
              <w:rPr>
                <w:rFonts w:ascii="仿宋_GB2312" w:hAnsi="仿宋_GB2312" w:cs="仿宋_GB2312" w:eastAsia="仿宋_GB2312"/>
                <w:sz w:val="24"/>
                <w:color w:val="000000"/>
              </w:rPr>
              <w:t>④向公安人员提供案件相关情况。</w:t>
            </w:r>
            <w:r>
              <w:rPr>
                <w:rFonts w:ascii="仿宋_GB2312" w:hAnsi="仿宋_GB2312" w:cs="仿宋_GB2312" w:eastAsia="仿宋_GB2312"/>
                <w:sz w:val="24"/>
                <w:color w:val="000000"/>
              </w:rPr>
              <w:t>（8）安全维护管理所需的人员服装、对讲机、手电、警戒带等安防用品、器材的购买及费用由中标人承担。</w:t>
            </w:r>
          </w:p>
          <w:p>
            <w:pPr>
              <w:pStyle w:val="null3"/>
              <w:jc w:val="left"/>
            </w:pPr>
            <w:r>
              <w:rPr>
                <w:rFonts w:ascii="仿宋_GB2312" w:hAnsi="仿宋_GB2312" w:cs="仿宋_GB2312" w:eastAsia="仿宋_GB2312"/>
                <w:sz w:val="24"/>
                <w:color w:val="000000"/>
              </w:rPr>
              <w:t>（三）绿化管理</w:t>
            </w:r>
          </w:p>
          <w:p>
            <w:pPr>
              <w:pStyle w:val="null3"/>
              <w:ind w:left="3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1）总体要求：草坪保持常态化修剪整齐，无杂物，无践踏破坏，无积水；树木生长正常，枝叶健壮，无枯枝；绿篱修剪整齐有型，观赏面枝叶丰满；灌木和花草生长良好，花繁叶茂，造型美观。</w:t>
            </w:r>
          </w:p>
          <w:p>
            <w:pPr>
              <w:pStyle w:val="null3"/>
              <w:ind w:left="3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2）浇水施肥: 根据不同生长季节天气情况，不同植物种类适当淋水和松土，并做好雨季排水工作。每年对项目范围内的观花植物、乔木、灌木等施肥至少1次。</w:t>
            </w:r>
          </w:p>
          <w:p>
            <w:pPr>
              <w:pStyle w:val="null3"/>
              <w:ind w:left="3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3）病虫害防治：采取综合防治、化学防治、物理人工防治和生物防治等方法防止病虫害蔓延和影响植物生长，每年冬季对树木刷白。</w:t>
            </w:r>
          </w:p>
          <w:p>
            <w:pPr>
              <w:pStyle w:val="null3"/>
              <w:ind w:left="3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修剪：针对项目范围内不同的植物进行修剪，剪除病虫枝、伤残枝、枯死枝，根据具体情况和美观要求修剪形状，绿篱、草坪春夏季每两月修剪1次、秋冬季每季修剪1次，经常除杂草。重点绿地在重大活动、重大节日适时整治，保持美观。</w:t>
            </w:r>
          </w:p>
          <w:p>
            <w:pPr>
              <w:pStyle w:val="null3"/>
              <w:ind w:left="30"/>
              <w:jc w:val="both"/>
            </w:pPr>
            <w:r>
              <w:rPr>
                <w:rFonts w:ascii="仿宋_GB2312" w:hAnsi="仿宋_GB2312" w:cs="仿宋_GB2312" w:eastAsia="仿宋_GB2312"/>
                <w:sz w:val="24"/>
                <w:color w:val="000000"/>
              </w:rPr>
              <w:t>（5）花草树木的更换以及除虫剂、肥料等的购买及费用由中标人承担。</w:t>
            </w:r>
          </w:p>
          <w:p>
            <w:pPr>
              <w:pStyle w:val="null3"/>
              <w:jc w:val="both"/>
            </w:pPr>
            <w:r>
              <w:rPr>
                <w:rFonts w:ascii="仿宋_GB2312" w:hAnsi="仿宋_GB2312" w:cs="仿宋_GB2312" w:eastAsia="仿宋_GB2312"/>
                <w:sz w:val="24"/>
                <w:color w:val="000000"/>
              </w:rPr>
              <w:t>（四）会务管理</w:t>
            </w:r>
          </w:p>
          <w:p>
            <w:pPr>
              <w:pStyle w:val="null3"/>
              <w:ind w:firstLine="56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会议室清洁要求：保持桌面干净，整洁有序无划痕，桌内无杂物；天花板、窗户、四面墙壁无积尘、无蜘蛛网；窗台无积尘、门窗明亮无污渍，窗帘干净无破损；室内设施、设备保持干净无积尘、无破损；茶具清洁、光亮、无缺口、印渍等。</w:t>
            </w:r>
          </w:p>
          <w:p>
            <w:pPr>
              <w:pStyle w:val="null3"/>
              <w:ind w:firstLine="56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2）会务接待和服务要求：</w:t>
            </w:r>
          </w:p>
          <w:p>
            <w:pPr>
              <w:pStyle w:val="null3"/>
              <w:ind w:firstLine="560"/>
              <w:jc w:val="both"/>
            </w:pPr>
            <w:r>
              <w:rPr>
                <w:rFonts w:ascii="仿宋_GB2312" w:hAnsi="仿宋_GB2312" w:cs="仿宋_GB2312" w:eastAsia="仿宋_GB2312"/>
                <w:sz w:val="24"/>
                <w:color w:val="000000"/>
              </w:rPr>
              <w:t>①做好会议预定、安排、协调、筹备、服务等工作；满足各单位各种会议需要，不得借故推斥会议服务工作。</w:t>
            </w:r>
          </w:p>
          <w:p>
            <w:pPr>
              <w:pStyle w:val="null3"/>
              <w:ind w:firstLine="560"/>
              <w:jc w:val="both"/>
            </w:pPr>
            <w:r>
              <w:rPr>
                <w:rFonts w:ascii="仿宋_GB2312" w:hAnsi="仿宋_GB2312" w:cs="仿宋_GB2312" w:eastAsia="仿宋_GB2312"/>
                <w:sz w:val="24"/>
                <w:color w:val="000000"/>
              </w:rPr>
              <w:t>②会议服务人员应在会议召开前30分钟根据需要做好座牌摆放、茶水等各项准备工作。</w:t>
            </w:r>
          </w:p>
          <w:p>
            <w:pPr>
              <w:pStyle w:val="null3"/>
              <w:ind w:firstLine="560"/>
              <w:jc w:val="both"/>
            </w:pPr>
            <w:r>
              <w:rPr>
                <w:rFonts w:ascii="仿宋_GB2312" w:hAnsi="仿宋_GB2312" w:cs="仿宋_GB2312" w:eastAsia="仿宋_GB2312"/>
                <w:sz w:val="24"/>
                <w:color w:val="000000"/>
              </w:rPr>
              <w:t>③会议期间要做好续水（续水间隔不超过20分钟，参会人员有特别要求，按具体要求办理）等会议服务工作，会后及时关闭空调（10分钟内）、清场、清洗茶杯，进行茶具消毒、打扫卫生并关闭门窗及电源。</w:t>
            </w:r>
          </w:p>
          <w:p>
            <w:pPr>
              <w:pStyle w:val="null3"/>
              <w:ind w:firstLine="560"/>
              <w:jc w:val="both"/>
            </w:pPr>
            <w:r>
              <w:rPr>
                <w:rFonts w:ascii="仿宋_GB2312" w:hAnsi="仿宋_GB2312" w:cs="仿宋_GB2312" w:eastAsia="仿宋_GB2312"/>
                <w:sz w:val="24"/>
                <w:color w:val="000000"/>
              </w:rPr>
              <w:t>④会议服务人员有对区域内的水电设施设备运行情况有使用检查的责任，发现问题及时报告。必须使用空调的在会前30分钟内开启空调并使会场达到所需温度，参会人员退场后10分钟内关闭空调，没有会议安排的会议室不得开启空调，特殊情况需要经甲方同意。</w:t>
            </w:r>
          </w:p>
          <w:p>
            <w:pPr>
              <w:pStyle w:val="null3"/>
              <w:ind w:firstLine="560"/>
              <w:jc w:val="both"/>
            </w:pPr>
            <w:r>
              <w:rPr>
                <w:rFonts w:ascii="仿宋_GB2312" w:hAnsi="仿宋_GB2312" w:cs="仿宋_GB2312" w:eastAsia="仿宋_GB2312"/>
                <w:sz w:val="24"/>
                <w:color w:val="000000"/>
              </w:rPr>
              <w:t>⑤乙方应确保会议室的设备完好无损，应确保每个会议室的消毒柜、茶水柜、茶杯、水瓶、电热水壶的配备，若有缺漏或损坏由乙方增补。</w:t>
            </w:r>
          </w:p>
          <w:p>
            <w:pPr>
              <w:pStyle w:val="null3"/>
              <w:jc w:val="both"/>
            </w:pPr>
            <w:r>
              <w:rPr>
                <w:rFonts w:ascii="仿宋_GB2312" w:hAnsi="仿宋_GB2312" w:cs="仿宋_GB2312" w:eastAsia="仿宋_GB2312"/>
                <w:sz w:val="24"/>
                <w:color w:val="000000"/>
              </w:rPr>
              <w:t>（五）房屋及电梯、消防设施、水电等维护管理</w:t>
            </w:r>
          </w:p>
          <w:p>
            <w:pPr>
              <w:pStyle w:val="null3"/>
              <w:ind w:firstLine="480"/>
              <w:jc w:val="both"/>
            </w:pPr>
            <w:r>
              <w:rPr>
                <w:rFonts w:ascii="仿宋_GB2312" w:hAnsi="仿宋_GB2312" w:cs="仿宋_GB2312" w:eastAsia="仿宋_GB2312"/>
                <w:sz w:val="24"/>
                <w:color w:val="000000"/>
              </w:rPr>
              <w:t>本项目房内的门、窗、桌椅等及水、电、气等的日常维护维修，确保服务项目的正常使用和水电气的畅通。</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1）房屋建筑共用部位的维护、养护和管理，包括但不限于楼盖、屋顶、风雨连廊、门窗、卫生间、外墙面、承重结构、楼梯间、走廊、通道、地下停车场、内外墙面等。</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2）公用设施设备、办公家具用具的维护、保养、运行和管理，包括但不限于公用的配电室、电机房、上下水管道、落水管、路灯、景观灯、消防设施设备、空调系统、办公家具用具等。</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3）附属建筑物、构筑物的维护、保养和管理。</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4）路灯管理和维修。</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5）电梯运行维护。电梯运行管理和机房设备、轿厢设备等日常运行管理维护，建立电梯运行管理、设备维护、安全管理等制度，做好档案管理。</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6）为本项目配备的房屋日常维护管理、电梯运行维护、公共设施设备管理（供电设备监控维护、消防系统维护、给排水设备运行维护）人员根据项目需求合理配置，费用包含在投标总价中。</w:t>
            </w:r>
          </w:p>
          <w:p>
            <w:pPr>
              <w:pStyle w:val="null3"/>
              <w:jc w:val="left"/>
            </w:pPr>
            <w:r>
              <w:rPr>
                <w:rFonts w:ascii="仿宋_GB2312" w:hAnsi="仿宋_GB2312" w:cs="仿宋_GB2312" w:eastAsia="仿宋_GB2312"/>
                <w:sz w:val="24"/>
                <w:color w:val="000000"/>
              </w:rPr>
              <w:t>（六</w:t>
            </w:r>
            <w:r>
              <w:rPr>
                <w:rFonts w:ascii="仿宋_GB2312" w:hAnsi="仿宋_GB2312" w:cs="仿宋_GB2312" w:eastAsia="仿宋_GB2312"/>
                <w:sz w:val="24"/>
                <w:color w:val="000000"/>
              </w:rPr>
              <w:t>）派驻本项目的安全维护管理人员应具有公安部门颁发的《保安员》证；消防设施操作员应具有《消防设施操作员》证书（初级及以上，监控和维保方向均可）；水电维护人员应具有《特种作业低压电工作业证》；(以上人员均须提供相证书扫描件以及与供应商劳动关系的证明材料)</w:t>
            </w:r>
          </w:p>
          <w:p>
            <w:pPr>
              <w:pStyle w:val="null3"/>
              <w:jc w:val="left"/>
            </w:pPr>
            <w:r>
              <w:rPr>
                <w:rFonts w:ascii="仿宋_GB2312" w:hAnsi="仿宋_GB2312" w:cs="仿宋_GB2312" w:eastAsia="仿宋_GB2312"/>
              </w:rPr>
              <w:t xml:space="preserve"> </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服务人员岗位配置表</w:t>
            </w:r>
          </w:p>
        </w:tc>
        <w:tc>
          <w:tcPr>
            <w:tcW w:type="dxa" w:w="5814"/>
          </w:tcPr>
          <w:tbl>
            <w:tblPr>
              <w:tblInd w:type="dxa" w:w="135"/>
              <w:tblBorders>
                <w:top w:val="none" w:color="000000" w:sz="4"/>
                <w:left w:val="none" w:color="000000" w:sz="4"/>
                <w:bottom w:val="none" w:color="000000" w:sz="4"/>
                <w:right w:val="none" w:color="000000" w:sz="4"/>
                <w:insideH w:val="none"/>
                <w:insideV w:val="none"/>
              </w:tblBorders>
            </w:tblPr>
            <w:tblGrid>
              <w:gridCol w:w="1465"/>
              <w:gridCol w:w="513"/>
              <w:gridCol w:w="467"/>
              <w:gridCol w:w="522"/>
              <w:gridCol w:w="513"/>
              <w:gridCol w:w="485"/>
              <w:gridCol w:w="494"/>
              <w:gridCol w:w="430"/>
              <w:gridCol w:w="705"/>
            </w:tblGrid>
            <w:tr>
              <w:tc>
                <w:tcPr>
                  <w:tcW w:type="dxa" w:w="14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服务</w:t>
                  </w:r>
                  <w:r>
                    <w:rPr>
                      <w:rFonts w:ascii="仿宋_GB2312" w:hAnsi="仿宋_GB2312" w:cs="仿宋_GB2312" w:eastAsia="仿宋_GB2312"/>
                      <w:sz w:val="24"/>
                      <w:color w:val="000000"/>
                    </w:rPr>
                    <w:t>区域</w:t>
                  </w:r>
                </w:p>
                <w:p>
                  <w:pPr>
                    <w:pStyle w:val="null3"/>
                    <w:jc w:val="left"/>
                  </w:pPr>
                  <w:r>
                    <w:rPr>
                      <w:rFonts w:ascii="仿宋_GB2312" w:hAnsi="仿宋_GB2312" w:cs="仿宋_GB2312" w:eastAsia="仿宋_GB2312"/>
                      <w:sz w:val="24"/>
                      <w:color w:val="000000"/>
                    </w:rPr>
                    <w:t>岗位人员（人）</w:t>
                  </w:r>
                </w:p>
              </w:tc>
              <w:tc>
                <w:tcPr>
                  <w:tcW w:type="dxa" w:w="5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项目经理</w:t>
                  </w:r>
                </w:p>
              </w:tc>
              <w:tc>
                <w:tcPr>
                  <w:tcW w:type="dxa" w:w="4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环境卫生维护人员</w:t>
                  </w:r>
                </w:p>
              </w:tc>
              <w:tc>
                <w:tcPr>
                  <w:tcW w:type="dxa" w:w="5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安全维护人员</w:t>
                  </w:r>
                </w:p>
              </w:tc>
              <w:tc>
                <w:tcPr>
                  <w:tcW w:type="dxa" w:w="5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绿化维护人员</w:t>
                  </w:r>
                </w:p>
              </w:tc>
              <w:tc>
                <w:tcPr>
                  <w:tcW w:type="dxa" w:w="4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会务服务人员</w:t>
                  </w:r>
                </w:p>
              </w:tc>
              <w:tc>
                <w:tcPr>
                  <w:tcW w:type="dxa" w:w="4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消防设施</w:t>
                  </w:r>
                  <w:r>
                    <w:rPr>
                      <w:rFonts w:ascii="仿宋_GB2312" w:hAnsi="仿宋_GB2312" w:cs="仿宋_GB2312" w:eastAsia="仿宋_GB2312"/>
                      <w:sz w:val="24"/>
                      <w:color w:val="000000"/>
                    </w:rPr>
                    <w:t>操作</w:t>
                  </w:r>
                  <w:r>
                    <w:rPr>
                      <w:rFonts w:ascii="仿宋_GB2312" w:hAnsi="仿宋_GB2312" w:cs="仿宋_GB2312" w:eastAsia="仿宋_GB2312"/>
                      <w:sz w:val="24"/>
                      <w:color w:val="000000"/>
                    </w:rPr>
                    <w:t>人员</w:t>
                  </w:r>
                </w:p>
              </w:tc>
              <w:tc>
                <w:tcPr>
                  <w:tcW w:type="dxa" w:w="4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水电维护人员</w:t>
                  </w:r>
                </w:p>
              </w:tc>
              <w:tc>
                <w:tcPr>
                  <w:tcW w:type="dxa" w:w="7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4"/>
                      <w:color w:val="000000"/>
                    </w:rPr>
                    <w:t>备注</w:t>
                  </w:r>
                </w:p>
              </w:tc>
            </w:tr>
            <w:tr>
              <w:tc>
                <w:tcPr>
                  <w:tcW w:type="dxa" w:w="1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市委群团大楼办公区</w:t>
                  </w:r>
                </w:p>
              </w:tc>
              <w:tc>
                <w:tcPr>
                  <w:tcW w:type="dxa" w:w="5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8"/>
                      <w:color w:val="000000"/>
                    </w:rPr>
                    <w:t>1</w:t>
                  </w:r>
                </w:p>
              </w:tc>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8"/>
                      <w:color w:val="000000"/>
                    </w:rPr>
                    <w:t>6</w:t>
                  </w:r>
                </w:p>
              </w:tc>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8"/>
                      <w:color w:val="000000"/>
                    </w:rPr>
                    <w:t>7</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8"/>
                      <w:color w:val="000000"/>
                    </w:rPr>
                    <w:t>1</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8"/>
                      <w:color w:val="000000"/>
                    </w:rPr>
                    <w:t>1</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8"/>
                      <w:color w:val="000000"/>
                    </w:rPr>
                    <w:t>1</w:t>
                  </w:r>
                </w:p>
              </w:tc>
              <w:tc>
                <w:tcPr>
                  <w:tcW w:type="dxa" w:w="4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8"/>
                      <w:color w:val="000000"/>
                    </w:rPr>
                    <w:t>2</w:t>
                  </w:r>
                </w:p>
              </w:tc>
              <w:tc>
                <w:tcPr>
                  <w:tcW w:type="dxa" w:w="7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在每个服务点安排</w:t>
                  </w:r>
                  <w:r>
                    <w:rPr>
                      <w:rFonts w:ascii="仿宋_GB2312" w:hAnsi="仿宋_GB2312" w:cs="仿宋_GB2312" w:eastAsia="仿宋_GB2312"/>
                      <w:sz w:val="24"/>
                      <w:color w:val="000000"/>
                    </w:rPr>
                    <w:t>1名服务人员兼职作为统筹联络人员</w:t>
                  </w:r>
                </w:p>
              </w:tc>
            </w:tr>
            <w:tr>
              <w:tc>
                <w:tcPr>
                  <w:tcW w:type="dxa" w:w="1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4"/>
                      <w:color w:val="000000"/>
                    </w:rPr>
                    <w:t>市委</w:t>
                  </w:r>
                  <w:r>
                    <w:rPr>
                      <w:rFonts w:ascii="仿宋_GB2312" w:hAnsi="仿宋_GB2312" w:cs="仿宋_GB2312" w:eastAsia="仿宋_GB2312"/>
                      <w:sz w:val="24"/>
                      <w:color w:val="000000"/>
                    </w:rPr>
                    <w:t>3号楼办公区</w:t>
                  </w:r>
                </w:p>
              </w:tc>
              <w:tc>
                <w:tcPr>
                  <w:tcW w:type="dxa" w:w="513"/>
                  <w:vMerge/>
                  <w:tcBorders>
                    <w:top w:val="none" w:color="000000" w:sz="4"/>
                    <w:left w:val="single" w:color="000000" w:sz="4"/>
                    <w:bottom w:val="single" w:color="000000" w:sz="4"/>
                    <w:right w:val="single" w:color="000000" w:sz="4"/>
                  </w:tcBorders>
                </w:tcPr>
                <w:p/>
              </w:tc>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8"/>
                      <w:color w:val="000000"/>
                    </w:rPr>
                    <w:t>6</w:t>
                  </w:r>
                </w:p>
              </w:tc>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8"/>
                      <w:color w:val="000000"/>
                    </w:rPr>
                    <w:t>7</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8"/>
                      <w:color w:val="000000"/>
                    </w:rPr>
                    <w:t>1</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8"/>
                      <w:color w:val="000000"/>
                    </w:rPr>
                    <w:t>1</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8"/>
                      <w:color w:val="000000"/>
                    </w:rPr>
                    <w:t>1</w:t>
                  </w:r>
                </w:p>
              </w:tc>
              <w:tc>
                <w:tcPr>
                  <w:tcW w:type="dxa" w:w="430"/>
                  <w:vMerge/>
                  <w:tcBorders>
                    <w:top w:val="none" w:color="000000" w:sz="4"/>
                    <w:left w:val="single" w:color="000000" w:sz="4"/>
                    <w:bottom w:val="single" w:color="000000" w:sz="4"/>
                    <w:right w:val="single" w:color="000000" w:sz="4"/>
                  </w:tcBorders>
                </w:tcPr>
                <w:p/>
              </w:tc>
              <w:tc>
                <w:tcPr>
                  <w:tcW w:type="dxa" w:w="705"/>
                  <w:vMerge/>
                  <w:tcBorders>
                    <w:top w:val="none" w:color="000000" w:sz="4"/>
                    <w:left w:val="single" w:color="000000" w:sz="4"/>
                    <w:bottom w:val="single" w:color="000000" w:sz="4"/>
                    <w:right w:val="single" w:color="000000" w:sz="4"/>
                  </w:tcBorders>
                </w:tcPr>
                <w:p/>
              </w:tc>
            </w:tr>
            <w:tr>
              <w:tc>
                <w:tcPr>
                  <w:tcW w:type="dxa" w:w="1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市政府</w:t>
                  </w:r>
                  <w:r>
                    <w:rPr>
                      <w:rFonts w:ascii="仿宋_GB2312" w:hAnsi="仿宋_GB2312" w:cs="仿宋_GB2312" w:eastAsia="仿宋_GB2312"/>
                      <w:sz w:val="24"/>
                      <w:color w:val="000000"/>
                    </w:rPr>
                    <w:t>3号楼办公区</w:t>
                  </w:r>
                </w:p>
              </w:tc>
              <w:tc>
                <w:tcPr>
                  <w:tcW w:type="dxa" w:w="513"/>
                  <w:vMerge/>
                  <w:tcBorders>
                    <w:top w:val="none" w:color="000000" w:sz="4"/>
                    <w:left w:val="single" w:color="000000" w:sz="4"/>
                    <w:bottom w:val="single" w:color="000000" w:sz="4"/>
                    <w:right w:val="single" w:color="000000" w:sz="4"/>
                  </w:tcBorders>
                </w:tcPr>
                <w:p/>
              </w:tc>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8"/>
                      <w:color w:val="000000"/>
                    </w:rPr>
                    <w:t>6</w:t>
                  </w:r>
                </w:p>
              </w:tc>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8"/>
                      <w:color w:val="000000"/>
                    </w:rPr>
                    <w:t>7</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8"/>
                      <w:color w:val="000000"/>
                    </w:rPr>
                    <w:t>1</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8"/>
                      <w:color w:val="000000"/>
                    </w:rPr>
                    <w:t>1</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8"/>
                      <w:color w:val="000000"/>
                    </w:rPr>
                    <w:t>1</w:t>
                  </w:r>
                </w:p>
              </w:tc>
              <w:tc>
                <w:tcPr>
                  <w:tcW w:type="dxa" w:w="430"/>
                  <w:vMerge/>
                  <w:tcBorders>
                    <w:top w:val="none" w:color="000000" w:sz="4"/>
                    <w:left w:val="single" w:color="000000" w:sz="4"/>
                    <w:bottom w:val="single" w:color="000000" w:sz="4"/>
                    <w:right w:val="single" w:color="000000" w:sz="4"/>
                  </w:tcBorders>
                </w:tcPr>
                <w:p/>
              </w:tc>
              <w:tc>
                <w:tcPr>
                  <w:tcW w:type="dxa" w:w="705"/>
                  <w:vMerge/>
                  <w:tcBorders>
                    <w:top w:val="none" w:color="000000" w:sz="4"/>
                    <w:left w:val="single" w:color="000000" w:sz="4"/>
                    <w:bottom w:val="single" w:color="000000" w:sz="4"/>
                    <w:right w:val="single" w:color="000000" w:sz="4"/>
                  </w:tcBorders>
                </w:tcPr>
                <w:p/>
              </w:tc>
            </w:tr>
            <w:tr>
              <w:tc>
                <w:tcPr>
                  <w:tcW w:type="dxa" w:w="1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市委党校旧址办公区</w:t>
                  </w:r>
                </w:p>
              </w:tc>
              <w:tc>
                <w:tcPr>
                  <w:tcW w:type="dxa" w:w="513"/>
                  <w:vMerge/>
                  <w:tcBorders>
                    <w:top w:val="none" w:color="000000" w:sz="4"/>
                    <w:left w:val="single" w:color="000000" w:sz="4"/>
                    <w:bottom w:val="single" w:color="000000" w:sz="4"/>
                    <w:right w:val="single" w:color="000000" w:sz="4"/>
                  </w:tcBorders>
                </w:tcPr>
                <w:p/>
              </w:tc>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8"/>
                      <w:color w:val="000000"/>
                    </w:rPr>
                    <w:t>2</w:t>
                  </w:r>
                </w:p>
              </w:tc>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8"/>
                      <w:color w:val="000000"/>
                    </w:rPr>
                    <w:t>2</w:t>
                  </w:r>
                </w:p>
              </w:tc>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8"/>
                      <w:color w:val="000000"/>
                    </w:rPr>
                    <w:t>0</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8"/>
                      <w:color w:val="000000"/>
                    </w:rPr>
                    <w:t>0</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8"/>
                      <w:color w:val="000000"/>
                    </w:rPr>
                    <w:t>0</w:t>
                  </w:r>
                </w:p>
              </w:tc>
              <w:tc>
                <w:tcPr>
                  <w:tcW w:type="dxa" w:w="430"/>
                  <w:vMerge/>
                  <w:tcBorders>
                    <w:top w:val="none" w:color="000000" w:sz="4"/>
                    <w:left w:val="single" w:color="000000" w:sz="4"/>
                    <w:bottom w:val="single" w:color="000000" w:sz="4"/>
                    <w:right w:val="single" w:color="000000" w:sz="4"/>
                  </w:tcBorders>
                </w:tcPr>
                <w:p/>
              </w:tc>
              <w:tc>
                <w:tcPr>
                  <w:tcW w:type="dxa" w:w="705"/>
                  <w:vMerge/>
                  <w:tcBorders>
                    <w:top w:val="none" w:color="000000" w:sz="4"/>
                    <w:left w:val="single" w:color="000000" w:sz="4"/>
                    <w:bottom w:val="single" w:color="000000" w:sz="4"/>
                    <w:right w:val="single" w:color="000000" w:sz="4"/>
                  </w:tcBorders>
                </w:tcPr>
                <w:p/>
              </w:tc>
            </w:tr>
          </w:tbl>
          <w:p>
            <w:pPr>
              <w:pStyle w:val="null3"/>
              <w:jc w:val="left"/>
            </w:pPr>
            <w:r>
              <w:rPr>
                <w:rFonts w:ascii="仿宋_GB2312" w:hAnsi="仿宋_GB2312" w:cs="仿宋_GB2312" w:eastAsia="仿宋_GB2312"/>
                <w:sz w:val="21"/>
                <w:color w:val="000000"/>
              </w:rPr>
              <w:t>备注：会务服务人员为女性，年龄不超过40岁；其他人员年龄：男不得超过60岁、女不超过55岁。</w:t>
            </w:r>
          </w:p>
          <w:p>
            <w:pPr>
              <w:pStyle w:val="null3"/>
              <w:jc w:val="left"/>
            </w:pPr>
            <w:r>
              <w:rPr>
                <w:rFonts w:ascii="仿宋_GB2312" w:hAnsi="仿宋_GB2312" w:cs="仿宋_GB2312" w:eastAsia="仿宋_GB2312"/>
              </w:rPr>
              <w:t xml:space="preserve"> </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房屋日常维护费</w:t>
            </w:r>
          </w:p>
        </w:tc>
        <w:tc>
          <w:tcPr>
            <w:tcW w:type="dxa" w:w="5814"/>
          </w:tcPr>
          <w:p>
            <w:pPr>
              <w:pStyle w:val="null3"/>
              <w:jc w:val="left"/>
            </w:pPr>
            <w:r>
              <w:rPr>
                <w:rFonts w:ascii="仿宋_GB2312" w:hAnsi="仿宋_GB2312" w:cs="仿宋_GB2312" w:eastAsia="仿宋_GB2312"/>
                <w:sz w:val="21"/>
              </w:rPr>
              <w:t>本项目预算中包含三年期房屋日常维护费64.6万元，此费用不作为本项目竞争费用。该部分费用针对本项目服务期内服务区域的日常房屋维修、防水处置、灯具及卫生间相关设施设备损坏更换等项目使用。项目中如有涉及强制节能产品（如水嘴、小便器、蹲便器、双管荧光灯管等），履约过程中须按政府采购政策规定提供强制节能认证产品并同时提供涉及的产品的有效期内强制节能认证证书（本招标文件如涉及强制节能产品的要求，以本处描述为准）。该费用使用相关要求在合同中具体约定确定。</w:t>
            </w:r>
          </w:p>
          <w:p>
            <w:pPr>
              <w:pStyle w:val="null3"/>
              <w:jc w:val="left"/>
            </w:pPr>
            <w:r>
              <w:rPr>
                <w:rFonts w:ascii="仿宋_GB2312" w:hAnsi="仿宋_GB2312" w:cs="仿宋_GB2312" w:eastAsia="仿宋_GB2312"/>
              </w:rPr>
              <w:t xml:space="preserve"> </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履约验收及支付等考核办法</w:t>
            </w:r>
          </w:p>
        </w:tc>
        <w:tc>
          <w:tcPr>
            <w:tcW w:type="dxa" w:w="5814"/>
          </w:tcPr>
          <w:p>
            <w:pPr>
              <w:pStyle w:val="null3"/>
              <w:jc w:val="center"/>
            </w:pPr>
            <w:r>
              <w:rPr>
                <w:rFonts w:ascii="仿宋_GB2312" w:hAnsi="仿宋_GB2312" w:cs="仿宋_GB2312" w:eastAsia="仿宋_GB2312"/>
                <w:sz w:val="24"/>
              </w:rPr>
              <w:t>南充市机关事务管理局集中统筹管理集中办公区后勤</w:t>
            </w:r>
            <w:r>
              <w:rPr>
                <w:rFonts w:ascii="仿宋_GB2312" w:hAnsi="仿宋_GB2312" w:cs="仿宋_GB2312" w:eastAsia="仿宋_GB2312"/>
                <w:sz w:val="24"/>
              </w:rPr>
              <w:t>服务验收考核评</w:t>
            </w:r>
            <w:r>
              <w:rPr>
                <w:rFonts w:ascii="仿宋_GB2312" w:hAnsi="仿宋_GB2312" w:cs="仿宋_GB2312" w:eastAsia="仿宋_GB2312"/>
                <w:sz w:val="24"/>
              </w:rPr>
              <w:t>分表</w:t>
            </w:r>
          </w:p>
          <w:p>
            <w:pPr>
              <w:pStyle w:val="null3"/>
              <w:ind w:firstLine="600"/>
              <w:jc w:val="left"/>
            </w:pPr>
            <w:r>
              <w:rPr>
                <w:rFonts w:ascii="仿宋_GB2312" w:hAnsi="仿宋_GB2312" w:cs="仿宋_GB2312" w:eastAsia="仿宋_GB2312"/>
                <w:sz w:val="24"/>
              </w:rPr>
              <w:t>一、</w:t>
            </w:r>
            <w:r>
              <w:rPr>
                <w:rFonts w:ascii="仿宋_GB2312" w:hAnsi="仿宋_GB2312" w:cs="仿宋_GB2312" w:eastAsia="仿宋_GB2312"/>
                <w:sz w:val="24"/>
              </w:rPr>
              <w:t>验收考核评分</w:t>
            </w:r>
            <w:r>
              <w:rPr>
                <w:rFonts w:ascii="仿宋_GB2312" w:hAnsi="仿宋_GB2312" w:cs="仿宋_GB2312" w:eastAsia="仿宋_GB2312"/>
                <w:sz w:val="24"/>
              </w:rPr>
              <w:t>表</w:t>
            </w:r>
          </w:p>
          <w:p>
            <w:pPr>
              <w:pStyle w:val="null3"/>
              <w:ind w:firstLine="600"/>
              <w:jc w:val="left"/>
            </w:pPr>
            <w:r>
              <w:rPr>
                <w:rFonts w:ascii="仿宋_GB2312" w:hAnsi="仿宋_GB2312" w:cs="仿宋_GB2312" w:eastAsia="仿宋_GB2312"/>
                <w:sz w:val="24"/>
              </w:rPr>
              <w:t>项目名称：</w:t>
            </w:r>
            <w:r>
              <w:rPr>
                <w:rFonts w:ascii="仿宋_GB2312" w:hAnsi="仿宋_GB2312" w:cs="仿宋_GB2312" w:eastAsia="仿宋_GB2312"/>
                <w:sz w:val="24"/>
              </w:rPr>
              <w:t xml:space="preserve">__________  </w:t>
            </w:r>
            <w:r>
              <w:rPr>
                <w:rFonts w:ascii="仿宋_GB2312" w:hAnsi="仿宋_GB2312" w:cs="仿宋_GB2312" w:eastAsia="仿宋_GB2312"/>
                <w:sz w:val="24"/>
              </w:rPr>
              <w:t xml:space="preserve">    </w:t>
            </w:r>
            <w:r>
              <w:rPr>
                <w:rFonts w:ascii="仿宋_GB2312" w:hAnsi="仿宋_GB2312" w:cs="仿宋_GB2312" w:eastAsia="仿宋_GB2312"/>
                <w:sz w:val="24"/>
              </w:rPr>
              <w:t>考核月份：</w:t>
            </w:r>
            <w:r>
              <w:rPr>
                <w:rFonts w:ascii="仿宋_GB2312" w:hAnsi="仿宋_GB2312" w:cs="仿宋_GB2312" w:eastAsia="仿宋_GB2312"/>
                <w:sz w:val="24"/>
              </w:rPr>
              <w:t>__________</w:t>
            </w:r>
          </w:p>
          <w:p>
            <w:pPr>
              <w:pStyle w:val="null3"/>
              <w:ind w:firstLine="600"/>
              <w:jc w:val="left"/>
            </w:pPr>
            <w:r>
              <w:rPr>
                <w:rFonts w:ascii="仿宋_GB2312" w:hAnsi="仿宋_GB2312" w:cs="仿宋_GB2312" w:eastAsia="仿宋_GB2312"/>
                <w:sz w:val="24"/>
              </w:rPr>
              <w:t>物业服务企业：</w:t>
            </w:r>
            <w:r>
              <w:rPr>
                <w:rFonts w:ascii="仿宋_GB2312" w:hAnsi="仿宋_GB2312" w:cs="仿宋_GB2312" w:eastAsia="仿宋_GB2312"/>
                <w:sz w:val="24"/>
              </w:rPr>
              <w:t>__________  考核单位：__________</w:t>
            </w:r>
          </w:p>
          <w:tbl>
            <w:tblPr>
              <w:tblBorders>
                <w:top w:val="none" w:color="000000" w:sz="4"/>
                <w:left w:val="none" w:color="000000" w:sz="4"/>
                <w:bottom w:val="none" w:color="000000" w:sz="4"/>
                <w:right w:val="none" w:color="000000" w:sz="4"/>
                <w:insideH w:val="none"/>
                <w:insideV w:val="none"/>
              </w:tblBorders>
            </w:tblPr>
            <w:tblGrid>
              <w:gridCol w:w="891"/>
              <w:gridCol w:w="492"/>
              <w:gridCol w:w="3567"/>
              <w:gridCol w:w="637"/>
            </w:tblGrid>
            <w:tr>
              <w:tc>
                <w:tcPr>
                  <w:tcW w:type="dxa" w:w="8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考核项目</w:t>
                  </w:r>
                </w:p>
              </w:tc>
              <w:tc>
                <w:tcPr>
                  <w:tcW w:type="dxa" w:w="4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分值</w:t>
                  </w:r>
                </w:p>
              </w:tc>
              <w:tc>
                <w:tcPr>
                  <w:tcW w:type="dxa" w:w="35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考核内容及扣分标准</w:t>
                  </w:r>
                </w:p>
              </w:tc>
              <w:tc>
                <w:tcPr>
                  <w:tcW w:type="dxa" w:w="6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实得分</w:t>
                  </w:r>
                </w:p>
              </w:tc>
            </w:tr>
            <w:tr>
              <w:tc>
                <w:tcPr>
                  <w:tcW w:type="dxa" w:w="89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综合行政管理</w:t>
                  </w:r>
                  <w:r>
                    <w:rPr>
                      <w:rFonts w:ascii="仿宋_GB2312" w:hAnsi="仿宋_GB2312" w:cs="仿宋_GB2312" w:eastAsia="仿宋_GB2312"/>
                      <w:sz w:val="24"/>
                    </w:rPr>
                    <w:t>（</w:t>
                  </w:r>
                  <w:r>
                    <w:rPr>
                      <w:rFonts w:ascii="仿宋_GB2312" w:hAnsi="仿宋_GB2312" w:cs="仿宋_GB2312" w:eastAsia="仿宋_GB2312"/>
                      <w:sz w:val="24"/>
                    </w:rPr>
                    <w:t>20</w:t>
                  </w:r>
                  <w:r>
                    <w:rPr>
                      <w:rFonts w:ascii="仿宋_GB2312" w:hAnsi="仿宋_GB2312" w:cs="仿宋_GB2312" w:eastAsia="仿宋_GB2312"/>
                      <w:sz w:val="24"/>
                    </w:rPr>
                    <w:t>分</w:t>
                  </w:r>
                  <w:r>
                    <w:rPr>
                      <w:rFonts w:ascii="仿宋_GB2312" w:hAnsi="仿宋_GB2312" w:cs="仿宋_GB2312" w:eastAsia="仿宋_GB2312"/>
                      <w:sz w:val="24"/>
                    </w:rPr>
                    <w:t>）</w:t>
                  </w:r>
                </w:p>
              </w:tc>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3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各项管理制度、应急预案健全上墙，台账资料完整规范，缺一项扣</w:t>
                  </w:r>
                  <w:r>
                    <w:rPr>
                      <w:rFonts w:ascii="仿宋_GB2312" w:hAnsi="仿宋_GB2312" w:cs="仿宋_GB2312" w:eastAsia="仿宋_GB2312"/>
                      <w:sz w:val="24"/>
                    </w:rPr>
                    <w:t>1</w:t>
                  </w:r>
                  <w:r>
                    <w:rPr>
                      <w:rFonts w:ascii="仿宋_GB2312" w:hAnsi="仿宋_GB2312" w:cs="仿宋_GB2312" w:eastAsia="仿宋_GB2312"/>
                      <w:sz w:val="24"/>
                    </w:rPr>
                    <w:t>分</w:t>
                  </w:r>
                  <w:r>
                    <w:rPr>
                      <w:rFonts w:ascii="仿宋_GB2312" w:hAnsi="仿宋_GB2312" w:cs="仿宋_GB2312" w:eastAsia="仿宋_GB2312"/>
                      <w:sz w:val="24"/>
                    </w:rPr>
                    <w:t xml:space="preserve">  </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91"/>
                  <w:vMerge/>
                  <w:tcBorders>
                    <w:top w:val="none" w:color="000000" w:sz="4"/>
                    <w:left w:val="single" w:color="000000" w:sz="4"/>
                    <w:bottom w:val="single" w:color="000000" w:sz="4"/>
                    <w:right w:val="single" w:color="000000" w:sz="4"/>
                  </w:tcBorders>
                </w:tcPr>
                <w:p/>
              </w:tc>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工作人员统一着装、佩戴工牌，在岗履职，发现一人不规范扣</w:t>
                  </w:r>
                  <w:r>
                    <w:rPr>
                      <w:rFonts w:ascii="仿宋_GB2312" w:hAnsi="仿宋_GB2312" w:cs="仿宋_GB2312" w:eastAsia="仿宋_GB2312"/>
                      <w:sz w:val="24"/>
                    </w:rPr>
                    <w:t>0.5</w:t>
                  </w:r>
                  <w:r>
                    <w:rPr>
                      <w:rFonts w:ascii="仿宋_GB2312" w:hAnsi="仿宋_GB2312" w:cs="仿宋_GB2312" w:eastAsia="仿宋_GB2312"/>
                      <w:sz w:val="24"/>
                    </w:rPr>
                    <w:t>分</w:t>
                  </w:r>
                  <w:r>
                    <w:rPr>
                      <w:rFonts w:ascii="仿宋_GB2312" w:hAnsi="仿宋_GB2312" w:cs="仿宋_GB2312" w:eastAsia="仿宋_GB2312"/>
                      <w:sz w:val="24"/>
                    </w:rPr>
                    <w:t xml:space="preserve">  </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91"/>
                  <w:vMerge/>
                  <w:tcBorders>
                    <w:top w:val="none" w:color="000000" w:sz="4"/>
                    <w:left w:val="single" w:color="000000" w:sz="4"/>
                    <w:bottom w:val="single" w:color="000000" w:sz="4"/>
                    <w:right w:val="single" w:color="000000" w:sz="4"/>
                  </w:tcBorders>
                </w:tcPr>
                <w:p/>
              </w:tc>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3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定期开展安全培训、应急演练，记录齐全，无记录每次扣</w:t>
                  </w:r>
                  <w:r>
                    <w:rPr>
                      <w:rFonts w:ascii="仿宋_GB2312" w:hAnsi="仿宋_GB2312" w:cs="仿宋_GB2312" w:eastAsia="仿宋_GB2312"/>
                      <w:sz w:val="24"/>
                    </w:rPr>
                    <w:t>2</w:t>
                  </w:r>
                  <w:r>
                    <w:rPr>
                      <w:rFonts w:ascii="仿宋_GB2312" w:hAnsi="仿宋_GB2312" w:cs="仿宋_GB2312" w:eastAsia="仿宋_GB2312"/>
                      <w:sz w:val="24"/>
                    </w:rPr>
                    <w:t>分</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91"/>
                  <w:vMerge/>
                  <w:tcBorders>
                    <w:top w:val="none" w:color="000000" w:sz="4"/>
                    <w:left w:val="single" w:color="000000" w:sz="4"/>
                    <w:bottom w:val="single" w:color="000000" w:sz="4"/>
                    <w:right w:val="single" w:color="000000" w:sz="4"/>
                  </w:tcBorders>
                </w:tcPr>
                <w:p/>
              </w:tc>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3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中标人派出服务人员数量不足，按人次扣减合同款项</w:t>
                  </w:r>
                  <w:r>
                    <w:rPr>
                      <w:rFonts w:ascii="仿宋_GB2312" w:hAnsi="仿宋_GB2312" w:cs="仿宋_GB2312" w:eastAsia="仿宋_GB2312"/>
                      <w:sz w:val="24"/>
                    </w:rPr>
                    <w:t>3</w:t>
                  </w:r>
                  <w:r>
                    <w:rPr>
                      <w:rFonts w:ascii="仿宋_GB2312" w:hAnsi="仿宋_GB2312" w:cs="仿宋_GB2312" w:eastAsia="仿宋_GB2312"/>
                      <w:sz w:val="24"/>
                    </w:rPr>
                    <w:t>000元，</w:t>
                  </w:r>
                  <w:r>
                    <w:rPr>
                      <w:rFonts w:ascii="仿宋_GB2312" w:hAnsi="仿宋_GB2312" w:cs="仿宋_GB2312" w:eastAsia="仿宋_GB2312"/>
                      <w:sz w:val="24"/>
                    </w:rPr>
                    <w:t>扣</w:t>
                  </w:r>
                  <w:r>
                    <w:rPr>
                      <w:rFonts w:ascii="仿宋_GB2312" w:hAnsi="仿宋_GB2312" w:cs="仿宋_GB2312" w:eastAsia="仿宋_GB2312"/>
                      <w:sz w:val="24"/>
                    </w:rPr>
                    <w:t>5</w:t>
                  </w:r>
                  <w:r>
                    <w:rPr>
                      <w:rFonts w:ascii="仿宋_GB2312" w:hAnsi="仿宋_GB2312" w:cs="仿宋_GB2312" w:eastAsia="仿宋_GB2312"/>
                      <w:sz w:val="24"/>
                    </w:rPr>
                    <w:t>分</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91"/>
                  <w:vMerge/>
                  <w:tcBorders>
                    <w:top w:val="none" w:color="000000" w:sz="4"/>
                    <w:left w:val="single" w:color="000000" w:sz="4"/>
                    <w:bottom w:val="single" w:color="000000" w:sz="4"/>
                    <w:right w:val="single" w:color="000000" w:sz="4"/>
                  </w:tcBorders>
                </w:tcPr>
                <w:p/>
              </w:tc>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3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采购人提出更换不合适员工，中标人在</w:t>
                  </w:r>
                  <w:r>
                    <w:rPr>
                      <w:rFonts w:ascii="仿宋_GB2312" w:hAnsi="仿宋_GB2312" w:cs="仿宋_GB2312" w:eastAsia="仿宋_GB2312"/>
                      <w:sz w:val="24"/>
                    </w:rPr>
                    <w:t>3日内不予更换的，按次扣减合同款项2000元，</w:t>
                  </w:r>
                  <w:r>
                    <w:rPr>
                      <w:rFonts w:ascii="仿宋_GB2312" w:hAnsi="仿宋_GB2312" w:cs="仿宋_GB2312" w:eastAsia="仿宋_GB2312"/>
                      <w:sz w:val="24"/>
                    </w:rPr>
                    <w:t>扣</w:t>
                  </w:r>
                  <w:r>
                    <w:rPr>
                      <w:rFonts w:ascii="仿宋_GB2312" w:hAnsi="仿宋_GB2312" w:cs="仿宋_GB2312" w:eastAsia="仿宋_GB2312"/>
                      <w:sz w:val="24"/>
                    </w:rPr>
                    <w:t>4</w:t>
                  </w:r>
                  <w:r>
                    <w:rPr>
                      <w:rFonts w:ascii="仿宋_GB2312" w:hAnsi="仿宋_GB2312" w:cs="仿宋_GB2312" w:eastAsia="仿宋_GB2312"/>
                      <w:sz w:val="24"/>
                    </w:rPr>
                    <w:t>分</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9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会务及客户服务</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分</w:t>
                  </w:r>
                  <w:r>
                    <w:rPr>
                      <w:rFonts w:ascii="仿宋_GB2312" w:hAnsi="仿宋_GB2312" w:cs="仿宋_GB2312" w:eastAsia="仿宋_GB2312"/>
                      <w:sz w:val="24"/>
                    </w:rPr>
                    <w:t>）</w:t>
                  </w:r>
                </w:p>
              </w:tc>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3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应急报修</w:t>
                  </w:r>
                  <w:r>
                    <w:rPr>
                      <w:rFonts w:ascii="仿宋_GB2312" w:hAnsi="仿宋_GB2312" w:cs="仿宋_GB2312" w:eastAsia="仿宋_GB2312"/>
                      <w:sz w:val="24"/>
                    </w:rPr>
                    <w:t>30分钟到场，一般故障24小时办结，超时一次扣</w:t>
                  </w:r>
                  <w:r>
                    <w:rPr>
                      <w:rFonts w:ascii="仿宋_GB2312" w:hAnsi="仿宋_GB2312" w:cs="仿宋_GB2312" w:eastAsia="仿宋_GB2312"/>
                      <w:sz w:val="24"/>
                    </w:rPr>
                    <w:t>1</w:t>
                  </w:r>
                  <w:r>
                    <w:rPr>
                      <w:rFonts w:ascii="仿宋_GB2312" w:hAnsi="仿宋_GB2312" w:cs="仿宋_GB2312" w:eastAsia="仿宋_GB2312"/>
                      <w:sz w:val="24"/>
                    </w:rPr>
                    <w:t>分</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91"/>
                  <w:vMerge/>
                  <w:tcBorders>
                    <w:top w:val="none" w:color="000000" w:sz="4"/>
                    <w:left w:val="single" w:color="000000" w:sz="4"/>
                    <w:bottom w:val="single" w:color="000000" w:sz="4"/>
                    <w:right w:val="single" w:color="000000" w:sz="4"/>
                  </w:tcBorders>
                </w:tcPr>
                <w:p/>
              </w:tc>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3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对于服务单位的</w:t>
                  </w:r>
                  <w:r>
                    <w:rPr>
                      <w:rFonts w:ascii="仿宋_GB2312" w:hAnsi="仿宋_GB2312" w:cs="仿宋_GB2312" w:eastAsia="仿宋_GB2312"/>
                      <w:sz w:val="24"/>
                    </w:rPr>
                    <w:t>投诉接诉即办、闭环回访，无积压投诉，一次未闭环扣</w:t>
                  </w:r>
                  <w:r>
                    <w:rPr>
                      <w:rFonts w:ascii="仿宋_GB2312" w:hAnsi="仿宋_GB2312" w:cs="仿宋_GB2312" w:eastAsia="仿宋_GB2312"/>
                      <w:sz w:val="24"/>
                    </w:rPr>
                    <w:t>2分</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91"/>
                  <w:vMerge/>
                  <w:tcBorders>
                    <w:top w:val="none" w:color="000000" w:sz="4"/>
                    <w:left w:val="single" w:color="000000" w:sz="4"/>
                    <w:bottom w:val="single" w:color="000000" w:sz="4"/>
                    <w:right w:val="single" w:color="000000" w:sz="4"/>
                  </w:tcBorders>
                </w:tcPr>
                <w:p/>
              </w:tc>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3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会场布置、茶水、保洁保障到位，出现失误一次扣</w:t>
                  </w:r>
                  <w:r>
                    <w:rPr>
                      <w:rFonts w:ascii="仿宋_GB2312" w:hAnsi="仿宋_GB2312" w:cs="仿宋_GB2312" w:eastAsia="仿宋_GB2312"/>
                      <w:sz w:val="24"/>
                    </w:rPr>
                    <w:t xml:space="preserve">1分  </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9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设施设备运行</w:t>
                  </w:r>
                  <w:r>
                    <w:rPr>
                      <w:rFonts w:ascii="仿宋_GB2312" w:hAnsi="仿宋_GB2312" w:cs="仿宋_GB2312" w:eastAsia="仿宋_GB2312"/>
                      <w:sz w:val="24"/>
                    </w:rPr>
                    <w:t>（</w:t>
                  </w:r>
                  <w:r>
                    <w:rPr>
                      <w:rFonts w:ascii="仿宋_GB2312" w:hAnsi="仿宋_GB2312" w:cs="仿宋_GB2312" w:eastAsia="仿宋_GB2312"/>
                      <w:sz w:val="24"/>
                    </w:rPr>
                    <w:t>20分</w:t>
                  </w:r>
                  <w:r>
                    <w:rPr>
                      <w:rFonts w:ascii="仿宋_GB2312" w:hAnsi="仿宋_GB2312" w:cs="仿宋_GB2312" w:eastAsia="仿宋_GB2312"/>
                      <w:sz w:val="24"/>
                    </w:rPr>
                    <w:t>）</w:t>
                  </w:r>
                </w:p>
              </w:tc>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3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供配电、给排水、照明、空调正常巡检，故障及时处理，一处隐患扣</w:t>
                  </w:r>
                  <w:r>
                    <w:rPr>
                      <w:rFonts w:ascii="仿宋_GB2312" w:hAnsi="仿宋_GB2312" w:cs="仿宋_GB2312" w:eastAsia="仿宋_GB2312"/>
                      <w:sz w:val="24"/>
                    </w:rPr>
                    <w:t>2分</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91"/>
                  <w:vMerge/>
                  <w:tcBorders>
                    <w:top w:val="none" w:color="000000" w:sz="4"/>
                    <w:left w:val="single" w:color="000000" w:sz="4"/>
                    <w:bottom w:val="single" w:color="000000" w:sz="4"/>
                    <w:right w:val="single" w:color="000000" w:sz="4"/>
                  </w:tcBorders>
                </w:tcPr>
                <w:p/>
              </w:tc>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3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消防器材完好有效，通道畅通，按时演练，隐患一处扣</w:t>
                  </w:r>
                  <w:r>
                    <w:rPr>
                      <w:rFonts w:ascii="仿宋_GB2312" w:hAnsi="仿宋_GB2312" w:cs="仿宋_GB2312" w:eastAsia="仿宋_GB2312"/>
                      <w:sz w:val="24"/>
                    </w:rPr>
                    <w:t>3分</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91"/>
                  <w:vMerge/>
                  <w:tcBorders>
                    <w:top w:val="none" w:color="000000" w:sz="4"/>
                    <w:left w:val="single" w:color="000000" w:sz="4"/>
                    <w:bottom w:val="single" w:color="000000" w:sz="4"/>
                    <w:right w:val="single" w:color="000000" w:sz="4"/>
                  </w:tcBorders>
                </w:tcPr>
                <w:p/>
              </w:tc>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3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电梯维保规范、年检合格，无违规运行，不合格本项不得分</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9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环境卫生保洁</w:t>
                  </w:r>
                  <w:r>
                    <w:rPr>
                      <w:rFonts w:ascii="仿宋_GB2312" w:hAnsi="仿宋_GB2312" w:cs="仿宋_GB2312" w:eastAsia="仿宋_GB2312"/>
                      <w:sz w:val="24"/>
                    </w:rPr>
                    <w:t>（</w:t>
                  </w:r>
                  <w:r>
                    <w:rPr>
                      <w:rFonts w:ascii="仿宋_GB2312" w:hAnsi="仿宋_GB2312" w:cs="仿宋_GB2312" w:eastAsia="仿宋_GB2312"/>
                      <w:sz w:val="24"/>
                    </w:rPr>
                    <w:t>20分</w:t>
                  </w:r>
                  <w:r>
                    <w:rPr>
                      <w:rFonts w:ascii="仿宋_GB2312" w:hAnsi="仿宋_GB2312" w:cs="仿宋_GB2312" w:eastAsia="仿宋_GB2312"/>
                      <w:sz w:val="24"/>
                    </w:rPr>
                    <w:t>）</w:t>
                  </w:r>
                </w:p>
              </w:tc>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3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大厅、楼道、公共区域巡回保洁，无死角污渍，一处扣</w:t>
                  </w:r>
                  <w:r>
                    <w:rPr>
                      <w:rFonts w:ascii="仿宋_GB2312" w:hAnsi="仿宋_GB2312" w:cs="仿宋_GB2312" w:eastAsia="仿宋_GB2312"/>
                      <w:sz w:val="24"/>
                    </w:rPr>
                    <w:t>1分</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91"/>
                  <w:vMerge/>
                  <w:tcBorders>
                    <w:top w:val="none" w:color="000000" w:sz="4"/>
                    <w:left w:val="single" w:color="000000" w:sz="4"/>
                    <w:bottom w:val="single" w:color="000000" w:sz="4"/>
                    <w:right w:val="single" w:color="000000" w:sz="4"/>
                  </w:tcBorders>
                </w:tcPr>
                <w:p/>
              </w:tc>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3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垃圾日产日清、分类准确，乱堆混放一次扣</w:t>
                  </w:r>
                  <w:r>
                    <w:rPr>
                      <w:rFonts w:ascii="仿宋_GB2312" w:hAnsi="仿宋_GB2312" w:cs="仿宋_GB2312" w:eastAsia="仿宋_GB2312"/>
                      <w:sz w:val="24"/>
                    </w:rPr>
                    <w:t>2分</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91"/>
                  <w:vMerge/>
                  <w:tcBorders>
                    <w:top w:val="none" w:color="000000" w:sz="4"/>
                    <w:left w:val="single" w:color="000000" w:sz="4"/>
                    <w:bottom w:val="single" w:color="000000" w:sz="4"/>
                    <w:right w:val="single" w:color="000000" w:sz="4"/>
                  </w:tcBorders>
                </w:tcPr>
                <w:p/>
              </w:tc>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3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卫生间无异味、电梯洁净、墙面干净，脏乱一处扣</w:t>
                  </w:r>
                  <w:r>
                    <w:rPr>
                      <w:rFonts w:ascii="仿宋_GB2312" w:hAnsi="仿宋_GB2312" w:cs="仿宋_GB2312" w:eastAsia="仿宋_GB2312"/>
                      <w:sz w:val="24"/>
                    </w:rPr>
                    <w:t>1分</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9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安保秩序安全</w:t>
                  </w:r>
                  <w:r>
                    <w:rPr>
                      <w:rFonts w:ascii="仿宋_GB2312" w:hAnsi="仿宋_GB2312" w:cs="仿宋_GB2312" w:eastAsia="仿宋_GB2312"/>
                      <w:sz w:val="24"/>
                    </w:rPr>
                    <w:t>（</w:t>
                  </w:r>
                  <w:r>
                    <w:rPr>
                      <w:rFonts w:ascii="仿宋_GB2312" w:hAnsi="仿宋_GB2312" w:cs="仿宋_GB2312" w:eastAsia="仿宋_GB2312"/>
                      <w:sz w:val="24"/>
                    </w:rPr>
                    <w:t>20分</w:t>
                  </w:r>
                  <w:r>
                    <w:rPr>
                      <w:rFonts w:ascii="仿宋_GB2312" w:hAnsi="仿宋_GB2312" w:cs="仿宋_GB2312" w:eastAsia="仿宋_GB2312"/>
                      <w:sz w:val="24"/>
                    </w:rPr>
                    <w:t>）</w:t>
                  </w:r>
                </w:p>
              </w:tc>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3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 xml:space="preserve"> 24小时值班值守，人员车辆出入登记规范，脱岗一次扣2分</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91"/>
                  <w:vMerge/>
                  <w:tcBorders>
                    <w:top w:val="none" w:color="000000" w:sz="4"/>
                    <w:left w:val="single" w:color="000000" w:sz="4"/>
                    <w:bottom w:val="single" w:color="000000" w:sz="4"/>
                    <w:right w:val="single" w:color="000000" w:sz="4"/>
                  </w:tcBorders>
                </w:tcPr>
                <w:p/>
              </w:tc>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3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监控正常运行，录像留存</w:t>
                  </w:r>
                  <w:r>
                    <w:rPr>
                      <w:rFonts w:ascii="仿宋_GB2312" w:hAnsi="仿宋_GB2312" w:cs="仿宋_GB2312" w:eastAsia="仿宋_GB2312"/>
                      <w:sz w:val="24"/>
                    </w:rPr>
                    <w:t>30天以上，车辆停放有序</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91"/>
                  <w:vMerge/>
                  <w:tcBorders>
                    <w:top w:val="none" w:color="000000" w:sz="4"/>
                    <w:left w:val="single" w:color="000000" w:sz="4"/>
                    <w:bottom w:val="single" w:color="000000" w:sz="4"/>
                    <w:right w:val="single" w:color="000000" w:sz="4"/>
                  </w:tcBorders>
                </w:tcPr>
                <w:p/>
              </w:tc>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3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无治安、消防责任事故，堵塞消防通道一次扣2</w:t>
                  </w:r>
                  <w:r>
                    <w:rPr>
                      <w:rFonts w:ascii="仿宋_GB2312" w:hAnsi="仿宋_GB2312" w:cs="仿宋_GB2312" w:eastAsia="仿宋_GB2312"/>
                      <w:sz w:val="24"/>
                    </w:rPr>
                    <w:t>分</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9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绿化养护管理</w:t>
                  </w:r>
                  <w:r>
                    <w:rPr>
                      <w:rFonts w:ascii="仿宋_GB2312" w:hAnsi="仿宋_GB2312" w:cs="仿宋_GB2312" w:eastAsia="仿宋_GB2312"/>
                      <w:sz w:val="24"/>
                    </w:rPr>
                    <w:t>（</w:t>
                  </w:r>
                  <w:r>
                    <w:rPr>
                      <w:rFonts w:ascii="仿宋_GB2312" w:hAnsi="仿宋_GB2312" w:cs="仿宋_GB2312" w:eastAsia="仿宋_GB2312"/>
                      <w:sz w:val="24"/>
                    </w:rPr>
                    <w:t>10分</w:t>
                  </w:r>
                  <w:r>
                    <w:rPr>
                      <w:rFonts w:ascii="仿宋_GB2312" w:hAnsi="仿宋_GB2312" w:cs="仿宋_GB2312" w:eastAsia="仿宋_GB2312"/>
                      <w:sz w:val="24"/>
                    </w:rPr>
                    <w:t>）</w:t>
                  </w:r>
                </w:p>
              </w:tc>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3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定期浇水、修剪、除虫，养护不到位酌情扣分</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91"/>
                  <w:vMerge/>
                  <w:tcBorders>
                    <w:top w:val="none" w:color="000000" w:sz="4"/>
                    <w:left w:val="single" w:color="000000" w:sz="4"/>
                    <w:bottom w:val="single" w:color="000000" w:sz="4"/>
                    <w:right w:val="single" w:color="000000" w:sz="4"/>
                  </w:tcBorders>
                </w:tcPr>
                <w:p/>
              </w:tc>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3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绿化带无杂草、无枯死苗木，脏乱荒芜酌情扣分</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left"/>
            </w:pPr>
            <w:r>
              <w:rPr>
                <w:rFonts w:ascii="仿宋_GB2312" w:hAnsi="仿宋_GB2312" w:cs="仿宋_GB2312" w:eastAsia="仿宋_GB2312"/>
                <w:sz w:val="24"/>
              </w:rPr>
              <w:t>二</w:t>
            </w:r>
            <w:r>
              <w:rPr>
                <w:rFonts w:ascii="仿宋_GB2312" w:hAnsi="仿宋_GB2312" w:cs="仿宋_GB2312" w:eastAsia="仿宋_GB2312"/>
                <w:sz w:val="24"/>
              </w:rPr>
              <w:t>、考核等级及费用结算</w:t>
            </w:r>
          </w:p>
          <w:p>
            <w:pPr>
              <w:pStyle w:val="null3"/>
              <w:jc w:val="left"/>
            </w:pPr>
            <w:r>
              <w:rPr>
                <w:rFonts w:ascii="仿宋_GB2312" w:hAnsi="仿宋_GB2312" w:cs="仿宋_GB2312" w:eastAsia="仿宋_GB2312"/>
                <w:sz w:val="24"/>
              </w:rPr>
              <w:t xml:space="preserve">        </w:t>
            </w:r>
            <w:r>
              <w:rPr>
                <w:rFonts w:ascii="仿宋_GB2312" w:hAnsi="仿宋_GB2312" w:cs="仿宋_GB2312" w:eastAsia="仿宋_GB2312"/>
                <w:sz w:val="24"/>
              </w:rPr>
              <w:t>考核按运行一季度（或三个月）实施。</w:t>
            </w:r>
          </w:p>
          <w:p>
            <w:pPr>
              <w:pStyle w:val="null3"/>
              <w:numPr>
                <w:ilvl w:val="0"/>
                <w:numId w:val="1"/>
              </w:numPr>
              <w:jc w:val="left"/>
            </w:pPr>
            <w:r>
              <w:rPr>
                <w:rFonts w:ascii="仿宋_GB2312" w:hAnsi="仿宋_GB2312" w:cs="仿宋_GB2312" w:eastAsia="仿宋_GB2312"/>
                <w:sz w:val="24"/>
              </w:rPr>
              <w:t xml:space="preserve"> </w:t>
            </w:r>
            <w:r>
              <w:rPr>
                <w:rFonts w:ascii="仿宋_GB2312" w:hAnsi="仿宋_GB2312" w:cs="仿宋_GB2312" w:eastAsia="仿宋_GB2312"/>
                <w:sz w:val="24"/>
              </w:rPr>
              <w:t>考核得分</w:t>
            </w:r>
            <w:r>
              <w:rPr>
                <w:rFonts w:ascii="仿宋_GB2312" w:hAnsi="仿宋_GB2312" w:cs="仿宋_GB2312" w:eastAsia="仿宋_GB2312"/>
                <w:sz w:val="24"/>
              </w:rPr>
              <w:t>75</w:t>
            </w:r>
            <w:r>
              <w:rPr>
                <w:rFonts w:ascii="仿宋_GB2312" w:hAnsi="仿宋_GB2312" w:cs="仿宋_GB2312" w:eastAsia="仿宋_GB2312"/>
                <w:sz w:val="24"/>
              </w:rPr>
              <w:t>分</w:t>
            </w:r>
            <w:r>
              <w:rPr>
                <w:rFonts w:ascii="仿宋_GB2312" w:hAnsi="仿宋_GB2312" w:cs="仿宋_GB2312" w:eastAsia="仿宋_GB2312"/>
                <w:sz w:val="24"/>
              </w:rPr>
              <w:t>及以上为</w:t>
            </w:r>
            <w:r>
              <w:rPr>
                <w:rFonts w:ascii="仿宋_GB2312" w:hAnsi="仿宋_GB2312" w:cs="仿宋_GB2312" w:eastAsia="仿宋_GB2312"/>
                <w:sz w:val="24"/>
              </w:rPr>
              <w:t>合格，全额支付</w:t>
            </w:r>
            <w:r>
              <w:rPr>
                <w:rFonts w:ascii="仿宋_GB2312" w:hAnsi="仿宋_GB2312" w:cs="仿宋_GB2312" w:eastAsia="仿宋_GB2312"/>
                <w:sz w:val="24"/>
              </w:rPr>
              <w:t>当季度服务</w:t>
            </w:r>
            <w:r>
              <w:rPr>
                <w:rFonts w:ascii="仿宋_GB2312" w:hAnsi="仿宋_GB2312" w:cs="仿宋_GB2312" w:eastAsia="仿宋_GB2312"/>
                <w:sz w:val="24"/>
              </w:rPr>
              <w:t>费</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考核得分</w:t>
            </w:r>
            <w:r>
              <w:rPr>
                <w:rFonts w:ascii="仿宋_GB2312" w:hAnsi="仿宋_GB2312" w:cs="仿宋_GB2312" w:eastAsia="仿宋_GB2312"/>
                <w:sz w:val="24"/>
              </w:rPr>
              <w:t xml:space="preserve"> 60</w:t>
            </w:r>
            <w:r>
              <w:rPr>
                <w:rFonts w:ascii="仿宋_GB2312" w:hAnsi="仿宋_GB2312" w:cs="仿宋_GB2312" w:eastAsia="仿宋_GB2312"/>
                <w:sz w:val="24"/>
              </w:rPr>
              <w:t>（含）</w:t>
            </w:r>
            <w:r>
              <w:rPr>
                <w:rFonts w:ascii="仿宋_GB2312" w:hAnsi="仿宋_GB2312" w:cs="仿宋_GB2312" w:eastAsia="仿宋_GB2312"/>
                <w:sz w:val="24"/>
              </w:rPr>
              <w:t>-</w:t>
            </w:r>
            <w:r>
              <w:rPr>
                <w:rFonts w:ascii="仿宋_GB2312" w:hAnsi="仿宋_GB2312" w:cs="仿宋_GB2312" w:eastAsia="仿宋_GB2312"/>
                <w:sz w:val="24"/>
              </w:rPr>
              <w:t>75（不含）</w:t>
            </w:r>
            <w:r>
              <w:rPr>
                <w:rFonts w:ascii="仿宋_GB2312" w:hAnsi="仿宋_GB2312" w:cs="仿宋_GB2312" w:eastAsia="仿宋_GB2312"/>
                <w:sz w:val="24"/>
              </w:rPr>
              <w:t>分</w:t>
            </w:r>
            <w:r>
              <w:rPr>
                <w:rFonts w:ascii="仿宋_GB2312" w:hAnsi="仿宋_GB2312" w:cs="仿宋_GB2312" w:eastAsia="仿宋_GB2312"/>
                <w:sz w:val="24"/>
              </w:rPr>
              <w:t>为</w:t>
            </w:r>
            <w:r>
              <w:rPr>
                <w:rFonts w:ascii="仿宋_GB2312" w:hAnsi="仿宋_GB2312" w:cs="仿宋_GB2312" w:eastAsia="仿宋_GB2312"/>
                <w:sz w:val="24"/>
              </w:rPr>
              <w:t>基本合格，扣除</w:t>
            </w:r>
            <w:r>
              <w:rPr>
                <w:rFonts w:ascii="仿宋_GB2312" w:hAnsi="仿宋_GB2312" w:cs="仿宋_GB2312" w:eastAsia="仿宋_GB2312"/>
                <w:sz w:val="24"/>
              </w:rPr>
              <w:t>当次计划支付服务</w:t>
            </w:r>
            <w:r>
              <w:rPr>
                <w:rFonts w:ascii="仿宋_GB2312" w:hAnsi="仿宋_GB2312" w:cs="仿宋_GB2312" w:eastAsia="仿宋_GB2312"/>
                <w:sz w:val="24"/>
              </w:rPr>
              <w:t>费</w:t>
            </w:r>
            <w:r>
              <w:rPr>
                <w:rFonts w:ascii="仿宋_GB2312" w:hAnsi="仿宋_GB2312" w:cs="仿宋_GB2312" w:eastAsia="仿宋_GB2312"/>
                <w:sz w:val="24"/>
              </w:rPr>
              <w:t>的</w:t>
            </w:r>
            <w:r>
              <w:rPr>
                <w:rFonts w:ascii="仿宋_GB2312" w:hAnsi="仿宋_GB2312" w:cs="仿宋_GB2312" w:eastAsia="仿宋_GB2312"/>
                <w:sz w:val="24"/>
              </w:rPr>
              <w:t>5%</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考核得分</w:t>
            </w:r>
            <w:r>
              <w:rPr>
                <w:rFonts w:ascii="仿宋_GB2312" w:hAnsi="仿宋_GB2312" w:cs="仿宋_GB2312" w:eastAsia="仿宋_GB2312"/>
                <w:sz w:val="24"/>
              </w:rPr>
              <w:t xml:space="preserve"> </w:t>
            </w:r>
            <w:r>
              <w:rPr>
                <w:rFonts w:ascii="仿宋_GB2312" w:hAnsi="仿宋_GB2312" w:cs="仿宋_GB2312" w:eastAsia="仿宋_GB2312"/>
                <w:sz w:val="24"/>
              </w:rPr>
              <w:t>60</w:t>
            </w:r>
            <w:r>
              <w:rPr>
                <w:rFonts w:ascii="仿宋_GB2312" w:hAnsi="仿宋_GB2312" w:cs="仿宋_GB2312" w:eastAsia="仿宋_GB2312"/>
                <w:sz w:val="24"/>
              </w:rPr>
              <w:t>分以下</w:t>
            </w:r>
            <w:r>
              <w:rPr>
                <w:rFonts w:ascii="仿宋_GB2312" w:hAnsi="仿宋_GB2312" w:cs="仿宋_GB2312" w:eastAsia="仿宋_GB2312"/>
                <w:sz w:val="24"/>
              </w:rPr>
              <w:t>为</w:t>
            </w:r>
            <w:r>
              <w:rPr>
                <w:rFonts w:ascii="仿宋_GB2312" w:hAnsi="仿宋_GB2312" w:cs="仿宋_GB2312" w:eastAsia="仿宋_GB2312"/>
                <w:sz w:val="24"/>
              </w:rPr>
              <w:t>不合格，扣除</w:t>
            </w:r>
            <w:r>
              <w:rPr>
                <w:rFonts w:ascii="仿宋_GB2312" w:hAnsi="仿宋_GB2312" w:cs="仿宋_GB2312" w:eastAsia="仿宋_GB2312"/>
                <w:sz w:val="24"/>
              </w:rPr>
              <w:t>当次计划支付服务</w:t>
            </w:r>
            <w:r>
              <w:rPr>
                <w:rFonts w:ascii="仿宋_GB2312" w:hAnsi="仿宋_GB2312" w:cs="仿宋_GB2312" w:eastAsia="仿宋_GB2312"/>
                <w:sz w:val="24"/>
              </w:rPr>
              <w:t>费</w:t>
            </w:r>
            <w:r>
              <w:rPr>
                <w:rFonts w:ascii="仿宋_GB2312" w:hAnsi="仿宋_GB2312" w:cs="仿宋_GB2312" w:eastAsia="仿宋_GB2312"/>
                <w:sz w:val="24"/>
              </w:rPr>
              <w:t>的</w:t>
            </w: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并</w:t>
            </w:r>
            <w:r>
              <w:rPr>
                <w:rFonts w:ascii="仿宋_GB2312" w:hAnsi="仿宋_GB2312" w:cs="仿宋_GB2312" w:eastAsia="仿宋_GB2312"/>
                <w:sz w:val="24"/>
              </w:rPr>
              <w:t>限期整改</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连续两次考核</w:t>
            </w:r>
            <w:r>
              <w:rPr>
                <w:rFonts w:ascii="仿宋_GB2312" w:hAnsi="仿宋_GB2312" w:cs="仿宋_GB2312" w:eastAsia="仿宋_GB2312"/>
                <w:sz w:val="24"/>
              </w:rPr>
              <w:t>不</w:t>
            </w:r>
            <w:r>
              <w:rPr>
                <w:rFonts w:ascii="仿宋_GB2312" w:hAnsi="仿宋_GB2312" w:cs="仿宋_GB2312" w:eastAsia="仿宋_GB2312"/>
                <w:sz w:val="24"/>
              </w:rPr>
              <w:t>合格</w:t>
            </w:r>
            <w:r>
              <w:rPr>
                <w:rFonts w:ascii="仿宋_GB2312" w:hAnsi="仿宋_GB2312" w:cs="仿宋_GB2312" w:eastAsia="仿宋_GB2312"/>
                <w:sz w:val="24"/>
              </w:rPr>
              <w:t>的，采购人有权单方面中止采购合同，并由供应商承担一切经济损失与相关责任。</w:t>
            </w:r>
          </w:p>
          <w:p>
            <w:pPr>
              <w:pStyle w:val="null3"/>
              <w:jc w:val="left"/>
            </w:pPr>
            <w:r>
              <w:rPr>
                <w:rFonts w:ascii="仿宋_GB2312" w:hAnsi="仿宋_GB2312" w:cs="仿宋_GB2312" w:eastAsia="仿宋_GB2312"/>
                <w:sz w:val="24"/>
              </w:rPr>
              <w:t xml:space="preserve">    三</w:t>
            </w:r>
            <w:r>
              <w:rPr>
                <w:rFonts w:ascii="仿宋_GB2312" w:hAnsi="仿宋_GB2312" w:cs="仿宋_GB2312" w:eastAsia="仿宋_GB2312"/>
                <w:sz w:val="24"/>
              </w:rPr>
              <w:t>、一票否决情形</w:t>
            </w:r>
          </w:p>
          <w:p>
            <w:pPr>
              <w:pStyle w:val="null3"/>
              <w:jc w:val="left"/>
            </w:pPr>
            <w:r>
              <w:rPr>
                <w:rFonts w:ascii="仿宋_GB2312" w:hAnsi="仿宋_GB2312" w:cs="仿宋_GB2312" w:eastAsia="仿宋_GB2312"/>
                <w:sz w:val="24"/>
              </w:rPr>
              <w:t xml:space="preserve">   1.发生火灾、人身伤亡、重大财产安全事故</w:t>
            </w:r>
            <w:r>
              <w:rPr>
                <w:rFonts w:ascii="仿宋_GB2312" w:hAnsi="仿宋_GB2312" w:cs="仿宋_GB2312" w:eastAsia="仿宋_GB2312"/>
                <w:sz w:val="24"/>
              </w:rPr>
              <w:t>；</w:t>
            </w:r>
            <w:r>
              <w:rPr>
                <w:rFonts w:ascii="仿宋_GB2312" w:hAnsi="仿宋_GB2312" w:cs="仿宋_GB2312" w:eastAsia="仿宋_GB2312"/>
                <w:sz w:val="24"/>
              </w:rPr>
              <w:t>2.机关涉密信息泄露、造成不良影响</w:t>
            </w:r>
            <w:r>
              <w:rPr>
                <w:rFonts w:ascii="仿宋_GB2312" w:hAnsi="仿宋_GB2312" w:cs="仿宋_GB2312" w:eastAsia="仿宋_GB2312"/>
                <w:sz w:val="24"/>
              </w:rPr>
              <w:t>；</w:t>
            </w:r>
            <w:r>
              <w:rPr>
                <w:rFonts w:ascii="仿宋_GB2312" w:hAnsi="仿宋_GB2312" w:cs="仿宋_GB2312" w:eastAsia="仿宋_GB2312"/>
                <w:sz w:val="24"/>
              </w:rPr>
              <w:t>3.重大问题拒不整改、虚假应付检查</w:t>
            </w:r>
            <w:r>
              <w:rPr>
                <w:rFonts w:ascii="仿宋_GB2312" w:hAnsi="仿宋_GB2312" w:cs="仿宋_GB2312" w:eastAsia="仿宋_GB2312"/>
                <w:sz w:val="24"/>
              </w:rPr>
              <w:t>；</w:t>
            </w:r>
            <w:r>
              <w:rPr>
                <w:rFonts w:ascii="仿宋_GB2312" w:hAnsi="仿宋_GB2312" w:cs="仿宋_GB2312" w:eastAsia="仿宋_GB2312"/>
                <w:sz w:val="24"/>
              </w:rPr>
              <w:t>4.恶意破坏设施、扰乱机关办公秩序</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 xml:space="preserve">    四</w:t>
            </w:r>
            <w:r>
              <w:rPr>
                <w:rFonts w:ascii="仿宋_GB2312" w:hAnsi="仿宋_GB2312" w:cs="仿宋_GB2312" w:eastAsia="仿宋_GB2312"/>
                <w:sz w:val="24"/>
              </w:rPr>
              <w:t>、整改及签字</w:t>
            </w:r>
          </w:p>
          <w:p>
            <w:pPr>
              <w:pStyle w:val="null3"/>
              <w:ind w:firstLine="600"/>
              <w:jc w:val="left"/>
            </w:pPr>
            <w:r>
              <w:rPr>
                <w:rFonts w:ascii="仿宋_GB2312" w:hAnsi="仿宋_GB2312" w:cs="仿宋_GB2312" w:eastAsia="仿宋_GB2312"/>
                <w:sz w:val="24"/>
              </w:rPr>
              <w:t>存在问题：</w:t>
            </w:r>
            <w:r>
              <w:rPr>
                <w:rFonts w:ascii="仿宋_GB2312" w:hAnsi="仿宋_GB2312" w:cs="仿宋_GB2312" w:eastAsia="仿宋_GB2312"/>
                <w:sz w:val="24"/>
                <w:u w:val="single"/>
              </w:rPr>
              <w:t xml:space="preserve">                                     </w:t>
            </w:r>
          </w:p>
          <w:p>
            <w:pPr>
              <w:pStyle w:val="null3"/>
              <w:ind w:firstLine="600"/>
              <w:jc w:val="left"/>
            </w:pPr>
            <w:r>
              <w:rPr>
                <w:rFonts w:ascii="仿宋_GB2312" w:hAnsi="仿宋_GB2312" w:cs="仿宋_GB2312" w:eastAsia="仿宋_GB2312"/>
                <w:sz w:val="24"/>
              </w:rPr>
              <w:t>整改时限：</w:t>
            </w:r>
            <w:r>
              <w:rPr>
                <w:rFonts w:ascii="仿宋_GB2312" w:hAnsi="仿宋_GB2312" w:cs="仿宋_GB2312" w:eastAsia="仿宋_GB2312"/>
                <w:sz w:val="24"/>
                <w:u w:val="single"/>
              </w:rPr>
              <w:t xml:space="preserve">                                     </w:t>
            </w:r>
          </w:p>
          <w:p>
            <w:pPr>
              <w:pStyle w:val="null3"/>
              <w:ind w:firstLine="600"/>
              <w:jc w:val="left"/>
            </w:pPr>
            <w:r>
              <w:rPr>
                <w:rFonts w:ascii="仿宋_GB2312" w:hAnsi="仿宋_GB2312" w:cs="仿宋_GB2312" w:eastAsia="仿宋_GB2312"/>
                <w:sz w:val="24"/>
              </w:rPr>
              <w:t>考核人签字：</w:t>
            </w:r>
            <w:r>
              <w:rPr>
                <w:rFonts w:ascii="仿宋_GB2312" w:hAnsi="仿宋_GB2312" w:cs="仿宋_GB2312" w:eastAsia="仿宋_GB2312"/>
                <w:sz w:val="24"/>
              </w:rPr>
              <w:t xml:space="preserve">__________  </w:t>
            </w:r>
            <w:r>
              <w:rPr>
                <w:rFonts w:ascii="仿宋_GB2312" w:hAnsi="仿宋_GB2312" w:cs="仿宋_GB2312" w:eastAsia="仿宋_GB2312"/>
                <w:sz w:val="24"/>
              </w:rPr>
              <w:t>后勤服务单位</w:t>
            </w:r>
            <w:r>
              <w:rPr>
                <w:rFonts w:ascii="仿宋_GB2312" w:hAnsi="仿宋_GB2312" w:cs="仿宋_GB2312" w:eastAsia="仿宋_GB2312"/>
                <w:sz w:val="24"/>
              </w:rPr>
              <w:t>负责人签字：</w:t>
            </w:r>
            <w:r>
              <w:rPr>
                <w:rFonts w:ascii="仿宋_GB2312" w:hAnsi="仿宋_GB2312" w:cs="仿宋_GB2312" w:eastAsia="仿宋_GB2312"/>
                <w:sz w:val="24"/>
              </w:rPr>
              <w:t>__________</w:t>
            </w:r>
          </w:p>
          <w:p>
            <w:pPr>
              <w:pStyle w:val="null3"/>
              <w:ind w:firstLine="600"/>
              <w:jc w:val="left"/>
            </w:pPr>
            <w:r>
              <w:rPr>
                <w:rFonts w:ascii="仿宋_GB2312" w:hAnsi="仿宋_GB2312" w:cs="仿宋_GB2312" w:eastAsia="仿宋_GB2312"/>
                <w:sz w:val="24"/>
              </w:rPr>
              <w:t>日期：</w:t>
            </w:r>
            <w:r>
              <w:rPr>
                <w:rFonts w:ascii="仿宋_GB2312" w:hAnsi="仿宋_GB2312" w:cs="仿宋_GB2312" w:eastAsia="仿宋_GB2312"/>
                <w:sz w:val="24"/>
              </w:rPr>
              <w:t>______年____月____日</w:t>
            </w:r>
          </w:p>
          <w:p>
            <w:pPr>
              <w:pStyle w:val="null3"/>
              <w:ind w:firstLine="600"/>
              <w:jc w:val="left"/>
            </w:pPr>
            <w:r>
              <w:rPr>
                <w:rFonts w:ascii="仿宋_GB2312" w:hAnsi="仿宋_GB2312" w:cs="仿宋_GB2312" w:eastAsia="仿宋_GB2312"/>
                <w:sz w:val="24"/>
              </w:rPr>
              <w:t>备注：以上内容在履约过程中采购人可以在有利于工作开展的原则上予以完善调整。</w:t>
            </w:r>
          </w:p>
          <w:p>
            <w:pPr>
              <w:pStyle w:val="null3"/>
              <w:ind w:firstLine="600"/>
              <w:jc w:val="left"/>
            </w:pPr>
            <w:r>
              <w:rPr>
                <w:rFonts w:ascii="仿宋_GB2312" w:hAnsi="仿宋_GB2312" w:cs="仿宋_GB2312" w:eastAsia="仿宋_GB2312"/>
              </w:rPr>
              <w:t xml:space="preserve"> </w:t>
            </w:r>
          </w:p>
          <w:p>
            <w:pPr>
              <w:pStyle w:val="null3"/>
              <w:ind w:firstLine="600"/>
              <w:jc w:val="left"/>
            </w:pPr>
            <w:r>
              <w:rPr>
                <w:rFonts w:ascii="仿宋_GB2312" w:hAnsi="仿宋_GB2312" w:cs="仿宋_GB2312" w:eastAsia="仿宋_GB2312"/>
              </w:rPr>
              <w:t xml:space="preserve"> </w:t>
            </w:r>
          </w:p>
          <w:p>
            <w:pPr>
              <w:pStyle w:val="null3"/>
              <w:ind w:firstLine="600"/>
              <w:jc w:val="left"/>
            </w:pPr>
            <w:r>
              <w:rPr>
                <w:rFonts w:ascii="仿宋_GB2312" w:hAnsi="仿宋_GB2312" w:cs="仿宋_GB2312" w:eastAsia="仿宋_GB2312"/>
              </w:rPr>
              <w:t xml:space="preserve"> </w:t>
            </w:r>
          </w:p>
          <w:p>
            <w:pPr>
              <w:pStyle w:val="null3"/>
              <w:ind w:firstLine="600"/>
              <w:jc w:val="left"/>
            </w:pPr>
            <w:r>
              <w:rPr>
                <w:rFonts w:ascii="仿宋_GB2312" w:hAnsi="仿宋_GB2312" w:cs="仿宋_GB2312" w:eastAsia="仿宋_GB2312"/>
              </w:rPr>
              <w:t xml:space="preserve"> </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自合同签订之日起3年</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南充市顺庆区，具体采购人指定</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符合国家、行业标准、四川省地方标准规定的验收标准。(2)其他未尽事宜应严格按照《财政部关于进一步加强政府采购需求和履约验收管理的指导意见》（财库〔2016〕205号）、《政府采购需求管理办法》（财库〔2021〕22号）的要求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合同签订后，投标人按照采购人财务管理等有关规定，提供合法有效完整票据后，结合财政资金安排情况，按照本项目一年期合同总金额的40%作为项目预付款，达到付款条件起10日内，据实结算说明为支付合同总金额的13.36%</w:t>
            </w:r>
          </w:p>
          <w:p>
            <w:pPr>
              <w:pStyle w:val="null3"/>
              <w:jc w:val="left"/>
            </w:pPr>
            <w:r>
              <w:rPr>
                <w:rFonts w:ascii="仿宋_GB2312" w:hAnsi="仿宋_GB2312" w:cs="仿宋_GB2312" w:eastAsia="仿宋_GB2312"/>
              </w:rPr>
              <w:t>2、进度款，每运行3个月，采购人对提供的后勤服务的考核验收结果，结合财政资金安排情况，据实结算支付，计划除预付款外，分12次（3年期共计36月，每3个月支付一次）予以付款，达到付款条件起10日内，据实结算说明为每次支付合同总金额的7.22%</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 ①采购人应当自中标通知书发出之日起30日内，按照谈判文件和中标供应商谈判文件的规定，与中标供应商签订书面合同。所签订的合同不得对谈判文件确定的事项和中标供应商响应文件作实质性修改。 ②采购人与中标供应商应当根据合同的约定依法履行合同义务。政府采购合同的履行、违约责任和解决争议的方法等适用《民法典》。 ③采购人应当加强对中标供应商的履约管理，并按照采购合同约定，及时向中标供应商支付采购资金。对于中标供应商违反采购合同约定的行为，采购人应当及时处理，依法追究其违约责任。 ④中标供应商签订合同后3个工作日内，应按照响应文件承诺的服务内容完成相关准备工作，以及所需的设施设备、耗材准备妥当备用。否则采购人可以解除或终止合同，取消其中标资格。 (2)解决争议的方法： 合同履行期间，若双方发生争议，可协商解决，协商不成的，可依法向采购人所在地人民法院提起诉讼解决。 (3)成交供应商无正当理由放弃成交、拒不签订合同或拒绝履约的，采购人将依法依规报送政府采购监督管理部门，按规定予以失信惩戒、行政处罚；同时，采购人依法保留追究全部损失及相关法律责任的权利。</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服务方案、拟投入本项目的服务人员、服务应急处置、与履约能力详见评标细则及标准。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提供截至提交投标文件截止之日前一年内，经审计的财务报告（包含审计报告和审计报告中所涉及的财务报表和报表附注）或者银行出具的资信证明。未经审计的提供财务报告（包括资产负债表、利润表、现金流量表、所有者权益变动表及其附注）。投标人注册时间截至提交投标文件截止之日前不足一年的，也可提供在相关主管部门备案的公司章程等证明材料。投标人需在使用投标（响应）客户端编制投标文件时，按要求上传相应证明材料并进行电子签章。</w:t>
            </w:r>
          </w:p>
        </w:tc>
        <w:tc>
          <w:tcPr>
            <w:tcW w:type="dxa" w:w="1661"/>
          </w:tcPr>
          <w:p>
            <w:pPr>
              <w:pStyle w:val="null3"/>
              <w:jc w:val="left"/>
            </w:pPr>
            <w:r>
              <w:rPr>
                <w:rFonts w:ascii="仿宋_GB2312" w:hAnsi="仿宋_GB2312" w:cs="仿宋_GB2312" w:eastAsia="仿宋_GB2312"/>
              </w:rPr>
              <w:t>具有健全的财务会计制度</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投标人以联合体形式参加本采购包的，联合体各方均应当符合本采购包专门面向的企业类型；如投标人合同分包的，分包意向协议中分包意向投标人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具有《中华人民共和国特种设备生产许可证》（电梯安装、维修类）A级资质证书。</w:t>
            </w:r>
          </w:p>
        </w:tc>
        <w:tc>
          <w:tcPr>
            <w:tcW w:type="dxa" w:w="3322"/>
          </w:tcPr>
          <w:p>
            <w:pPr>
              <w:pStyle w:val="null3"/>
              <w:jc w:val="left"/>
            </w:pPr>
            <w:r>
              <w:rPr>
                <w:rFonts w:ascii="仿宋_GB2312" w:hAnsi="仿宋_GB2312" w:cs="仿宋_GB2312" w:eastAsia="仿宋_GB2312"/>
              </w:rPr>
              <w:t>1.若投标人将电梯运行维护服务合同分包，则需承诺提供分包承接的供应商具有有效的《中华人民共和国特种设备生产许可证》（电梯安装、维修类）A级资质证书； 2.若投标人将电梯运行维护服务合同不分包，则需提供投标人具有有效的《中华人民共和国特种设备生产许可证》（电梯安装、维修类）A级资质证书(投标时提供扫描件)。</w:t>
            </w:r>
          </w:p>
        </w:tc>
        <w:tc>
          <w:tcPr>
            <w:tcW w:type="dxa" w:w="1661"/>
          </w:tcPr>
          <w:p>
            <w:pPr>
              <w:pStyle w:val="null3"/>
              <w:jc w:val="left"/>
            </w:pPr>
            <w:r>
              <w:rPr>
                <w:rFonts w:ascii="仿宋_GB2312" w:hAnsi="仿宋_GB2312" w:cs="仿宋_GB2312" w:eastAsia="仿宋_GB2312"/>
              </w:rPr>
              <w:t>投标人应提交的相关证明材料,投标（响应）函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具有“省级消防技术服务机构管理平台”和“社会消防技术服务信息系统”备案。</w:t>
            </w:r>
          </w:p>
        </w:tc>
        <w:tc>
          <w:tcPr>
            <w:tcW w:type="dxa" w:w="3322"/>
          </w:tcPr>
          <w:p>
            <w:pPr>
              <w:pStyle w:val="null3"/>
              <w:jc w:val="left"/>
            </w:pPr>
            <w:r>
              <w:rPr>
                <w:rFonts w:ascii="仿宋_GB2312" w:hAnsi="仿宋_GB2312" w:cs="仿宋_GB2312" w:eastAsia="仿宋_GB2312"/>
              </w:rPr>
              <w:t>1.若投标人将消防设备维护服务合同分包，则需承诺提供分包承接的供应商具有“省级消防技术服务机构管理平台”和“社会消防技术服务信息系统”备案； 2.若投标人将消防设备维护服务合同不分包，则需提供投标人具有的“省级消防技术服务机构管理平台”和“社会消防技术服务信息系统”备案（投标时提供网页截图）。</w:t>
            </w:r>
          </w:p>
        </w:tc>
        <w:tc>
          <w:tcPr>
            <w:tcW w:type="dxa" w:w="1661"/>
          </w:tcPr>
          <w:p>
            <w:pPr>
              <w:pStyle w:val="null3"/>
              <w:jc w:val="left"/>
            </w:pPr>
            <w:r>
              <w:rPr>
                <w:rFonts w:ascii="仿宋_GB2312" w:hAnsi="仿宋_GB2312" w:cs="仿宋_GB2312" w:eastAsia="仿宋_GB2312"/>
              </w:rPr>
              <w:t>投标人应提交的相关证明材料,投标（响应）函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第三章技术、服务及其他要求中带“★”的实质性要求。</w:t>
            </w:r>
          </w:p>
        </w:tc>
        <w:tc>
          <w:tcPr>
            <w:tcW w:type="dxa" w:w="3322"/>
          </w:tcPr>
          <w:p>
            <w:pPr>
              <w:pStyle w:val="null3"/>
              <w:jc w:val="left"/>
            </w:pPr>
            <w:r>
              <w:rPr>
                <w:rFonts w:ascii="仿宋_GB2312" w:hAnsi="仿宋_GB2312" w:cs="仿宋_GB2312" w:eastAsia="仿宋_GB2312"/>
              </w:rPr>
              <w:t>供应商须针对采购文件的要求进行响应或提供相关证明材料。</w:t>
            </w:r>
          </w:p>
        </w:tc>
        <w:tc>
          <w:tcPr>
            <w:tcW w:type="dxa" w:w="1661"/>
          </w:tcPr>
          <w:p>
            <w:pPr>
              <w:pStyle w:val="null3"/>
              <w:jc w:val="left"/>
            </w:pPr>
            <w:r>
              <w:rPr>
                <w:rFonts w:ascii="仿宋_GB2312" w:hAnsi="仿宋_GB2312" w:cs="仿宋_GB2312" w:eastAsia="仿宋_GB2312"/>
              </w:rPr>
              <w:t>投标人应提交的相关证明材料,报价明细表,商务应答表,投标文件封面,服务应答表,报价表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详细评审50.00分</w:t>
            </w:r>
          </w:p>
          <w:p>
            <w:pPr>
              <w:pStyle w:val="null3"/>
              <w:jc w:val="left"/>
            </w:pPr>
            <w:r>
              <w:rPr>
                <w:rFonts w:ascii="仿宋_GB2312" w:hAnsi="仿宋_GB2312" w:cs="仿宋_GB2312" w:eastAsia="仿宋_GB2312"/>
              </w:rPr>
              <w:t>报价得分50.00分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投标人提出针对本项目后勤服务的总方案，包括①管理的整体设想及策划；②服务目标及预期效果；③项目管理重难点分析；④安全保卫方案及措施;⑤清洁卫生、绿化管理方案及措施；⑥设施设备维护方案及措施。以上6项内容或措施且完全符合项目的得9分。每有一项缺失扣1.5分，整个方案每有一处缺陷的扣0.75分，直至扣完为止。不提供方案不得分。 2.投标人提供针对本项目的项目管理机构运作方案，包括①入驻整体实施方案；②项目机构的设置方案；③员工人员配置及内部管理职责分工方案；④内部管理制度；⑤物业档案建立与管理方案；⑥服务人员突然离职、休假等人员补给流程和人员调配方案；⑦后勤服务工作践行节能环保方案；⑧各岗位人员培训内容及培训考核方案。以上8项内容完整齐全且无缺陷的得8分。每有一项缺失扣1分，整个方案每有一处缺陷的扣0.5分，直至扣完为止。不提供方案不得分。 3.根据投标人提供的管理制度进行综合评分，制度内容包括但不限于①员工行为规范；②安全制度；③保密制度；④日常行政管理制度；⑤岗位考核办法。 以上5项内容完整齐全且无缺陷的得5分；每有一项缺失扣1分，整个方案每有一处缺陷的扣0.5分，直至扣完为止。 不提供方案不得分。 注：以上缺陷是指方案内容与本项目实际需求不符或与相对应评分标准不符、 套用其他项目方案；存在明显与本项目无关的文字内容、内容前后矛盾或存在逻辑错误或表述错误；涉及的法律法规及技术标准及技术规范错误、方案描述内容出现其他单位名称或地域、项目名称，实施地点、采购主体、项目内容错误，只有标题和框架，只有概述或复制服务要求，缺乏关键节点内容、措施，缺乏实质性内容存在不可能实现的情形等以上任意情形。</w:t>
            </w:r>
          </w:p>
        </w:tc>
        <w:tc>
          <w:tcPr>
            <w:tcW w:type="dxa" w:w="831"/>
          </w:tcPr>
          <w:p>
            <w:pPr>
              <w:pStyle w:val="null3"/>
              <w:jc w:val="center"/>
            </w:pPr>
            <w:r>
              <w:rPr>
                <w:rFonts w:ascii="仿宋_GB2312" w:hAnsi="仿宋_GB2312" w:cs="仿宋_GB2312" w:eastAsia="仿宋_GB2312"/>
              </w:rPr>
              <w:t>22.0000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拟投入本项目的服务人员</w:t>
            </w:r>
          </w:p>
        </w:tc>
        <w:tc>
          <w:tcPr>
            <w:tcW w:type="dxa" w:w="2575"/>
          </w:tcPr>
          <w:p>
            <w:pPr>
              <w:pStyle w:val="null3"/>
              <w:jc w:val="left"/>
            </w:pPr>
            <w:r>
              <w:rPr>
                <w:rFonts w:ascii="仿宋_GB2312" w:hAnsi="仿宋_GB2312" w:cs="仿宋_GB2312" w:eastAsia="仿宋_GB2312"/>
              </w:rPr>
              <w:t>1.派驻本项目的项目经理具有3年及以上类似项目工作经验的得2分，具有3年以下类似项目工作经验的得1分。本项最多得2分。(提供工作经验证明材料和相关证书扫描件，提供派驻本项目的项目经理与供应商劳动关系的证明材料) 2.派驻本项目服务人员中具有有效期内的公共机构节能管理培训结业证书的，每证可得1分，本项最多得3分，不具备或未提供的不得分。（提供派驻本项目人员相应证书扫描件、与供应商劳动关系的证明材料） 3.派驻本项目人员中具有退役军人的，每配备一名退役军人得0.5分，最多得3分。（提供派驻项目人员退役军人证书扫描件、与供应商劳动关系的证明材料）。 4.派驻本项目人员中具有安全管理、应急处置或应急救援员相关培训证书的，每证可得1分，最多得4分。（提供派驻本项目人员相关证书扫描件、与供应商劳动关系的证明材料）</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服务应急处置</w:t>
            </w:r>
          </w:p>
        </w:tc>
        <w:tc>
          <w:tcPr>
            <w:tcW w:type="dxa" w:w="2575"/>
          </w:tcPr>
          <w:p>
            <w:pPr>
              <w:pStyle w:val="null3"/>
              <w:jc w:val="left"/>
            </w:pPr>
            <w:r>
              <w:rPr>
                <w:rFonts w:ascii="仿宋_GB2312" w:hAnsi="仿宋_GB2312" w:cs="仿宋_GB2312" w:eastAsia="仿宋_GB2312"/>
              </w:rPr>
              <w:t>投标人提供针对本项目的物业维修和管理等指定各类应急处置措施或方案，包括以下内容： ①发生停水、停电事件的应急处置措施或方案； ②发生水患事件的应急处置措施或方案； ③发生火灾事件的应急处置措施或方案； ④发生公共卫生事件的应急处置措施或方案； ⑤发生群体信访事件的应急处置措施或方案； ⑥发生自然灾害的应急处置措施或方案； ⑦发生治安案件的应急处置措施或方案； ⑧发生高空抛物、触电的应急处置措施或方案； ⑨发生电梯安全运行的应急处置措施或方案； ⑩发生空调安全运行的应急处置措施或方案； 以上10项内容完整齐全且无缺陷的得10分；每有一项缺失扣1分，整个方案每有一处缺陷的扣0.5分，直至扣完为止。 不提供方案不得分。 注：以上缺陷是指方案内容与本项目实际需求不符或与相对应评分标准不符、 套用其他项目方案；存在明显与本项目无关的文字内容、内容前后矛盾或存在逻辑错误或表述错误；涉及的法律法规及技术标准及技术规范错误、方案描述内容出现其他单位名称或地域、项目名称，实施地点、采购主体、项目内容错误，只有标题和框架，只有概述或复制服务要求，缺乏关键节点内容、措施，缺乏实质性内容存在不可能实现的情形等以上任意情形。</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1.投标人提供类似本项目的案例及获得好评的履约证明材料，每提供一个案例及业主方好评材料的得1分，本项最多得6分（案例证明材料为完整合同或中标（成交）通知书扫描件；好评履约证明材料由业主单位出具（提供扫描件），具体细节内容可由双方自行拟定，但需要明确最终签署意见为“满意”、“履约验收合格”或“不满意”、“履约验收不合格”，“满意”或“履约验收合格”才视为好评的证明材料。备注：对于采购或招标服务期大于1年但合同一年一签的项目，按中标（成交）通知书计算案例数，不按合同数计算。</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50.0000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报价明细表</w:t>
            </w:r>
          </w:p>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 xml:space="preserve"> 本项目授权评标委员会在评标报告确定的中标候选人名单中按顺序直接确定1名中标人，确认后代理机构在四川政府采购网发布中标公告，同时向中标人发出中标通知书。</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详见附件：具有健全的财务会计制度</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