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版本号：N511622202500001820250218001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2025年武胜职专飞龙校区生活用房设备购置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N5116222025000018</w:t>
      </w:r>
    </w:p>
    <w:p>
      <w:pPr>
        <w:pStyle w:val="null3"/>
        <w:jc w:val="left"/>
        <w:outlineLvl w:val="2"/>
      </w:pPr>
      <w:r>
        <w:rPr>
          <w:rFonts w:ascii="仿宋_GB2312" w:hAnsi="仿宋_GB2312" w:cs="仿宋_GB2312" w:eastAsia="仿宋_GB2312"/>
          <w:sz w:val="28"/>
          <w:b/>
        </w:rPr>
        <w:t>四川省武胜职业中专学校</w:t>
      </w:r>
    </w:p>
    <w:p>
      <w:pPr>
        <w:pStyle w:val="null3"/>
        <w:jc w:val="center"/>
        <w:outlineLvl w:val="2"/>
      </w:pPr>
      <w:r>
        <w:rPr>
          <w:rFonts w:ascii="仿宋_GB2312" w:hAnsi="仿宋_GB2312" w:cs="仿宋_GB2312" w:eastAsia="仿宋_GB2312"/>
          <w:sz w:val="28"/>
          <w:b/>
        </w:rPr>
        <w:t>武胜县政府采购中心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武胜县政府采购中心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四川省武胜职业中专学校</w:t>
      </w:r>
      <w:r>
        <w:rPr>
          <w:rFonts w:ascii="仿宋_GB2312" w:hAnsi="仿宋_GB2312" w:cs="仿宋_GB2312" w:eastAsia="仿宋_GB2312"/>
        </w:rPr>
        <w:t xml:space="preserve"> 委托，拟对 </w:t>
      </w:r>
      <w:r>
        <w:rPr>
          <w:rFonts w:ascii="仿宋_GB2312" w:hAnsi="仿宋_GB2312" w:cs="仿宋_GB2312" w:eastAsia="仿宋_GB2312"/>
        </w:rPr>
        <w:t>2025年武胜职专飞龙校区生活用房设备购置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广安市武胜县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N5116222025000018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2025年武胜职专飞龙校区生活用房设备购置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飞龙校区生活用房设施设备采购（详见采购清单）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四川省武胜职业中专学校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武胜县沿口镇太平路5号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13518393139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武胜县政府采购中心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武胜县交通街60号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经办人员</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0826-6300203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采购包1：1,297,500.00元</w:t>
            </w:r>
          </w:p>
          <w:p>
            <w:pPr>
              <w:pStyle w:val="null3"/>
              <w:jc w:val="left"/>
            </w:pPr>
            <w:r>
              <w:rPr>
                <w:rFonts w:ascii="仿宋_GB2312" w:hAnsi="仿宋_GB2312" w:cs="仿宋_GB2312" w:eastAsia="仿宋_GB2312"/>
              </w:rPr>
              <w:t>采购包2：527,000.00元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1、交款方式：履约保证金可以以支票、汇票、本票或者金融机构出具的保函等非现金形式提交（包括网银转账，电汇等方式）。 </w:t>
              <w:br/>
              <w:t>2、交款时间：成交通知书发放后，政府采购合同签订前。 注：出具保函的主体应当是金融机构、保险机构、担保机构等依法成立且具有相关资质和偿付能力的机构，否则将取消成交供应商的成交资格，采购人将重新确定成交供应商，并依法追究法律责任。</w:t>
              <w:br/>
              <w:t>3、《政府采购法》第四十六条规定，采购人和成交供应商应在成交通知书发出后30日之内签订合同，如成交供应商在规定的合同签订时间内，没有按照询价文件的规定交纳，且又无正当理由的，将视为放弃成交。</w:t>
              <w:br/>
              <w:t xml:space="preserve">4、履约保证金退还方式：原路退回。 </w:t>
              <w:br/>
              <w:t xml:space="preserve">5、履约保证金退还时间：项目履约验收合格后30日内无息退还。 </w:t>
              <w:br/>
              <w:t xml:space="preserve">6、履约保证金不予退还情形：未按政府采购合同履约的。 </w:t>
              <w:br/>
              <w:t>7、履约保证金不予退还的，将按照有关规定上缴国库。逾期退还履约保证金的，将依法承担法律责任，并赔偿供应商损失。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1、交款方式：履约保证金可以以支票、汇票、本票或者金融机构出具的保函等非现金形式提交（包括网银转账，电汇等方式）。 </w:t>
              <w:br/>
              <w:t>2、交款时间：成交通知书发放后，政府采购合同签订前。 注：出具保函的主体应当是金融机构、保险机构、担保机构等依法成立且具有相关资质和偿付能力的机构，否则将取消成交供应商的成交资格，采购人将重新确定成交供应商，并依法追究法律责任。</w:t>
              <w:br/>
              <w:t>3、《政府采购法》第四十六条规定，采购人和成交供应商应在成交通知书发出后30日之内签订合同，如成交供应商在规定的合同签订时间内，没有按照询价文件的规定交纳，且又无正当理由的，将视为放弃成交。</w:t>
              <w:br/>
              <w:t xml:space="preserve">4、履约保证金退还方式：原路退回。 </w:t>
              <w:br/>
              <w:t xml:space="preserve">5、履约保证金退还时间：项目履约验收合格后30日内无息退还。 </w:t>
              <w:br/>
              <w:t xml:space="preserve">6、履约保证金不予退还情形：未按政府采购合同履约的。 </w:t>
              <w:br/>
              <w:t>7、履约保证金不予退还的，将按照有关规定上缴国库。逾期退还履约保证金的，将依法承担法律责任，并赔偿供应商损失。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四川省武胜职业中专学校</w:t>
      </w:r>
      <w:r>
        <w:rPr>
          <w:rFonts w:ascii="仿宋_GB2312" w:hAnsi="仿宋_GB2312" w:cs="仿宋_GB2312" w:eastAsia="仿宋_GB2312"/>
        </w:rPr>
        <w:t xml:space="preserve"> 和 </w:t>
      </w:r>
      <w:r>
        <w:rPr>
          <w:rFonts w:ascii="仿宋_GB2312" w:hAnsi="仿宋_GB2312" w:cs="仿宋_GB2312" w:eastAsia="仿宋_GB2312"/>
        </w:rPr>
        <w:t>武胜县政府采购中心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四川省武胜职业中专学校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武胜县政府采购中心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询价通知书由采购人、代理机构编制，是项目采购活动开展的基本依据，主要包括以下内容：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在四川政府采购网发布更正公告，并将更正后的询价通知书上传至交易系统。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三、供应商根据更正公告、更正信息要求下载更正后的询价文件通知书，进行响应文件编制。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货物经成交供应商安装调试并达到验收标准后，供应商提出验收申请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货物经成交供应商安装调试并达到验收标准后，供应商提出验收申请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货物经成交供应商安装调试并达到验收标准后，采购人将组织有关人员，按《财政部关于进一步加强政府采购需求和履约验收管理的指导意见》（财库〔2016〕205号）、《广安市政府采购项目履约验收工作规程》广市财采〔2021〕275号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货物经成交供应商安装调试并达到验收标准后，采购人将组织有关人员，按《财政部关于进一步加强政府采购需求和履约验收管理的指导意见》（财库〔2016〕205号）、《广安市政府采购项目履约验收工作规程》广市财采〔2021〕275号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按国家有关规定以及采购人询价文件的质量要求和技术指标、供应商的响应文件及承诺与合同约定标准进行验收。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按国家有关规定以及采购人询价文件的质量要求和技术指标、供应商的响应文件及承诺与合同约定标准进行验收。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按国家有关规定以及采购人询价文件的质量要求和技术指标、供应商的响应文件及承诺与合同约定标准进行验收。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按国家有关规定以及采购人询价文件的质量要求和技术指标、供应商的响应文件及承诺与合同约定标准进行验收。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财政部关于进一步加强政府采购需求和履约验收管理的指导意见》（财库〔2016〕205号）、《广安市政府采购项目履约验收工作规程》广市财采〔2021〕275号以及采购人询价文件的质量要求和技术指标、供应商的响应文件及承诺与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财政部关于进一步加强政府采购需求和履约验收管理的指导意见》（财库〔2016〕205号）、《广安市政府采购项目履约验收工作规程》广市财采〔2021〕275号以及采购人询价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交付的货物有短装、次品、损坏或其它不符合标准及合同规定之情形者，采购人应做出详尽的现场记录，或由采购人与供应商双方签署备忘录，且此现场记录或备忘录可用作补充、缺失和更换损坏部件的有效证据。由此产生的时间延误与有关费用由成交供应商承担，且采购人有权追究成交供应商的违约责任。2、 验收结果合格的，采购人出具《验收合格证明书》；验收结果不合格的，报告本项目同级财政部门，按照政府采购法律法规规定给予处罚，且将不予退还履约保证金，给采购人造成的损失超过履约保证金数额的，应当对超过部分予以赔偿，没有提交履约保证金的，应当对采购人的损失承担赔偿责任。</w:t>
      </w:r>
    </w:p>
    <w:p>
      <w:pPr>
        <w:pStyle w:val="null3"/>
        <w:jc w:val="left"/>
      </w:pPr>
      <w:r>
        <w:rPr>
          <w:rFonts w:ascii="仿宋_GB2312" w:hAnsi="仿宋_GB2312" w:cs="仿宋_GB2312" w:eastAsia="仿宋_GB2312"/>
        </w:rPr>
        <w:t>采购包2：</w:t>
      </w:r>
      <w:r>
        <w:rPr>
          <w:rFonts w:ascii="仿宋_GB2312" w:hAnsi="仿宋_GB2312" w:cs="仿宋_GB2312" w:eastAsia="仿宋_GB2312"/>
        </w:rPr>
        <w:t>1、验收时如发现所交付的货物有短装、次品、损坏或其它不符合标准及合同规定之情形者，采购人应做出详尽的现场记录，或由采购人与供应商双方签署备忘录，且此现场记录或备忘录可用作补充、缺失和更换损坏部件的有效证据。由此产生的时间延误与有关费用由成交供应商承担，且采购人有权追究成交供应商的违约责任。2、 验收结果合格的，采购人出具《验收合格证明书》；验收结果不合格的，报告本项目同级财政部门，按照政府采购法律法规规定给予处罚，且将不予退还履约保证金，给采购人造成的损失超过履约保证金数额的，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四川省武胜职业中专学校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武胜县政府采购中心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武胜县政府采购中心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联系电话：13518393139</w:t>
      </w:r>
    </w:p>
    <w:p>
      <w:pPr>
        <w:pStyle w:val="null3"/>
        <w:jc w:val="left"/>
      </w:pPr>
      <w:r>
        <w:rPr>
          <w:rFonts w:ascii="仿宋_GB2312" w:hAnsi="仿宋_GB2312" w:cs="仿宋_GB2312" w:eastAsia="仿宋_GB2312"/>
        </w:rPr>
        <w:t>地址：武胜县沿口镇太平路5号</w:t>
      </w:r>
    </w:p>
    <w:p>
      <w:pPr>
        <w:pStyle w:val="null3"/>
        <w:jc w:val="left"/>
      </w:pPr>
      <w:r>
        <w:rPr>
          <w:rFonts w:ascii="仿宋_GB2312" w:hAnsi="仿宋_GB2312" w:cs="仿宋_GB2312" w:eastAsia="仿宋_GB2312"/>
        </w:rPr>
        <w:t>邮编：638400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（一）对可以质疑的询价通知书提出质疑的，为收到询价通知书之日或者询价通知书公告期限届满之日；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1,297,500.00</w:t>
      </w:r>
    </w:p>
    <w:p>
      <w:pPr>
        <w:pStyle w:val="null3"/>
        <w:jc w:val="left"/>
      </w:pPr>
      <w:r>
        <w:rPr>
          <w:rFonts w:ascii="仿宋_GB2312" w:hAnsi="仿宋_GB2312" w:cs="仿宋_GB2312" w:eastAsia="仿宋_GB2312"/>
        </w:rPr>
        <w:t>采购包最高限价（元）: 1,297,500.00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A05010101 钢木床类</w:t>
            </w:r>
          </w:p>
        </w:tc>
        <w:tc>
          <w:tcPr>
            <w:tcW w:type="dxa" w:w="821"/>
          </w:tcPr>
          <w:p>
            <w:pPr>
              <w:pStyle w:val="null3"/>
              <w:jc w:val="left"/>
            </w:pPr>
            <w:r>
              <w:rPr>
                <w:rFonts w:ascii="仿宋_GB2312" w:hAnsi="仿宋_GB2312" w:cs="仿宋_GB2312" w:eastAsia="仿宋_GB2312"/>
              </w:rPr>
              <w:t>学生组合公寓床</w:t>
            </w:r>
          </w:p>
        </w:tc>
        <w:tc>
          <w:tcPr>
            <w:tcW w:type="dxa" w:w="821"/>
          </w:tcPr>
          <w:p>
            <w:pPr>
              <w:pStyle w:val="null3"/>
              <w:jc w:val="right"/>
            </w:pPr>
            <w:r>
              <w:rPr>
                <w:rFonts w:ascii="仿宋_GB2312" w:hAnsi="仿宋_GB2312" w:cs="仿宋_GB2312" w:eastAsia="仿宋_GB2312"/>
              </w:rPr>
              <w:t>173.00（套）</w:t>
            </w:r>
          </w:p>
        </w:tc>
        <w:tc>
          <w:tcPr>
            <w:tcW w:type="dxa" w:w="821"/>
          </w:tcPr>
          <w:p>
            <w:pPr>
              <w:pStyle w:val="null3"/>
              <w:jc w:val="right"/>
            </w:pPr>
            <w:r>
              <w:rPr>
                <w:rFonts w:ascii="仿宋_GB2312" w:hAnsi="仿宋_GB2312" w:cs="仿宋_GB2312" w:eastAsia="仿宋_GB2312"/>
              </w:rPr>
              <w:t>1,297,500.00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527,000.00</w:t>
      </w:r>
    </w:p>
    <w:p>
      <w:pPr>
        <w:pStyle w:val="null3"/>
        <w:jc w:val="left"/>
      </w:pPr>
      <w:r>
        <w:rPr>
          <w:rFonts w:ascii="仿宋_GB2312" w:hAnsi="仿宋_GB2312" w:cs="仿宋_GB2312" w:eastAsia="仿宋_GB2312"/>
        </w:rPr>
        <w:t>采购包最高限价（元）: 527,000.00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1.5P挂机空调</w:t>
            </w:r>
          </w:p>
        </w:tc>
        <w:tc>
          <w:tcPr>
            <w:tcW w:type="dxa" w:w="821"/>
          </w:tcPr>
          <w:p>
            <w:pPr>
              <w:pStyle w:val="null3"/>
              <w:jc w:val="right"/>
            </w:pPr>
            <w:r>
              <w:rPr>
                <w:rFonts w:ascii="仿宋_GB2312" w:hAnsi="仿宋_GB2312" w:cs="仿宋_GB2312" w:eastAsia="仿宋_GB2312"/>
              </w:rPr>
              <w:t>175.00（台）</w:t>
            </w:r>
          </w:p>
        </w:tc>
        <w:tc>
          <w:tcPr>
            <w:tcW w:type="dxa" w:w="821"/>
          </w:tcPr>
          <w:p>
            <w:pPr>
              <w:pStyle w:val="null3"/>
              <w:jc w:val="right"/>
            </w:pPr>
            <w:r>
              <w:rPr>
                <w:rFonts w:ascii="仿宋_GB2312" w:hAnsi="仿宋_GB2312" w:cs="仿宋_GB2312" w:eastAsia="仿宋_GB2312"/>
              </w:rPr>
              <w:t>490,000.00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台式电脑</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笔记本电脑</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学生组合公寓床</w:t>
            </w:r>
          </w:p>
        </w:tc>
        <w:tc>
          <w:tcPr>
            <w:tcW w:type="dxa" w:w="1138"/>
          </w:tcPr>
          <w:p>
            <w:pPr>
              <w:pStyle w:val="null3"/>
              <w:jc w:val="center"/>
            </w:pPr>
            <w:r>
              <w:rPr>
                <w:rFonts w:ascii="仿宋_GB2312" w:hAnsi="仿宋_GB2312" w:cs="仿宋_GB2312" w:eastAsia="仿宋_GB2312"/>
              </w:rPr>
              <w:t>173.00（套）</w:t>
            </w:r>
          </w:p>
        </w:tc>
        <w:tc>
          <w:tcPr>
            <w:tcW w:type="dxa" w:w="1365"/>
          </w:tcPr>
          <w:p>
            <w:pPr>
              <w:pStyle w:val="null3"/>
              <w:jc w:val="center"/>
            </w:pPr>
            <w:r>
              <w:rPr>
                <w:rFonts w:ascii="仿宋_GB2312" w:hAnsi="仿宋_GB2312" w:cs="仿宋_GB2312" w:eastAsia="仿宋_GB2312"/>
              </w:rPr>
              <w:t>1,297,500.00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1.5P挂机空调</w:t>
            </w:r>
          </w:p>
        </w:tc>
        <w:tc>
          <w:tcPr>
            <w:tcW w:type="dxa" w:w="1138"/>
          </w:tcPr>
          <w:p>
            <w:pPr>
              <w:pStyle w:val="null3"/>
              <w:jc w:val="center"/>
            </w:pPr>
            <w:r>
              <w:rPr>
                <w:rFonts w:ascii="仿宋_GB2312" w:hAnsi="仿宋_GB2312" w:cs="仿宋_GB2312" w:eastAsia="仿宋_GB2312"/>
              </w:rPr>
              <w:t>175.00（台）</w:t>
            </w:r>
          </w:p>
        </w:tc>
        <w:tc>
          <w:tcPr>
            <w:tcW w:type="dxa" w:w="1365"/>
          </w:tcPr>
          <w:p>
            <w:pPr>
              <w:pStyle w:val="null3"/>
              <w:jc w:val="center"/>
            </w:pPr>
            <w:r>
              <w:rPr>
                <w:rFonts w:ascii="仿宋_GB2312" w:hAnsi="仿宋_GB2312" w:cs="仿宋_GB2312" w:eastAsia="仿宋_GB2312"/>
              </w:rPr>
              <w:t>490,000.00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台式电脑</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笔记本电脑</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A05010101 钢木床类</w:t>
            </w:r>
          </w:p>
        </w:tc>
        <w:tc>
          <w:tcPr>
            <w:tcW w:type="dxa" w:w="2492"/>
          </w:tcPr>
          <w:p>
            <w:pPr>
              <w:pStyle w:val="null3"/>
              <w:jc w:val="left"/>
            </w:pPr>
            <w:r>
              <w:rPr>
                <w:rFonts w:ascii="仿宋_GB2312" w:hAnsi="仿宋_GB2312" w:cs="仿宋_GB2312" w:eastAsia="仿宋_GB2312"/>
              </w:rPr>
              <w:t>学生组合公寓床</w:t>
            </w:r>
          </w:p>
        </w:tc>
        <w:tc>
          <w:tcPr>
            <w:tcW w:type="dxa" w:w="2492"/>
          </w:tcPr>
          <w:p>
            <w:pPr>
              <w:pStyle w:val="null3"/>
              <w:jc w:val="left"/>
            </w:pPr>
            <w:r>
              <w:rPr>
                <w:rFonts w:ascii="仿宋_GB2312" w:hAnsi="仿宋_GB2312" w:cs="仿宋_GB2312" w:eastAsia="仿宋_GB2312"/>
              </w:rPr>
              <w:t>学生组合公寓床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1.5P挂机空调</w:t>
            </w:r>
          </w:p>
        </w:tc>
        <w:tc>
          <w:tcPr>
            <w:tcW w:type="dxa" w:w="2492"/>
          </w:tcPr>
          <w:p>
            <w:pPr>
              <w:pStyle w:val="null3"/>
              <w:jc w:val="left"/>
            </w:pPr>
            <w:r>
              <w:rPr>
                <w:rFonts w:ascii="仿宋_GB2312" w:hAnsi="仿宋_GB2312" w:cs="仿宋_GB2312" w:eastAsia="仿宋_GB2312"/>
              </w:rPr>
              <w:t>1.5P挂机空调</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1.5P挂机空调</w:t>
            </w:r>
          </w:p>
        </w:tc>
        <w:tc>
          <w:tcPr>
            <w:tcW w:type="dxa" w:w="2492"/>
          </w:tcPr>
          <w:p>
            <w:pPr>
              <w:pStyle w:val="null3"/>
              <w:jc w:val="left"/>
            </w:pPr>
            <w:r>
              <w:rPr>
                <w:rFonts w:ascii="仿宋_GB2312" w:hAnsi="仿宋_GB2312" w:cs="仿宋_GB2312" w:eastAsia="仿宋_GB2312"/>
              </w:rPr>
              <w:t>1.5P挂机空调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A05010101 钢木床类</w:t>
            </w:r>
          </w:p>
        </w:tc>
        <w:tc>
          <w:tcPr>
            <w:tcW w:type="dxa" w:w="2492"/>
          </w:tcPr>
          <w:p>
            <w:pPr>
              <w:pStyle w:val="null3"/>
              <w:jc w:val="left"/>
            </w:pPr>
            <w:r>
              <w:rPr>
                <w:rFonts w:ascii="仿宋_GB2312" w:hAnsi="仿宋_GB2312" w:cs="仿宋_GB2312" w:eastAsia="仿宋_GB2312"/>
              </w:rPr>
              <w:t>学生组合公寓床</w:t>
            </w:r>
          </w:p>
        </w:tc>
        <w:tc>
          <w:tcPr>
            <w:tcW w:type="dxa" w:w="2492"/>
          </w:tcPr>
          <w:p>
            <w:pPr>
              <w:pStyle w:val="null3"/>
              <w:jc w:val="left"/>
            </w:pPr>
            <w:r>
              <w:rPr>
                <w:rFonts w:ascii="仿宋_GB2312" w:hAnsi="仿宋_GB2312" w:cs="仿宋_GB2312" w:eastAsia="仿宋_GB2312"/>
              </w:rPr>
              <w:t>学生组合公寓床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1.5P挂机空调</w:t>
            </w:r>
          </w:p>
        </w:tc>
        <w:tc>
          <w:tcPr>
            <w:tcW w:type="dxa" w:w="2492"/>
          </w:tcPr>
          <w:p>
            <w:pPr>
              <w:pStyle w:val="null3"/>
              <w:jc w:val="left"/>
            </w:pPr>
            <w:r>
              <w:rPr>
                <w:rFonts w:ascii="仿宋_GB2312" w:hAnsi="仿宋_GB2312" w:cs="仿宋_GB2312" w:eastAsia="仿宋_GB2312"/>
              </w:rPr>
              <w:t>1.5P挂机空调</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标的名称：学生组合公寓床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jc w:val="both"/>
            </w:pPr>
            <w:r>
              <w:rPr>
                <w:rFonts w:ascii="仿宋_GB2312" w:hAnsi="仿宋_GB2312" w:cs="仿宋_GB2312" w:eastAsia="仿宋_GB2312"/>
                <w:sz w:val="24"/>
                <w:shd w:fill="FFFFFF" w:val="clear"/>
              </w:rPr>
              <w:t>学生组合公寓床</w:t>
            </w:r>
            <w:r>
              <w:rPr>
                <w:rFonts w:ascii="仿宋_GB2312" w:hAnsi="仿宋_GB2312" w:cs="仿宋_GB2312" w:eastAsia="仿宋_GB2312"/>
                <w:sz w:val="24"/>
                <w:shd w:fill="FFFFFF" w:val="clear"/>
              </w:rPr>
              <w:t>1套（</w:t>
            </w:r>
            <w:r>
              <w:rPr>
                <w:rFonts w:ascii="仿宋_GB2312" w:hAnsi="仿宋_GB2312" w:cs="仿宋_GB2312" w:eastAsia="仿宋_GB2312"/>
                <w:sz w:val="24"/>
                <w:shd w:fill="FFFFFF" w:val="clear"/>
              </w:rPr>
              <w:t>7人位/间，</w:t>
            </w:r>
            <w:r>
              <w:rPr>
                <w:rFonts w:ascii="仿宋_GB2312" w:hAnsi="仿宋_GB2312" w:cs="仿宋_GB2312" w:eastAsia="仿宋_GB2312"/>
                <w:sz w:val="24"/>
                <w:shd w:fill="FFFFFF" w:val="clear"/>
              </w:rPr>
              <w:t>包含</w:t>
            </w:r>
            <w:r>
              <w:rPr>
                <w:rFonts w:ascii="仿宋_GB2312" w:hAnsi="仿宋_GB2312" w:cs="仿宋_GB2312" w:eastAsia="仿宋_GB2312"/>
                <w:sz w:val="24"/>
                <w:shd w:fill="FFFFFF" w:val="clear"/>
              </w:rPr>
              <w:t>3张双人上下铺床+1张上单人位床+2个梯步柜+1张三人位学习桌带书架+3个学习凳子+7张床垫</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双人上下铺床</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1）规格：</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L2000mm*W900mm*H2000mm）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）床立柱：采用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65mm*71mm*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1.1mm高频焊接封口型管材，型材成型方式为优质冷轧钢板经成型线轧制而成。立柱上下均采用优质PP塑料静音内塞，边立柱镶嵌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16mm厚实木板（生态）。</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T型床厅：采用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88mm*38mm*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1.0mmT型高频焊接封口型材管。T型位置能有效增加床板承受力。T形位置向下</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30mm,有效遮挡床板、棉絮不易外漏，整体整洁美观。型材成型方式为优质冷轧钢板经成型线轧制焊接而成，中间两根深度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5mm内凹加强筋，有效增加立柱抗扭曲强度。</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）后床厅型材：外形规格</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72mm*32mm*厚度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1.0mmP形管材，采用Q235优质带钢经数控多轴辊轧机辊压成型后高频焊接成闭口型管材。床厅背面为便于加固安装床铺板的直角台阶设计。</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）边立柱床挡：高度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320mm，上横换采用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36mm*25mm*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1.0mm多边形管，正面相邻角大于90度，立换采用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φ16mm*1.0mm圆管。边立柱中拉换采用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30mm*40mm*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1.0mm矩管，采用Q235优质带钢经数控多轴辊轧机辊压成型后高频焊接成闭口型管材。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）床换（床板底部平板支撑）：</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36/18mm*23mm*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1.0mm形材管。四角均大于R5设计，减轻抬头物理碰撞伤害、整体稳固美观，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7根/位，不计两端。</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）床厅护栏：整体外规尺寸</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1860mm*300mm*23mm。床厅护栏型材：床厅护栏顶管</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36/18mm*23mm*1.2mm 形材管，四角均R5设计，减轻物理碰撞伤害、整体稳固美观。立换采用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36/18mm*23mm*1.2mm 形材管。中横管采用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20mm*20mm*1.0mm方管，且在直管和前床厅之间的部分加装有</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15mm厚的实木板（生态）制作的档絮板。在档絮板上设计有1个镂空孔位，镂空孔位设计注塑封边圈。中间内嵌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15mm厚实木板（生态）。</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）中立柱床档：上横换采用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36mm*25mm*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1.0mm多边形管一次性掰弯成型，立换采用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φ16mm*1.0mm圆管。边立柱中拉换采用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30mm*40mm×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1.0mm矩管，采用Q235优质带钢经数控多轴辊轧机辊压成型后高频焊接成闭口型管材。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）实木床板：按铁床实际空间制作。采用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12mm厚杉木板，无缝连接，四面刨光，板与板之间结合紧密，不留缝隙。</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“C”型卡式连接件：挂齿隐形处理，挂件不少于3个挂齿，挂齿由导向段和锁紧段组成,挂齿下端整体嵌入立柱，确保床体整体稳固、结实。</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）鞋架：采用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20mm*20mm*1.0mm方管与</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φ16mm*1.0mm圆管焊接而成。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）钢件工艺：钢材采用高频焊接冷轧封口钢材，成型前经过特殊防腐处理。</w:t>
            </w:r>
          </w:p>
          <w:p>
            <w:pPr>
              <w:pStyle w:val="null3"/>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.上单人位床</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1）规格：</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L2000mm*W900mm*H2000mm）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）床立柱：采用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65mm*71mm*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1.1mm高频焊接封口型管材，型材成型方式为优质冷轧钢板经成型线轧制而成。立柱上下均采用优质PP塑料静音内塞，边立柱镶嵌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16mm厚实木板（生态）。</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T型床厅：采用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88mm*38mm*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1.0mmT型高频焊接封口型材管。T型位置能有效增加床板承受力。T形位置向下</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30mm,有效遮挡床板、棉絮不易外漏，整体整洁美观。型材成型方式为优质冷轧钢板经成型线轧制焊接而成，中间两根深度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5mm内凹加强筋，有效增加立柱抗扭曲强度。</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）后床厅型材：外形规格</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72mm*32mm*厚度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1.0mmP形管材，采用Q235优质带钢经数控多轴辊轧机辊压成型后高频焊接成闭口型管材。床厅背面为便于加固安装床铺板的直角台阶设计。</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）边立柱床挡：高度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320mm，上横换采用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36mm*25mm*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1.0mm多边形管，正面相邻角大于90度，立换采用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φ16mm*1.0mm圆管。边立柱中拉换采用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30mm*40mm*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1.0mm矩管，采用Q235优质带钢经数控多轴辊轧机辊压成型后高频焊接成闭口型管材。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）床换（床板底部平板支撑）：</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36/18mm*23mm*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1.0mm形材管。四角均大于R5设计，减轻抬头物理碰撞伤害、整体稳固美观，</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7根/位，不计两端。</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）床厅护栏：整体外规尺寸</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1860mm*300mm*23mm。床厅护栏型材：床厅护栏顶管</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36/18mm*23mm*1.2mm 形材管，四角均R5设计，减轻物理碰撞伤害、整体稳固美观。立换采用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36/18mm*23mm*1.2mm 形材管。中横管采用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20mm*20mm*1.0mm方管，且在直管和前床厅之间的部分加装有</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15mm厚的实木板（生态）制作的档絮板。在档絮板上设计有1个镂空孔位，镂空孔位设计注塑封边圈。中间内嵌</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15mm厚实木板（生态）。</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）中立柱床档：上横换采用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36mm*25mm*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1.0mm多边形管一次性掰弯成型，立换采用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φ16mm*1.0mm圆管。边立柱中拉换采用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30mm*40mm×</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1.0mm矩管，采用Q235优质带钢经数控多轴辊轧机辊压成型后高频焊接成闭口型管材。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）实木床板：按铁床实际空间制作。采用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12mm厚杉木板，无缝连接，四面刨光，板与板之间结合紧密，不留缝隙。</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“C”型卡式连接件：挂齿隐形处理，挂件不少于3个挂齿，挂齿由导向段和锁紧段组成,挂齿下端整体嵌入立柱，确保床体整体稳固、结实。</w:t>
            </w:r>
          </w:p>
          <w:p>
            <w:pPr>
              <w:pStyle w:val="null3"/>
              <w:jc w:val="both"/>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）钢件工艺：钢材采用高频焊接冷轧封口钢材，成型前经过特殊防腐处理。</w:t>
            </w:r>
          </w:p>
          <w:p>
            <w:pPr>
              <w:pStyle w:val="null3"/>
              <w:jc w:val="both"/>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梯步柜：（总高</w:t>
            </w:r>
            <w:r>
              <w:rPr>
                <w:rFonts w:ascii="仿宋_GB2312" w:hAnsi="仿宋_GB2312" w:cs="仿宋_GB2312" w:eastAsia="仿宋_GB2312"/>
                <w:sz w:val="24"/>
                <w:shd w:fill="FFFFFF" w:val="clear"/>
              </w:rPr>
              <w:t>1400mm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，总宽</w:t>
            </w:r>
            <w:r>
              <w:rPr>
                <w:rFonts w:ascii="仿宋_GB2312" w:hAnsi="仿宋_GB2312" w:cs="仿宋_GB2312" w:eastAsia="仿宋_GB2312"/>
                <w:sz w:val="24"/>
                <w:shd w:fill="FFFFFF" w:val="clear"/>
              </w:rPr>
              <w:t>500mm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，总深</w:t>
            </w:r>
            <w:r>
              <w:rPr>
                <w:rFonts w:ascii="仿宋_GB2312" w:hAnsi="仿宋_GB2312" w:cs="仿宋_GB2312" w:eastAsia="仿宋_GB2312"/>
                <w:sz w:val="24"/>
                <w:shd w:fill="FFFFFF" w:val="clear"/>
              </w:rPr>
              <w:t>850mm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），梯步柜的钢架为</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20mm*20mm*1.0mm方管。走梯分为4个储物格，采用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15mm实木板（生态），四周采用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1.2mm厚PVC封边。</w:t>
            </w:r>
          </w:p>
          <w:p>
            <w:pPr>
              <w:pStyle w:val="null3"/>
              <w:jc w:val="both"/>
            </w:pP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.三人位学习桌带书架：</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1）三人位学习桌带书架采用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15mm厚度的实木板（生态）制作，桌面上方设有两层书架，下方设有</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3个抽屉。</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2）桌面：采用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25mm厚实木板（生态），四方采用环保PVC封边带，粘胶剂采用优质高温热熔胶，全自动设备封边。</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3）书架：采用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15mm厚实木板（生态），隔板采用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25mm厚实木板（生态）</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4）抽面：抽面基材均采用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15mm厚实木板（生态）四周无接头注塑封边，注塑材质为优质PP聚丙烯改性材料，材料安全无毒性，粘接牢固。带拉手</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5）学习桌钢架：立柱采用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50mm×50mm×1.0mm型管，桌底托管采用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30mm×40mm×1.0</w:t>
            </w:r>
            <w:r>
              <w:rPr>
                <w:rFonts w:ascii="仿宋_GB2312" w:hAnsi="仿宋_GB2312" w:cs="仿宋_GB2312" w:eastAsia="仿宋_GB2312"/>
                <w:sz w:val="24"/>
                <w:shd w:fill="FFFFFF" w:val="clear"/>
              </w:rPr>
              <w:t>mm</w:t>
            </w:r>
            <w:r>
              <w:rPr>
                <w:rFonts w:ascii="仿宋_GB2312" w:hAnsi="仿宋_GB2312" w:cs="仿宋_GB2312" w:eastAsia="仿宋_GB2312"/>
                <w:sz w:val="24"/>
                <w:shd w:fill="FFFFFF" w:val="clear"/>
              </w:rPr>
              <w:t>矩管，立柱拉换采用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20mm×40mm×1.0mm矩管，拉换与立柱采用双扣间链接。</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6）五金件：滑轨采用定向消声滑轨。</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7）封边条：采用PVC板材截面处理专用封边条。</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8）白乳胶：采用水基型胶粘剂聚乙酸乙烯胶粘剂白乳胶。</w:t>
            </w:r>
          </w:p>
          <w:p>
            <w:pPr>
              <w:pStyle w:val="null3"/>
              <w:jc w:val="both"/>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.学习凳</w:t>
            </w:r>
            <w:r>
              <w:rPr>
                <w:rFonts w:ascii="仿宋_GB2312" w:hAnsi="仿宋_GB2312" w:cs="仿宋_GB2312" w:eastAsia="仿宋_GB2312"/>
                <w:sz w:val="24"/>
                <w:shd w:fill="FFFFFF" w:val="clear"/>
              </w:rPr>
              <w:t>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1）规格：360mm*260mm*420mm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2）座板：座板采用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18mm中纤板一次性注塑成型，凳面规格为360mm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*260mm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±10mm</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厚度</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18mm。</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3）凳脚：立柱采用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25mmmm25mm*1.2mm方管，拉换采用</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20mm*20mm*1.0mm方管。</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4）焊接：一级焊，除毛刺，光洁平整精细打磨。涂装：经脱脂.清洗,淘化,清洗、190°烘干,高压静电喷塑,经低温,中温,高温,中温,恒温固化。</w:t>
            </w:r>
          </w:p>
          <w:p>
            <w:pPr>
              <w:pStyle w:val="null3"/>
              <w:jc w:val="both"/>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.床垫</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1）规格：1900mm*800mm*80mm（具体根据床的尺寸）</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2）面料：针织面料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3）填充物：环保3e椰棕</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标的名称：1.5P挂机空调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spacing w:after="120"/>
              <w:jc w:val="both"/>
            </w:pPr>
            <w:r>
              <w:rPr>
                <w:rFonts w:ascii="仿宋_GB2312" w:hAnsi="仿宋_GB2312" w:cs="仿宋_GB2312" w:eastAsia="仿宋_GB2312"/>
                <w:sz w:val="24"/>
              </w:rPr>
              <w:t>1.能效等级: 二级</w:t>
            </w:r>
            <w:r>
              <w:rPr>
                <w:rFonts w:ascii="仿宋_GB2312" w:hAnsi="仿宋_GB2312" w:cs="仿宋_GB2312" w:eastAsia="仿宋_GB2312"/>
                <w:sz w:val="24"/>
              </w:rPr>
              <w:t>或一级；</w:t>
            </w:r>
          </w:p>
          <w:p>
            <w:pPr>
              <w:pStyle w:val="null3"/>
              <w:spacing w:after="120"/>
              <w:jc w:val="both"/>
            </w:pPr>
            <w:r>
              <w:rPr>
                <w:rFonts w:ascii="仿宋_GB2312" w:hAnsi="仿宋_GB2312" w:cs="仿宋_GB2312" w:eastAsia="仿宋_GB2312"/>
                <w:sz w:val="24"/>
              </w:rPr>
              <w:t>2.冷暖变频</w:t>
            </w:r>
            <w:r>
              <w:rPr>
                <w:rFonts w:ascii="仿宋_GB2312" w:hAnsi="仿宋_GB2312" w:cs="仿宋_GB2312" w:eastAsia="仿宋_GB2312"/>
                <w:sz w:val="24"/>
              </w:rPr>
              <w:t>，</w:t>
            </w:r>
            <w:r>
              <w:rPr>
                <w:rFonts w:ascii="仿宋_GB2312" w:hAnsi="仿宋_GB2312" w:cs="仿宋_GB2312" w:eastAsia="仿宋_GB2312"/>
                <w:sz w:val="24"/>
              </w:rPr>
              <w:t>带电辅热；</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.制冷量: ≧3500w</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.制热量:≧4600W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.循环风量: ≧710m3/h</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CPU≥4核，主频≥1.8GHz，末级缓存容量≥2MB；</w:t>
            </w:r>
          </w:p>
          <w:p>
            <w:pPr>
              <w:pStyle w:val="null3"/>
              <w:spacing w:after="120"/>
              <w:jc w:val="both"/>
            </w:pPr>
            <w:r>
              <w:rPr>
                <w:rFonts w:ascii="仿宋_GB2312" w:hAnsi="仿宋_GB2312" w:cs="仿宋_GB2312" w:eastAsia="仿宋_GB2312"/>
                <w:sz w:val="24"/>
              </w:rPr>
              <w:t>2.内存</w:t>
            </w:r>
            <w:r>
              <w:rPr>
                <w:rFonts w:ascii="仿宋_GB2312" w:hAnsi="仿宋_GB2312" w:cs="仿宋_GB2312" w:eastAsia="仿宋_GB2312"/>
                <w:sz w:val="24"/>
              </w:rPr>
              <w:t>≥8</w:t>
            </w:r>
            <w:r>
              <w:rPr>
                <w:rFonts w:ascii="仿宋_GB2312" w:hAnsi="仿宋_GB2312" w:cs="仿宋_GB2312" w:eastAsia="仿宋_GB2312"/>
                <w:sz w:val="24"/>
              </w:rPr>
              <w:t>G</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固态</w:t>
            </w:r>
            <w:r>
              <w:rPr>
                <w:rFonts w:ascii="仿宋_GB2312" w:hAnsi="仿宋_GB2312" w:cs="仿宋_GB2312" w:eastAsia="仿宋_GB2312"/>
                <w:sz w:val="24"/>
              </w:rPr>
              <w:t>硬盘</w:t>
            </w:r>
            <w:r>
              <w:rPr>
                <w:rFonts w:ascii="仿宋_GB2312" w:hAnsi="仿宋_GB2312" w:cs="仿宋_GB2312" w:eastAsia="仿宋_GB2312"/>
                <w:sz w:val="24"/>
              </w:rPr>
              <w:t>加机械硬盘，固态存储容量</w:t>
            </w:r>
            <w:r>
              <w:rPr>
                <w:rFonts w:ascii="仿宋_GB2312" w:hAnsi="仿宋_GB2312" w:cs="仿宋_GB2312" w:eastAsia="仿宋_GB2312"/>
                <w:sz w:val="24"/>
              </w:rPr>
              <w:t>≥240GB，机械硬盘总容量≥500GB；</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英寸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5.带键盘和鼠标；</w:t>
            </w:r>
          </w:p>
          <w:p>
            <w:pPr>
              <w:pStyle w:val="null3"/>
              <w:jc w:val="both"/>
            </w:pPr>
            <w:r>
              <w:rPr>
                <w:rFonts w:ascii="仿宋_GB2312" w:hAnsi="仿宋_GB2312" w:cs="仿宋_GB2312" w:eastAsia="仿宋_GB2312"/>
                <w:sz w:val="24"/>
              </w:rPr>
              <w:t>6.所投台式电脑其他参数供应商需满足《台式计算机政府采购需求标准(2023年版)》中加*指标要求（CPU、操作系统符合安全可靠测评除外）。</w:t>
            </w:r>
          </w:p>
        </w:tc>
      </w:tr>
    </w:tbl>
    <w:p>
      <w:pPr>
        <w:pStyle w:val="null3"/>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CPU≥4核，主频≥1.8GHz，末级缓存容量≥2MB；</w:t>
            </w:r>
          </w:p>
          <w:p>
            <w:pPr>
              <w:pStyle w:val="null3"/>
              <w:spacing w:after="120"/>
              <w:jc w:val="both"/>
            </w:pPr>
            <w:r>
              <w:rPr>
                <w:rFonts w:ascii="仿宋_GB2312" w:hAnsi="仿宋_GB2312" w:cs="仿宋_GB2312" w:eastAsia="仿宋_GB2312"/>
                <w:sz w:val="24"/>
              </w:rPr>
              <w:t>2.内存</w:t>
            </w:r>
            <w:r>
              <w:rPr>
                <w:rFonts w:ascii="仿宋_GB2312" w:hAnsi="仿宋_GB2312" w:cs="仿宋_GB2312" w:eastAsia="仿宋_GB2312"/>
                <w:sz w:val="24"/>
              </w:rPr>
              <w:t>≥8</w:t>
            </w:r>
            <w:r>
              <w:rPr>
                <w:rFonts w:ascii="仿宋_GB2312" w:hAnsi="仿宋_GB2312" w:cs="仿宋_GB2312" w:eastAsia="仿宋_GB2312"/>
                <w:sz w:val="24"/>
              </w:rPr>
              <w:t>G</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3.固态硬盘</w:t>
            </w:r>
            <w:r>
              <w:rPr>
                <w:rFonts w:ascii="仿宋_GB2312" w:hAnsi="仿宋_GB2312" w:cs="仿宋_GB2312" w:eastAsia="仿宋_GB2312"/>
                <w:sz w:val="24"/>
              </w:rPr>
              <w:t>，</w:t>
            </w:r>
            <w:r>
              <w:rPr>
                <w:rFonts w:ascii="仿宋_GB2312" w:hAnsi="仿宋_GB2312" w:cs="仿宋_GB2312" w:eastAsia="仿宋_GB2312"/>
                <w:sz w:val="24"/>
              </w:rPr>
              <w:t>容量</w:t>
            </w:r>
            <w:r>
              <w:rPr>
                <w:rFonts w:ascii="仿宋_GB2312" w:hAnsi="仿宋_GB2312" w:cs="仿宋_GB2312" w:eastAsia="仿宋_GB2312"/>
                <w:sz w:val="24"/>
              </w:rPr>
              <w:t>≥</w:t>
            </w:r>
            <w:r>
              <w:rPr>
                <w:rFonts w:ascii="仿宋_GB2312" w:hAnsi="仿宋_GB2312" w:cs="仿宋_GB2312" w:eastAsia="仿宋_GB2312"/>
                <w:sz w:val="24"/>
              </w:rPr>
              <w:t>240GB</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4.独立显卡</w:t>
            </w:r>
            <w:r>
              <w:rPr>
                <w:rFonts w:ascii="仿宋_GB2312" w:hAnsi="仿宋_GB2312" w:cs="仿宋_GB2312" w:eastAsia="仿宋_GB2312"/>
                <w:sz w:val="24"/>
              </w:rPr>
              <w:t>，显存位宽</w:t>
            </w:r>
            <w:r>
              <w:rPr>
                <w:rFonts w:ascii="仿宋_GB2312" w:hAnsi="仿宋_GB2312" w:cs="仿宋_GB2312" w:eastAsia="仿宋_GB2312"/>
                <w:sz w:val="24"/>
              </w:rPr>
              <w:t>≥32 位，显存容量≥512MB；</w:t>
            </w:r>
          </w:p>
          <w:p>
            <w:pPr>
              <w:pStyle w:val="null3"/>
              <w:spacing w:after="120"/>
              <w:jc w:val="both"/>
            </w:pPr>
            <w:r>
              <w:rPr>
                <w:rFonts w:ascii="仿宋_GB2312" w:hAnsi="仿宋_GB2312" w:cs="仿宋_GB2312" w:eastAsia="仿宋_GB2312"/>
                <w:sz w:val="24"/>
              </w:rPr>
              <w:t>5.显示器</w:t>
            </w:r>
            <w:r>
              <w:rPr>
                <w:rFonts w:ascii="仿宋_GB2312" w:hAnsi="仿宋_GB2312" w:cs="仿宋_GB2312" w:eastAsia="仿宋_GB2312"/>
                <w:sz w:val="24"/>
              </w:rPr>
              <w:t>≥</w:t>
            </w:r>
            <w:r>
              <w:rPr>
                <w:rFonts w:ascii="仿宋_GB2312" w:hAnsi="仿宋_GB2312" w:cs="仿宋_GB2312" w:eastAsia="仿宋_GB2312"/>
                <w:sz w:val="24"/>
              </w:rPr>
              <w:t>14英寸</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6.所投笔记本电脑其他参数供应商需满足《便携式计算机政府采购需求标准（2023年版）》中加*指标要求（CPU、操作系统符合安全可靠测评除外）。</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四川省武胜职业中专学校飞龙校区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1、全部货物安装调试完毕并验收合格，采购人接到成交供应商通知与票据凭证资料后，按照财政性资金支付有关规定，达到付款条件起10日内，支付合同总金额的100.00%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采购人将严格按照政府采购相关法律法规以及《广安市财政局关于印发&lt;广安市政府采购项目履约验收工作规程&gt;的通知》（广市财采〔2021〕275）、的要求及国家行业主管部门规定的标准、方法和内容以及采购人询价文件的质量要求和技术指标、供应商的响应文件及承诺与合同约定标准进行验收。 2.采购人可以在供货产品中随意抽取部分产品邀请国家认可的质量检测机构根据相关标准进行检测，同时出具专业检验检测报告，该项费用由成交供应商承担，检测费用原则上不超过预算金额的1%，否则超过部分由采购人承担（检测不合格除外），供应商在报价时应充分考虑该项费用。如供应商提供的产品或部分产品经第三方有权机构检测不合格，或检测结果不满足询价文件要求，认定为验收不合格。 3、验收结果合格的，采购人出具《验收合格证明书》；验收结果不合格的，采购人报告本项目同级财政部门，按照政府采购法律法规规定给予处罚，且将不予退还履约保证金，给采购人造成的损失超过履约保证金数额的，应当对超过部分予以赔偿，没有提交履约保证金的，应当对采购人的损失承担赔偿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1.质量保修范围为本次采购的所有标的物，质保期不少于3年。国家或生产商标准规定的产品的质保期超过三年的，以国家或生产商规定的标准为准。 2.货物制造质量出现问题，供应商应负责三包（包修、包换、包退），费用由供应商负担。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 (1)采购人逾期支付货款的，除应及时付足货款外，应向成交供应商偿付欠款总额万分之五/天的违约金；逾期付款超过十五天的，成交供应商有权终止合同； (2)采购人偿付的违约金不足以弥补成交供应商损失的，还应按成交供应商损失尚未弥补的部分，支付赔偿金给成交供应商。 成交供应商违约责任： (1)成交供应商交付的货物质量不符合合同规定的，成交供应商应向采购人支付合同总价的百分之五的违约金，并须在合同规定的交货时间内更换合格的货物给采购人，否则，视作成交供应商不能交付货物而违约，按合同相关规定由成交供应商偿付违约赔偿金给采购人； (2)成交供应商不能交付货物或逾期交付货物而违约的，除应及时交足货物外，应向采购人偿付逾期交货部分货款总额的万分之五/天的违约金；逾期交货超过十五天，采购人有权终止合同，成交供应商则应按合同总价的百分之十的款额向采购人偿付赔偿金，并须全额退还采购人已经付给成交供应商的货款及其利息。 (3)如成交供应商货物经采购人送交具有法定资格条件的质量技术监督机构检测后，如检测结果认定货物质量不符合询价文件及合同规定标准的，则视为成交供应商没有按时交货而违约，检测费用由成交供应商支付，且成交供应商须在十五天内无条件更换合格的货物，如逾期不能更换合格的货物，采购人有权终止本合同，成交供应商应另付合同总价的百分之十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并赔偿因此给采购人造成的一切损失； (5)成交供应商偿付的违约金不足以弥补采购人损失的，还应按采购人损失尚未弥补的部分，支付赔偿金给采购人。 解决争议的方法 1、合同履行期间，若双方发生争议，可协商或由有关部门调解解决，协商或调解不成的，向项目所在地法院判决。 2、法院叛决应为最终决定，并对双方具有约束力。 3、除另有判决外，判决费应由败诉方负担。 4、在判决期间，除正在进行判决部分外，合同其他部分继续执行。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四川省武胜职业中专学校飞龙校区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1、全部货物安装调试完毕并验收合格，采购人接到成交供应商通知与票据凭证资料后，按照财政性资金支付有关规定，达到付款条件起10日内，支付合同总金额的100.00%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采购人将严格按照政府采购相关法律法规以及《广安市财政局关于印发&lt;广安市政府采购项目履约验收工作规程&gt;的通知》（广市财采〔2021〕275）、的要求及国家行业主管部门规定的标准、方法和内容以及采购人询价文件的质量要求和技术指标、供应商的响应文件及承诺与合同约定标准进行验收。 2、验收结果合格的，采购人出具《验收合格证明书》；验收结果不合格的，采购人报告本项目同级财政部门，按照政府采购法律法规规定给予处罚，且将不予退还履约保证金，给采购人造成的损失超过履约保证金数额的，应当对超过部分予以赔偿，没有提交履约保证金的，应当对采购人的损失承担赔偿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1.质量保修范围为本次采购的所有标的物，质保期不少于6年。国家或生产商标准规定的产品的质保期超过6年的，以国家或生产商规定的标准为准。 2.货物制造质量出现问题，供应商应负责三包（包修、包换、包退），费用由供应商负担。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采购人违约责任： (1)采购人逾期支付货款的，除应及时付足货款外，应向成交供应商偿付欠款总额万分之五/天的违约金；逾期付款超过十五天的，成交供应商有权终止合同； (2)采购人偿付的违约金不足以弥补成交供应商损失的，还应按成交供应商损失尚未弥补的部分，支付赔偿金给成交供应商。 成交供应商违约责任： (1)成交供应商交付的货物质量不符合合同规定的，成交供应商应向采购人支付合同总价的百分之五的违约金，并须在合同规定的交货时间内更换合格的货物给采购人，否则，视作成交供应商不能交付货物而违约，按合同相关规定由成交供应商偿付违约赔偿金给采购人； (2)成交供应商不能交付货物或逾期交付货物而违约的，除应及时交足货物外，应向采购人偿付逾期交货部分货款总额的万分之五/天的违约金；逾期交货超过十五天，采购人有权终止合同，成交供应商则应按合同总价的百分之十的款额向采购人偿付赔偿金，并须全额退还采购人已经付给成交供应商的货款及其利息。 (3)如成交供应商货物经采购人送交具有法定资格条件的质量技术监督机构检测后，如检测结果认定货物质量不符合询价文件及合同规定标准的，则视为成交供应商没有按时交货而违约，检测费用由成交供应商支付，且成交供应商须在十五天内无条件更换合格的货物，如逾期不能更换合格的货物，采购人有权终止本合同，成交供应商应另付合同总价的百分之十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十向采购人支付违约金并赔偿因此给采购人造成的一切损失； (5)成交供应商偿付的违约金不足以弥补采购人损失的，还应按采购人损失尚未弥补的部分，支付赔偿金给采购人。 解决争议的方法 1、合同履行期间，若双方发生争议，可协商或由有关部门调解解决，协商或调解不成的，向项目所在地法院判决。 2、法院叛决应为最终决定，并对双方具有约束力。 3、除另有判决外，判决费应由败诉方负担。 4、在判决期间，除正在进行判决部分外，合同其他部分继续执行。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请假、回避等情况时，采购人或者代理机构按规定申请补充抽取评审专家。无法及时补充抽取的，采购人或者代理机构应当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供应商应提交的其他相关材料.docx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1、没有完全响应询价文件第三章 中技术要求、商务要求 。 2 、报 价不符合询价文件规定的最 高 限 价（ 或采购 预算）和其他报价 要 求的 。3、报价一览表中品牌栏、 规格栏须填写货物具体的品牌、规 格型号（对定制类产品、辅材、出 厂无规格型号的可相应填定制或技 术参数值），否则作无效报价处理 。4、备注：以上不满足，作无效 响应处理</w:t>
            </w:r>
          </w:p>
        </w:tc>
        <w:tc>
          <w:tcPr>
            <w:tcW w:type="dxa" w:w="3322"/>
          </w:tcPr>
          <w:p>
            <w:pPr>
              <w:pStyle w:val="null3"/>
              <w:jc w:val="left"/>
            </w:pPr>
            <w:r>
              <w:rPr>
                <w:rFonts w:ascii="仿宋_GB2312" w:hAnsi="仿宋_GB2312" w:cs="仿宋_GB2312" w:eastAsia="仿宋_GB2312"/>
              </w:rPr>
              <w:t>供应商需在项目电子化交易系统中按要求提供 相关资料并进行电子签章</w:t>
            </w:r>
          </w:p>
        </w:tc>
        <w:tc>
          <w:tcPr>
            <w:tcW w:type="dxa" w:w="1910"/>
          </w:tcPr>
          <w:p>
            <w:pPr>
              <w:pStyle w:val="null3"/>
              <w:jc w:val="left"/>
            </w:pPr>
            <w:r>
              <w:rPr>
                <w:rFonts w:ascii="仿宋_GB2312" w:hAnsi="仿宋_GB2312" w:cs="仿宋_GB2312" w:eastAsia="仿宋_GB2312"/>
              </w:rPr>
              <w:t>报价一览表,产品技术参数响应表,报价明细表,商务应答表.docx,供应商应提交的其他相关材料.docx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供应商应提交的其他相关材料.docx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1、没有完全响应询价文件第三章 中技术要求、商务要求 。 2 、报 价不符合询价文件规定的最 高 限 价（ 或采购 预算）和其他报价 要 求的 。3、报价一览表中品牌栏、 规格栏须填写货物具体的品牌、规 格型号（对定制类产品、辅材、出 厂无规格型号的可相应填定制或技 术参数值），否则作无效报价处理 。4、备注：以上不满足，作无效 响应处理</w:t>
            </w:r>
          </w:p>
        </w:tc>
        <w:tc>
          <w:tcPr>
            <w:tcW w:type="dxa" w:w="3322"/>
          </w:tcPr>
          <w:p>
            <w:pPr>
              <w:pStyle w:val="null3"/>
              <w:jc w:val="left"/>
            </w:pPr>
            <w:r>
              <w:rPr>
                <w:rFonts w:ascii="仿宋_GB2312" w:hAnsi="仿宋_GB2312" w:cs="仿宋_GB2312" w:eastAsia="仿宋_GB2312"/>
              </w:rPr>
              <w:t>供应商需在项目电子化交易系统中按要求提供 相关资料并进行电子签章</w:t>
            </w:r>
          </w:p>
        </w:tc>
        <w:tc>
          <w:tcPr>
            <w:tcW w:type="dxa" w:w="1910"/>
          </w:tcPr>
          <w:p>
            <w:pPr>
              <w:pStyle w:val="null3"/>
              <w:jc w:val="left"/>
            </w:pPr>
            <w:r>
              <w:rPr>
                <w:rFonts w:ascii="仿宋_GB2312" w:hAnsi="仿宋_GB2312" w:cs="仿宋_GB2312" w:eastAsia="仿宋_GB2312"/>
              </w:rPr>
              <w:t>报价一览表,产品技术参数响应表,报价明细表,商务应答表.docx,供应商应提交的其他相关材料.docx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询价报告应当由询价小组全体人员签字或加盖电子印章认可。询价小组成员对询价报告有异议的，询价小组按照少数服从多数的原则推荐成交候选供应商，采购程序继续进行。对询价报告有异议的询价小组成员，应当在报告上签署不同意见并说明理由，由询价小组记录相关情况。询价小组成员拒绝在询价报告上签字或加盖电子印章又不说明其不同意见和理由的，视为同意询价报告。</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对询价报告有异议的，应当在询价报告上签署不同意见并说明理由，否则视为同意询价报告。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报价一览表,中小企业声明函,残疾人福利性单位声明函,监狱企业的证明文件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经评标委员会评审，通过资格和符合性审查，且投标报价最低的投标人的投标报价作为评标基准价。2.评审价格=响应报价。</w:t>
            </w:r>
          </w:p>
        </w:tc>
        <w:tc>
          <w:tcPr>
            <w:tcW w:type="dxa" w:w="2123"/>
          </w:tcPr>
          <w:p>
            <w:pPr>
              <w:pStyle w:val="null3"/>
              <w:jc w:val="left"/>
            </w:pPr>
            <w:r>
              <w:rPr>
                <w:rFonts w:ascii="仿宋_GB2312" w:hAnsi="仿宋_GB2312" w:cs="仿宋_GB2312" w:eastAsia="仿宋_GB2312"/>
              </w:rPr>
              <w:t>报价一览表,报价明细表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报价一览表,报价明细表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供应商应提交的其他相关材料.docx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供应商应提交的其他相关材料.docx</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详见附件：供应商应提交的其他相关材料.docx</w:t>
      </w:r>
    </w:p>
    <w:p>
      <w:pPr>
        <w:pStyle w:val="null3"/>
        <w:ind w:firstLine="960"/>
        <w:jc w:val="left"/>
      </w:pPr>
      <w:r>
        <w:rPr>
          <w:rFonts w:ascii="仿宋_GB2312" w:hAnsi="仿宋_GB2312" w:cs="仿宋_GB2312" w:eastAsia="仿宋_GB2312"/>
        </w:rPr>
        <w:t>详见附件：商务应答表.docx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详见附件：供应商应提交的其他相关材料.docx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