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版本号：N510001202600176420260707001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酿酒科学与技术四川省重点实验室平台建设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N5100012026001764</w:t>
      </w:r>
    </w:p>
    <w:p>
      <w:pPr>
        <w:pStyle w:val="null3"/>
        <w:jc w:val="left"/>
        <w:outlineLvl w:val="2"/>
      </w:pPr>
      <w:r>
        <w:rPr>
          <w:rFonts w:ascii="仿宋_GB2312" w:hAnsi="仿宋_GB2312" w:cs="仿宋_GB2312" w:eastAsia="仿宋_GB2312"/>
          <w:sz w:val="28"/>
          <w:b/>
        </w:rPr>
        <w:t>四川轻化工大学</w:t>
      </w:r>
    </w:p>
    <w:p>
      <w:pPr>
        <w:pStyle w:val="null3"/>
        <w:jc w:val="center"/>
        <w:outlineLvl w:val="2"/>
      </w:pPr>
      <w:r>
        <w:rPr>
          <w:rFonts w:ascii="仿宋_GB2312" w:hAnsi="仿宋_GB2312" w:cs="仿宋_GB2312" w:eastAsia="仿宋_GB2312"/>
          <w:sz w:val="28"/>
          <w:b/>
        </w:rPr>
        <w:t>四川虹采招标代理有限责任公司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四川虹采招标代理有限责任公司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四川轻化工大学</w:t>
      </w:r>
      <w:r>
        <w:rPr>
          <w:rFonts w:ascii="仿宋_GB2312" w:hAnsi="仿宋_GB2312" w:cs="仿宋_GB2312" w:eastAsia="仿宋_GB2312"/>
        </w:rPr>
        <w:t xml:space="preserve"> 委托，拟对 </w:t>
      </w:r>
      <w:r>
        <w:rPr>
          <w:rFonts w:ascii="仿宋_GB2312" w:hAnsi="仿宋_GB2312" w:cs="仿宋_GB2312" w:eastAsia="仿宋_GB2312"/>
        </w:rPr>
        <w:t>酿酒科学与技术四川省重点实验室平台建设</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N5100012026001764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酿酒科学与技术四川省重点实验室平台建设</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根据酿酒科学与技术四川省重点实验室平台建设需求，采购溶剂辅助蒸馏装置、多功能白酒生产小试装置和微波消解仪等设备，这些设备均用于替换或配套已有的大精设备使用；所采购的设备需满足酿酒样品前处理的方面教学或科研的需求。以此提升平台科学研究和服务能力。</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四川轻化工大学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自贡市自流井区汇兴路519号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代老师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0813-5505560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四川虹采招标代理有限责任公司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四川省自贡市自流井区丹阳街2号川润物联智造产业园一期A5-4-2号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0813-5500618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代理服务费收费标准：代理服务费按中标金额的0.7 %收取，若计算后不足3000.00元的，按3000.00元收取，由中标人支付。收款账号： 名称：四川虹采采购代理有限责任公司 开户行：四川银行股份有限公司成都高新支行 账号：7822 0100 0392 67783 （转账时请备注项目名称或项目编号代理服务费）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四川轻化工大学</w:t>
      </w:r>
      <w:r>
        <w:rPr>
          <w:rFonts w:ascii="仿宋_GB2312" w:hAnsi="仿宋_GB2312" w:cs="仿宋_GB2312" w:eastAsia="仿宋_GB2312"/>
        </w:rPr>
        <w:t xml:space="preserve"> 和 </w:t>
      </w:r>
      <w:r>
        <w:rPr>
          <w:rFonts w:ascii="仿宋_GB2312" w:hAnsi="仿宋_GB2312" w:cs="仿宋_GB2312" w:eastAsia="仿宋_GB2312"/>
        </w:rPr>
        <w:t>四川虹采招标代理有限责任公司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四川轻化工大学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四川虹采招标代理有限责任公司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对投标人提供的货物完整性、功能性以及其他商务内容进行验收。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按招标文件、中标人投标文件应答参数、投标人提供的货物实际功能参数及双方合同约定进行验收。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按招标文件、中标投标人投标文件应答内容及双方合同约定进行验收。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招标文件的质量要求和技术指标、中标人的投标文件及承诺与合同约定标准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四川轻化工大学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四川虹采招标代理有限责任公司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四川虹采招标代理有限责任公司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联系人：代老师</w:t>
      </w:r>
    </w:p>
    <w:p>
      <w:pPr>
        <w:pStyle w:val="null3"/>
        <w:jc w:val="left"/>
      </w:pPr>
      <w:r>
        <w:rPr>
          <w:rFonts w:ascii="仿宋_GB2312" w:hAnsi="仿宋_GB2312" w:cs="仿宋_GB2312" w:eastAsia="仿宋_GB2312"/>
        </w:rPr>
        <w:t>联系电话：0813-5505560</w:t>
      </w:r>
    </w:p>
    <w:p>
      <w:pPr>
        <w:pStyle w:val="null3"/>
        <w:jc w:val="left"/>
      </w:pPr>
      <w:r>
        <w:rPr>
          <w:rFonts w:ascii="仿宋_GB2312" w:hAnsi="仿宋_GB2312" w:cs="仿宋_GB2312" w:eastAsia="仿宋_GB2312"/>
        </w:rPr>
        <w:t>地址：自贡市自流井区汇兴路519号</w:t>
      </w:r>
    </w:p>
    <w:p>
      <w:pPr>
        <w:pStyle w:val="null3"/>
        <w:jc w:val="left"/>
      </w:pPr>
      <w:r>
        <w:rPr>
          <w:rFonts w:ascii="仿宋_GB2312" w:hAnsi="仿宋_GB2312" w:cs="仿宋_GB2312" w:eastAsia="仿宋_GB2312"/>
        </w:rPr>
        <w:t>邮编：643000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联系人：黄先生</w:t>
      </w:r>
    </w:p>
    <w:p>
      <w:pPr>
        <w:pStyle w:val="null3"/>
        <w:jc w:val="left"/>
      </w:pPr>
      <w:r>
        <w:rPr>
          <w:rFonts w:ascii="仿宋_GB2312" w:hAnsi="仿宋_GB2312" w:cs="仿宋_GB2312" w:eastAsia="仿宋_GB2312"/>
        </w:rPr>
        <w:t>联系电话：0813-5500618</w:t>
      </w:r>
    </w:p>
    <w:p>
      <w:pPr>
        <w:pStyle w:val="null3"/>
        <w:jc w:val="left"/>
      </w:pPr>
      <w:r>
        <w:rPr>
          <w:rFonts w:ascii="仿宋_GB2312" w:hAnsi="仿宋_GB2312" w:cs="仿宋_GB2312" w:eastAsia="仿宋_GB2312"/>
        </w:rPr>
        <w:t>地址：四川省自贡市自流井区丹阳街2号川润物联智造产业园一期A5-4-2号</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溶剂辅助蒸馏装置</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多功能白酒生产小试装置</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微波消解仪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277,000.00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溶剂辅助蒸馏装置</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多功能白酒生产小试装置</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微波消解仪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277,000.00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微波消解仪</w:t>
            </w:r>
          </w:p>
        </w:tc>
        <w:tc>
          <w:tcPr>
            <w:tcW w:type="dxa" w:w="2492"/>
          </w:tcPr>
          <w:p>
            <w:pPr>
              <w:pStyle w:val="null3"/>
              <w:jc w:val="left"/>
            </w:pPr>
            <w:r>
              <w:rPr>
                <w:rFonts w:ascii="仿宋_GB2312" w:hAnsi="仿宋_GB2312" w:cs="仿宋_GB2312" w:eastAsia="仿宋_GB2312"/>
              </w:rPr>
              <w:t>微波消解仪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标的名称：溶剂辅助蒸馏装置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溶剂辅助蒸馏装置</w:t>
            </w:r>
          </w:p>
        </w:tc>
        <w:tc>
          <w:tcPr>
            <w:tcW w:type="dxa" w:w="5814"/>
          </w:tcPr>
          <w:p>
            <w:pPr>
              <w:pStyle w:val="null3"/>
              <w:jc w:val="both"/>
            </w:pPr>
            <w:r>
              <w:rPr>
                <w:rFonts w:ascii="仿宋_GB2312" w:hAnsi="仿宋_GB2312" w:cs="仿宋_GB2312" w:eastAsia="仿宋_GB2312"/>
                <w:sz w:val="21"/>
              </w:rPr>
              <w:t>1. 溶剂辅助蒸馏器部分（2套）</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高纯度玻璃原料制成，一次高温成型；</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装置内部管路</w:t>
            </w:r>
            <w:r>
              <w:rPr>
                <w:rFonts w:ascii="仿宋_GB2312" w:hAnsi="仿宋_GB2312" w:cs="仿宋_GB2312" w:eastAsia="仿宋_GB2312"/>
                <w:sz w:val="21"/>
              </w:rPr>
              <w:t>，</w:t>
            </w:r>
            <w:r>
              <w:rPr>
                <w:rFonts w:ascii="仿宋_GB2312" w:hAnsi="仿宋_GB2312" w:cs="仿宋_GB2312" w:eastAsia="仿宋_GB2312"/>
                <w:sz w:val="21"/>
              </w:rPr>
              <w:t>保证挥发物质与冷却水、冷阱充分接触；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能在</w:t>
            </w:r>
            <w:r>
              <w:rPr>
                <w:rFonts w:ascii="仿宋_GB2312" w:hAnsi="仿宋_GB2312" w:cs="仿宋_GB2312" w:eastAsia="仿宋_GB2312"/>
                <w:sz w:val="21"/>
              </w:rPr>
              <w:t>10-5Pa</w:t>
            </w:r>
            <w:r>
              <w:rPr>
                <w:rFonts w:ascii="仿宋_GB2312" w:hAnsi="仿宋_GB2312" w:cs="仿宋_GB2312" w:eastAsia="仿宋_GB2312"/>
                <w:sz w:val="21"/>
              </w:rPr>
              <w:t>（十的负五次方帕斯卡）</w:t>
            </w:r>
            <w:r>
              <w:rPr>
                <w:rFonts w:ascii="仿宋_GB2312" w:hAnsi="仿宋_GB2312" w:cs="仿宋_GB2312" w:eastAsia="仿宋_GB2312"/>
                <w:sz w:val="21"/>
              </w:rPr>
              <w:t>的高真空度下正常工作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 真空系统分子泵机组</w:t>
            </w:r>
          </w:p>
          <w:p>
            <w:pPr>
              <w:pStyle w:val="null3"/>
              <w:jc w:val="both"/>
            </w:pPr>
            <w:r>
              <w:rPr>
                <w:rFonts w:ascii="仿宋_GB2312" w:hAnsi="仿宋_GB2312" w:cs="仿宋_GB2312" w:eastAsia="仿宋_GB2312"/>
                <w:sz w:val="21"/>
              </w:rPr>
              <w:t>分子泵机组配置</w:t>
            </w:r>
            <w:r>
              <w:rPr>
                <w:rFonts w:ascii="仿宋_GB2312" w:hAnsi="仿宋_GB2312" w:cs="仿宋_GB2312" w:eastAsia="仿宋_GB2312"/>
                <w:sz w:val="21"/>
              </w:rPr>
              <w:t>1：分子泵机组</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工作噪音低，能使整套溶剂辅助蒸馏装置达到所需的真空度；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分子泵：抽速</w:t>
            </w:r>
            <w:r>
              <w:rPr>
                <w:rFonts w:ascii="仿宋_GB2312" w:hAnsi="仿宋_GB2312" w:cs="仿宋_GB2312" w:eastAsia="仿宋_GB2312"/>
                <w:sz w:val="21"/>
              </w:rPr>
              <w:t>≥150L/s，极限真空度≥10-5Pa</w:t>
            </w:r>
            <w:r>
              <w:rPr>
                <w:rFonts w:ascii="仿宋_GB2312" w:hAnsi="仿宋_GB2312" w:cs="仿宋_GB2312" w:eastAsia="仿宋_GB2312"/>
                <w:sz w:val="21"/>
              </w:rPr>
              <w:t>（十的负五次方帕斯卡）；</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提供与溶剂辅助蒸馏装置配套的专用连接组件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w:t>
            </w:r>
            <w:r>
              <w:rPr>
                <w:rFonts w:ascii="仿宋_GB2312" w:hAnsi="仿宋_GB2312" w:cs="仿宋_GB2312" w:eastAsia="仿宋_GB2312"/>
                <w:sz w:val="21"/>
              </w:rPr>
              <w:t xml:space="preserve"> </w:t>
            </w:r>
            <w:r>
              <w:rPr>
                <w:rFonts w:ascii="仿宋_GB2312" w:hAnsi="仿宋_GB2312" w:cs="仿宋_GB2312" w:eastAsia="仿宋_GB2312"/>
                <w:sz w:val="21"/>
              </w:rPr>
              <w:t>包含真空计和阀门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超级恒温水浴部分</w:t>
            </w:r>
          </w:p>
          <w:p>
            <w:pPr>
              <w:pStyle w:val="null3"/>
              <w:jc w:val="both"/>
            </w:pPr>
            <w:r>
              <w:rPr>
                <w:rFonts w:ascii="仿宋_GB2312" w:hAnsi="仿宋_GB2312" w:cs="仿宋_GB2312" w:eastAsia="仿宋_GB2312"/>
                <w:sz w:val="21"/>
              </w:rPr>
              <w:t>用来提供溶剂辅助蒸馏器外循环水浴，水浴温度：</w:t>
            </w:r>
            <w:r>
              <w:rPr>
                <w:rFonts w:ascii="仿宋_GB2312" w:hAnsi="仿宋_GB2312" w:cs="仿宋_GB2312" w:eastAsia="仿宋_GB2312"/>
                <w:sz w:val="21"/>
              </w:rPr>
              <w:t>25-60℃，外循环流量：≥6L/min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集热式磁力搅拌器部分</w:t>
            </w:r>
          </w:p>
          <w:p>
            <w:pPr>
              <w:pStyle w:val="null3"/>
              <w:jc w:val="both"/>
            </w:pPr>
            <w:r>
              <w:rPr>
                <w:rFonts w:ascii="仿宋_GB2312" w:hAnsi="仿宋_GB2312" w:cs="仿宋_GB2312" w:eastAsia="仿宋_GB2312"/>
                <w:sz w:val="21"/>
              </w:rPr>
              <w:t>为蒸馏瓶提供水浴并具有磁力搅拌功能，确保可挥发样品完全挥发，水浴温度：室温</w:t>
            </w:r>
            <w:r>
              <w:rPr>
                <w:rFonts w:ascii="仿宋_GB2312" w:hAnsi="仿宋_GB2312" w:cs="仿宋_GB2312" w:eastAsia="仿宋_GB2312"/>
                <w:sz w:val="21"/>
              </w:rPr>
              <w:t>-100摄氏度；智能温控，无极调速；搅拌容量最大2000ml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收集瓶</w:t>
            </w:r>
          </w:p>
          <w:p>
            <w:pPr>
              <w:pStyle w:val="null3"/>
              <w:jc w:val="both"/>
            </w:pPr>
            <w:r>
              <w:rPr>
                <w:rFonts w:ascii="仿宋_GB2312" w:hAnsi="仿宋_GB2312" w:cs="仿宋_GB2312" w:eastAsia="仿宋_GB2312"/>
                <w:sz w:val="21"/>
              </w:rPr>
              <w:t>≥500ml 收集瓶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设备支架</w:t>
            </w:r>
          </w:p>
          <w:p>
            <w:pPr>
              <w:pStyle w:val="null3"/>
              <w:jc w:val="both"/>
            </w:pPr>
            <w:r>
              <w:rPr>
                <w:rFonts w:ascii="仿宋_GB2312" w:hAnsi="仿宋_GB2312" w:cs="仿宋_GB2312" w:eastAsia="仿宋_GB2312"/>
                <w:sz w:val="21"/>
              </w:rPr>
              <w:t>用于连接固定各玻璃件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微蒸馏装置</w:t>
            </w:r>
          </w:p>
          <w:p>
            <w:pPr>
              <w:pStyle w:val="null3"/>
              <w:jc w:val="both"/>
            </w:pPr>
            <w:r>
              <w:rPr>
                <w:rFonts w:ascii="仿宋_GB2312" w:hAnsi="仿宋_GB2312" w:cs="仿宋_GB2312" w:eastAsia="仿宋_GB2312"/>
                <w:sz w:val="21"/>
              </w:rPr>
              <w:t>①通过微蒸馏器对韦氏蒸馏器处理后样品进行最终浓缩，最终浓缩体积为15-100µl</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②微蒸馏器利用螺旋分馏柱在真空套管内分离溶剂与非挥发性组分，有效提高沸点≥100℃的挥发物的回收率，最大样品量：3ml，将3ml二氯甲烷样品浓缩到100ul所需时间＜10分钟</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韦氏蒸馏器</w:t>
            </w:r>
          </w:p>
          <w:p>
            <w:pPr>
              <w:pStyle w:val="null3"/>
              <w:jc w:val="both"/>
            </w:pPr>
            <w:r>
              <w:rPr>
                <w:rFonts w:ascii="仿宋_GB2312" w:hAnsi="仿宋_GB2312" w:cs="仿宋_GB2312" w:eastAsia="仿宋_GB2312"/>
                <w:sz w:val="21"/>
              </w:rPr>
              <w:t>通过韦氏蒸馏</w:t>
            </w:r>
            <w:r>
              <w:rPr>
                <w:rFonts w:ascii="仿宋_GB2312" w:hAnsi="仿宋_GB2312" w:cs="仿宋_GB2312" w:eastAsia="仿宋_GB2312"/>
                <w:sz w:val="21"/>
              </w:rPr>
              <w:t>器</w:t>
            </w:r>
            <w:r>
              <w:rPr>
                <w:rFonts w:ascii="仿宋_GB2312" w:hAnsi="仿宋_GB2312" w:cs="仿宋_GB2312" w:eastAsia="仿宋_GB2312"/>
                <w:sz w:val="21"/>
              </w:rPr>
              <w:t>对溶剂辅助蒸馏器处理后样品进行除去溶剂操作，韦氏蒸馏器具有镀银绝热层及真空夹层，高度</w:t>
            </w:r>
            <w:r>
              <w:rPr>
                <w:rFonts w:ascii="仿宋_GB2312" w:hAnsi="仿宋_GB2312" w:cs="仿宋_GB2312" w:eastAsia="仿宋_GB2312"/>
                <w:sz w:val="21"/>
              </w:rPr>
              <w:t>≥55cm,外径≥5cm, 通过韦氏蒸馏柱处理100ml二氯甲烷样品时间＜1小时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低温循环水泵</w:t>
            </w:r>
          </w:p>
          <w:p>
            <w:pPr>
              <w:pStyle w:val="null3"/>
              <w:jc w:val="both"/>
            </w:pPr>
            <w:r>
              <w:rPr>
                <w:rFonts w:ascii="仿宋_GB2312" w:hAnsi="仿宋_GB2312" w:cs="仿宋_GB2312" w:eastAsia="仿宋_GB2312"/>
                <w:sz w:val="21"/>
              </w:rPr>
              <w:t>用来提供微蒸馏装置的冷凝，用于浓缩时快速冷凝溶剂，温度范围：</w:t>
            </w:r>
            <w:r>
              <w:rPr>
                <w:rFonts w:ascii="仿宋_GB2312" w:hAnsi="仿宋_GB2312" w:cs="仿宋_GB2312" w:eastAsia="仿宋_GB2312"/>
                <w:sz w:val="21"/>
              </w:rPr>
              <w:t>0-60℃，控温精度不低于0.5℃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真空止水阀</w:t>
            </w:r>
          </w:p>
          <w:p>
            <w:pPr>
              <w:pStyle w:val="null3"/>
              <w:jc w:val="both"/>
            </w:pPr>
            <w:r>
              <w:rPr>
                <w:rFonts w:ascii="仿宋_GB2312" w:hAnsi="仿宋_GB2312" w:cs="仿宋_GB2312" w:eastAsia="仿宋_GB2312"/>
                <w:sz w:val="21"/>
              </w:rPr>
              <w:t>双浮球结构，保护分子泵机组</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配套附件</w:t>
            </w:r>
          </w:p>
          <w:p>
            <w:pPr>
              <w:pStyle w:val="null3"/>
              <w:jc w:val="left"/>
            </w:pPr>
            <w:r>
              <w:rPr>
                <w:rFonts w:ascii="仿宋_GB2312" w:hAnsi="仿宋_GB2312" w:cs="仿宋_GB2312" w:eastAsia="仿宋_GB2312"/>
                <w:sz w:val="21"/>
              </w:rPr>
              <w:t>升降台、双层保温桶、波纹管、卡箍、真空软管、高真空阀门等连接组件，完全匹配系统装置使用。具体包含：升降台</w:t>
            </w:r>
            <w:r>
              <w:rPr>
                <w:rFonts w:ascii="仿宋_GB2312" w:hAnsi="仿宋_GB2312" w:cs="仿宋_GB2312" w:eastAsia="仿宋_GB2312"/>
                <w:sz w:val="21"/>
              </w:rPr>
              <w:t>1个，双层保温桶1个，波纹管、卡箍、高真空阀门、真空胶管1套</w:t>
            </w:r>
          </w:p>
        </w:tc>
      </w:tr>
    </w:tbl>
    <w:p>
      <w:pPr>
        <w:pStyle w:val="null3"/>
        <w:jc w:val="left"/>
      </w:pPr>
      <w:r>
        <w:rPr>
          <w:rFonts w:ascii="仿宋_GB2312" w:hAnsi="仿宋_GB2312" w:cs="仿宋_GB2312" w:eastAsia="仿宋_GB2312"/>
        </w:rPr>
        <w:t>标的名称：多功能白酒生产小试装置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多功能白酒生产小试装置</w:t>
            </w:r>
          </w:p>
        </w:tc>
        <w:tc>
          <w:tcPr>
            <w:tcW w:type="dxa" w:w="5814"/>
          </w:tcPr>
          <w:p>
            <w:pPr>
              <w:pStyle w:val="null3"/>
              <w:numPr>
                <w:ilvl w:val="0"/>
                <w:numId w:val="1"/>
              </w:numPr>
              <w:jc w:val="left"/>
            </w:pPr>
            <w:r>
              <w:rPr>
                <w:rFonts w:ascii="仿宋_GB2312" w:hAnsi="仿宋_GB2312" w:cs="仿宋_GB2312" w:eastAsia="仿宋_GB2312"/>
                <w:sz w:val="21"/>
              </w:rPr>
              <w:t>发酵设备</w:t>
            </w:r>
            <w:r>
              <w:br/>
            </w:r>
            <w:r>
              <w:rPr>
                <w:rFonts w:ascii="仿宋_GB2312" w:hAnsi="仿宋_GB2312" w:cs="仿宋_GB2312" w:eastAsia="仿宋_GB2312"/>
                <w:sz w:val="21"/>
              </w:rPr>
              <w:t>1.1摊凉床2个；</w:t>
            </w:r>
            <w:r>
              <w:br/>
            </w:r>
            <w:r>
              <w:rPr>
                <w:rFonts w:ascii="仿宋_GB2312" w:hAnsi="仿宋_GB2312" w:cs="仿宋_GB2312" w:eastAsia="仿宋_GB2312"/>
                <w:sz w:val="21"/>
              </w:rPr>
              <w:t>1.2 50-150L不锈钢发酵箱＞20个（带黄水收集口）；</w:t>
            </w:r>
            <w:r>
              <w:br/>
            </w:r>
            <w:r>
              <w:rPr>
                <w:rFonts w:ascii="仿宋_GB2312" w:hAnsi="仿宋_GB2312" w:cs="仿宋_GB2312" w:eastAsia="仿宋_GB2312"/>
                <w:sz w:val="21"/>
              </w:rPr>
              <w:t>1.3不锈钢控温发酵床1个，自动控制器1个</w:t>
            </w:r>
            <w:r>
              <w:rPr>
                <w:rFonts w:ascii="仿宋_GB2312" w:hAnsi="仿宋_GB2312" w:cs="仿宋_GB2312" w:eastAsia="仿宋_GB2312"/>
                <w:sz w:val="21"/>
              </w:rPr>
              <w:t>；</w:t>
            </w:r>
            <w:r>
              <w:br/>
            </w:r>
            <w:r>
              <w:rPr>
                <w:rFonts w:ascii="仿宋_GB2312" w:hAnsi="仿宋_GB2312" w:cs="仿宋_GB2312" w:eastAsia="仿宋_GB2312"/>
                <w:sz w:val="21"/>
              </w:rPr>
              <w:t>2.蒸馏装置</w:t>
            </w:r>
            <w:r>
              <w:br/>
            </w:r>
            <w:r>
              <w:rPr>
                <w:rFonts w:ascii="仿宋_GB2312" w:hAnsi="仿宋_GB2312" w:cs="仿宋_GB2312" w:eastAsia="仿宋_GB2312"/>
                <w:sz w:val="21"/>
              </w:rPr>
              <w:t>2.1蒸汽发生器2台，1台大功率的至少2组可控蒸汽组件，每组≥3千瓦，总功率≥16千瓦；另一台功率≥6千瓦，至少2组可控蒸汽组件</w:t>
            </w:r>
            <w:r>
              <w:rPr>
                <w:rFonts w:ascii="仿宋_GB2312" w:hAnsi="仿宋_GB2312" w:cs="仿宋_GB2312" w:eastAsia="仿宋_GB2312"/>
                <w:sz w:val="21"/>
              </w:rPr>
              <w:t>；</w:t>
            </w:r>
            <w:r>
              <w:br/>
            </w:r>
            <w:r>
              <w:rPr>
                <w:rFonts w:ascii="仿宋_GB2312" w:hAnsi="仿宋_GB2312" w:cs="仿宋_GB2312" w:eastAsia="仿宋_GB2312"/>
                <w:sz w:val="21"/>
              </w:rPr>
              <w:t>2.2蒸锅型号包括200斤、100斤、50斤、20斤的装醅量</w:t>
            </w:r>
            <w:r>
              <w:rPr>
                <w:rFonts w:ascii="仿宋_GB2312" w:hAnsi="仿宋_GB2312" w:cs="仿宋_GB2312" w:eastAsia="仿宋_GB2312"/>
                <w:sz w:val="21"/>
              </w:rPr>
              <w:t>各</w:t>
            </w:r>
            <w:r>
              <w:rPr>
                <w:rFonts w:ascii="仿宋_GB2312" w:hAnsi="仿宋_GB2312" w:cs="仿宋_GB2312" w:eastAsia="仿宋_GB2312"/>
                <w:sz w:val="21"/>
              </w:rPr>
              <w:t>1台；</w:t>
            </w:r>
            <w:r>
              <w:br/>
            </w:r>
            <w:r>
              <w:rPr>
                <w:rFonts w:ascii="仿宋_GB2312" w:hAnsi="仿宋_GB2312" w:cs="仿宋_GB2312" w:eastAsia="仿宋_GB2312"/>
                <w:sz w:val="21"/>
              </w:rPr>
              <w:t>3.发酵培养箱（可用于制曲和酒醅发酵）</w:t>
            </w:r>
            <w:r>
              <w:br/>
            </w:r>
            <w:r>
              <w:rPr>
                <w:rFonts w:ascii="仿宋_GB2312" w:hAnsi="仿宋_GB2312" w:cs="仿宋_GB2312" w:eastAsia="仿宋_GB2312"/>
                <w:sz w:val="21"/>
              </w:rPr>
              <w:t>需要配备超过</w:t>
            </w:r>
            <w:r>
              <w:rPr>
                <w:rFonts w:ascii="仿宋_GB2312" w:hAnsi="仿宋_GB2312" w:cs="仿宋_GB2312" w:eastAsia="仿宋_GB2312"/>
                <w:sz w:val="21"/>
              </w:rPr>
              <w:t>1000L的</w:t>
            </w:r>
            <w:r>
              <w:rPr>
                <w:rFonts w:ascii="仿宋_GB2312" w:hAnsi="仿宋_GB2312" w:cs="仿宋_GB2312" w:eastAsia="仿宋_GB2312"/>
                <w:sz w:val="21"/>
              </w:rPr>
              <w:t>发酵培养箱</w:t>
            </w:r>
            <w:r>
              <w:rPr>
                <w:rFonts w:ascii="仿宋_GB2312" w:hAnsi="仿宋_GB2312" w:cs="仿宋_GB2312" w:eastAsia="仿宋_GB2312"/>
                <w:sz w:val="21"/>
              </w:rPr>
              <w:t>≥2个，具体参数如下：</w:t>
            </w:r>
            <w:r>
              <w:br/>
            </w:r>
            <w:r>
              <w:rPr>
                <w:rFonts w:ascii="仿宋_GB2312" w:hAnsi="仿宋_GB2312" w:cs="仿宋_GB2312" w:eastAsia="仿宋_GB2312"/>
                <w:sz w:val="21"/>
              </w:rPr>
              <w:t>3.1 采用16位微电脑控制器,≥7寸触摸屏.触摸开关、操作简便；可编程控制模式：可同步设定白天黑夜时间，一天可分1-12组工作时间控制温度，湿度；99周期可设定</w:t>
            </w:r>
            <w:r>
              <w:br/>
            </w:r>
            <w:r>
              <w:rPr>
                <w:rFonts w:ascii="仿宋_GB2312" w:hAnsi="仿宋_GB2312" w:cs="仿宋_GB2312" w:eastAsia="仿宋_GB2312"/>
                <w:sz w:val="21"/>
              </w:rPr>
              <w:t>▲3.2 外壳采用不锈钢，防指纹表面处理，内胆为镜面不锈钢；层架高度可调；层架可直接向外抽取；箱体为整体发泡，保温层大于≥4CM，数字压缩机和循环风机，用户可在控制器上选择压缩机工作模式（普通启停模式和高精度控制模式），保证培养箱控温精度（提供数字</w:t>
            </w:r>
            <w:r>
              <w:rPr>
                <w:rFonts w:ascii="仿宋_GB2312" w:hAnsi="仿宋_GB2312" w:cs="仿宋_GB2312" w:eastAsia="仿宋_GB2312"/>
                <w:sz w:val="21"/>
              </w:rPr>
              <w:t>，</w:t>
            </w:r>
            <w:r>
              <w:rPr>
                <w:rFonts w:ascii="仿宋_GB2312" w:hAnsi="仿宋_GB2312" w:cs="仿宋_GB2312" w:eastAsia="仿宋_GB2312"/>
                <w:sz w:val="21"/>
              </w:rPr>
              <w:t>压缩机电子膨胀技术证明材料），</w:t>
            </w:r>
            <w:r>
              <w:rPr>
                <w:rFonts w:ascii="仿宋_GB2312" w:hAnsi="仿宋_GB2312" w:cs="仿宋_GB2312" w:eastAsia="仿宋_GB2312"/>
                <w:sz w:val="21"/>
              </w:rPr>
              <w:t>配合严格专业的制冷工艺来保证系统质量的长久可靠性、稳定。</w:t>
            </w:r>
            <w:r>
              <w:br/>
            </w:r>
            <w:r>
              <w:rPr>
                <w:rFonts w:ascii="仿宋_GB2312" w:hAnsi="仿宋_GB2312" w:cs="仿宋_GB2312" w:eastAsia="仿宋_GB2312"/>
                <w:sz w:val="21"/>
              </w:rPr>
              <w:t>3.3温控范围:0-50℃, 温控精度为±0.5-1℃，可长时间在4℃下运行，拒绝结冰、冰堵现象；湿度控范围：</w:t>
            </w:r>
            <w:r>
              <w:rPr>
                <w:rFonts w:ascii="仿宋_GB2312" w:hAnsi="仿宋_GB2312" w:cs="仿宋_GB2312" w:eastAsia="仿宋_GB2312"/>
                <w:sz w:val="21"/>
              </w:rPr>
              <w:t>50%</w:t>
            </w:r>
            <w:r>
              <w:rPr>
                <w:rFonts w:ascii="仿宋_GB2312" w:hAnsi="仿宋_GB2312" w:cs="仿宋_GB2312" w:eastAsia="仿宋_GB2312"/>
                <w:sz w:val="21"/>
              </w:rPr>
              <w:t>RH</w:t>
            </w:r>
            <w:r>
              <w:rPr>
                <w:rFonts w:ascii="仿宋_GB2312" w:hAnsi="仿宋_GB2312" w:cs="仿宋_GB2312" w:eastAsia="仿宋_GB2312"/>
                <w:sz w:val="21"/>
              </w:rPr>
              <w:t>-95%RH；</w:t>
            </w:r>
            <w:r>
              <w:rPr>
                <w:rFonts w:ascii="仿宋_GB2312" w:hAnsi="仿宋_GB2312" w:cs="仿宋_GB2312" w:eastAsia="仿宋_GB2312"/>
                <w:sz w:val="21"/>
              </w:rPr>
              <w:t>湿度控精度：</w:t>
            </w:r>
            <w:r>
              <w:rPr>
                <w:rFonts w:ascii="仿宋_GB2312" w:hAnsi="仿宋_GB2312" w:cs="仿宋_GB2312" w:eastAsia="仿宋_GB2312"/>
                <w:sz w:val="21"/>
              </w:rPr>
              <w:t>±5</w:t>
            </w:r>
            <w:r>
              <w:rPr>
                <w:rFonts w:ascii="仿宋_GB2312" w:hAnsi="仿宋_GB2312" w:cs="仿宋_GB2312" w:eastAsia="仿宋_GB2312"/>
                <w:sz w:val="21"/>
              </w:rPr>
              <w:t>%RH</w:t>
            </w:r>
            <w:r>
              <w:rPr>
                <w:rFonts w:ascii="仿宋_GB2312" w:hAnsi="仿宋_GB2312" w:cs="仿宋_GB2312" w:eastAsia="仿宋_GB2312"/>
                <w:sz w:val="21"/>
              </w:rPr>
              <w:t>-7%RH。超声波加湿，双头加湿头，加湿量自适应控制，加湿器内置培养箱风道内，减少占地面积，拒绝外置加湿器；加湿器使用寿命大于3000小时。加湿器水桶大于18L，每次加水可用＞20天，拒绝小桶2-5天要加水。可在＞95%以上的湿度，长时间正常工作。</w:t>
            </w:r>
            <w:r>
              <w:br/>
            </w:r>
            <w:r>
              <w:rPr>
                <w:rFonts w:ascii="仿宋_GB2312" w:hAnsi="仿宋_GB2312" w:cs="仿宋_GB2312" w:eastAsia="仿宋_GB2312"/>
                <w:sz w:val="21"/>
              </w:rPr>
              <w:t>3.4 容积</w:t>
            </w:r>
            <w:r>
              <w:rPr>
                <w:rFonts w:ascii="仿宋_GB2312" w:hAnsi="仿宋_GB2312" w:cs="仿宋_GB2312" w:eastAsia="仿宋_GB2312"/>
                <w:sz w:val="21"/>
              </w:rPr>
              <w:t>≥</w:t>
            </w:r>
            <w:r>
              <w:rPr>
                <w:rFonts w:ascii="仿宋_GB2312" w:hAnsi="仿宋_GB2312" w:cs="仿宋_GB2312" w:eastAsia="仿宋_GB2312"/>
                <w:sz w:val="21"/>
              </w:rPr>
              <w:t>1000L，外形尺寸≥1200</w:t>
            </w:r>
            <w:r>
              <w:rPr>
                <w:rFonts w:ascii="仿宋_GB2312" w:hAnsi="仿宋_GB2312" w:cs="仿宋_GB2312" w:eastAsia="仿宋_GB2312"/>
                <w:sz w:val="21"/>
              </w:rPr>
              <w:t>mm</w:t>
            </w:r>
            <w:r>
              <w:rPr>
                <w:rFonts w:ascii="仿宋_GB2312" w:hAnsi="仿宋_GB2312" w:cs="仿宋_GB2312" w:eastAsia="仿宋_GB2312"/>
                <w:sz w:val="21"/>
              </w:rPr>
              <w:t>*820</w:t>
            </w:r>
            <w:r>
              <w:rPr>
                <w:rFonts w:ascii="仿宋_GB2312" w:hAnsi="仿宋_GB2312" w:cs="仿宋_GB2312" w:eastAsia="仿宋_GB2312"/>
                <w:sz w:val="21"/>
              </w:rPr>
              <w:t>mm</w:t>
            </w:r>
            <w:r>
              <w:rPr>
                <w:rFonts w:ascii="仿宋_GB2312" w:hAnsi="仿宋_GB2312" w:cs="仿宋_GB2312" w:eastAsia="仿宋_GB2312"/>
                <w:sz w:val="21"/>
              </w:rPr>
              <w:t>*1900</w:t>
            </w:r>
            <w:r>
              <w:rPr>
                <w:rFonts w:ascii="仿宋_GB2312" w:hAnsi="仿宋_GB2312" w:cs="仿宋_GB2312" w:eastAsia="仿宋_GB2312"/>
                <w:sz w:val="21"/>
              </w:rPr>
              <w:t>mm</w:t>
            </w:r>
            <w:r>
              <w:rPr>
                <w:rFonts w:ascii="仿宋_GB2312" w:hAnsi="仿宋_GB2312" w:cs="仿宋_GB2312" w:eastAsia="仿宋_GB2312"/>
                <w:sz w:val="21"/>
              </w:rPr>
              <w:t>，工作室尺寸</w:t>
            </w:r>
            <w:r>
              <w:rPr>
                <w:rFonts w:ascii="仿宋_GB2312" w:hAnsi="仿宋_GB2312" w:cs="仿宋_GB2312" w:eastAsia="仿宋_GB2312"/>
                <w:sz w:val="21"/>
              </w:rPr>
              <w:t>≥1100</w:t>
            </w:r>
            <w:r>
              <w:rPr>
                <w:rFonts w:ascii="仿宋_GB2312" w:hAnsi="仿宋_GB2312" w:cs="仿宋_GB2312" w:eastAsia="仿宋_GB2312"/>
                <w:sz w:val="21"/>
              </w:rPr>
              <w:t>mm</w:t>
            </w:r>
            <w:r>
              <w:rPr>
                <w:rFonts w:ascii="仿宋_GB2312" w:hAnsi="仿宋_GB2312" w:cs="仿宋_GB2312" w:eastAsia="仿宋_GB2312"/>
                <w:sz w:val="21"/>
              </w:rPr>
              <w:t>*550</w:t>
            </w:r>
            <w:r>
              <w:rPr>
                <w:rFonts w:ascii="仿宋_GB2312" w:hAnsi="仿宋_GB2312" w:cs="仿宋_GB2312" w:eastAsia="仿宋_GB2312"/>
                <w:sz w:val="21"/>
              </w:rPr>
              <w:t>mm</w:t>
            </w:r>
            <w:r>
              <w:rPr>
                <w:rFonts w:ascii="仿宋_GB2312" w:hAnsi="仿宋_GB2312" w:cs="仿宋_GB2312" w:eastAsia="仿宋_GB2312"/>
                <w:sz w:val="21"/>
              </w:rPr>
              <w:t>*1300</w:t>
            </w:r>
            <w:r>
              <w:rPr>
                <w:rFonts w:ascii="仿宋_GB2312" w:hAnsi="仿宋_GB2312" w:cs="仿宋_GB2312" w:eastAsia="仿宋_GB2312"/>
                <w:sz w:val="21"/>
              </w:rPr>
              <w:t>mm</w:t>
            </w:r>
            <w:r>
              <w:rPr>
                <w:rFonts w:ascii="仿宋_GB2312" w:hAnsi="仿宋_GB2312" w:cs="仿宋_GB2312" w:eastAsia="仿宋_GB2312"/>
                <w:sz w:val="21"/>
              </w:rPr>
              <w:t>，配备层板数量</w:t>
            </w:r>
            <w:r>
              <w:rPr>
                <w:rFonts w:ascii="仿宋_GB2312" w:hAnsi="仿宋_GB2312" w:cs="仿宋_GB2312" w:eastAsia="仿宋_GB2312"/>
                <w:sz w:val="21"/>
              </w:rPr>
              <w:t>≥8层，高度可自由调节。触摸屏离地≥1.6m左右</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     3.5 具有USB接口，可直接存储数据倒到移动盘，同时培养箱可储存10万个数据。控制器界面可生成历史曲线数据，可方便用户查询，同时可以设定查询不同时间段运行参数。控制器界面具有3级密码锁控，防止他人进行数据改动。具有门加热功能，可防止高温高湿门上有挂水珠现象。</w:t>
            </w:r>
            <w:r>
              <w:br/>
            </w:r>
            <w:r>
              <w:rPr>
                <w:rFonts w:ascii="仿宋_GB2312" w:hAnsi="仿宋_GB2312" w:cs="仿宋_GB2312" w:eastAsia="仿宋_GB2312"/>
                <w:sz w:val="21"/>
              </w:rPr>
              <w:t xml:space="preserve">     ★4 辅助设备</w:t>
            </w:r>
            <w:r>
              <w:br/>
            </w:r>
            <w:r>
              <w:rPr>
                <w:rFonts w:ascii="仿宋_GB2312" w:hAnsi="仿宋_GB2312" w:cs="仿宋_GB2312" w:eastAsia="仿宋_GB2312"/>
                <w:sz w:val="21"/>
              </w:rPr>
              <w:t xml:space="preserve">     4.1 粮食粉碎机，220V，≤5千瓦；</w:t>
            </w:r>
            <w:r>
              <w:br/>
            </w:r>
            <w:r>
              <w:rPr>
                <w:rFonts w:ascii="仿宋_GB2312" w:hAnsi="仿宋_GB2312" w:cs="仿宋_GB2312" w:eastAsia="仿宋_GB2312"/>
                <w:sz w:val="21"/>
              </w:rPr>
              <w:t xml:space="preserve">     4.2 不锈钢泡粮桶5个，≥100L</w:t>
            </w:r>
            <w:r>
              <w:br/>
            </w:r>
            <w:r>
              <w:rPr>
                <w:rFonts w:ascii="仿宋_GB2312" w:hAnsi="仿宋_GB2312" w:cs="仿宋_GB2312" w:eastAsia="仿宋_GB2312"/>
                <w:sz w:val="21"/>
              </w:rPr>
              <w:t xml:space="preserve">     4.3 干燥箱，容积≥300L，外形尺寸为≥600</w:t>
            </w:r>
            <w:r>
              <w:rPr>
                <w:rFonts w:ascii="仿宋_GB2312" w:hAnsi="仿宋_GB2312" w:cs="仿宋_GB2312" w:eastAsia="仿宋_GB2312"/>
                <w:sz w:val="21"/>
              </w:rPr>
              <w:t>mm</w:t>
            </w:r>
            <w:r>
              <w:rPr>
                <w:rFonts w:ascii="仿宋_GB2312" w:hAnsi="仿宋_GB2312" w:cs="仿宋_GB2312" w:eastAsia="仿宋_GB2312"/>
                <w:sz w:val="21"/>
              </w:rPr>
              <w:t>*400</w:t>
            </w:r>
            <w:r>
              <w:rPr>
                <w:rFonts w:ascii="仿宋_GB2312" w:hAnsi="仿宋_GB2312" w:cs="仿宋_GB2312" w:eastAsia="仿宋_GB2312"/>
                <w:sz w:val="21"/>
              </w:rPr>
              <w:t>mm</w:t>
            </w:r>
            <w:r>
              <w:rPr>
                <w:rFonts w:ascii="仿宋_GB2312" w:hAnsi="仿宋_GB2312" w:cs="仿宋_GB2312" w:eastAsia="仿宋_GB2312"/>
                <w:sz w:val="21"/>
              </w:rPr>
              <w:t>*300</w:t>
            </w:r>
            <w:r>
              <w:rPr>
                <w:rFonts w:ascii="仿宋_GB2312" w:hAnsi="仿宋_GB2312" w:cs="仿宋_GB2312" w:eastAsia="仿宋_GB2312"/>
                <w:sz w:val="21"/>
              </w:rPr>
              <w:t>mm</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标的名称：微波消解仪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微波消解仪</w:t>
            </w:r>
          </w:p>
        </w:tc>
        <w:tc>
          <w:tcPr>
            <w:tcW w:type="dxa" w:w="5814"/>
          </w:tcPr>
          <w:p>
            <w:pPr>
              <w:pStyle w:val="null3"/>
              <w:jc w:val="left"/>
            </w:pPr>
            <w:r>
              <w:rPr>
                <w:rFonts w:ascii="仿宋_GB2312" w:hAnsi="仿宋_GB2312" w:cs="仿宋_GB2312" w:eastAsia="仿宋_GB2312"/>
                <w:sz w:val="21"/>
              </w:rPr>
              <w:t>1.超级微波化学工作站</w:t>
            </w:r>
          </w:p>
          <w:p>
            <w:pPr>
              <w:pStyle w:val="null3"/>
              <w:jc w:val="left"/>
            </w:pPr>
            <w:r>
              <w:rPr>
                <w:rFonts w:ascii="仿宋_GB2312" w:hAnsi="仿宋_GB2312" w:cs="仿宋_GB2312" w:eastAsia="仿宋_GB2312"/>
                <w:sz w:val="21"/>
              </w:rPr>
              <w:t>1.1微波消解模块：通过微波加热，实现了超高温度，超高压力下样品的高效消解。独特的单反应腔设计，微波微波直接从底部发射到腔体内，放置在该反应腔体的所有样品是严格在相同的温度和压力下进行消解。</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1.2微波功率：微波发射功率≥1500W；磁控管水冷设计，提高磁控管使用寿命。（需提供磁控管照片做证明）</w:t>
            </w:r>
          </w:p>
          <w:p>
            <w:pPr>
              <w:pStyle w:val="null3"/>
              <w:jc w:val="left"/>
            </w:pPr>
            <w:r>
              <w:rPr>
                <w:rFonts w:ascii="仿宋_GB2312" w:hAnsi="仿宋_GB2312" w:cs="仿宋_GB2312" w:eastAsia="仿宋_GB2312"/>
                <w:sz w:val="21"/>
              </w:rPr>
              <w:t>1.3 最大温度：≥300℃；</w:t>
            </w:r>
          </w:p>
          <w:p>
            <w:pPr>
              <w:pStyle w:val="null3"/>
              <w:jc w:val="left"/>
            </w:pPr>
            <w:r>
              <w:rPr>
                <w:rFonts w:ascii="仿宋_GB2312" w:hAnsi="仿宋_GB2312" w:cs="仿宋_GB2312" w:eastAsia="仿宋_GB2312"/>
                <w:sz w:val="21"/>
              </w:rPr>
              <w:t>1.4最大工作压力：≥200Bar；</w:t>
            </w:r>
          </w:p>
          <w:p>
            <w:pPr>
              <w:pStyle w:val="null3"/>
              <w:jc w:val="left"/>
            </w:pPr>
            <w:r>
              <w:rPr>
                <w:rFonts w:ascii="仿宋_GB2312" w:hAnsi="仿宋_GB2312" w:cs="仿宋_GB2312" w:eastAsia="仿宋_GB2312"/>
                <w:sz w:val="21"/>
              </w:rPr>
              <w:t>★1.5反应腔体</w:t>
            </w:r>
            <w:r>
              <w:rPr>
                <w:rFonts w:ascii="仿宋_GB2312" w:hAnsi="仿宋_GB2312" w:cs="仿宋_GB2312" w:eastAsia="仿宋_GB2312"/>
                <w:sz w:val="21"/>
              </w:rPr>
              <w:t>溶剂</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L；</w:t>
            </w:r>
          </w:p>
          <w:p>
            <w:pPr>
              <w:pStyle w:val="null3"/>
              <w:jc w:val="left"/>
            </w:pPr>
            <w:r>
              <w:rPr>
                <w:rFonts w:ascii="仿宋_GB2312" w:hAnsi="仿宋_GB2312" w:cs="仿宋_GB2312" w:eastAsia="仿宋_GB2312"/>
                <w:sz w:val="21"/>
              </w:rPr>
              <w:t>▲1.6消解通量：每腔体消解管孔6位、 9</w:t>
            </w:r>
            <w:r>
              <w:rPr>
                <w:rFonts w:ascii="仿宋_GB2312" w:hAnsi="仿宋_GB2312" w:cs="仿宋_GB2312" w:eastAsia="仿宋_GB2312"/>
                <w:sz w:val="21"/>
              </w:rPr>
              <w:t>-10位</w:t>
            </w:r>
            <w:r>
              <w:rPr>
                <w:rFonts w:ascii="仿宋_GB2312" w:hAnsi="仿宋_GB2312" w:cs="仿宋_GB2312" w:eastAsia="仿宋_GB2312"/>
                <w:sz w:val="21"/>
              </w:rPr>
              <w:t>、</w:t>
            </w:r>
            <w:r>
              <w:rPr>
                <w:rFonts w:ascii="仿宋_GB2312" w:hAnsi="仿宋_GB2312" w:cs="仿宋_GB2312" w:eastAsia="仿宋_GB2312"/>
                <w:sz w:val="21"/>
              </w:rPr>
              <w:t>24-26位</w:t>
            </w:r>
            <w:r>
              <w:rPr>
                <w:rFonts w:ascii="仿宋_GB2312" w:hAnsi="仿宋_GB2312" w:cs="仿宋_GB2312" w:eastAsia="仿宋_GB2312"/>
                <w:sz w:val="21"/>
              </w:rPr>
              <w:t>、</w:t>
            </w:r>
            <w:r>
              <w:rPr>
                <w:rFonts w:ascii="仿宋_GB2312" w:hAnsi="仿宋_GB2312" w:cs="仿宋_GB2312" w:eastAsia="仿宋_GB2312"/>
                <w:sz w:val="21"/>
              </w:rPr>
              <w:t>28位及以上</w:t>
            </w:r>
            <w:r>
              <w:rPr>
                <w:rFonts w:ascii="仿宋_GB2312" w:hAnsi="仿宋_GB2312" w:cs="仿宋_GB2312" w:eastAsia="仿宋_GB2312"/>
                <w:sz w:val="21"/>
              </w:rPr>
              <w:t>可适配</w:t>
            </w:r>
            <w:r>
              <w:rPr>
                <w:rFonts w:ascii="仿宋_GB2312" w:hAnsi="仿宋_GB2312" w:cs="仿宋_GB2312" w:eastAsia="仿宋_GB2312"/>
                <w:sz w:val="21"/>
              </w:rPr>
              <w:t>不同规格消化管可选</w:t>
            </w:r>
            <w:r>
              <w:rPr>
                <w:rFonts w:ascii="仿宋_GB2312" w:hAnsi="仿宋_GB2312" w:cs="仿宋_GB2312" w:eastAsia="仿宋_GB2312"/>
                <w:sz w:val="21"/>
              </w:rPr>
              <w:t>。（提供样品架不同规格及位数实物照片证明）</w:t>
            </w:r>
          </w:p>
          <w:p>
            <w:pPr>
              <w:pStyle w:val="null3"/>
              <w:jc w:val="left"/>
            </w:pPr>
            <w:r>
              <w:rPr>
                <w:rFonts w:ascii="仿宋_GB2312" w:hAnsi="仿宋_GB2312" w:cs="仿宋_GB2312" w:eastAsia="仿宋_GB2312"/>
                <w:sz w:val="21"/>
              </w:rPr>
              <w:t>▲1.7全自动密闭腔体：消解腔密封盖和</w:t>
            </w:r>
            <w:r>
              <w:rPr>
                <w:rFonts w:ascii="仿宋_GB2312" w:hAnsi="仿宋_GB2312" w:cs="仿宋_GB2312" w:eastAsia="仿宋_GB2312"/>
                <w:sz w:val="21"/>
              </w:rPr>
              <w:t>腔体</w:t>
            </w:r>
            <w:r>
              <w:rPr>
                <w:rFonts w:ascii="仿宋_GB2312" w:hAnsi="仿宋_GB2312" w:cs="仿宋_GB2312" w:eastAsia="仿宋_GB2312"/>
                <w:sz w:val="21"/>
              </w:rPr>
              <w:t>自动关闭锁紧，无需手动操作或借助外部工具。（提供照片证明</w:t>
            </w:r>
            <w:r>
              <w:rPr>
                <w:rFonts w:ascii="仿宋_GB2312" w:hAnsi="仿宋_GB2312" w:cs="仿宋_GB2312" w:eastAsia="仿宋_GB2312"/>
                <w:sz w:val="21"/>
              </w:rPr>
              <w:t>材料</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1.8 全自动预加压，预先向腔体内加入40-100Bar的惰性气体，使样品的严格的高压下进行消解，过压保护，自动泄压；同时管内外压力平衡，消除爆管风险。</w:t>
            </w:r>
          </w:p>
          <w:p>
            <w:pPr>
              <w:pStyle w:val="null3"/>
              <w:jc w:val="left"/>
            </w:pPr>
            <w:r>
              <w:rPr>
                <w:rFonts w:ascii="仿宋_GB2312" w:hAnsi="仿宋_GB2312" w:cs="仿宋_GB2312" w:eastAsia="仿宋_GB2312"/>
                <w:sz w:val="21"/>
              </w:rPr>
              <w:t>1.9不锈钢腔体设计，微波被密闭于金属腔体内，最大限度保障承压安全性，避免泄露，泄漏量≤0.015mW/cm2。</w:t>
            </w:r>
          </w:p>
          <w:p>
            <w:pPr>
              <w:pStyle w:val="null3"/>
              <w:jc w:val="left"/>
            </w:pPr>
            <w:r>
              <w:rPr>
                <w:rFonts w:ascii="仿宋_GB2312" w:hAnsi="仿宋_GB2312" w:cs="仿宋_GB2312" w:eastAsia="仿宋_GB2312"/>
                <w:sz w:val="21"/>
              </w:rPr>
              <w:t>1.10冷却方式：使用冷却循环水进行冷却，提高冷却的效率。</w:t>
            </w:r>
          </w:p>
          <w:p>
            <w:pPr>
              <w:pStyle w:val="null3"/>
              <w:jc w:val="left"/>
            </w:pPr>
            <w:r>
              <w:rPr>
                <w:rFonts w:ascii="仿宋_GB2312" w:hAnsi="仿宋_GB2312" w:cs="仿宋_GB2312" w:eastAsia="仿宋_GB2312"/>
                <w:sz w:val="21"/>
              </w:rPr>
              <w:t>1.11全自动泄压：消解腔体冷却到设定目标温度时，会自动泄压。管道内部有特氟龙涂层，防止氧化酸蚀。</w:t>
            </w:r>
          </w:p>
          <w:p>
            <w:pPr>
              <w:pStyle w:val="null3"/>
              <w:jc w:val="left"/>
            </w:pPr>
            <w:r>
              <w:rPr>
                <w:rFonts w:ascii="仿宋_GB2312" w:hAnsi="仿宋_GB2312" w:cs="仿宋_GB2312" w:eastAsia="仿宋_GB2312"/>
                <w:sz w:val="21"/>
              </w:rPr>
              <w:t>1.12防腐设计：聚四氟乙烯操作平台，全PFA管路设计。消解过程中可直接使用氢氟酸，氢氟酸、无需额外使用传感器套管或消解管密封组件。</w:t>
            </w:r>
          </w:p>
          <w:p>
            <w:pPr>
              <w:pStyle w:val="null3"/>
              <w:jc w:val="left"/>
            </w:pPr>
            <w:r>
              <w:rPr>
                <w:rFonts w:ascii="仿宋_GB2312" w:hAnsi="仿宋_GB2312" w:cs="仿宋_GB2312" w:eastAsia="仿宋_GB2312"/>
                <w:sz w:val="21"/>
              </w:rPr>
              <w:t>1.13 高精度铂电阻温度传感器实时控制并显示反应罐内的温度和升温曲线。控温范围：0-500℃，精度：≤±0.1℃。</w:t>
            </w:r>
          </w:p>
          <w:p>
            <w:pPr>
              <w:pStyle w:val="null3"/>
              <w:jc w:val="left"/>
            </w:pPr>
            <w:r>
              <w:rPr>
                <w:rFonts w:ascii="仿宋_GB2312" w:hAnsi="仿宋_GB2312" w:cs="仿宋_GB2312" w:eastAsia="仿宋_GB2312"/>
                <w:sz w:val="21"/>
              </w:rPr>
              <w:t>1.14外置式密闭式水冷系统，可提供大功率冷却水：控温精度：≤±0.1℃，冷却范围：5-35℃。</w:t>
            </w:r>
          </w:p>
          <w:p>
            <w:pPr>
              <w:pStyle w:val="null3"/>
              <w:jc w:val="left"/>
            </w:pPr>
            <w:r>
              <w:rPr>
                <w:rFonts w:ascii="仿宋_GB2312" w:hAnsi="仿宋_GB2312" w:cs="仿宋_GB2312" w:eastAsia="仿宋_GB2312"/>
                <w:sz w:val="21"/>
              </w:rPr>
              <w:t>2.控制系统。</w:t>
            </w:r>
          </w:p>
          <w:p>
            <w:pPr>
              <w:pStyle w:val="null3"/>
              <w:jc w:val="left"/>
            </w:pPr>
            <w:r>
              <w:rPr>
                <w:rFonts w:ascii="仿宋_GB2312" w:hAnsi="仿宋_GB2312" w:cs="仿宋_GB2312" w:eastAsia="仿宋_GB2312"/>
                <w:sz w:val="21"/>
              </w:rPr>
              <w:t>▲2.1整机内置触控屏控制，屏幕≥9英寸，便于点击按钮。（提供仪器屏幕实物照片证明）</w:t>
            </w:r>
          </w:p>
          <w:p>
            <w:pPr>
              <w:pStyle w:val="null3"/>
              <w:jc w:val="left"/>
            </w:pPr>
            <w:r>
              <w:rPr>
                <w:rFonts w:ascii="仿宋_GB2312" w:hAnsi="仿宋_GB2312" w:cs="仿宋_GB2312" w:eastAsia="仿宋_GB2312"/>
                <w:sz w:val="21"/>
              </w:rPr>
              <w:t>2.2 智能控制系统，操作简单直接、最小存储空间</w:t>
            </w:r>
            <w:r>
              <w:rPr>
                <w:rFonts w:ascii="仿宋_GB2312" w:hAnsi="仿宋_GB2312" w:cs="仿宋_GB2312" w:eastAsia="仿宋_GB2312"/>
                <w:sz w:val="21"/>
              </w:rPr>
              <w:t>60</w:t>
            </w:r>
            <w:r>
              <w:rPr>
                <w:rFonts w:ascii="仿宋_GB2312" w:hAnsi="仿宋_GB2312" w:cs="仿宋_GB2312" w:eastAsia="仿宋_GB2312"/>
                <w:sz w:val="21"/>
              </w:rPr>
              <w:t>G，在整个设备使用周期内，无需导出数据。操作终端可以播放操作视频、查看说明书、SOP等文件。</w:t>
            </w:r>
          </w:p>
          <w:p>
            <w:pPr>
              <w:pStyle w:val="null3"/>
              <w:jc w:val="left"/>
            </w:pPr>
            <w:r>
              <w:rPr>
                <w:rFonts w:ascii="仿宋_GB2312" w:hAnsi="仿宋_GB2312" w:cs="仿宋_GB2312" w:eastAsia="仿宋_GB2312"/>
                <w:sz w:val="21"/>
              </w:rPr>
              <w:t>▲2.3一键式操作：一键式操作完成样品消解功能，过程中自动关盖、加压、消解、冷却、泄压、开盖，全程无需人为干预。操作人员远离高温/高压设备；具备状态指示灯模块，可随实验不同状态进行变化。（提供灯带系统照片证明）</w:t>
            </w:r>
          </w:p>
          <w:p>
            <w:pPr>
              <w:pStyle w:val="null3"/>
              <w:jc w:val="left"/>
            </w:pPr>
            <w:r>
              <w:rPr>
                <w:rFonts w:ascii="仿宋_GB2312" w:hAnsi="仿宋_GB2312" w:cs="仿宋_GB2312" w:eastAsia="仿宋_GB2312"/>
                <w:sz w:val="21"/>
              </w:rPr>
              <w:t>2.4实时监测仪器状态：图形化软件运行监控和远程诊断功能，实时反应系统运行状态；控制并实时显示温度/压力曲线，并可保存至控制主机。</w:t>
            </w:r>
          </w:p>
          <w:p>
            <w:pPr>
              <w:pStyle w:val="null3"/>
              <w:jc w:val="left"/>
            </w:pPr>
            <w:r>
              <w:rPr>
                <w:rFonts w:ascii="仿宋_GB2312" w:hAnsi="仿宋_GB2312" w:cs="仿宋_GB2312" w:eastAsia="仿宋_GB2312"/>
                <w:sz w:val="21"/>
              </w:rPr>
              <w:t>▲2.5 整机腔体采用全密封设计,具有自检功能，开机或运行前自检。进行强腐蚀性酸液实验后可调用清洁方法和气体吹扫将系统管线清洁置换。（提供外观密封式的图片证明）</w:t>
            </w:r>
          </w:p>
          <w:p>
            <w:pPr>
              <w:pStyle w:val="null3"/>
              <w:jc w:val="left"/>
            </w:pPr>
            <w:r>
              <w:rPr>
                <w:rFonts w:ascii="仿宋_GB2312" w:hAnsi="仿宋_GB2312" w:cs="仿宋_GB2312" w:eastAsia="仿宋_GB2312"/>
                <w:sz w:val="21"/>
              </w:rPr>
              <w:t>3、配置需求：</w:t>
            </w:r>
          </w:p>
          <w:p>
            <w:pPr>
              <w:pStyle w:val="null3"/>
              <w:jc w:val="left"/>
            </w:pPr>
            <w:r>
              <w:rPr>
                <w:rFonts w:ascii="仿宋_GB2312" w:hAnsi="仿宋_GB2312" w:cs="仿宋_GB2312" w:eastAsia="仿宋_GB2312"/>
                <w:sz w:val="21"/>
              </w:rPr>
              <w:t>★3.1 主机（含一体式控制系统和操作软件）1台</w:t>
            </w:r>
          </w:p>
          <w:p>
            <w:pPr>
              <w:pStyle w:val="null3"/>
              <w:jc w:val="left"/>
            </w:pPr>
            <w:r>
              <w:rPr>
                <w:rFonts w:ascii="仿宋_GB2312" w:hAnsi="仿宋_GB2312" w:cs="仿宋_GB2312" w:eastAsia="仿宋_GB2312"/>
                <w:sz w:val="21"/>
              </w:rPr>
              <w:t xml:space="preserve">3.2 内置触摸屏 </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高精度温度控制系统，</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高精度压力监控系统及耐腐蚀性机械压力表，各</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自动安全防护门</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自动预加压模块</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自动腔体密闭模块</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8 </w:t>
            </w:r>
            <w:r>
              <w:rPr>
                <w:rFonts w:ascii="仿宋_GB2312" w:hAnsi="仿宋_GB2312" w:cs="仿宋_GB2312" w:eastAsia="仿宋_GB2312"/>
                <w:sz w:val="21"/>
              </w:rPr>
              <w:t>自动泄压模块</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 xml:space="preserve"> </w:t>
            </w:r>
            <w:r>
              <w:rPr>
                <w:rFonts w:ascii="仿宋_GB2312" w:hAnsi="仿宋_GB2312" w:cs="仿宋_GB2312" w:eastAsia="仿宋_GB2312"/>
                <w:sz w:val="21"/>
              </w:rPr>
              <w:t>自动取罐模块</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 xml:space="preserve"> </w:t>
            </w:r>
            <w:r>
              <w:rPr>
                <w:rFonts w:ascii="仿宋_GB2312" w:hAnsi="仿宋_GB2312" w:cs="仿宋_GB2312" w:eastAsia="仿宋_GB2312"/>
                <w:sz w:val="21"/>
              </w:rPr>
              <w:t>排风系统</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11</w:t>
            </w:r>
            <w:r>
              <w:rPr>
                <w:rFonts w:ascii="仿宋_GB2312" w:hAnsi="仿宋_GB2312" w:cs="仿宋_GB2312" w:eastAsia="仿宋_GB2312"/>
                <w:sz w:val="21"/>
              </w:rPr>
              <w:t xml:space="preserve"> </w:t>
            </w:r>
            <w:r>
              <w:rPr>
                <w:rFonts w:ascii="仿宋_GB2312" w:hAnsi="仿宋_GB2312" w:cs="仿宋_GB2312" w:eastAsia="仿宋_GB2312"/>
                <w:sz w:val="21"/>
              </w:rPr>
              <w:t>全自动水冷模块</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12</w:t>
            </w:r>
            <w:r>
              <w:rPr>
                <w:rFonts w:ascii="仿宋_GB2312" w:hAnsi="仿宋_GB2312" w:cs="仿宋_GB2312" w:eastAsia="仿宋_GB2312"/>
                <w:sz w:val="21"/>
              </w:rPr>
              <w:t xml:space="preserve"> </w:t>
            </w:r>
            <w:r>
              <w:rPr>
                <w:rFonts w:ascii="仿宋_GB2312" w:hAnsi="仿宋_GB2312" w:cs="仿宋_GB2312" w:eastAsia="仿宋_GB2312"/>
                <w:sz w:val="21"/>
              </w:rPr>
              <w:t>专用试管架</w:t>
            </w:r>
            <w:r>
              <w:rPr>
                <w:rFonts w:ascii="仿宋_GB2312" w:hAnsi="仿宋_GB2312" w:cs="仿宋_GB2312" w:eastAsia="仿宋_GB2312"/>
                <w:sz w:val="21"/>
              </w:rPr>
              <w:t>1套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13</w:t>
            </w:r>
            <w:r>
              <w:rPr>
                <w:rFonts w:ascii="仿宋_GB2312" w:hAnsi="仿宋_GB2312" w:cs="仿宋_GB2312" w:eastAsia="仿宋_GB2312"/>
                <w:sz w:val="21"/>
              </w:rPr>
              <w:t xml:space="preserve">  </w:t>
            </w:r>
            <w:r>
              <w:rPr>
                <w:rFonts w:ascii="仿宋_GB2312" w:hAnsi="仿宋_GB2312" w:cs="仿宋_GB2312" w:eastAsia="仿宋_GB2312"/>
                <w:sz w:val="21"/>
              </w:rPr>
              <w:t>TFM材质</w:t>
            </w:r>
            <w:r>
              <w:rPr>
                <w:rFonts w:ascii="仿宋_GB2312" w:hAnsi="仿宋_GB2312" w:cs="仿宋_GB2312" w:eastAsia="仿宋_GB2312"/>
                <w:sz w:val="21"/>
              </w:rPr>
              <w:t>9-10位</w:t>
            </w:r>
            <w:r>
              <w:rPr>
                <w:rFonts w:ascii="仿宋_GB2312" w:hAnsi="仿宋_GB2312" w:cs="仿宋_GB2312" w:eastAsia="仿宋_GB2312"/>
                <w:sz w:val="21"/>
              </w:rPr>
              <w:t>消解管</w:t>
            </w:r>
            <w:r>
              <w:rPr>
                <w:rFonts w:ascii="仿宋_GB2312" w:hAnsi="仿宋_GB2312" w:cs="仿宋_GB2312" w:eastAsia="仿宋_GB2312"/>
                <w:sz w:val="21"/>
              </w:rPr>
              <w:t>10</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TFM材质</w:t>
            </w:r>
            <w:r>
              <w:rPr>
                <w:rFonts w:ascii="仿宋_GB2312" w:hAnsi="仿宋_GB2312" w:cs="仿宋_GB2312" w:eastAsia="仿宋_GB2312"/>
                <w:sz w:val="21"/>
              </w:rPr>
              <w:t>24-26位</w:t>
            </w:r>
            <w:r>
              <w:rPr>
                <w:rFonts w:ascii="仿宋_GB2312" w:hAnsi="仿宋_GB2312" w:cs="仿宋_GB2312" w:eastAsia="仿宋_GB2312"/>
                <w:sz w:val="21"/>
              </w:rPr>
              <w:t>消解管</w:t>
            </w:r>
            <w:r>
              <w:rPr>
                <w:rFonts w:ascii="仿宋_GB2312" w:hAnsi="仿宋_GB2312" w:cs="仿宋_GB2312" w:eastAsia="仿宋_GB2312"/>
                <w:sz w:val="21"/>
              </w:rPr>
              <w:t>24-26</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6位和28位及以上的至少配相应位次套数的</w:t>
            </w:r>
            <w:r>
              <w:rPr>
                <w:rFonts w:ascii="仿宋_GB2312" w:hAnsi="仿宋_GB2312" w:cs="仿宋_GB2312" w:eastAsia="仿宋_GB2312"/>
                <w:sz w:val="21"/>
              </w:rPr>
              <w:t>TFM材质消解管</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3.14  9-10位</w:t>
            </w:r>
            <w:r>
              <w:rPr>
                <w:rFonts w:ascii="仿宋_GB2312" w:hAnsi="仿宋_GB2312" w:cs="仿宋_GB2312" w:eastAsia="仿宋_GB2312"/>
                <w:sz w:val="21"/>
              </w:rPr>
              <w:t>消解管</w:t>
            </w:r>
            <w:r>
              <w:rPr>
                <w:rFonts w:ascii="仿宋_GB2312" w:hAnsi="仿宋_GB2312" w:cs="仿宋_GB2312" w:eastAsia="仿宋_GB2312"/>
                <w:sz w:val="21"/>
              </w:rPr>
              <w:t>架和</w:t>
            </w:r>
            <w:r>
              <w:rPr>
                <w:rFonts w:ascii="仿宋_GB2312" w:hAnsi="仿宋_GB2312" w:cs="仿宋_GB2312" w:eastAsia="仿宋_GB2312"/>
                <w:sz w:val="21"/>
              </w:rPr>
              <w:t>24-26位</w:t>
            </w:r>
            <w:r>
              <w:rPr>
                <w:rFonts w:ascii="仿宋_GB2312" w:hAnsi="仿宋_GB2312" w:cs="仿宋_GB2312" w:eastAsia="仿宋_GB2312"/>
                <w:sz w:val="21"/>
              </w:rPr>
              <w:t>消解管</w:t>
            </w:r>
            <w:r>
              <w:rPr>
                <w:rFonts w:ascii="仿宋_GB2312" w:hAnsi="仿宋_GB2312" w:cs="仿宋_GB2312" w:eastAsia="仿宋_GB2312"/>
                <w:sz w:val="21"/>
              </w:rPr>
              <w:t>架、定位盘各</w:t>
            </w:r>
            <w:r>
              <w:rPr>
                <w:rFonts w:ascii="仿宋_GB2312" w:hAnsi="仿宋_GB2312" w:cs="仿宋_GB2312" w:eastAsia="仿宋_GB2312"/>
                <w:sz w:val="21"/>
              </w:rPr>
              <w:t>1套</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1"/>
              </w:rPr>
              <w:t>投标报价应包括货物采购、包装、运输、仓储、卸货、调试、检测及验收合格交付使用之前、保修期内保修服务与备用物件保险费、税费等所有其他有关各项的费用。合同执行期间合同总价不变，招标人无须再支付其他任何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知识产权归属和处理方式</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rPr>
              <w:t>投标人</w:t>
            </w:r>
            <w:r>
              <w:rPr>
                <w:rFonts w:ascii="仿宋_GB2312" w:hAnsi="仿宋_GB2312" w:cs="仿宋_GB2312" w:eastAsia="仿宋_GB2312"/>
              </w:rPr>
              <w:t>应保证在本项目中使用的任何产品和服务</w:t>
            </w:r>
            <w:r>
              <w:rPr>
                <w:rFonts w:ascii="仿宋_GB2312" w:hAnsi="仿宋_GB2312" w:cs="仿宋_GB2312" w:eastAsia="仿宋_GB2312"/>
              </w:rPr>
              <w:t>(包括部分使用)，不会产生因第三方提出侵犯其专利权、商标权或其它知识产权而引起的法律和经济纠纷，如因专利权、商标权或其它知识产权而引起法律和经济纠纷，由投标人承担所有相关责任。</w:t>
            </w:r>
          </w:p>
          <w:p>
            <w:pPr>
              <w:pStyle w:val="null3"/>
              <w:jc w:val="left"/>
            </w:pPr>
            <w:r>
              <w:rPr>
                <w:rFonts w:ascii="仿宋_GB2312" w:hAnsi="仿宋_GB2312" w:cs="仿宋_GB2312" w:eastAsia="仿宋_GB2312"/>
              </w:rPr>
              <w:t>2.招标人</w:t>
            </w:r>
            <w:r>
              <w:rPr>
                <w:rFonts w:ascii="仿宋_GB2312" w:hAnsi="仿宋_GB2312" w:cs="仿宋_GB2312" w:eastAsia="仿宋_GB2312"/>
              </w:rPr>
              <w:t>享有本项目实施过程中产生的知识成果及知识产权。</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安装调试要求</w:t>
            </w:r>
          </w:p>
        </w:tc>
        <w:tc>
          <w:tcPr>
            <w:tcW w:type="dxa" w:w="5814"/>
          </w:tcPr>
          <w:p>
            <w:pPr>
              <w:pStyle w:val="null3"/>
              <w:jc w:val="left"/>
            </w:pPr>
            <w:r>
              <w:rPr>
                <w:rFonts w:ascii="仿宋_GB2312" w:hAnsi="仿宋_GB2312" w:cs="仿宋_GB2312" w:eastAsia="仿宋_GB2312"/>
              </w:rPr>
              <w:t>1.安装前准备阶段</w:t>
            </w:r>
          </w:p>
          <w:p>
            <w:pPr>
              <w:pStyle w:val="null3"/>
              <w:jc w:val="left"/>
            </w:pPr>
            <w:r>
              <w:rPr>
                <w:rFonts w:ascii="仿宋_GB2312" w:hAnsi="仿宋_GB2312" w:cs="仿宋_GB2312" w:eastAsia="仿宋_GB2312"/>
              </w:rPr>
              <w:t>（</w:t>
            </w:r>
            <w:r>
              <w:rPr>
                <w:rFonts w:ascii="仿宋_GB2312" w:hAnsi="仿宋_GB2312" w:cs="仿宋_GB2312" w:eastAsia="仿宋_GB2312"/>
              </w:rPr>
              <w:t>1）在</w:t>
            </w:r>
            <w:r>
              <w:rPr>
                <w:rFonts w:ascii="仿宋_GB2312" w:hAnsi="仿宋_GB2312" w:cs="仿宋_GB2312" w:eastAsia="仿宋_GB2312"/>
              </w:rPr>
              <w:t>设施</w:t>
            </w:r>
            <w:r>
              <w:rPr>
                <w:rFonts w:ascii="仿宋_GB2312" w:hAnsi="仿宋_GB2312" w:cs="仿宋_GB2312" w:eastAsia="仿宋_GB2312"/>
              </w:rPr>
              <w:t>设备到货</w:t>
            </w:r>
            <w:r>
              <w:rPr>
                <w:rFonts w:ascii="仿宋_GB2312" w:hAnsi="仿宋_GB2312" w:cs="仿宋_GB2312" w:eastAsia="仿宋_GB2312"/>
              </w:rPr>
              <w:t>3个工作日前，售后服务团队应及时与</w:t>
            </w:r>
            <w:r>
              <w:rPr>
                <w:rFonts w:ascii="仿宋_GB2312" w:hAnsi="仿宋_GB2312" w:cs="仿宋_GB2312" w:eastAsia="仿宋_GB2312"/>
              </w:rPr>
              <w:t>招标人</w:t>
            </w:r>
            <w:r>
              <w:rPr>
                <w:rFonts w:ascii="仿宋_GB2312" w:hAnsi="仿宋_GB2312" w:cs="仿宋_GB2312" w:eastAsia="仿宋_GB2312"/>
              </w:rPr>
              <w:t>沟通，确认安装现场的具体情况，确保现场满足设备安装和正常运行的条件。</w:t>
            </w:r>
          </w:p>
          <w:p>
            <w:pPr>
              <w:pStyle w:val="null3"/>
              <w:jc w:val="left"/>
            </w:pPr>
            <w:r>
              <w:rPr>
                <w:rFonts w:ascii="仿宋_GB2312" w:hAnsi="仿宋_GB2312" w:cs="仿宋_GB2312" w:eastAsia="仿宋_GB2312"/>
              </w:rPr>
              <w:t>（</w:t>
            </w:r>
            <w:r>
              <w:rPr>
                <w:rFonts w:ascii="仿宋_GB2312" w:hAnsi="仿宋_GB2312" w:cs="仿宋_GB2312" w:eastAsia="仿宋_GB2312"/>
              </w:rPr>
              <w:t>2）协助</w:t>
            </w:r>
            <w:r>
              <w:rPr>
                <w:rFonts w:ascii="仿宋_GB2312" w:hAnsi="仿宋_GB2312" w:cs="仿宋_GB2312" w:eastAsia="仿宋_GB2312"/>
              </w:rPr>
              <w:t>招标人</w:t>
            </w:r>
            <w:r>
              <w:rPr>
                <w:rFonts w:ascii="仿宋_GB2312" w:hAnsi="仿宋_GB2312" w:cs="仿宋_GB2312" w:eastAsia="仿宋_GB2312"/>
              </w:rPr>
              <w:t>制定详细的安装现场准备清单及时间计划，指导</w:t>
            </w:r>
            <w:r>
              <w:rPr>
                <w:rFonts w:ascii="仿宋_GB2312" w:hAnsi="仿宋_GB2312" w:cs="仿宋_GB2312" w:eastAsia="仿宋_GB2312"/>
              </w:rPr>
              <w:t>招标人</w:t>
            </w:r>
            <w:r>
              <w:rPr>
                <w:rFonts w:ascii="仿宋_GB2312" w:hAnsi="仿宋_GB2312" w:cs="仿宋_GB2312" w:eastAsia="仿宋_GB2312"/>
              </w:rPr>
              <w:t>完成现场环境的整改和完善。</w:t>
            </w:r>
          </w:p>
          <w:p>
            <w:pPr>
              <w:pStyle w:val="null3"/>
              <w:jc w:val="left"/>
            </w:pPr>
            <w:r>
              <w:rPr>
                <w:rFonts w:ascii="仿宋_GB2312" w:hAnsi="仿宋_GB2312" w:cs="仿宋_GB2312" w:eastAsia="仿宋_GB2312"/>
              </w:rPr>
              <w:t>（</w:t>
            </w:r>
            <w:r>
              <w:rPr>
                <w:rFonts w:ascii="仿宋_GB2312" w:hAnsi="仿宋_GB2312" w:cs="仿宋_GB2312" w:eastAsia="仿宋_GB2312"/>
              </w:rPr>
              <w:t>3）针对特殊设备或环境，提供相关技术指导和预防措施建议，防止安装过程中出现环境适应性问题。</w:t>
            </w:r>
          </w:p>
          <w:p>
            <w:pPr>
              <w:pStyle w:val="null3"/>
              <w:jc w:val="left"/>
            </w:pPr>
            <w:r>
              <w:rPr>
                <w:rFonts w:ascii="仿宋_GB2312" w:hAnsi="仿宋_GB2312" w:cs="仿宋_GB2312" w:eastAsia="仿宋_GB2312"/>
              </w:rPr>
              <w:t>2.安装实施阶段</w:t>
            </w:r>
          </w:p>
          <w:p>
            <w:pPr>
              <w:pStyle w:val="null3"/>
              <w:jc w:val="left"/>
            </w:pPr>
            <w:r>
              <w:rPr>
                <w:rFonts w:ascii="仿宋_GB2312" w:hAnsi="仿宋_GB2312" w:cs="仿宋_GB2312" w:eastAsia="仿宋_GB2312"/>
              </w:rPr>
              <w:t>（</w:t>
            </w:r>
            <w:r>
              <w:rPr>
                <w:rFonts w:ascii="仿宋_GB2312" w:hAnsi="仿宋_GB2312" w:cs="仿宋_GB2312" w:eastAsia="仿宋_GB2312"/>
              </w:rPr>
              <w:t>1）组织由不少于2名专业且经验丰富的安装工程师组成的团队，根据</w:t>
            </w:r>
            <w:r>
              <w:rPr>
                <w:rFonts w:ascii="仿宋_GB2312" w:hAnsi="仿宋_GB2312" w:cs="仿宋_GB2312" w:eastAsia="仿宋_GB2312"/>
              </w:rPr>
              <w:t>设施</w:t>
            </w:r>
            <w:r>
              <w:rPr>
                <w:rFonts w:ascii="仿宋_GB2312" w:hAnsi="仿宋_GB2312" w:cs="仿宋_GB2312" w:eastAsia="仿宋_GB2312"/>
              </w:rPr>
              <w:t>设备特点和安装规范，开展科学有序的安装工作。</w:t>
            </w:r>
          </w:p>
          <w:p>
            <w:pPr>
              <w:pStyle w:val="null3"/>
              <w:jc w:val="left"/>
            </w:pPr>
            <w:r>
              <w:rPr>
                <w:rFonts w:ascii="仿宋_GB2312" w:hAnsi="仿宋_GB2312" w:cs="仿宋_GB2312" w:eastAsia="仿宋_GB2312"/>
              </w:rPr>
              <w:t>（</w:t>
            </w:r>
            <w:r>
              <w:rPr>
                <w:rFonts w:ascii="仿宋_GB2312" w:hAnsi="仿宋_GB2312" w:cs="仿宋_GB2312" w:eastAsia="仿宋_GB2312"/>
              </w:rPr>
              <w:t>2）按照设备制造商提供的安装手册和技术标准，进行设备拆箱、定位固定等关键步骤，确保安装过程符合安全规范和质量要求。</w:t>
            </w:r>
          </w:p>
          <w:p>
            <w:pPr>
              <w:pStyle w:val="null3"/>
              <w:jc w:val="left"/>
            </w:pPr>
            <w:r>
              <w:rPr>
                <w:rFonts w:ascii="仿宋_GB2312" w:hAnsi="仿宋_GB2312" w:cs="仿宋_GB2312" w:eastAsia="仿宋_GB2312"/>
              </w:rPr>
              <w:t>（</w:t>
            </w:r>
            <w:r>
              <w:rPr>
                <w:rFonts w:ascii="仿宋_GB2312" w:hAnsi="仿宋_GB2312" w:cs="仿宋_GB2312" w:eastAsia="仿宋_GB2312"/>
              </w:rPr>
              <w:t>3）实时记录安装过程中的关键数据和异常情况，及时与</w:t>
            </w:r>
            <w:r>
              <w:rPr>
                <w:rFonts w:ascii="仿宋_GB2312" w:hAnsi="仿宋_GB2312" w:cs="仿宋_GB2312" w:eastAsia="仿宋_GB2312"/>
              </w:rPr>
              <w:t>招标人</w:t>
            </w:r>
            <w:r>
              <w:rPr>
                <w:rFonts w:ascii="仿宋_GB2312" w:hAnsi="仿宋_GB2312" w:cs="仿宋_GB2312" w:eastAsia="仿宋_GB2312"/>
              </w:rPr>
              <w:t>沟通处理。</w:t>
            </w:r>
          </w:p>
          <w:p>
            <w:pPr>
              <w:pStyle w:val="null3"/>
              <w:jc w:val="left"/>
            </w:pPr>
            <w:r>
              <w:rPr>
                <w:rFonts w:ascii="仿宋_GB2312" w:hAnsi="仿宋_GB2312" w:cs="仿宋_GB2312" w:eastAsia="仿宋_GB2312"/>
              </w:rPr>
              <w:t>（</w:t>
            </w:r>
            <w:r>
              <w:rPr>
                <w:rFonts w:ascii="仿宋_GB2312" w:hAnsi="仿宋_GB2312" w:cs="仿宋_GB2312" w:eastAsia="仿宋_GB2312"/>
              </w:rPr>
              <w:t>4）制定安装现场安全管理措施，保障人员和设备安全。</w:t>
            </w:r>
          </w:p>
          <w:p>
            <w:pPr>
              <w:pStyle w:val="null3"/>
              <w:jc w:val="left"/>
            </w:pPr>
            <w:r>
              <w:rPr>
                <w:rFonts w:ascii="仿宋_GB2312" w:hAnsi="仿宋_GB2312" w:cs="仿宋_GB2312" w:eastAsia="仿宋_GB2312"/>
              </w:rPr>
              <w:t>3.调试阶段</w:t>
            </w:r>
          </w:p>
          <w:p>
            <w:pPr>
              <w:pStyle w:val="null3"/>
              <w:jc w:val="left"/>
            </w:pPr>
            <w:r>
              <w:rPr>
                <w:rFonts w:ascii="仿宋_GB2312" w:hAnsi="仿宋_GB2312" w:cs="仿宋_GB2312" w:eastAsia="仿宋_GB2312"/>
              </w:rPr>
              <w:t>（</w:t>
            </w:r>
            <w:r>
              <w:rPr>
                <w:rFonts w:ascii="仿宋_GB2312" w:hAnsi="仿宋_GB2312" w:cs="仿宋_GB2312" w:eastAsia="仿宋_GB2312"/>
              </w:rPr>
              <w:t>1）安装完成后，开展设备的全面调试，确保设备达到</w:t>
            </w:r>
            <w:r>
              <w:rPr>
                <w:rFonts w:ascii="仿宋_GB2312" w:hAnsi="仿宋_GB2312" w:cs="仿宋_GB2312" w:eastAsia="仿宋_GB2312"/>
              </w:rPr>
              <w:t>采购</w:t>
            </w:r>
            <w:r>
              <w:rPr>
                <w:rFonts w:ascii="仿宋_GB2312" w:hAnsi="仿宋_GB2312" w:cs="仿宋_GB2312" w:eastAsia="仿宋_GB2312"/>
              </w:rPr>
              <w:t>技术指标及合同要求。</w:t>
            </w:r>
          </w:p>
          <w:p>
            <w:pPr>
              <w:pStyle w:val="null3"/>
              <w:jc w:val="left"/>
            </w:pPr>
            <w:r>
              <w:rPr>
                <w:rFonts w:ascii="仿宋_GB2312" w:hAnsi="仿宋_GB2312" w:cs="仿宋_GB2312" w:eastAsia="仿宋_GB2312"/>
              </w:rPr>
              <w:t>（</w:t>
            </w:r>
            <w:r>
              <w:rPr>
                <w:rFonts w:ascii="仿宋_GB2312" w:hAnsi="仿宋_GB2312" w:cs="仿宋_GB2312" w:eastAsia="仿宋_GB2312"/>
              </w:rPr>
              <w:t>2）协助</w:t>
            </w:r>
            <w:r>
              <w:rPr>
                <w:rFonts w:ascii="仿宋_GB2312" w:hAnsi="仿宋_GB2312" w:cs="仿宋_GB2312" w:eastAsia="仿宋_GB2312"/>
              </w:rPr>
              <w:t>招标人</w:t>
            </w:r>
            <w:r>
              <w:rPr>
                <w:rFonts w:ascii="仿宋_GB2312" w:hAnsi="仿宋_GB2312" w:cs="仿宋_GB2312" w:eastAsia="仿宋_GB2312"/>
              </w:rPr>
              <w:t>进行设备运行的现场演示，解答</w:t>
            </w:r>
            <w:r>
              <w:rPr>
                <w:rFonts w:ascii="仿宋_GB2312" w:hAnsi="仿宋_GB2312" w:cs="仿宋_GB2312" w:eastAsia="仿宋_GB2312"/>
              </w:rPr>
              <w:t>招标人</w:t>
            </w:r>
            <w:r>
              <w:rPr>
                <w:rFonts w:ascii="仿宋_GB2312" w:hAnsi="仿宋_GB2312" w:cs="仿宋_GB2312" w:eastAsia="仿宋_GB2312"/>
              </w:rPr>
              <w:t>员及操作人员的技术疑问。</w:t>
            </w:r>
          </w:p>
          <w:p>
            <w:pPr>
              <w:pStyle w:val="null3"/>
              <w:jc w:val="left"/>
            </w:pPr>
            <w:r>
              <w:rPr>
                <w:rFonts w:ascii="仿宋_GB2312" w:hAnsi="仿宋_GB2312" w:cs="仿宋_GB2312" w:eastAsia="仿宋_GB2312"/>
              </w:rPr>
              <w:t>4.服务保障及持续支持</w:t>
            </w:r>
          </w:p>
          <w:p>
            <w:pPr>
              <w:pStyle w:val="null3"/>
              <w:jc w:val="left"/>
            </w:pPr>
            <w:r>
              <w:rPr>
                <w:rFonts w:ascii="仿宋_GB2312" w:hAnsi="仿宋_GB2312" w:cs="仿宋_GB2312" w:eastAsia="仿宋_GB2312"/>
              </w:rPr>
              <w:t>（</w:t>
            </w:r>
            <w:r>
              <w:rPr>
                <w:rFonts w:ascii="仿宋_GB2312" w:hAnsi="仿宋_GB2312" w:cs="仿宋_GB2312" w:eastAsia="仿宋_GB2312"/>
              </w:rPr>
              <w:t>1）安装调试完成后，售后服务团队应保持与</w:t>
            </w:r>
            <w:r>
              <w:rPr>
                <w:rFonts w:ascii="仿宋_GB2312" w:hAnsi="仿宋_GB2312" w:cs="仿宋_GB2312" w:eastAsia="仿宋_GB2312"/>
              </w:rPr>
              <w:t>招标人</w:t>
            </w:r>
            <w:r>
              <w:rPr>
                <w:rFonts w:ascii="仿宋_GB2312" w:hAnsi="仿宋_GB2312" w:cs="仿宋_GB2312" w:eastAsia="仿宋_GB2312"/>
              </w:rPr>
              <w:t>的沟通渠道畅通，提供后续技术支持和咨询服务。</w:t>
            </w:r>
          </w:p>
          <w:p>
            <w:pPr>
              <w:pStyle w:val="null3"/>
              <w:jc w:val="left"/>
            </w:pPr>
            <w:r>
              <w:rPr>
                <w:rFonts w:ascii="仿宋_GB2312" w:hAnsi="仿宋_GB2312" w:cs="仿宋_GB2312" w:eastAsia="仿宋_GB2312"/>
              </w:rPr>
              <w:t>（</w:t>
            </w:r>
            <w:r>
              <w:rPr>
                <w:rFonts w:ascii="仿宋_GB2312" w:hAnsi="仿宋_GB2312" w:cs="仿宋_GB2312" w:eastAsia="仿宋_GB2312"/>
              </w:rPr>
              <w:t>2）建立安装调试档案，包含安装方案、调试记录、验收文件及相关技术资料，方便日后维护和质量追溯。</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3）对安装调试过程中发现的问题，制定整改方案，并跟踪落实，确保问题彻底解决。</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培训要求</w:t>
            </w:r>
          </w:p>
        </w:tc>
        <w:tc>
          <w:tcPr>
            <w:tcW w:type="dxa" w:w="5814"/>
          </w:tcPr>
          <w:p>
            <w:pPr>
              <w:pStyle w:val="null3"/>
              <w:jc w:val="left"/>
            </w:pPr>
            <w:r>
              <w:rPr>
                <w:rFonts w:ascii="仿宋_GB2312" w:hAnsi="仿宋_GB2312" w:cs="仿宋_GB2312" w:eastAsia="仿宋_GB2312"/>
              </w:rPr>
              <w:t>1.培训对象</w:t>
            </w:r>
          </w:p>
          <w:p>
            <w:pPr>
              <w:pStyle w:val="null3"/>
              <w:jc w:val="left"/>
            </w:pPr>
            <w:r>
              <w:rPr>
                <w:rFonts w:ascii="仿宋_GB2312" w:hAnsi="仿宋_GB2312" w:cs="仿宋_GB2312" w:eastAsia="仿宋_GB2312"/>
              </w:rPr>
              <w:t>（</w:t>
            </w:r>
            <w:r>
              <w:rPr>
                <w:rFonts w:ascii="仿宋_GB2312" w:hAnsi="仿宋_GB2312" w:cs="仿宋_GB2312" w:eastAsia="仿宋_GB2312"/>
              </w:rPr>
              <w:t>1）培训对象包括但不限于：使用人员、管理人员；</w:t>
            </w:r>
          </w:p>
          <w:p>
            <w:pPr>
              <w:pStyle w:val="null3"/>
              <w:jc w:val="left"/>
            </w:pPr>
            <w:r>
              <w:rPr>
                <w:rFonts w:ascii="仿宋_GB2312" w:hAnsi="仿宋_GB2312" w:cs="仿宋_GB2312" w:eastAsia="仿宋_GB2312"/>
              </w:rPr>
              <w:t>（</w:t>
            </w:r>
            <w:r>
              <w:rPr>
                <w:rFonts w:ascii="仿宋_GB2312" w:hAnsi="仿宋_GB2312" w:cs="仿宋_GB2312" w:eastAsia="仿宋_GB2312"/>
              </w:rPr>
              <w:t>2）培训对象数量以满足采购单位实际使用及管理需求为准，不得限制参加人数。</w:t>
            </w:r>
          </w:p>
          <w:p>
            <w:pPr>
              <w:pStyle w:val="null3"/>
              <w:jc w:val="left"/>
            </w:pPr>
            <w:r>
              <w:rPr>
                <w:rFonts w:ascii="仿宋_GB2312" w:hAnsi="仿宋_GB2312" w:cs="仿宋_GB2312" w:eastAsia="仿宋_GB2312"/>
              </w:rPr>
              <w:t>2.培训内容</w:t>
            </w:r>
          </w:p>
          <w:p>
            <w:pPr>
              <w:pStyle w:val="null3"/>
              <w:jc w:val="left"/>
            </w:pPr>
            <w:r>
              <w:rPr>
                <w:rFonts w:ascii="仿宋_GB2312" w:hAnsi="仿宋_GB2312" w:cs="仿宋_GB2312" w:eastAsia="仿宋_GB2312"/>
              </w:rPr>
              <w:t>培训内容应具有针对性和实用性，至少应包含以下内容，必要时可结合实际增加专项培训模块：</w:t>
            </w:r>
          </w:p>
          <w:p>
            <w:pPr>
              <w:pStyle w:val="null3"/>
              <w:jc w:val="left"/>
            </w:pPr>
            <w:r>
              <w:rPr>
                <w:rFonts w:ascii="仿宋_GB2312" w:hAnsi="仿宋_GB2312" w:cs="仿宋_GB2312" w:eastAsia="仿宋_GB2312"/>
              </w:rPr>
              <w:t>（</w:t>
            </w:r>
            <w:r>
              <w:rPr>
                <w:rFonts w:ascii="仿宋_GB2312" w:hAnsi="仿宋_GB2312" w:cs="仿宋_GB2312" w:eastAsia="仿宋_GB2312"/>
              </w:rPr>
              <w:t>1）设备操作方法及操作注意事项；</w:t>
            </w:r>
          </w:p>
          <w:p>
            <w:pPr>
              <w:pStyle w:val="null3"/>
              <w:jc w:val="left"/>
            </w:pPr>
            <w:r>
              <w:rPr>
                <w:rFonts w:ascii="仿宋_GB2312" w:hAnsi="仿宋_GB2312" w:cs="仿宋_GB2312" w:eastAsia="仿宋_GB2312"/>
              </w:rPr>
              <w:t>（</w:t>
            </w:r>
            <w:r>
              <w:rPr>
                <w:rFonts w:ascii="仿宋_GB2312" w:hAnsi="仿宋_GB2312" w:cs="仿宋_GB2312" w:eastAsia="仿宋_GB2312"/>
              </w:rPr>
              <w:t>2）常见故障及应急处理方法；</w:t>
            </w:r>
          </w:p>
          <w:p>
            <w:pPr>
              <w:pStyle w:val="null3"/>
              <w:jc w:val="left"/>
            </w:pPr>
            <w:r>
              <w:rPr>
                <w:rFonts w:ascii="仿宋_GB2312" w:hAnsi="仿宋_GB2312" w:cs="仿宋_GB2312" w:eastAsia="仿宋_GB2312"/>
              </w:rPr>
              <w:t>（</w:t>
            </w:r>
            <w:r>
              <w:rPr>
                <w:rFonts w:ascii="仿宋_GB2312" w:hAnsi="仿宋_GB2312" w:cs="仿宋_GB2312" w:eastAsia="仿宋_GB2312"/>
              </w:rPr>
              <w:t>3）日常维护与保养方法。</w:t>
            </w:r>
          </w:p>
          <w:p>
            <w:pPr>
              <w:pStyle w:val="null3"/>
              <w:jc w:val="left"/>
            </w:pPr>
            <w:r>
              <w:rPr>
                <w:rFonts w:ascii="仿宋_GB2312" w:hAnsi="仿宋_GB2312" w:cs="仿宋_GB2312" w:eastAsia="仿宋_GB2312"/>
              </w:rPr>
              <w:t>3.培训方式与安排</w:t>
            </w:r>
          </w:p>
          <w:p>
            <w:pPr>
              <w:pStyle w:val="null3"/>
              <w:jc w:val="left"/>
            </w:pPr>
            <w:r>
              <w:rPr>
                <w:rFonts w:ascii="仿宋_GB2312" w:hAnsi="仿宋_GB2312" w:cs="仿宋_GB2312" w:eastAsia="仿宋_GB2312"/>
              </w:rPr>
              <w:t>（</w:t>
            </w:r>
            <w:r>
              <w:rPr>
                <w:rFonts w:ascii="仿宋_GB2312" w:hAnsi="仿宋_GB2312" w:cs="仿宋_GB2312" w:eastAsia="仿宋_GB2312"/>
              </w:rPr>
              <w:t>1）培训采用现场培训，培训地点应设在设备安装现场或</w:t>
            </w:r>
            <w:r>
              <w:rPr>
                <w:rFonts w:ascii="仿宋_GB2312" w:hAnsi="仿宋_GB2312" w:cs="仿宋_GB2312" w:eastAsia="仿宋_GB2312"/>
              </w:rPr>
              <w:t>招标人</w:t>
            </w:r>
            <w:r>
              <w:rPr>
                <w:rFonts w:ascii="仿宋_GB2312" w:hAnsi="仿宋_GB2312" w:cs="仿宋_GB2312" w:eastAsia="仿宋_GB2312"/>
              </w:rPr>
              <w:t>指定区域；</w:t>
            </w:r>
          </w:p>
          <w:p>
            <w:pPr>
              <w:pStyle w:val="null3"/>
              <w:jc w:val="left"/>
            </w:pPr>
            <w:r>
              <w:rPr>
                <w:rFonts w:ascii="仿宋_GB2312" w:hAnsi="仿宋_GB2312" w:cs="仿宋_GB2312" w:eastAsia="仿宋_GB2312"/>
              </w:rPr>
              <w:t>（</w:t>
            </w:r>
            <w:r>
              <w:rPr>
                <w:rFonts w:ascii="仿宋_GB2312" w:hAnsi="仿宋_GB2312" w:cs="仿宋_GB2312" w:eastAsia="仿宋_GB2312"/>
              </w:rPr>
              <w:t>2）培训应采用理论讲解+实操演示+现场答疑的方式进行；</w:t>
            </w:r>
          </w:p>
          <w:p>
            <w:pPr>
              <w:pStyle w:val="null3"/>
              <w:jc w:val="left"/>
            </w:pPr>
            <w:r>
              <w:rPr>
                <w:rFonts w:ascii="仿宋_GB2312" w:hAnsi="仿宋_GB2312" w:cs="仿宋_GB2312" w:eastAsia="仿宋_GB2312"/>
              </w:rPr>
              <w:t>（</w:t>
            </w:r>
            <w:r>
              <w:rPr>
                <w:rFonts w:ascii="仿宋_GB2312" w:hAnsi="仿宋_GB2312" w:cs="仿宋_GB2312" w:eastAsia="仿宋_GB2312"/>
              </w:rPr>
              <w:t>3）提供培训签到表、培训记录表、照片记录和满意度反馈表，作为验收依据。</w:t>
            </w:r>
          </w:p>
          <w:p>
            <w:pPr>
              <w:pStyle w:val="null3"/>
              <w:jc w:val="left"/>
            </w:pPr>
            <w:r>
              <w:rPr>
                <w:rFonts w:ascii="仿宋_GB2312" w:hAnsi="仿宋_GB2312" w:cs="仿宋_GB2312" w:eastAsia="仿宋_GB2312"/>
              </w:rPr>
              <w:t>4.培训资料要求</w:t>
            </w:r>
          </w:p>
          <w:p>
            <w:pPr>
              <w:pStyle w:val="null3"/>
              <w:jc w:val="left"/>
            </w:pPr>
            <w:r>
              <w:rPr>
                <w:rFonts w:ascii="仿宋_GB2312" w:hAnsi="仿宋_GB2312" w:cs="仿宋_GB2312" w:eastAsia="仿宋_GB2312"/>
              </w:rPr>
              <w:t>提供完整、系统、结构化的培训资料包，包含但不限于：《设备操作指南》（纸质</w:t>
            </w:r>
            <w:r>
              <w:rPr>
                <w:rFonts w:ascii="仿宋_GB2312" w:hAnsi="仿宋_GB2312" w:cs="仿宋_GB2312" w:eastAsia="仿宋_GB2312"/>
              </w:rPr>
              <w:t>+电子版）、《日常维护手册》（纸质+电子版）、《常见故障快速处理手册》、《安装示意图、结构图、模块图》、培训PPT课件与授课视频文件；</w:t>
            </w:r>
          </w:p>
          <w:p>
            <w:pPr>
              <w:pStyle w:val="null3"/>
              <w:jc w:val="left"/>
            </w:pPr>
            <w:r>
              <w:rPr>
                <w:rFonts w:ascii="仿宋_GB2312" w:hAnsi="仿宋_GB2312" w:cs="仿宋_GB2312" w:eastAsia="仿宋_GB2312"/>
              </w:rPr>
              <w:t>5.持续培训与回访</w:t>
            </w:r>
          </w:p>
          <w:p>
            <w:pPr>
              <w:pStyle w:val="null3"/>
              <w:jc w:val="left"/>
            </w:pPr>
            <w:r>
              <w:rPr>
                <w:rFonts w:ascii="仿宋_GB2312" w:hAnsi="仿宋_GB2312" w:cs="仿宋_GB2312" w:eastAsia="仿宋_GB2312"/>
              </w:rPr>
              <w:t>（</w:t>
            </w:r>
            <w:r>
              <w:rPr>
                <w:rFonts w:ascii="仿宋_GB2312" w:hAnsi="仿宋_GB2312" w:cs="仿宋_GB2312" w:eastAsia="仿宋_GB2312"/>
              </w:rPr>
              <w:t>1）应定期进行回访，对操作难点、实际使用中遇到的问题进行集中答疑；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2）若</w:t>
            </w:r>
            <w:r>
              <w:rPr>
                <w:rFonts w:ascii="仿宋_GB2312" w:hAnsi="仿宋_GB2312" w:cs="仿宋_GB2312" w:eastAsia="仿宋_GB2312"/>
                <w:sz w:val="21"/>
              </w:rPr>
              <w:t>招标人</w:t>
            </w:r>
            <w:r>
              <w:rPr>
                <w:rFonts w:ascii="仿宋_GB2312" w:hAnsi="仿宋_GB2312" w:cs="仿宋_GB2312" w:eastAsia="仿宋_GB2312"/>
                <w:sz w:val="21"/>
              </w:rPr>
              <w:t>更换操作人员或扩大使用范围，</w:t>
            </w:r>
            <w:r>
              <w:rPr>
                <w:rFonts w:ascii="仿宋_GB2312" w:hAnsi="仿宋_GB2312" w:cs="仿宋_GB2312" w:eastAsia="仿宋_GB2312"/>
                <w:sz w:val="21"/>
              </w:rPr>
              <w:t>投标人</w:t>
            </w:r>
            <w:r>
              <w:rPr>
                <w:rFonts w:ascii="仿宋_GB2312" w:hAnsi="仿宋_GB2312" w:cs="仿宋_GB2312" w:eastAsia="仿宋_GB2312"/>
                <w:sz w:val="21"/>
              </w:rPr>
              <w:t>应在接到书面通知后</w:t>
            </w:r>
            <w:r>
              <w:rPr>
                <w:rFonts w:ascii="仿宋_GB2312" w:hAnsi="仿宋_GB2312" w:cs="仿宋_GB2312" w:eastAsia="仿宋_GB2312"/>
                <w:sz w:val="21"/>
              </w:rPr>
              <w:t>7日内提供补充培训服务。</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jc w:val="left"/>
            </w:pPr>
            <w:r>
              <w:rPr>
                <w:rFonts w:ascii="仿宋_GB2312" w:hAnsi="仿宋_GB2312" w:cs="仿宋_GB2312" w:eastAsia="仿宋_GB2312"/>
              </w:rPr>
              <w:t>1投标人</w:t>
            </w:r>
            <w:r>
              <w:rPr>
                <w:rFonts w:ascii="仿宋_GB2312" w:hAnsi="仿宋_GB2312" w:cs="仿宋_GB2312" w:eastAsia="仿宋_GB2312"/>
              </w:rPr>
              <w:t>提供的货物必须为正规渠道全新正品。</w:t>
            </w:r>
          </w:p>
          <w:p>
            <w:pPr>
              <w:pStyle w:val="null3"/>
              <w:jc w:val="left"/>
            </w:pPr>
            <w:r>
              <w:rPr>
                <w:rFonts w:ascii="仿宋_GB2312" w:hAnsi="仿宋_GB2312" w:cs="仿宋_GB2312" w:eastAsia="仿宋_GB2312"/>
                <w:sz w:val="21"/>
              </w:rPr>
              <w:t>2.在合同履约期间，</w:t>
            </w:r>
            <w:r>
              <w:rPr>
                <w:rFonts w:ascii="仿宋_GB2312" w:hAnsi="仿宋_GB2312" w:cs="仿宋_GB2312" w:eastAsia="仿宋_GB2312"/>
                <w:sz w:val="21"/>
              </w:rPr>
              <w:t>投标人</w:t>
            </w:r>
            <w:r>
              <w:rPr>
                <w:rFonts w:ascii="仿宋_GB2312" w:hAnsi="仿宋_GB2312" w:cs="仿宋_GB2312" w:eastAsia="仿宋_GB2312"/>
                <w:sz w:val="21"/>
              </w:rPr>
              <w:t>和</w:t>
            </w:r>
            <w:r>
              <w:rPr>
                <w:rFonts w:ascii="仿宋_GB2312" w:hAnsi="仿宋_GB2312" w:cs="仿宋_GB2312" w:eastAsia="仿宋_GB2312"/>
                <w:sz w:val="21"/>
              </w:rPr>
              <w:t>招标人</w:t>
            </w:r>
            <w:r>
              <w:rPr>
                <w:rFonts w:ascii="仿宋_GB2312" w:hAnsi="仿宋_GB2312" w:cs="仿宋_GB2312" w:eastAsia="仿宋_GB2312"/>
                <w:sz w:val="21"/>
              </w:rPr>
              <w:t>因货物的质量问题发生争议，由质量技术监督部门或其指定的质量鉴定机构进行质量鉴定。货物符合标准的，鉴定费由招标人</w:t>
            </w:r>
            <w:r>
              <w:rPr>
                <w:rFonts w:ascii="仿宋_GB2312" w:hAnsi="仿宋_GB2312" w:cs="仿宋_GB2312" w:eastAsia="仿宋_GB2312"/>
                <w:sz w:val="21"/>
              </w:rPr>
              <w:t>承担；货物不符合质量标准的，鉴定费由</w:t>
            </w:r>
            <w:r>
              <w:rPr>
                <w:rFonts w:ascii="仿宋_GB2312" w:hAnsi="仿宋_GB2312" w:cs="仿宋_GB2312" w:eastAsia="仿宋_GB2312"/>
                <w:sz w:val="21"/>
              </w:rPr>
              <w:t>供应商</w:t>
            </w:r>
            <w:r>
              <w:rPr>
                <w:rFonts w:ascii="仿宋_GB2312" w:hAnsi="仿宋_GB2312" w:cs="仿宋_GB2312" w:eastAsia="仿宋_GB2312"/>
                <w:sz w:val="21"/>
              </w:rPr>
              <w:t>承担。</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应急响应要求</w:t>
            </w:r>
          </w:p>
        </w:tc>
        <w:tc>
          <w:tcPr>
            <w:tcW w:type="dxa" w:w="5814"/>
          </w:tcPr>
          <w:p>
            <w:pPr>
              <w:pStyle w:val="null3"/>
              <w:jc w:val="left"/>
            </w:pPr>
            <w:r>
              <w:rPr>
                <w:rFonts w:ascii="仿宋_GB2312" w:hAnsi="仿宋_GB2312" w:cs="仿宋_GB2312" w:eastAsia="仿宋_GB2312"/>
              </w:rPr>
              <w:t>1.应建立“三级响应机制”，涵盖一般性故障、严重故障和重大紧急事件的分级应对模式，配套不同响应级别的预案措施、人员资源和决策机制。每类事件需明确相应的技术处置流程、联络机制和责任人，做到分类响应、快速联动。</w:t>
            </w:r>
          </w:p>
          <w:p>
            <w:pPr>
              <w:pStyle w:val="null3"/>
              <w:jc w:val="left"/>
            </w:pPr>
            <w:r>
              <w:rPr>
                <w:rFonts w:ascii="仿宋_GB2312" w:hAnsi="仿宋_GB2312" w:cs="仿宋_GB2312" w:eastAsia="仿宋_GB2312"/>
              </w:rPr>
              <w:t>2.需提供7×24小时全天候售后服务热线，并设立固定技术服务联络人和备选联系人，确保</w:t>
            </w:r>
            <w:r>
              <w:rPr>
                <w:rFonts w:ascii="仿宋_GB2312" w:hAnsi="仿宋_GB2312" w:cs="仿宋_GB2312" w:eastAsia="仿宋_GB2312"/>
              </w:rPr>
              <w:t>招标人</w:t>
            </w:r>
            <w:r>
              <w:rPr>
                <w:rFonts w:ascii="仿宋_GB2312" w:hAnsi="仿宋_GB2312" w:cs="仿宋_GB2312" w:eastAsia="仿宋_GB2312"/>
              </w:rPr>
              <w:t>任意时间均可快速取得技术支持。服务联络人须具备设备服务经验，并熟悉本项目相关产品性能。</w:t>
            </w:r>
          </w:p>
          <w:p>
            <w:pPr>
              <w:pStyle w:val="null3"/>
              <w:jc w:val="left"/>
            </w:pPr>
            <w:r>
              <w:rPr>
                <w:rFonts w:ascii="仿宋_GB2312" w:hAnsi="仿宋_GB2312" w:cs="仿宋_GB2312" w:eastAsia="仿宋_GB2312"/>
              </w:rPr>
              <w:t>3.接到</w:t>
            </w:r>
            <w:r>
              <w:rPr>
                <w:rFonts w:ascii="仿宋_GB2312" w:hAnsi="仿宋_GB2312" w:cs="仿宋_GB2312" w:eastAsia="仿宋_GB2312"/>
              </w:rPr>
              <w:t>招标人</w:t>
            </w:r>
            <w:r>
              <w:rPr>
                <w:rFonts w:ascii="仿宋_GB2312" w:hAnsi="仿宋_GB2312" w:cs="仿宋_GB2312" w:eastAsia="仿宋_GB2312"/>
              </w:rPr>
              <w:t>关于突发故障或系统异常的通知后，</w:t>
            </w:r>
            <w:r>
              <w:rPr>
                <w:rFonts w:ascii="仿宋_GB2312" w:hAnsi="仿宋_GB2312" w:cs="仿宋_GB2312" w:eastAsia="仿宋_GB2312"/>
              </w:rPr>
              <w:t>30分钟内完成技术响应并反馈处理预案，在12小时内派遣技术人员到达现场并开展初步排查与修复工作。如48小时内无法排除故障，须提供备用设备，保障</w:t>
            </w:r>
            <w:r>
              <w:rPr>
                <w:rFonts w:ascii="仿宋_GB2312" w:hAnsi="仿宋_GB2312" w:cs="仿宋_GB2312" w:eastAsia="仿宋_GB2312"/>
              </w:rPr>
              <w:t>招标人</w:t>
            </w:r>
            <w:r>
              <w:rPr>
                <w:rFonts w:ascii="仿宋_GB2312" w:hAnsi="仿宋_GB2312" w:cs="仿宋_GB2312" w:eastAsia="仿宋_GB2312"/>
              </w:rPr>
              <w:t>使用。</w:t>
            </w:r>
          </w:p>
          <w:p>
            <w:pPr>
              <w:pStyle w:val="null3"/>
              <w:jc w:val="left"/>
            </w:pPr>
            <w:r>
              <w:rPr>
                <w:rFonts w:ascii="仿宋_GB2312" w:hAnsi="仿宋_GB2312" w:cs="仿宋_GB2312" w:eastAsia="仿宋_GB2312"/>
              </w:rPr>
              <w:t>4.应急预案机制应覆盖但不限于以下突发事件类型：</w:t>
            </w:r>
          </w:p>
          <w:p>
            <w:pPr>
              <w:pStyle w:val="null3"/>
              <w:jc w:val="left"/>
            </w:pPr>
            <w:r>
              <w:rPr>
                <w:rFonts w:ascii="仿宋_GB2312" w:hAnsi="仿宋_GB2312" w:cs="仿宋_GB2312" w:eastAsia="仿宋_GB2312"/>
              </w:rPr>
              <w:t>（</w:t>
            </w:r>
            <w:r>
              <w:rPr>
                <w:rFonts w:ascii="仿宋_GB2312" w:hAnsi="仿宋_GB2312" w:cs="仿宋_GB2312" w:eastAsia="仿宋_GB2312"/>
              </w:rPr>
              <w:t>1）关键部件损坏；</w:t>
            </w:r>
          </w:p>
          <w:p>
            <w:pPr>
              <w:pStyle w:val="null3"/>
              <w:jc w:val="left"/>
            </w:pPr>
            <w:r>
              <w:rPr>
                <w:rFonts w:ascii="仿宋_GB2312" w:hAnsi="仿宋_GB2312" w:cs="仿宋_GB2312" w:eastAsia="仿宋_GB2312"/>
              </w:rPr>
              <w:t>（</w:t>
            </w:r>
            <w:r>
              <w:rPr>
                <w:rFonts w:ascii="仿宋_GB2312" w:hAnsi="仿宋_GB2312" w:cs="仿宋_GB2312" w:eastAsia="仿宋_GB2312"/>
              </w:rPr>
              <w:t>2）遇突发事件需现场设备重新部署；</w:t>
            </w:r>
          </w:p>
          <w:p>
            <w:pPr>
              <w:pStyle w:val="null3"/>
              <w:jc w:val="left"/>
            </w:pPr>
            <w:r>
              <w:rPr>
                <w:rFonts w:ascii="仿宋_GB2312" w:hAnsi="仿宋_GB2312" w:cs="仿宋_GB2312" w:eastAsia="仿宋_GB2312"/>
              </w:rPr>
              <w:t>（</w:t>
            </w:r>
            <w:r>
              <w:rPr>
                <w:rFonts w:ascii="仿宋_GB2312" w:hAnsi="仿宋_GB2312" w:cs="仿宋_GB2312" w:eastAsia="仿宋_GB2312"/>
              </w:rPr>
              <w:t>3）灾害天气或不可抗力导致设备功能瘫痪。</w:t>
            </w:r>
          </w:p>
          <w:p>
            <w:pPr>
              <w:pStyle w:val="null3"/>
              <w:jc w:val="left"/>
            </w:pPr>
            <w:r>
              <w:rPr>
                <w:rFonts w:ascii="仿宋_GB2312" w:hAnsi="仿宋_GB2312" w:cs="仿宋_GB2312" w:eastAsia="仿宋_GB2312"/>
              </w:rPr>
              <w:t>对于上述情形，</w:t>
            </w:r>
            <w:r>
              <w:rPr>
                <w:rFonts w:ascii="仿宋_GB2312" w:hAnsi="仿宋_GB2312" w:cs="仿宋_GB2312" w:eastAsia="仿宋_GB2312"/>
              </w:rPr>
              <w:t>供应商</w:t>
            </w:r>
            <w:r>
              <w:rPr>
                <w:rFonts w:ascii="仿宋_GB2312" w:hAnsi="仿宋_GB2312" w:cs="仿宋_GB2312" w:eastAsia="仿宋_GB2312"/>
              </w:rPr>
              <w:t>应制定涵盖应急处置体系，确保每一起事件均有记录、有方案、有闭环。</w:t>
            </w:r>
            <w:r>
              <w:rPr>
                <w:rFonts w:ascii="仿宋_GB2312" w:hAnsi="仿宋_GB2312" w:cs="仿宋_GB2312" w:eastAsia="仿宋_GB2312"/>
              </w:rPr>
              <w:t>投标人</w:t>
            </w:r>
            <w:r>
              <w:rPr>
                <w:rFonts w:ascii="仿宋_GB2312" w:hAnsi="仿宋_GB2312" w:cs="仿宋_GB2312" w:eastAsia="仿宋_GB2312"/>
              </w:rPr>
              <w:t>应配备包括工程师、售后服务人员、技术支持人员在内的完整应急支持团队。</w:t>
            </w:r>
          </w:p>
          <w:p>
            <w:pPr>
              <w:pStyle w:val="null3"/>
              <w:jc w:val="left"/>
            </w:pPr>
            <w:r>
              <w:rPr>
                <w:rFonts w:ascii="仿宋_GB2312" w:hAnsi="仿宋_GB2312" w:cs="仿宋_GB2312" w:eastAsia="仿宋_GB2312"/>
                <w:sz w:val="21"/>
              </w:rPr>
              <w:t>5.所有应急事件的处理过程应与</w:t>
            </w:r>
            <w:r>
              <w:rPr>
                <w:rFonts w:ascii="仿宋_GB2312" w:hAnsi="仿宋_GB2312" w:cs="仿宋_GB2312" w:eastAsia="仿宋_GB2312"/>
                <w:sz w:val="21"/>
              </w:rPr>
              <w:t>招标人</w:t>
            </w:r>
            <w:r>
              <w:rPr>
                <w:rFonts w:ascii="仿宋_GB2312" w:hAnsi="仿宋_GB2312" w:cs="仿宋_GB2312" w:eastAsia="仿宋_GB2312"/>
                <w:sz w:val="21"/>
              </w:rPr>
              <w:t>保持信息同步，包括响应时间、现场处置进度、最终结果和善后措施，形成书面记录并归档备查。重大故障应在事件处理完成后</w:t>
            </w:r>
            <w:r>
              <w:rPr>
                <w:rFonts w:ascii="仿宋_GB2312" w:hAnsi="仿宋_GB2312" w:cs="仿宋_GB2312" w:eastAsia="仿宋_GB2312"/>
                <w:sz w:val="21"/>
              </w:rPr>
              <w:t>5个工作日内提供完整的应急处置报告，包括问题溯源、责任分析、改进建议和再次发生的预防措施等内容。</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 60日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四川轻化工大学宜宾校区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付款进度安排，全部货物安装调试完毕并验收合格，甲方接到乙方通知、乙方出具的合法、有效、完整的全额增值税专用发票后，达到付款条件后10个工作日内，支付合同金额的 100% 。若遇甲方寒暑假、财务扎账、财政性资金结转等原因，付款时间可作适当顺延，达到付款条件起10个工作日内，支付合同总金额的100.0%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采购文件的要求、中标（成交）投标人的投标（响应）文件及承诺与合同约定的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2年。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 2.在保修期内所发现的缺陷，甲方应尽快以书面形式通知乙方。 3.乙方收到通知后，应在15日内以合理的速度免费维修或更换有缺陷的货物或部件。 4.在保修期内，如果货物的质量或规格与合同不符，或证实货物是有缺陷的，包括潜在的缺陷或使用不符合要求的材料等，甲方可以根据违约责任第一条规定以书面形式追究乙方的违约责任。 5.乙方在约定的时间内未能弥补缺陷，甲方可采取必要的补救措施，但其风险和费用将由乙方承担，甲方根据合同约定对乙方行使的其他权利不受影响。</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1.质量瑕疵的违约责任 乙方提供的产品不符合合同约定的质量标准或存在产品质量缺陷，甲方有权要求乙方及时修理、重作、更换，并承担由此给甲方造成的损失。修理、重作、更换的具体要求为： 1.1货物不符合约定的，甲方有权要求乙方在15日内免费修理、更换或重作，并承担因此产生的费用及损失。 1.2 逾期未完成整改的，甲方可解除合同，并要求乙方赔偿直接损失。 2.迟延交货的违约责任 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 2.2.如果乙方没有按照合同规定的时间交货和提供相关服务，甲方有权从货款中扣除误期赔偿费而不影响合同项下的其他补救方法，赔偿费的计算方法为：未经同意逾期交货的，乙方按日支付逾期交货部分货款万分之三的违约金，累计总额不超过该部分货款的10%；逾期超过30日，甲方有权解除合同，乙方应退还全部已收款，并支付合同总价10%的违约金。 3.权利瑕疵责任 如货物存在知识产权等权利瑕疵导致甲方无法使用或被追责，乙方应退还全部款项，支付合同总价10%违约金，并赔偿甲方全部实际损失（包括律师费、行政处罚等）。 4.迟延支付的违约责任 甲方存在迟延支付乙方合同款项的，应当支付逾期付款利息，计算方法为：甲方应在验收合格后10个工作日内完成付款，最迟不得超过60日。乙方应在甲方付款前向甲方开具合法有效的增值税专用发票，因乙方未及时提供发票导致付款延迟的，甲方不承担违约责任。甲方逾期付款的，应自逾期之日起，按日向乙方支付逾期付款金额万分之三的违约金，违约金总额不超过逾期付款金额的10%。 5.违法分包、转包的违约责任 乙方将项目转包、违法分包的，甲方可以解除合同，并要求乙方承担如下违约责任： 5.1退还甲方已支付的全部款项； 5.2支付合同总价15%的违约金； 5.3赔偿甲方因此遭受的实际损失（包括但不限于重新采购费用、审计整改成本、第三方索赔及律师费）。 6.因本合同及合同有关事项发生的争议，由甲乙双方友好协商解决。协商不成时，可以向有关组织申请调解。合同一方或双方不愿调解或调解不成的，可以通过仲裁或诉讼的方式解决争议。 7.选择仲裁的，应在甲方所在地仲裁机构及仲裁地；通过诉讼方式解决的，向甲方所在地人民法院提请诉讼，但管辖法院的约定不得违反级别管辖和专属管辖的规定。 8.如甲乙双方有争议的事项不影响合同其他部分的履行，在争议解决期间，合同其他部分应当继续履行。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3.4.投标人应根据采购需求充分考虑本项目实际情况，针对本项目编制项目实施方案：（一）质量及安全保障措施；（二）进度计划及配送措施；（三）售后人员配置及应急处理措施；（四）售后管理制度。3.4.2履约能力：提供投标人自2023年1月1日以来的类似绩。3.4.3本项目如涉及到的国家标准、行业标准、企业资质、产品认证等描述与国家最新要求不一致时以最新要求为准。投标人应根据招标文件要求及自身实际情况进行提供。（投标人可不在此处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其他符合性审查（实质性要求）</w:t>
            </w:r>
          </w:p>
        </w:tc>
        <w:tc>
          <w:tcPr>
            <w:tcW w:type="dxa" w:w="3322"/>
          </w:tcPr>
          <w:p>
            <w:pPr>
              <w:pStyle w:val="null3"/>
              <w:jc w:val="left"/>
            </w:pPr>
            <w:r>
              <w:rPr>
                <w:rFonts w:ascii="仿宋_GB2312" w:hAnsi="仿宋_GB2312" w:cs="仿宋_GB2312" w:eastAsia="仿宋_GB2312"/>
              </w:rPr>
              <w:t>1.投标文件组成明显不符合采购文件的规定要求，影响评标委员会评判的。2.投标文件的格式、语言、计量单位、报价货币、知识产权、投标有效期等不符合采购文件的规定，影响评标委员会评判的。3.投标报价不符合采购文件规定的采购预算或限价或其他报价规定的。4.未在应答表中对技术、服务要求中的实质性要求逐项进行完整应答的，或应答内容与采购文件要求不符的，或未按要求提供相应的证明材料或单独承诺函等支撑材料的。5.未载明或者载明的采购项目履约时间、方式、数量及其他政府采购合同实质性内容与采购文件要求不一致，且采购单位无法接受的。</w:t>
            </w:r>
          </w:p>
        </w:tc>
        <w:tc>
          <w:tcPr>
            <w:tcW w:type="dxa" w:w="1661"/>
          </w:tcPr>
          <w:p>
            <w:pPr>
              <w:pStyle w:val="null3"/>
              <w:jc w:val="left"/>
            </w:pPr>
            <w:r>
              <w:rPr>
                <w:rFonts w:ascii="仿宋_GB2312" w:hAnsi="仿宋_GB2312" w:cs="仿宋_GB2312" w:eastAsia="仿宋_GB2312"/>
              </w:rPr>
              <w:t>评标细则及标准证明材料.docx,产品技术参数响应表,中小企业声明函,残疾人福利性单位声明函,服务要求应答表（评标）.docx,其他要求应答表（评标）.docx,关于符合本国产品标准的声明函,投标文件封面,报价表,投标（响应）函,监狱企业的证明文件,商务要求应答表（评标）.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评标过程中，评标委员会认为供应商投标报价明显低于其他通过符合性审查供应商的投标报价，有可能影响产品质量或者不能诚信履约的，评标委员会应当要求其在合理的时间内通过项目电子化交易系统进行书面说明，必要时提交相关证明材料。2.供应商提交的书面说明，应当加盖供应商公章，在评标委员会要求的时间内通过项目电子化交易系统进行提交，否则视为不能证明其投标报价合理性。3.供应商不能证明其投标报价合理性的，评标委员会应当将其投标文件作为无效投标处理。</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一、投标人投标文件完全满足招标文件“技术参数与性能指标”的得48分； 二、投标人投标文件与招标文件技术参数要求中的“参数要求”有负偏离的，按以下方式计算得分： （一）一般条款得分=（投标人满足一般条款的数量÷一般条款的总数量）×12分； （二）“▲”条款得分=（投标人满足“▲”条款的数量÷“▲”条款的总数量）×36分。 三、投标人此项得分=一般条款得分＋“▲”条款得分。 注：本项所述的条款数量按以下原则计算：1.无子项的条款：以每项条款为1项进行计算；2.有子项的条款：以最末级的子项为1项进行计算。（一般条款：35条，“▲”条款9条）（1）“▲”条款参数需按其对应的明确要求提供，未按要求提供相关证明材料或虽提供但无法证明的，则视为负偏离。 （2）非“▲”、“★”条款参数为一般条款，以投标人提供的技术参数应答表为准。（3）带“★”符号的技术参数为本项目的实质性要求，不参与评分，投标人不得有负偏离，否则作无效投标处理）</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一、根据投标人提供的实施方案进行综合评分，包括但不限于以下内容： （一）质量及安全保障措施； （二）进度计划及配送措施； （三）售后人员配置及应急处理措施； （四）售后管理制度。 二、方案完全包含上述（一）－（四）项方案内容的得20分。每缺少上述（一）－（四）项单项方案内容的扣5分，每有一项内容存在缺陷或不足的扣2.5分，扣完为止。 注：“内容存在缺陷或不足”是指以下任意一种情形： 1.项目名称、地点区域错误、服务时间安排与项目需求不符；2.技术、服务要求中提出的国家或行业等规范性要求，方案应答与之不符合的，或引用或适用的法律法规、标准（方法）或其他规范性文件错误。针对单条技术已经明确服务要求的事项，方案应答的技术不规范或漏缺项；3.非专门针对本项目编制或方案内容与本项目需求无关或方案未与采购需求对应或不满足采购需求的服务内容及要求；4.方案内容未结合本项目的具体需求，直接照搬采购文件中的文字表述，缺乏深化阐述与实施转化；5.方案过于简略，仅有标题或框架，缺乏量化指标或具体实施标准或操作细则；6.复制其他项目内容，有其他项目名称内容的描述；7.出现不满足采购需求的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评标细则及标准证明材料.docx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提供投标人自2023年1月1日以来的类似绩，每提供一个得1分，最多得2分，未提供不得分。 注:提供合同（以签订合同时间为准）全本影印件并加盖投标人公章。</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评标细则及标准证明材料.docx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标价)×分值。满足招标文件要求且评标价最低的为基准价，因落实政府采购政策进行价格调整的，以调整后的价格计算基准价和评标价。注：不涉及价格扣除的评审价=投标（响应）报价，涉及价格扣除的评标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详见附件：服务要求应答表（评标）.docx</w:t>
      </w:r>
    </w:p>
    <w:p>
      <w:pPr>
        <w:pStyle w:val="null3"/>
        <w:ind w:firstLine="960"/>
        <w:jc w:val="left"/>
      </w:pPr>
      <w:r>
        <w:rPr>
          <w:rFonts w:ascii="仿宋_GB2312" w:hAnsi="仿宋_GB2312" w:cs="仿宋_GB2312" w:eastAsia="仿宋_GB2312"/>
        </w:rPr>
        <w:t>详见附件：评标细则及标准证明材料.docx</w:t>
      </w:r>
    </w:p>
    <w:p>
      <w:pPr>
        <w:pStyle w:val="null3"/>
        <w:ind w:firstLine="960"/>
        <w:jc w:val="left"/>
      </w:pPr>
      <w:r>
        <w:rPr>
          <w:rFonts w:ascii="仿宋_GB2312" w:hAnsi="仿宋_GB2312" w:cs="仿宋_GB2312" w:eastAsia="仿宋_GB2312"/>
        </w:rPr>
        <w:t>详见附件：其他要求应答表（评标）.docx</w:t>
      </w:r>
    </w:p>
    <w:p>
      <w:pPr>
        <w:pStyle w:val="null3"/>
        <w:ind w:firstLine="960"/>
        <w:jc w:val="left"/>
      </w:pPr>
      <w:r>
        <w:rPr>
          <w:rFonts w:ascii="仿宋_GB2312" w:hAnsi="仿宋_GB2312" w:cs="仿宋_GB2312" w:eastAsia="仿宋_GB2312"/>
        </w:rPr>
        <w:t>详见附件：商务要求应答表（评标）.docx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