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版本号：N510118202500016520250902003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医疗机构中药制剂研发、备案及生产一体化服务采购项目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N5101182025000165</w:t>
      </w:r>
    </w:p>
    <w:p>
      <w:pPr>
        <w:pStyle w:val="null3"/>
        <w:jc w:val="center"/>
        <w:outlineLvl w:val="2"/>
      </w:pPr>
      <w:r>
        <w:rPr>
          <w:rFonts w:ascii="仿宋_GB2312" w:hAnsi="仿宋_GB2312" w:cs="仿宋_GB2312" w:eastAsia="仿宋_GB2312"/>
          <w:sz w:val="28"/>
          <w:b/>
        </w:rPr>
        <w:t>成都市新津区中医医院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成都市新津区中医医院</w:t>
      </w:r>
      <w:r>
        <w:rPr>
          <w:rFonts w:ascii="仿宋_GB2312" w:hAnsi="仿宋_GB2312" w:cs="仿宋_GB2312" w:eastAsia="仿宋_GB2312"/>
        </w:rPr>
        <w:t xml:space="preserve"> 委托，拟对 </w:t>
      </w:r>
      <w:r>
        <w:rPr>
          <w:rFonts w:ascii="仿宋_GB2312" w:hAnsi="仿宋_GB2312" w:cs="仿宋_GB2312" w:eastAsia="仿宋_GB2312"/>
        </w:rPr>
        <w:t>医疗机构中药制剂研发、备案及生产一体化服务采购项目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成都市新津区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N5101182025000165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医疗机构中药制剂研发、备案及生产一体化服务采购项目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成都市新津区中医医院拟采购医疗机构中药制剂研发、备案及生产一体化服务，本项目共一个包。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允许联合体投标，联合体成员单位（含联合体牵头人）不超过2家。（描述：（1）以联合体形式参加投标的，联合体各方均应当符合《中华人民共和国政府采购法》第二十二条第一款规定的条件，并提交联合体协议，载明联合体各方承担的工作和相应的责任。 【电子投标文件编制要求：①联合体各方均须按要求填写《投标（响应）函》，其中联合体牵头单位需在投标客户端中按要求在线填写《投标（响应）函》并进行电子签章；联合体成员单位须按照第六章响应文件格式《投标（响应）函》线下填写并加盖公章，盖章完成后扫描上传编制于第六章投标文件格式《供应商应提交的相关证明材料》。 ②因系统原因，联合体协议需线下签订并加盖各方公章，签订完成后，扫描上传并编制于第六章投标文件格式《供应商应提交的相关证明材料》】 （2）联合体中有同类资质的供应商按照联合体分工承担相同工作的，应当按照资质等级较低的供应商确定资质等级。（如涉及） ）</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温馨提示】：为有效缓解中小企业融资难、融资贵问题，根据 成都市财政局中国人民银行成都分行营业管理部关于印发《成都市中小企业政府采购信用融资暂行办法》和 《成都市级支持中小企业政府采购信用融资实施方案》 的通知（成财采〔2019〕17 号）（见附件），成都市范围内政府采购项目中标（成交）供应商为中小微企业的，可依据政府采购合同申请政府采购信用融资。</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成都市新津区中医医院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成都市新津区西创大道1389号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611430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18200174847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四川五洲招标代理有限公司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成都市武侯区星狮路511号大合仓C区415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由中标人（成交供应商）承担，按照《四川省政府采购营商环境指标提升专项行动工作方案》中关于代理服务费的相关规定以及与采购人签订的委托代理协议之相关约定，以中标金额作为计算基准计算后下浮20%后进行收取。费率：100万以下部分按照1.50%收取。收款单位：四川五洲招标代理有限公司 银行帐号：320 220 102 200 057 000 16 开户银行：成都银行金府路支行 注：在代理服务费开票之前，请申请人仔细填写《增值税发票信息申请表》（详见附件），并将此表以电子邮件形式发送至四川五洲招标代理有限公司财务部的指定邮箱scwz@scwzzbdl.email。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成都市新津区中医医院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成都市新津区中医医院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按照研发中试、备案以及每批次生产完成后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履约验收主体：成都市新津区中医医院</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成都市新津区中医医院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联系电话：028-85446608-8816</w:t>
      </w:r>
    </w:p>
    <w:p>
      <w:pPr>
        <w:pStyle w:val="null3"/>
        <w:jc w:val="left"/>
      </w:pPr>
      <w:r>
        <w:rPr>
          <w:rFonts w:ascii="仿宋_GB2312" w:hAnsi="仿宋_GB2312" w:cs="仿宋_GB2312" w:eastAsia="仿宋_GB2312"/>
        </w:rPr>
        <w:t>地址：成都市武侯区星狮路511号大合仓C区415</w:t>
      </w:r>
    </w:p>
    <w:p>
      <w:pPr>
        <w:pStyle w:val="null3"/>
        <w:jc w:val="left"/>
      </w:pPr>
      <w:r>
        <w:rPr>
          <w:rFonts w:ascii="仿宋_GB2312" w:hAnsi="仿宋_GB2312" w:cs="仿宋_GB2312" w:eastAsia="仿宋_GB2312"/>
        </w:rPr>
        <w:t>邮编：611430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联系人：周老师</w:t>
      </w:r>
    </w:p>
    <w:p>
      <w:pPr>
        <w:pStyle w:val="null3"/>
        <w:jc w:val="left"/>
      </w:pPr>
      <w:r>
        <w:rPr>
          <w:rFonts w:ascii="仿宋_GB2312" w:hAnsi="仿宋_GB2312" w:cs="仿宋_GB2312" w:eastAsia="仿宋_GB2312"/>
        </w:rPr>
        <w:t>联系电话：18200174847</w:t>
      </w:r>
    </w:p>
    <w:p>
      <w:pPr>
        <w:pStyle w:val="null3"/>
        <w:jc w:val="left"/>
      </w:pPr>
      <w:r>
        <w:rPr>
          <w:rFonts w:ascii="仿宋_GB2312" w:hAnsi="仿宋_GB2312" w:cs="仿宋_GB2312" w:eastAsia="仿宋_GB2312"/>
        </w:rPr>
        <w:t>地址：成都市新津区西创大道1389号</w:t>
      </w:r>
    </w:p>
    <w:p>
      <w:pPr>
        <w:pStyle w:val="null3"/>
        <w:jc w:val="left"/>
      </w:pPr>
      <w:r>
        <w:rPr>
          <w:rFonts w:ascii="仿宋_GB2312" w:hAnsi="仿宋_GB2312" w:cs="仿宋_GB2312" w:eastAsia="仿宋_GB2312"/>
        </w:rPr>
        <w:t>邮编：611430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C01050600 中医学与中药学研究服务</w:t>
            </w:r>
          </w:p>
        </w:tc>
        <w:tc>
          <w:tcPr>
            <w:tcW w:type="dxa" w:w="821"/>
          </w:tcPr>
          <w:p>
            <w:pPr>
              <w:pStyle w:val="null3"/>
              <w:jc w:val="left"/>
            </w:pPr>
            <w:r>
              <w:rPr>
                <w:rFonts w:ascii="仿宋_GB2312" w:hAnsi="仿宋_GB2312" w:cs="仿宋_GB2312" w:eastAsia="仿宋_GB2312"/>
              </w:rPr>
              <w:t>医疗机构中药制剂研发、备案及生产</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医疗机构中药制剂研发、备案及生产</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标的名称：医疗机构中药制剂研发、备案及生产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rPr>
              <w:t>3</w:t>
            </w:r>
            <w:r>
              <w:rPr>
                <w:rFonts w:ascii="仿宋_GB2312" w:hAnsi="仿宋_GB2312" w:cs="仿宋_GB2312" w:eastAsia="仿宋_GB2312"/>
                <w:sz w:val="24"/>
              </w:rPr>
              <w:t>种中药制剂基本信息</w:t>
            </w:r>
          </w:p>
          <w:p>
            <w:pPr>
              <w:pStyle w:val="null3"/>
              <w:jc w:val="center"/>
            </w:pPr>
            <w:r>
              <w:rPr>
                <w:rFonts w:ascii="仿宋_GB2312" w:hAnsi="仿宋_GB2312" w:cs="仿宋_GB2312" w:eastAsia="仿宋_GB2312"/>
              </w:rPr>
              <w:t xml:space="preserve"> </w:t>
            </w:r>
          </w:p>
          <w:tbl>
            <w:tblPr>
              <w:tblInd w:type="dxa" w:w="240"/>
              <w:tblBorders>
                <w:top w:val="none" w:color="000000" w:sz="4"/>
                <w:left w:val="none" w:color="000000" w:sz="4"/>
                <w:bottom w:val="none" w:color="000000" w:sz="4"/>
                <w:right w:val="none" w:color="000000" w:sz="4"/>
                <w:insideH w:val="none"/>
                <w:insideV w:val="none"/>
              </w:tblBorders>
            </w:tblPr>
            <w:tblGrid>
              <w:gridCol w:w="510"/>
              <w:gridCol w:w="2055"/>
              <w:gridCol w:w="1740"/>
              <w:gridCol w:w="1155"/>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制剂暂定名</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暂定剂型</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暂定规格</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苦参洗</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洗剂</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60ml/瓶</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栀黄消瘀膏</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w:t>
                  </w:r>
                  <w:r>
                    <w:rPr>
                      <w:rFonts w:ascii="仿宋_GB2312" w:hAnsi="仿宋_GB2312" w:cs="仿宋_GB2312" w:eastAsia="仿宋_GB2312"/>
                      <w:sz w:val="24"/>
                    </w:rPr>
                    <w:t>膏剂</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支</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清心膏</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w:t>
                  </w:r>
                  <w:r>
                    <w:rPr>
                      <w:rFonts w:ascii="仿宋_GB2312" w:hAnsi="仿宋_GB2312" w:cs="仿宋_GB2312" w:eastAsia="仿宋_GB2312"/>
                      <w:sz w:val="24"/>
                    </w:rPr>
                    <w:t>膏剂</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支</w:t>
                  </w:r>
                </w:p>
              </w:tc>
            </w:tr>
          </w:tbl>
          <w:tbl>
            <w:tblPr>
              <w:tblInd w:type="dxa" w:w="105"/>
              <w:tblBorders>
                <w:top w:val="none" w:color="000000" w:sz="4"/>
                <w:left w:val="none" w:color="000000" w:sz="4"/>
                <w:bottom w:val="none" w:color="000000" w:sz="4"/>
                <w:right w:val="none" w:color="000000" w:sz="4"/>
                <w:insideH w:val="none"/>
                <w:insideV w:val="none"/>
              </w:tblBorders>
            </w:tblPr>
            <w:tblGrid>
              <w:gridCol w:w="416"/>
              <w:gridCol w:w="687"/>
              <w:gridCol w:w="716"/>
              <w:gridCol w:w="602"/>
              <w:gridCol w:w="839"/>
              <w:gridCol w:w="816"/>
              <w:gridCol w:w="697"/>
              <w:gridCol w:w="817"/>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序号</w:t>
                  </w:r>
                </w:p>
              </w:tc>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报价内容</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w:t>
                  </w:r>
                </w:p>
              </w:tc>
              <w:tc>
                <w:tcPr>
                  <w:tcW w:type="dxa" w:w="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报价单位</w:t>
                  </w:r>
                </w:p>
              </w:tc>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价款形式</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最高限价</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预估数量</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总价（元）</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研发及备案</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项</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元</w:t>
                  </w: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总价</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820000元</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820000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（生产服务）苦参洗剂</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60ml/瓶</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元</w:t>
                  </w: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单价</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7元/瓶</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5000瓶</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35000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（生产服务）栀黄消瘀膏剂</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0</w:t>
                  </w:r>
                  <w:r>
                    <w:rPr>
                      <w:rFonts w:ascii="仿宋_GB2312" w:hAnsi="仿宋_GB2312" w:cs="仿宋_GB2312" w:eastAsia="仿宋_GB2312"/>
                      <w:sz w:val="19"/>
                    </w:rPr>
                    <w:t>g</w:t>
                  </w:r>
                  <w:r>
                    <w:rPr>
                      <w:rFonts w:ascii="仿宋_GB2312" w:hAnsi="仿宋_GB2312" w:cs="仿宋_GB2312" w:eastAsia="仿宋_GB2312"/>
                      <w:sz w:val="19"/>
                    </w:rPr>
                    <w:t>/</w:t>
                  </w:r>
                  <w:r>
                    <w:rPr>
                      <w:rFonts w:ascii="仿宋_GB2312" w:hAnsi="仿宋_GB2312" w:cs="仿宋_GB2312" w:eastAsia="仿宋_GB2312"/>
                      <w:sz w:val="19"/>
                    </w:rPr>
                    <w:t>支</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元</w:t>
                  </w: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单价</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4.5元/支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5000支</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22500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（生产服务）清心膏剂</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g</w:t>
                  </w:r>
                  <w:r>
                    <w:rPr>
                      <w:rFonts w:ascii="仿宋_GB2312" w:hAnsi="仿宋_GB2312" w:cs="仿宋_GB2312" w:eastAsia="仿宋_GB2312"/>
                      <w:sz w:val="24"/>
                    </w:rPr>
                    <w:t>/</w:t>
                  </w:r>
                  <w:r>
                    <w:rPr>
                      <w:rFonts w:ascii="仿宋_GB2312" w:hAnsi="仿宋_GB2312" w:cs="仿宋_GB2312" w:eastAsia="仿宋_GB2312"/>
                      <w:sz w:val="24"/>
                    </w:rPr>
                    <w:t>支</w:t>
                  </w:r>
                </w:p>
              </w:tc>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w:t>
                  </w: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4.5元/支</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5000支</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22500</w:t>
                  </w:r>
                </w:p>
              </w:tc>
            </w:tr>
          </w:tbl>
          <w:p>
            <w:pPr>
              <w:pStyle w:val="null3"/>
              <w:jc w:val="both"/>
            </w:pPr>
            <w:r>
              <w:rPr>
                <w:rFonts w:ascii="仿宋_GB2312" w:hAnsi="仿宋_GB2312" w:cs="仿宋_GB2312" w:eastAsia="仿宋_GB2312"/>
                <w:sz w:val="24"/>
                <w:b/>
              </w:rPr>
              <w:t>（二）项目要求</w:t>
            </w:r>
          </w:p>
          <w:p>
            <w:pPr>
              <w:pStyle w:val="null3"/>
              <w:jc w:val="both"/>
            </w:pPr>
            <w:r>
              <w:rPr>
                <w:rFonts w:ascii="仿宋_GB2312" w:hAnsi="仿宋_GB2312" w:cs="仿宋_GB2312" w:eastAsia="仿宋_GB2312"/>
                <w:sz w:val="24"/>
              </w:rPr>
              <w:t>1、服务需求</w:t>
            </w:r>
          </w:p>
          <w:tbl>
            <w:tblPr>
              <w:tblInd w:type="dxa" w:w="375"/>
              <w:tblBorders>
                <w:top w:val="none" w:color="000000" w:sz="4"/>
                <w:left w:val="none" w:color="000000" w:sz="4"/>
                <w:bottom w:val="none" w:color="000000" w:sz="4"/>
                <w:right w:val="none" w:color="000000" w:sz="4"/>
                <w:insideH w:val="none"/>
                <w:insideV w:val="none"/>
              </w:tblBorders>
            </w:tblPr>
            <w:tblGrid>
              <w:gridCol w:w="692"/>
              <w:gridCol w:w="798"/>
              <w:gridCol w:w="4108"/>
            </w:tblGrid>
            <w:tr>
              <w:tc>
                <w:tcPr>
                  <w:tcW w:type="dxa" w:w="69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编号</w:t>
                  </w:r>
                </w:p>
              </w:tc>
              <w:tc>
                <w:tcPr>
                  <w:tcW w:type="dxa" w:w="798"/>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项目</w:t>
                  </w:r>
                </w:p>
              </w:tc>
              <w:tc>
                <w:tcPr>
                  <w:tcW w:type="dxa" w:w="4108"/>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服务内容</w:t>
                  </w:r>
                </w:p>
              </w:tc>
            </w:tr>
            <w:tr>
              <w:tc>
                <w:tcPr>
                  <w:tcW w:type="dxa" w:w="692"/>
                  <w:vMerge/>
                  <w:tcBorders>
                    <w:top w:val="single" w:color="000000" w:sz="4"/>
                    <w:left w:val="single" w:color="000000" w:sz="4"/>
                    <w:bottom w:val="single" w:color="000000" w:sz="4"/>
                    <w:right w:val="single" w:color="000000" w:sz="4"/>
                  </w:tcBorders>
                </w:tcPr>
                <w:p/>
              </w:tc>
              <w:tc>
                <w:tcPr>
                  <w:tcW w:type="dxa" w:w="798"/>
                  <w:vMerge/>
                  <w:tcBorders>
                    <w:top w:val="single" w:color="000000" w:sz="4"/>
                    <w:left w:val="none" w:color="000000" w:sz="4"/>
                    <w:bottom w:val="single" w:color="000000" w:sz="4"/>
                    <w:right w:val="single" w:color="000000" w:sz="4"/>
                  </w:tcBorders>
                </w:tcPr>
                <w:p/>
              </w:tc>
              <w:tc>
                <w:tcPr>
                  <w:tcW w:type="dxa" w:w="4108"/>
                  <w:vMerge/>
                  <w:tcBorders>
                    <w:top w:val="single" w:color="000000" w:sz="4"/>
                    <w:left w:val="none" w:color="000000" w:sz="4"/>
                    <w:bottom w:val="single" w:color="000000" w:sz="4"/>
                    <w:right w:val="single" w:color="000000" w:sz="4"/>
                  </w:tcBorders>
                </w:tcP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79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药学研究部分</w:t>
                  </w: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制备工艺研究</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798"/>
                  <w:vMerge/>
                  <w:tcBorders>
                    <w:top w:val="none" w:color="000000" w:sz="4"/>
                    <w:left w:val="none" w:color="000000" w:sz="4"/>
                    <w:bottom w:val="single" w:color="000000" w:sz="4"/>
                    <w:right w:val="single" w:color="000000" w:sz="4"/>
                  </w:tcBorders>
                </w:tcP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制剂的质量标准研究（含内控标准、微生物）</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798"/>
                  <w:vMerge/>
                  <w:tcBorders>
                    <w:top w:val="none" w:color="000000" w:sz="4"/>
                    <w:left w:val="none" w:color="000000" w:sz="4"/>
                    <w:bottom w:val="single" w:color="000000" w:sz="4"/>
                    <w:right w:val="single" w:color="000000" w:sz="4"/>
                  </w:tcBorders>
                </w:tcP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制剂的稳定性研究（含药包材和容器选择依据），基于稳定性考察结果确定药品效期。</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79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备案申报服务</w:t>
                  </w: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说明书样稿、标签、试验记录</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798"/>
                  <w:vMerge/>
                  <w:tcBorders>
                    <w:top w:val="none" w:color="000000" w:sz="4"/>
                    <w:left w:val="none" w:color="000000" w:sz="4"/>
                    <w:bottom w:val="single" w:color="000000" w:sz="4"/>
                    <w:right w:val="single" w:color="000000" w:sz="4"/>
                  </w:tcBorders>
                </w:tcP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协助完成处方背景、使用记录收集，文献查新、检索，资料打印</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798"/>
                  <w:vMerge/>
                  <w:tcBorders>
                    <w:top w:val="none" w:color="000000" w:sz="4"/>
                    <w:left w:val="none" w:color="000000" w:sz="4"/>
                    <w:bottom w:val="single" w:color="000000" w:sz="4"/>
                    <w:right w:val="single" w:color="000000" w:sz="4"/>
                  </w:tcBorders>
                </w:tcP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证明性文件及资料整理</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中试服务</w:t>
                  </w: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三批次中试放大生产试验，并出具自检报告。</w:t>
                  </w:r>
                </w:p>
              </w:tc>
            </w:tr>
            <w:tr>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7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生产服务</w:t>
                  </w:r>
                </w:p>
              </w:tc>
              <w:tc>
                <w:tcPr>
                  <w:tcW w:type="dxa" w:w="4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按照工艺规程进行制剂生产，中药原材料由采购人提供，生产单位按最小包装规格分批次生产（含检验费及配送费）。生产总量</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万</w:t>
                  </w:r>
                  <w:r>
                    <w:rPr>
                      <w:rFonts w:ascii="仿宋_GB2312" w:hAnsi="仿宋_GB2312" w:cs="仿宋_GB2312" w:eastAsia="仿宋_GB2312"/>
                      <w:sz w:val="24"/>
                    </w:rPr>
                    <w:t>支</w:t>
                  </w:r>
                  <w:r>
                    <w:rPr>
                      <w:rFonts w:ascii="仿宋_GB2312" w:hAnsi="仿宋_GB2312" w:cs="仿宋_GB2312" w:eastAsia="仿宋_GB2312"/>
                      <w:sz w:val="24"/>
                    </w:rPr>
                    <w:t>/瓶（</w:t>
                  </w:r>
                  <w:r>
                    <w:rPr>
                      <w:rFonts w:ascii="仿宋_GB2312" w:hAnsi="仿宋_GB2312" w:cs="仿宋_GB2312" w:eastAsia="仿宋_GB2312"/>
                      <w:sz w:val="24"/>
                    </w:rPr>
                    <w:t>3</w:t>
                  </w:r>
                  <w:r>
                    <w:rPr>
                      <w:rFonts w:ascii="仿宋_GB2312" w:hAnsi="仿宋_GB2312" w:cs="仿宋_GB2312" w:eastAsia="仿宋_GB2312"/>
                      <w:sz w:val="24"/>
                    </w:rPr>
                    <w:t>款制剂各</w:t>
                  </w:r>
                  <w:r>
                    <w:rPr>
                      <w:rFonts w:ascii="仿宋_GB2312" w:hAnsi="仿宋_GB2312" w:cs="仿宋_GB2312" w:eastAsia="仿宋_GB2312"/>
                      <w:sz w:val="24"/>
                    </w:rPr>
                    <w:t>5000</w:t>
                  </w:r>
                  <w:r>
                    <w:rPr>
                      <w:rFonts w:ascii="仿宋_GB2312" w:hAnsi="仿宋_GB2312" w:cs="仿宋_GB2312" w:eastAsia="仿宋_GB2312"/>
                      <w:sz w:val="24"/>
                    </w:rPr>
                    <w:t>支</w:t>
                  </w:r>
                  <w:r>
                    <w:rPr>
                      <w:rFonts w:ascii="仿宋_GB2312" w:hAnsi="仿宋_GB2312" w:cs="仿宋_GB2312" w:eastAsia="仿宋_GB2312"/>
                      <w:sz w:val="24"/>
                    </w:rPr>
                    <w:t>/瓶）。连续3批样品的自检报告书。</w:t>
                  </w:r>
                </w:p>
              </w:tc>
            </w:tr>
          </w:tbl>
          <w:p>
            <w:pPr>
              <w:pStyle w:val="null3"/>
              <w:ind w:firstLine="480"/>
              <w:jc w:val="both"/>
            </w:pPr>
            <w:r>
              <w:rPr>
                <w:rFonts w:ascii="仿宋_GB2312" w:hAnsi="仿宋_GB2312" w:cs="仿宋_GB2312" w:eastAsia="仿宋_GB2312"/>
                <w:sz w:val="24"/>
              </w:rPr>
              <w:t>2、服务要求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1）研究内容：对</w:t>
            </w:r>
            <w:r>
              <w:rPr>
                <w:rFonts w:ascii="仿宋_GB2312" w:hAnsi="仿宋_GB2312" w:cs="仿宋_GB2312" w:eastAsia="仿宋_GB2312"/>
                <w:sz w:val="24"/>
              </w:rPr>
              <w:t>成都市新津区</w:t>
            </w:r>
            <w:r>
              <w:rPr>
                <w:rFonts w:ascii="仿宋_GB2312" w:hAnsi="仿宋_GB2312" w:cs="仿宋_GB2312" w:eastAsia="仿宋_GB2312"/>
                <w:sz w:val="24"/>
              </w:rPr>
              <w:t>中医医院</w:t>
            </w:r>
            <w:r>
              <w:rPr>
                <w:rFonts w:ascii="仿宋_GB2312" w:hAnsi="仿宋_GB2312" w:cs="仿宋_GB2312" w:eastAsia="仿宋_GB2312"/>
                <w:sz w:val="24"/>
              </w:rPr>
              <w:t>3</w:t>
            </w:r>
            <w:r>
              <w:rPr>
                <w:rFonts w:ascii="仿宋_GB2312" w:hAnsi="仿宋_GB2312" w:cs="仿宋_GB2312" w:eastAsia="仿宋_GB2312"/>
                <w:sz w:val="24"/>
              </w:rPr>
              <w:t>个制剂处方完成工艺研究、质量标准研究、稳定性考察工作，完成中试研究，并形成备案所需全套资料，协助申报备案并通过四川省药品监督管理局备案信息平台核查取得备案号，获得备案号后进行生产服务。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技术目标：按照四川省药品监督管理局的有关规定及要求，对上述医院处方，完成工艺研究、质量标准研究、稳定性试验（加速稳定性试验及长期稳定性实验）、完成中试研究并形成备案所需全套资料，协助申报备案并通过四川省药品监督管理局备案信息平台核查取得备案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研究标准应符合包括：《中国药典》2020版、《四川省医疗机构应用传统工艺配制中药制剂备案管理实施细则》、《国家食品药品监督管理总局关于对医疗机构应用传统工艺配制中药制剂实施备案管理的公告》及相关技术研究标准。对制剂的剂型选择以临床实际使用历史为准，并能满足申报备案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4）目标任务：</w:t>
            </w:r>
          </w:p>
          <w:p>
            <w:pPr>
              <w:pStyle w:val="null3"/>
              <w:ind w:firstLine="480"/>
              <w:jc w:val="both"/>
            </w:pPr>
            <w:r>
              <w:rPr>
                <w:rFonts w:ascii="仿宋_GB2312" w:hAnsi="仿宋_GB2312" w:cs="仿宋_GB2312" w:eastAsia="仿宋_GB2312"/>
                <w:sz w:val="24"/>
              </w:rPr>
              <w:t>1）完成相关研究内容的基础上，形成相应的研究资料并交付与采购人；</w:t>
            </w:r>
          </w:p>
          <w:p>
            <w:pPr>
              <w:pStyle w:val="null3"/>
              <w:ind w:firstLine="480"/>
              <w:jc w:val="both"/>
            </w:pPr>
            <w:r>
              <w:rPr>
                <w:rFonts w:ascii="仿宋_GB2312" w:hAnsi="仿宋_GB2312" w:cs="仿宋_GB2312" w:eastAsia="仿宋_GB2312"/>
                <w:sz w:val="24"/>
              </w:rPr>
              <w:t>2）完成该项目研究对应的医疗机构中药制剂备案申报资料，包括以下资料项目：</w:t>
            </w:r>
          </w:p>
          <w:p>
            <w:pPr>
              <w:pStyle w:val="null3"/>
              <w:ind w:firstLine="480"/>
              <w:jc w:val="both"/>
            </w:pPr>
            <w:r>
              <w:rPr>
                <w:rFonts w:ascii="仿宋_GB2312" w:hAnsi="仿宋_GB2312" w:cs="仿宋_GB2312" w:eastAsia="仿宋_GB2312"/>
                <w:sz w:val="24"/>
              </w:rPr>
              <w:t>①配制工艺的研究资料及文献资料；</w:t>
            </w:r>
          </w:p>
          <w:p>
            <w:pPr>
              <w:pStyle w:val="null3"/>
              <w:ind w:firstLine="480"/>
              <w:jc w:val="both"/>
            </w:pPr>
            <w:r>
              <w:rPr>
                <w:rFonts w:ascii="仿宋_GB2312" w:hAnsi="仿宋_GB2312" w:cs="仿宋_GB2312" w:eastAsia="仿宋_GB2312"/>
                <w:sz w:val="24"/>
              </w:rPr>
              <w:t>②质量研究的试验资料及文献资料；</w:t>
            </w:r>
          </w:p>
          <w:p>
            <w:pPr>
              <w:pStyle w:val="null3"/>
              <w:ind w:firstLine="480"/>
              <w:jc w:val="both"/>
            </w:pPr>
            <w:r>
              <w:rPr>
                <w:rFonts w:ascii="仿宋_GB2312" w:hAnsi="仿宋_GB2312" w:cs="仿宋_GB2312" w:eastAsia="仿宋_GB2312"/>
                <w:sz w:val="24"/>
              </w:rPr>
              <w:t>③制剂的质量标准草案及起草说明；</w:t>
            </w:r>
          </w:p>
          <w:p>
            <w:pPr>
              <w:pStyle w:val="null3"/>
              <w:ind w:firstLine="480"/>
              <w:jc w:val="both"/>
            </w:pPr>
            <w:r>
              <w:rPr>
                <w:rFonts w:ascii="仿宋_GB2312" w:hAnsi="仿宋_GB2312" w:cs="仿宋_GB2312" w:eastAsia="仿宋_GB2312"/>
                <w:sz w:val="24"/>
              </w:rPr>
              <w:t>④制剂的稳定性试验资料；</w:t>
            </w:r>
          </w:p>
          <w:p>
            <w:pPr>
              <w:pStyle w:val="null3"/>
              <w:ind w:firstLine="480"/>
              <w:jc w:val="both"/>
            </w:pPr>
            <w:r>
              <w:rPr>
                <w:rFonts w:ascii="仿宋_GB2312" w:hAnsi="仿宋_GB2312" w:cs="仿宋_GB2312" w:eastAsia="仿宋_GB2312"/>
                <w:sz w:val="24"/>
              </w:rPr>
              <w:t>⑤样品的自检报告书；</w:t>
            </w:r>
          </w:p>
          <w:p>
            <w:pPr>
              <w:pStyle w:val="null3"/>
              <w:ind w:firstLine="480"/>
              <w:jc w:val="both"/>
            </w:pPr>
            <w:r>
              <w:rPr>
                <w:rFonts w:ascii="仿宋_GB2312" w:hAnsi="仿宋_GB2312" w:cs="仿宋_GB2312" w:eastAsia="仿宋_GB2312"/>
                <w:sz w:val="24"/>
              </w:rPr>
              <w:t>⑥辅料的来源及质量标准；</w:t>
            </w:r>
          </w:p>
          <w:p>
            <w:pPr>
              <w:pStyle w:val="null3"/>
              <w:ind w:firstLine="480"/>
              <w:jc w:val="both"/>
            </w:pPr>
            <w:r>
              <w:rPr>
                <w:rFonts w:ascii="仿宋_GB2312" w:hAnsi="仿宋_GB2312" w:cs="仿宋_GB2312" w:eastAsia="仿宋_GB2312"/>
                <w:sz w:val="24"/>
              </w:rPr>
              <w:t>⑦说明书样稿及起草说明；</w:t>
            </w:r>
          </w:p>
          <w:p>
            <w:pPr>
              <w:pStyle w:val="null3"/>
              <w:ind w:firstLine="480"/>
              <w:jc w:val="both"/>
            </w:pPr>
            <w:r>
              <w:rPr>
                <w:rFonts w:ascii="仿宋_GB2312" w:hAnsi="仿宋_GB2312" w:cs="仿宋_GB2312" w:eastAsia="仿宋_GB2312"/>
                <w:sz w:val="24"/>
              </w:rPr>
              <w:t>⑧原、辅料的来源及质量标准。</w:t>
            </w:r>
          </w:p>
          <w:p>
            <w:pPr>
              <w:pStyle w:val="null3"/>
              <w:ind w:firstLine="480"/>
              <w:jc w:val="both"/>
            </w:pPr>
            <w:r>
              <w:rPr>
                <w:rFonts w:ascii="仿宋_GB2312" w:hAnsi="仿宋_GB2312" w:cs="仿宋_GB2312" w:eastAsia="仿宋_GB2312"/>
                <w:sz w:val="24"/>
              </w:rPr>
              <w:t>3）协助采购人完成以下资料：</w:t>
            </w:r>
          </w:p>
          <w:p>
            <w:pPr>
              <w:pStyle w:val="null3"/>
              <w:ind w:firstLine="480"/>
              <w:jc w:val="both"/>
            </w:pPr>
            <w:r>
              <w:rPr>
                <w:rFonts w:ascii="仿宋_GB2312" w:hAnsi="仿宋_GB2312" w:cs="仿宋_GB2312" w:eastAsia="仿宋_GB2312"/>
                <w:sz w:val="24"/>
              </w:rPr>
              <w:t>①直接接触制剂的包装材料和容器的选择依据及质量标准；</w:t>
            </w:r>
          </w:p>
          <w:p>
            <w:pPr>
              <w:pStyle w:val="null3"/>
              <w:ind w:firstLine="480"/>
              <w:jc w:val="both"/>
            </w:pPr>
            <w:r>
              <w:rPr>
                <w:rFonts w:ascii="仿宋_GB2312" w:hAnsi="仿宋_GB2312" w:cs="仿宋_GB2312" w:eastAsia="仿宋_GB2312"/>
                <w:sz w:val="24"/>
              </w:rPr>
              <w:t>②制剂名称及命名依据；</w:t>
            </w:r>
          </w:p>
          <w:p>
            <w:pPr>
              <w:pStyle w:val="null3"/>
              <w:ind w:firstLine="480"/>
              <w:jc w:val="both"/>
            </w:pPr>
            <w:r>
              <w:rPr>
                <w:rFonts w:ascii="仿宋_GB2312" w:hAnsi="仿宋_GB2312" w:cs="仿宋_GB2312" w:eastAsia="仿宋_GB2312"/>
                <w:sz w:val="24"/>
              </w:rPr>
              <w:t>③立题目的以及该品种的市场供应情况；</w:t>
            </w:r>
          </w:p>
          <w:p>
            <w:pPr>
              <w:pStyle w:val="null3"/>
              <w:ind w:firstLine="480"/>
              <w:jc w:val="both"/>
            </w:pPr>
            <w:r>
              <w:rPr>
                <w:rFonts w:ascii="仿宋_GB2312" w:hAnsi="仿宋_GB2312" w:cs="仿宋_GB2312" w:eastAsia="仿宋_GB2312"/>
                <w:sz w:val="24"/>
              </w:rPr>
              <w:t>④备案人制剂研发备案所需证明性文件；</w:t>
            </w:r>
          </w:p>
          <w:p>
            <w:pPr>
              <w:pStyle w:val="null3"/>
              <w:ind w:firstLine="480"/>
              <w:jc w:val="both"/>
            </w:pPr>
            <w:r>
              <w:rPr>
                <w:rFonts w:ascii="仿宋_GB2312" w:hAnsi="仿宋_GB2312" w:cs="仿宋_GB2312" w:eastAsia="仿宋_GB2312"/>
                <w:sz w:val="24"/>
              </w:rPr>
              <w:t>⑤处方组成、来源、功能主治、理论依据以及使用背景情况；</w:t>
            </w:r>
          </w:p>
          <w:p>
            <w:pPr>
              <w:pStyle w:val="null3"/>
              <w:ind w:firstLine="480"/>
              <w:jc w:val="both"/>
            </w:pPr>
            <w:r>
              <w:rPr>
                <w:rFonts w:ascii="仿宋_GB2312" w:hAnsi="仿宋_GB2312" w:cs="仿宋_GB2312" w:eastAsia="仿宋_GB2312"/>
                <w:sz w:val="24"/>
              </w:rPr>
              <w:t>⑥协助起草、选择及校正申报产品的临床使用背景资料。</w:t>
            </w:r>
          </w:p>
          <w:p>
            <w:pPr>
              <w:pStyle w:val="null3"/>
              <w:ind w:firstLine="480"/>
              <w:jc w:val="both"/>
            </w:pPr>
            <w:r>
              <w:rPr>
                <w:rFonts w:ascii="仿宋_GB2312" w:hAnsi="仿宋_GB2312" w:cs="仿宋_GB2312" w:eastAsia="仿宋_GB2312"/>
                <w:sz w:val="24"/>
              </w:rPr>
              <w:t>⑦备案成功后，协助完成各制剂的医保备案及后期相关手续办理，如年审、成为医保目录内药品审批。</w:t>
            </w:r>
          </w:p>
          <w:p>
            <w:pPr>
              <w:pStyle w:val="null3"/>
              <w:ind w:firstLine="468"/>
              <w:jc w:val="both"/>
            </w:pPr>
            <w:r>
              <w:rPr>
                <w:rFonts w:ascii="仿宋_GB2312" w:hAnsi="仿宋_GB2312" w:cs="仿宋_GB2312" w:eastAsia="仿宋_GB2312"/>
                <w:sz w:val="24"/>
              </w:rPr>
              <w:t>4）提供给采购人以下研究用物料：备案或注册检验所需全部样品、核查检验部门需提供的标准品、试剂、耗材。</w:t>
            </w:r>
          </w:p>
          <w:p>
            <w:pPr>
              <w:pStyle w:val="null3"/>
              <w:ind w:firstLine="480"/>
              <w:jc w:val="both"/>
            </w:pPr>
            <w:r>
              <w:rPr>
                <w:rFonts w:ascii="仿宋_GB2312" w:hAnsi="仿宋_GB2312" w:cs="仿宋_GB2312" w:eastAsia="仿宋_GB2312"/>
                <w:sz w:val="24"/>
              </w:rPr>
              <w:t>3、成果要求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1）取得四川省药品监督管理局应用传统工艺中药制剂备案号，并在四川省传统中药制剂备案平台上可查。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2）开展相应制剂生产。</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both"/>
            </w:pPr>
            <w:r>
              <w:rPr>
                <w:rFonts w:ascii="仿宋_GB2312" w:hAnsi="仿宋_GB2312" w:cs="仿宋_GB2312" w:eastAsia="仿宋_GB2312"/>
                <w:sz w:val="24"/>
              </w:rPr>
              <w:t>本项目制剂申报后的成果产生的知识产权全部归采购人所有。所有申报资料交由采购人保存。</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both"/>
            </w:pPr>
            <w:r>
              <w:rPr>
                <w:rFonts w:ascii="仿宋_GB2312" w:hAnsi="仿宋_GB2312" w:cs="仿宋_GB2312" w:eastAsia="仿宋_GB2312"/>
                <w:sz w:val="24"/>
              </w:rPr>
              <w:t>中标供应商不得将委托研发内容的申报资料、研究内容、研究成果及其相关知识产权泄露给第三方。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both"/>
            </w:pPr>
            <w:r>
              <w:rPr>
                <w:rFonts w:ascii="仿宋_GB2312" w:hAnsi="仿宋_GB2312" w:cs="仿宋_GB2312" w:eastAsia="仿宋_GB2312"/>
                <w:sz w:val="24"/>
              </w:rPr>
              <w:t>根据提供的备案资料，由采购人使用本采购项目研发结果进行生产，中标供应商需保障其提供的研究结果，包含工艺流程及质量方法能正常应用于生产并达到质检标准。售后服务期为取得备案号之日起至少</w:t>
            </w:r>
            <w:r>
              <w:rPr>
                <w:rFonts w:ascii="仿宋_GB2312" w:hAnsi="仿宋_GB2312" w:cs="仿宋_GB2312" w:eastAsia="仿宋_GB2312"/>
                <w:sz w:val="24"/>
              </w:rPr>
              <w:t>3</w:t>
            </w:r>
            <w:r>
              <w:rPr>
                <w:rFonts w:ascii="仿宋_GB2312" w:hAnsi="仿宋_GB2312" w:cs="仿宋_GB2312" w:eastAsia="仿宋_GB2312"/>
                <w:sz w:val="24"/>
              </w:rPr>
              <w:t>年。</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在合同签订之日起24个月内完成申报，获得制剂备案号，取得备案号后按采购人需求开展生产。委托配制合同期限：自获得备案号之日起3年。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成都市新津区中医医院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（6）履约验收程序：分期验收； （7）履约验收时间：验收条件说明：按照研发中试、备案以及每批次生产完成后，达到验收条件起15日内，分段验收； （8）验收组织的其他事项：无； （9）技术履约验收内容：按照本项目招标文件及中标供应商投标文件进行验收； （10）商务履约验收内容：按照本项目招标文件及中标供应商投标文件进行验收； （11）履约验收标准：按照《财政部关于进一步加强政府采购需求和履约验收管理的指导意见》（财库〔2016〕205号）执行； （12）履约验收其他事项：无； （13）验收主体：采购人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1、由采购人分期支付给中标供应商，在每次付款前，中标供应商需向采购人提供等额增值税发票，在收到供应商开具的发票后10个工作日内进行资金支付。具体支付方式和时间如下： 中试结束并提供相应证明材料10个工作日内，采购人应向中标供应商支付合同金额（研发及备案部分）的30%。 制剂备案成功获得备案号后10个工作日内，采购人应向中标供应商支付合同金额（研发及备案部分）的70%，达到付款条件起10日内，据实情况说明为制剂开展生产，在每批次原料到位，生产结束，当前批次产品验收合格后10个工作日内，在收到供应商开具的发票后10个工作日内进行支付对应生产费用。以每批次实际生产数量计算结算，结算金额=中标单价*实际数量</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合同规定的，每出现一次违约（合同涉及“日期”和“天数”的，每逾期一天或少一天，视为一次违约），供应商须向采购人支付合同总价1%的违约金并且按采购人要求进行整改，出现违约3次及以上或未按采购人要求整改的，采购人有权无条件解除合同并要求供应商退还已收取的费用。 3.采购人无正当理由逾期未按照合同约定付款的，则每日按未付款金额的1‰向供应商偿付违约金，但累计违约金总额不超过未付款总额的1％。 4.合同签订后，若供应商存在违法违规行为的，采购人有权无条件解除合同并要求供应商退还已获得的全部费用。 解决争议：在执行合同中发生的或与合同有关的争端，双方应通过友好协商解决，经协商在30天内不能达成一致时，应选择以下第 2 种解决方式： 1.提交采购人所在地仲裁委员会依照其现行有效的仲裁规则进行仲裁； 2.向采购人所在地有管辖权的法院提起诉讼，诉讼产生相应的费用应由败诉方负担。 在法院审理和仲裁期间，除有争议部分外，合同其他部分可以履行的仍应按合同条款继续履行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1.温馨提示：供应商将3.2.技术要求及3.3.服务要求列入格式附件“服务应答表”中明确响应或通过其他方式明确响应。 2.备注：因系统原件，供应商按照预算金额90万元填写“报价表”，本项目在90万元内据实结算，价格分的评审依据按照“报价明细表”的报价进行计算，“报价表”的响应报价不做任何评审因素。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相关法律法规允许变动的所有内容。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相关法律法规允许变动的所有内容。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本项目允许联合体投标，联合体成员单位（含联合体牵头人）不超过2家。</w:t>
            </w:r>
          </w:p>
        </w:tc>
        <w:tc>
          <w:tcPr>
            <w:tcW w:type="dxa" w:w="3322"/>
          </w:tcPr>
          <w:p>
            <w:pPr>
              <w:pStyle w:val="null3"/>
              <w:jc w:val="left"/>
            </w:pPr>
            <w:r>
              <w:rPr>
                <w:rFonts w:ascii="仿宋_GB2312" w:hAnsi="仿宋_GB2312" w:cs="仿宋_GB2312" w:eastAsia="仿宋_GB2312"/>
              </w:rPr>
              <w:t>（1）以联合体形式参加投标的，联合体各方均应当符合《中华人民共和国政府采购法》第二十二条第一款规定的条件，并提交联合体协议，载明联合体各方承担的工作和相应的责任。 【电子投标文件编制要求：①联合体各方均须按要求填写《投标（响应）函》，其中联合体牵头单位需在投标客户端中按要求在线填写《投标（响应）函》并进行电子签章；联合体成员单位须按照第六章响应文件格式《投标（响应）函》线下填写并加盖公章，盖章完成后扫描上传编制于第六章投标文件格式《供应商应提交的相关证明材料》。 ②因系统原因，联合体协议需线下签订并加盖各方公章，签订完成后，扫描上传并编制于第六章投标文件格式《供应商应提交的相关证明材料》】 （2）联合体中有同类资质的供应商按照联合体分工承担相同工作的，应当按照资质等级较低的供应商确定资质等级。（如涉及）</w:t>
            </w:r>
          </w:p>
        </w:tc>
        <w:tc>
          <w:tcPr>
            <w:tcW w:type="dxa" w:w="1910"/>
          </w:tcPr>
          <w:p>
            <w:pPr>
              <w:pStyle w:val="null3"/>
              <w:jc w:val="left"/>
            </w:pPr>
            <w:r>
              <w:rPr>
                <w:rFonts w:ascii="仿宋_GB2312" w:hAnsi="仿宋_GB2312" w:cs="仿宋_GB2312" w:eastAsia="仿宋_GB2312"/>
              </w:rPr>
              <w:t>供应商应提交的相关证明材料,投标（响应）函,联合体协议模板（参考）.docx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tc>
        <w:tc>
          <w:tcPr>
            <w:tcW w:type="dxa" w:w="1910"/>
          </w:tcPr>
          <w:p>
            <w:pPr>
              <w:pStyle w:val="null3"/>
              <w:jc w:val="left"/>
            </w:pPr>
            <w:r>
              <w:rPr>
                <w:rFonts w:ascii="仿宋_GB2312" w:hAnsi="仿宋_GB2312" w:cs="仿宋_GB2312" w:eastAsia="仿宋_GB2312"/>
              </w:rPr>
              <w:t>报价明细表,供应商应提交的相关证明材料,报价表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符合采购文件第三章规定的实质性要求</w:t>
            </w:r>
          </w:p>
        </w:tc>
        <w:tc>
          <w:tcPr>
            <w:tcW w:type="dxa" w:w="3322"/>
          </w:tcPr>
          <w:p>
            <w:pPr>
              <w:pStyle w:val="null3"/>
              <w:jc w:val="left"/>
            </w:pPr>
            <w:r>
              <w:rPr>
                <w:rFonts w:ascii="仿宋_GB2312" w:hAnsi="仿宋_GB2312" w:cs="仿宋_GB2312" w:eastAsia="仿宋_GB2312"/>
              </w:rPr>
              <w:t>符合采购文件第三章规定的实质性要求</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本项目技术指标均为实质性要求。不参与此项。</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项目实施能力</w:t>
            </w:r>
          </w:p>
        </w:tc>
        <w:tc>
          <w:tcPr>
            <w:tcW w:type="dxa" w:w="2575"/>
          </w:tcPr>
          <w:p>
            <w:pPr>
              <w:pStyle w:val="null3"/>
              <w:jc w:val="left"/>
            </w:pPr>
            <w:r>
              <w:rPr>
                <w:rFonts w:ascii="仿宋_GB2312" w:hAnsi="仿宋_GB2312" w:cs="仿宋_GB2312" w:eastAsia="仿宋_GB2312"/>
              </w:rPr>
              <w:t>① 具有获得主管部门认证的制剂中试平台得5分（提供中试平台申报书首页、中试平台公示资料及证明作为运营主体或建设主体的材料，加盖供应商电子章）。 ②项目负责人：拥有中医药类高级职称得6分，中级职称得3分，其他职称不得分。③项目组成员配备：涵盖中药学类、中医药类、制药类（工程)、医院药学类专业中级或以上职称人员。四类人员全部配备得12分，每缺少其中一类人员扣3分。额外每增加满足上述专业人员1人加1.5分，最多加6分。本项最多得18分。 注：一人一岗，人员不重复计分，并提供相关证明材料（人员职称证书），加盖供应商电子章。</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进行评审，包括：（1）制剂的工艺流程：包含制剂的工艺流程方案，配制工艺方案，参考工艺举例方案。工艺流程方案，配置工艺方案；以软膏剂、洗剂举例说明。（2）中试生产：具有包含制剂各相关岗位SOP、设备SOP以及工艺规程管理制度。（3）制剂的质量标准草案说明：分别以软膏剂、洗剂的内控质量标准举例说明。（4）制剂的稳定性试验：包含长期稳定性试验方案，加速稳定性试验方案；稳定性试验举例说明方案应包括方案时间设置，举例方案方法，项目，结果，结论表述合理。（5）项目全套研究技术路线图、计划时间表，以软膏剂、洗剂举例说明。（6）与采购人在本次制剂研发计划中的配合方案。（7）售后及生产服务：对制剂具有售后服务流程和规划。上述7项内容齐全且无缺陷（缺陷是指：内容涉及的规范或标准错误、内容表述错误、内容与本项目无关、内容不利于项目实施的任意一种情形）得28分，每缺少一项内容扣4分，扣完为止；单项内容每存在一处缺陷扣2分，单项内容分扣完为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技术与研发经验</w:t>
            </w:r>
          </w:p>
        </w:tc>
        <w:tc>
          <w:tcPr>
            <w:tcW w:type="dxa" w:w="2575"/>
          </w:tcPr>
          <w:p>
            <w:pPr>
              <w:pStyle w:val="null3"/>
              <w:jc w:val="left"/>
            </w:pPr>
            <w:r>
              <w:rPr>
                <w:rFonts w:ascii="仿宋_GB2312" w:hAnsi="仿宋_GB2312" w:cs="仿宋_GB2312" w:eastAsia="仿宋_GB2312"/>
              </w:rPr>
              <w:t>①2022年1月1日（含）至今，供应商每取得1个医疗机构制剂的研发业绩得1分，本项最高得5分（提供研发合同或协议复印件并加盖供应商电子章，以合同或协议签订时间为准）。 ②2022年1月1日（含）至今，取得1款医疗机构制剂软膏剂的备案或注册成功业绩得3分，最多得3分；2022年1月1日（含）至今，取得1款医疗机构制剂洗剂剂型的备案或注册成功业绩得3分，最多得3分；③每取得1款医疗机构制剂除软膏剂和洗剂剂型的备案或注册成功业绩得2分，每款剂型有多个品种备案或注册成功业绩的，也仅计为1款剂型，最高得8分；（提供合同和与备案制剂名称一致的医疗机构应用传统工艺配制中药制剂备案表首页和证明备案成功的网页截图，涉密请脱密处理，加盖供应商电子章，日期以取得备案号之日为准）。 ④2022年1月1日（含）至今，供应商每取得1个医疗机构制剂中试或委托生产业绩得1分，本项最高得4分（提供委托生产合同或协议复印件并加盖供应商电子章，以合同或协议签订时间为准）。</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1.研发及备案报价得分：研发及备案投标报价得分=(评标基准价／投标报价)*11。 2.生产服务（苦参洗剂）报价得分：生产服务（洗剂）投标报价得分=(评标基准价／投标报价)*3。 3.生产服务（栀黄消瘀膏）报价得分：生产服务（软膏剂）投标报价得分=(评标基准价／投标报价)*3。 4.生产服务（清心膏）报价得分：生产服务（软膏剂）投标报价得分=(评标基准价／投标报价)*3。注：各项以满足采购文件要求且价格最低的报价为基准价。</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报价明细表,中小企业声明函,残疾人福利性单位声明函,供应商应提交的相关证明材料,监狱企业的证明文件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详见附件：联合体协议模板（参考）.docx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