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EA4BFD">
      <w:pPr>
        <w:spacing w:line="360" w:lineRule="auto"/>
        <w:jc w:val="center"/>
        <w:outlineLvl w:val="0"/>
        <w:rPr>
          <w:rFonts w:hint="eastAsia" w:ascii="宋体" w:hAnsi="宋体" w:cs="宋体"/>
          <w:bCs/>
          <w:color w:val="000000"/>
          <w:sz w:val="36"/>
        </w:rPr>
      </w:pPr>
      <w:r>
        <w:rPr>
          <w:rFonts w:hint="eastAsia" w:ascii="宋体" w:hAnsi="宋体" w:cs="宋体"/>
          <w:bCs/>
          <w:color w:val="000000"/>
          <w:sz w:val="36"/>
        </w:rPr>
        <w:t>采购项目技术、服务、政府采购合同内容条款及其他商务要求</w:t>
      </w:r>
    </w:p>
    <w:p w14:paraId="31720F43">
      <w:pPr>
        <w:overflowPunct w:val="0"/>
        <w:topLinePunct/>
        <w:snapToGrid w:val="0"/>
        <w:spacing w:line="360" w:lineRule="auto"/>
        <w:ind w:firstLine="482" w:firstLineChars="200"/>
        <w:outlineLvl w:val="1"/>
        <w:rPr>
          <w:rFonts w:cs="宋体"/>
          <w:b/>
          <w:sz w:val="24"/>
        </w:rPr>
      </w:pPr>
      <w:bookmarkStart w:id="0" w:name="_Toc30785"/>
      <w:bookmarkStart w:id="1" w:name="_Toc214357789"/>
      <w:bookmarkStart w:id="2" w:name="_Toc153770906"/>
      <w:bookmarkStart w:id="3" w:name="_Toc216079266"/>
      <w:bookmarkStart w:id="4" w:name="_Toc182646019"/>
      <w:bookmarkStart w:id="5" w:name="_Toc204575961"/>
      <w:r>
        <w:rPr>
          <w:rFonts w:hint="eastAsia" w:cs="宋体"/>
          <w:b/>
          <w:sz w:val="24"/>
        </w:rPr>
        <w:t>一、项目概述</w:t>
      </w:r>
      <w:bookmarkEnd w:id="0"/>
      <w:r>
        <w:rPr>
          <w:rFonts w:hint="eastAsia" w:cs="宋体"/>
          <w:b/>
          <w:sz w:val="24"/>
        </w:rPr>
        <w:t xml:space="preserve"> </w:t>
      </w:r>
    </w:p>
    <w:p w14:paraId="7FC05BD2">
      <w:pPr>
        <w:pStyle w:val="3"/>
        <w:overflowPunct w:val="0"/>
        <w:topLinePunct/>
        <w:snapToGrid w:val="0"/>
        <w:spacing w:after="0" w:line="360" w:lineRule="auto"/>
        <w:ind w:firstLine="480" w:firstLineChars="200"/>
        <w:rPr>
          <w:rFonts w:hint="eastAsia" w:ascii="宋体" w:hAnsi="宋体" w:cs="宋体"/>
          <w:color w:val="000000"/>
          <w:sz w:val="24"/>
        </w:rPr>
      </w:pPr>
      <w:bookmarkStart w:id="6" w:name="_Toc26360"/>
      <w:r>
        <w:rPr>
          <w:rFonts w:hint="eastAsia" w:ascii="宋体" w:hAnsi="宋体" w:cs="宋体"/>
          <w:color w:val="000000"/>
          <w:sz w:val="24"/>
        </w:rPr>
        <w:t>为有效检测民警身体健康状况，拟在2025年度有计划组织在职民警进行健康体检，现采购2个专业的体检医院（机构），提供相应的体检服务，健康体检标准（单价限价）：女民警2000元/人、男民警1800元/人。</w:t>
      </w:r>
    </w:p>
    <w:tbl>
      <w:tblPr>
        <w:tblStyle w:val="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0"/>
        <w:gridCol w:w="1778"/>
        <w:gridCol w:w="1805"/>
        <w:gridCol w:w="752"/>
        <w:gridCol w:w="752"/>
        <w:gridCol w:w="1285"/>
        <w:gridCol w:w="1477"/>
      </w:tblGrid>
      <w:tr w14:paraId="79074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393" w:type="pct"/>
            <w:vMerge w:val="restart"/>
          </w:tcPr>
          <w:p w14:paraId="118F895E">
            <w:pPr>
              <w:spacing w:line="440" w:lineRule="exact"/>
              <w:jc w:val="left"/>
              <w:rPr>
                <w:rFonts w:hint="eastAsia" w:ascii="宋体" w:hAnsi="宋体" w:cs="宋体"/>
                <w:color w:val="000000"/>
                <w:sz w:val="24"/>
              </w:rPr>
            </w:pPr>
            <w:r>
              <w:rPr>
                <w:rFonts w:hint="eastAsia" w:ascii="宋体" w:hAnsi="宋体" w:cs="宋体"/>
                <w:color w:val="000000"/>
                <w:sz w:val="24"/>
              </w:rPr>
              <w:t>包号</w:t>
            </w:r>
          </w:p>
        </w:tc>
        <w:tc>
          <w:tcPr>
            <w:tcW w:w="1043" w:type="pct"/>
            <w:vMerge w:val="restart"/>
          </w:tcPr>
          <w:p w14:paraId="4A959B36">
            <w:pPr>
              <w:spacing w:line="440" w:lineRule="exact"/>
              <w:jc w:val="left"/>
              <w:rPr>
                <w:rFonts w:hint="eastAsia" w:ascii="宋体" w:hAnsi="宋体" w:cs="宋体"/>
                <w:color w:val="000000"/>
                <w:sz w:val="24"/>
              </w:rPr>
            </w:pPr>
          </w:p>
          <w:p w14:paraId="68704C11">
            <w:pPr>
              <w:spacing w:line="440" w:lineRule="exact"/>
              <w:jc w:val="left"/>
              <w:rPr>
                <w:rFonts w:hint="eastAsia" w:ascii="宋体" w:hAnsi="宋体" w:cs="宋体"/>
                <w:color w:val="000000"/>
                <w:sz w:val="24"/>
              </w:rPr>
            </w:pPr>
            <w:r>
              <w:rPr>
                <w:rFonts w:hint="eastAsia" w:ascii="宋体" w:hAnsi="宋体" w:cs="宋体"/>
                <w:color w:val="000000"/>
                <w:sz w:val="24"/>
              </w:rPr>
              <w:t>项目名称</w:t>
            </w:r>
          </w:p>
        </w:tc>
        <w:tc>
          <w:tcPr>
            <w:tcW w:w="1059" w:type="pct"/>
            <w:vMerge w:val="restart"/>
          </w:tcPr>
          <w:p w14:paraId="37232622">
            <w:pPr>
              <w:spacing w:line="440" w:lineRule="exact"/>
              <w:jc w:val="left"/>
              <w:rPr>
                <w:rFonts w:hint="eastAsia" w:ascii="宋体" w:hAnsi="宋体" w:cs="宋体"/>
                <w:color w:val="000000"/>
                <w:sz w:val="24"/>
              </w:rPr>
            </w:pPr>
          </w:p>
          <w:p w14:paraId="5A7AA6CA">
            <w:pPr>
              <w:spacing w:line="440" w:lineRule="exact"/>
              <w:jc w:val="left"/>
              <w:rPr>
                <w:rFonts w:hint="eastAsia" w:ascii="宋体" w:hAnsi="宋体" w:cs="宋体"/>
                <w:color w:val="000000"/>
                <w:sz w:val="24"/>
              </w:rPr>
            </w:pPr>
            <w:r>
              <w:rPr>
                <w:rFonts w:hint="eastAsia" w:ascii="宋体" w:hAnsi="宋体" w:cs="宋体"/>
                <w:color w:val="000000"/>
                <w:sz w:val="24"/>
              </w:rPr>
              <w:t>体检机构区域</w:t>
            </w:r>
          </w:p>
        </w:tc>
        <w:tc>
          <w:tcPr>
            <w:tcW w:w="882" w:type="pct"/>
            <w:gridSpan w:val="2"/>
            <w:vAlign w:val="center"/>
          </w:tcPr>
          <w:p w14:paraId="2E5D7551">
            <w:pPr>
              <w:spacing w:line="440" w:lineRule="exact"/>
              <w:ind w:firstLine="480" w:firstLineChars="200"/>
              <w:jc w:val="left"/>
              <w:rPr>
                <w:rFonts w:hint="eastAsia" w:ascii="宋体" w:hAnsi="宋体" w:cs="宋体"/>
                <w:color w:val="000000"/>
                <w:sz w:val="24"/>
              </w:rPr>
            </w:pPr>
            <w:r>
              <w:rPr>
                <w:rFonts w:hint="eastAsia" w:ascii="宋体" w:hAnsi="宋体" w:cs="宋体"/>
                <w:color w:val="000000"/>
                <w:sz w:val="24"/>
              </w:rPr>
              <w:t>人数</w:t>
            </w:r>
          </w:p>
        </w:tc>
        <w:tc>
          <w:tcPr>
            <w:tcW w:w="754" w:type="pct"/>
            <w:vMerge w:val="restart"/>
            <w:vAlign w:val="center"/>
          </w:tcPr>
          <w:p w14:paraId="526A6769">
            <w:pPr>
              <w:spacing w:line="440" w:lineRule="exact"/>
              <w:jc w:val="left"/>
              <w:rPr>
                <w:rFonts w:hint="eastAsia" w:ascii="宋体" w:hAnsi="宋体" w:cs="宋体"/>
                <w:color w:val="000000"/>
                <w:sz w:val="24"/>
              </w:rPr>
            </w:pPr>
            <w:r>
              <w:rPr>
                <w:rFonts w:hint="eastAsia" w:ascii="宋体" w:hAnsi="宋体" w:cs="宋体"/>
                <w:color w:val="000000"/>
                <w:sz w:val="24"/>
              </w:rPr>
              <w:t>资金预算（万元）</w:t>
            </w:r>
          </w:p>
        </w:tc>
        <w:tc>
          <w:tcPr>
            <w:tcW w:w="866" w:type="pct"/>
            <w:vMerge w:val="restart"/>
          </w:tcPr>
          <w:p w14:paraId="570E0FD1">
            <w:pPr>
              <w:spacing w:line="440" w:lineRule="exact"/>
              <w:jc w:val="left"/>
              <w:rPr>
                <w:rFonts w:hint="eastAsia" w:ascii="宋体" w:hAnsi="宋体" w:cs="宋体"/>
                <w:color w:val="000000"/>
                <w:sz w:val="24"/>
              </w:rPr>
            </w:pPr>
          </w:p>
          <w:p w14:paraId="5181BB9D">
            <w:pPr>
              <w:spacing w:line="440" w:lineRule="exact"/>
              <w:ind w:firstLine="240" w:firstLineChars="100"/>
              <w:jc w:val="left"/>
              <w:rPr>
                <w:rFonts w:hint="eastAsia" w:ascii="宋体" w:hAnsi="宋体" w:cs="宋体"/>
                <w:color w:val="000000"/>
                <w:sz w:val="24"/>
              </w:rPr>
            </w:pPr>
            <w:r>
              <w:rPr>
                <w:rFonts w:hint="eastAsia" w:ascii="宋体" w:hAnsi="宋体" w:cs="宋体"/>
                <w:color w:val="000000"/>
                <w:sz w:val="24"/>
              </w:rPr>
              <w:t>备注</w:t>
            </w:r>
          </w:p>
        </w:tc>
      </w:tr>
      <w:tr w14:paraId="5DD13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393" w:type="pct"/>
            <w:vMerge w:val="continue"/>
          </w:tcPr>
          <w:p w14:paraId="26F228AC">
            <w:pPr>
              <w:spacing w:line="440" w:lineRule="exact"/>
              <w:jc w:val="left"/>
              <w:rPr>
                <w:rFonts w:hint="eastAsia" w:ascii="宋体" w:hAnsi="宋体" w:cs="宋体"/>
                <w:color w:val="000000"/>
                <w:sz w:val="24"/>
              </w:rPr>
            </w:pPr>
          </w:p>
        </w:tc>
        <w:tc>
          <w:tcPr>
            <w:tcW w:w="1043" w:type="pct"/>
            <w:vMerge w:val="continue"/>
          </w:tcPr>
          <w:p w14:paraId="330F13A5">
            <w:pPr>
              <w:spacing w:line="440" w:lineRule="exact"/>
              <w:jc w:val="left"/>
              <w:rPr>
                <w:rFonts w:hint="eastAsia" w:ascii="宋体" w:hAnsi="宋体" w:cs="宋体"/>
                <w:color w:val="000000"/>
                <w:sz w:val="24"/>
              </w:rPr>
            </w:pPr>
          </w:p>
        </w:tc>
        <w:tc>
          <w:tcPr>
            <w:tcW w:w="1059" w:type="pct"/>
            <w:vMerge w:val="continue"/>
          </w:tcPr>
          <w:p w14:paraId="64716D84">
            <w:pPr>
              <w:spacing w:line="440" w:lineRule="exact"/>
              <w:jc w:val="left"/>
              <w:rPr>
                <w:rFonts w:hint="eastAsia" w:ascii="宋体" w:hAnsi="宋体" w:cs="宋体"/>
                <w:color w:val="000000"/>
                <w:sz w:val="24"/>
              </w:rPr>
            </w:pPr>
          </w:p>
        </w:tc>
        <w:tc>
          <w:tcPr>
            <w:tcW w:w="441" w:type="pct"/>
            <w:vAlign w:val="center"/>
          </w:tcPr>
          <w:p w14:paraId="6E835337">
            <w:pPr>
              <w:spacing w:line="440" w:lineRule="exact"/>
              <w:ind w:firstLine="240" w:firstLineChars="100"/>
              <w:jc w:val="left"/>
              <w:rPr>
                <w:rFonts w:hint="eastAsia" w:ascii="宋体" w:hAnsi="宋体" w:cs="宋体"/>
                <w:color w:val="000000"/>
                <w:sz w:val="24"/>
              </w:rPr>
            </w:pPr>
            <w:r>
              <w:rPr>
                <w:rFonts w:hint="eastAsia" w:ascii="宋体" w:hAnsi="宋体" w:cs="宋体"/>
                <w:color w:val="000000"/>
                <w:sz w:val="24"/>
              </w:rPr>
              <w:t>男</w:t>
            </w:r>
          </w:p>
        </w:tc>
        <w:tc>
          <w:tcPr>
            <w:tcW w:w="441" w:type="pct"/>
            <w:vAlign w:val="center"/>
          </w:tcPr>
          <w:p w14:paraId="3F1C6542">
            <w:pPr>
              <w:spacing w:line="440" w:lineRule="exact"/>
              <w:ind w:firstLine="240" w:firstLineChars="100"/>
              <w:jc w:val="left"/>
              <w:rPr>
                <w:rFonts w:hint="eastAsia" w:ascii="宋体" w:hAnsi="宋体" w:cs="宋体"/>
                <w:color w:val="000000"/>
                <w:sz w:val="24"/>
              </w:rPr>
            </w:pPr>
            <w:r>
              <w:rPr>
                <w:rFonts w:hint="eastAsia" w:ascii="宋体" w:hAnsi="宋体" w:cs="宋体"/>
                <w:color w:val="000000"/>
                <w:sz w:val="24"/>
              </w:rPr>
              <w:t>女</w:t>
            </w:r>
          </w:p>
        </w:tc>
        <w:tc>
          <w:tcPr>
            <w:tcW w:w="754" w:type="pct"/>
            <w:vMerge w:val="continue"/>
            <w:vAlign w:val="center"/>
          </w:tcPr>
          <w:p w14:paraId="3F656D9E">
            <w:pPr>
              <w:spacing w:line="440" w:lineRule="exact"/>
              <w:jc w:val="left"/>
              <w:rPr>
                <w:rFonts w:hint="eastAsia" w:ascii="宋体" w:hAnsi="宋体" w:cs="宋体"/>
                <w:color w:val="000000"/>
                <w:sz w:val="24"/>
              </w:rPr>
            </w:pPr>
          </w:p>
        </w:tc>
        <w:tc>
          <w:tcPr>
            <w:tcW w:w="866" w:type="pct"/>
            <w:vMerge w:val="continue"/>
          </w:tcPr>
          <w:p w14:paraId="312B1BAB">
            <w:pPr>
              <w:spacing w:line="440" w:lineRule="exact"/>
              <w:jc w:val="left"/>
              <w:rPr>
                <w:rFonts w:hint="eastAsia" w:ascii="宋体" w:hAnsi="宋体" w:cs="宋体"/>
                <w:color w:val="000000"/>
                <w:sz w:val="24"/>
              </w:rPr>
            </w:pPr>
          </w:p>
        </w:tc>
      </w:tr>
      <w:tr w14:paraId="66927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393" w:type="pct"/>
          </w:tcPr>
          <w:p w14:paraId="3F39AA70">
            <w:pPr>
              <w:spacing w:line="440" w:lineRule="exact"/>
              <w:jc w:val="left"/>
              <w:rPr>
                <w:rFonts w:hint="eastAsia" w:ascii="宋体" w:hAnsi="宋体" w:cs="宋体"/>
                <w:color w:val="000000"/>
                <w:sz w:val="24"/>
              </w:rPr>
            </w:pPr>
          </w:p>
          <w:p w14:paraId="224C686D">
            <w:pPr>
              <w:spacing w:line="440" w:lineRule="exact"/>
              <w:ind w:firstLine="240" w:firstLineChars="100"/>
              <w:jc w:val="left"/>
              <w:rPr>
                <w:rFonts w:hint="eastAsia" w:ascii="宋体" w:hAnsi="宋体" w:cs="宋体"/>
                <w:color w:val="000000"/>
                <w:sz w:val="24"/>
              </w:rPr>
            </w:pPr>
            <w:r>
              <w:rPr>
                <w:rFonts w:hint="eastAsia" w:ascii="宋体" w:hAnsi="宋体" w:cs="宋体"/>
                <w:color w:val="000000"/>
                <w:sz w:val="24"/>
              </w:rPr>
              <w:t>1</w:t>
            </w:r>
          </w:p>
        </w:tc>
        <w:tc>
          <w:tcPr>
            <w:tcW w:w="1043" w:type="pct"/>
            <w:vAlign w:val="center"/>
          </w:tcPr>
          <w:p w14:paraId="684ED9FD">
            <w:pPr>
              <w:spacing w:line="440" w:lineRule="exact"/>
              <w:jc w:val="left"/>
              <w:rPr>
                <w:rFonts w:hint="eastAsia" w:ascii="宋体" w:hAnsi="宋体" w:cs="宋体"/>
                <w:color w:val="000000"/>
                <w:sz w:val="24"/>
              </w:rPr>
            </w:pPr>
            <w:r>
              <w:rPr>
                <w:rFonts w:hint="eastAsia" w:ascii="宋体" w:hAnsi="宋体" w:cs="宋体"/>
                <w:color w:val="000000"/>
                <w:sz w:val="24"/>
              </w:rPr>
              <w:t>民警健康体检</w:t>
            </w:r>
          </w:p>
        </w:tc>
        <w:tc>
          <w:tcPr>
            <w:tcW w:w="1059" w:type="pct"/>
            <w:vAlign w:val="center"/>
          </w:tcPr>
          <w:p w14:paraId="340DA82F">
            <w:pPr>
              <w:spacing w:line="440" w:lineRule="exact"/>
              <w:jc w:val="left"/>
              <w:rPr>
                <w:rFonts w:hint="eastAsia" w:ascii="宋体" w:hAnsi="宋体" w:cs="宋体"/>
                <w:color w:val="000000"/>
                <w:sz w:val="24"/>
              </w:rPr>
            </w:pPr>
          </w:p>
          <w:p w14:paraId="0AF9F4C9">
            <w:pPr>
              <w:spacing w:line="440" w:lineRule="exact"/>
              <w:ind w:firstLine="240" w:firstLineChars="100"/>
              <w:jc w:val="left"/>
              <w:rPr>
                <w:rFonts w:hint="eastAsia" w:ascii="宋体" w:hAnsi="宋体" w:cs="宋体"/>
                <w:color w:val="000000"/>
                <w:sz w:val="24"/>
              </w:rPr>
            </w:pPr>
            <w:r>
              <w:rPr>
                <w:rFonts w:hint="eastAsia" w:ascii="宋体" w:hAnsi="宋体" w:cs="宋体"/>
                <w:color w:val="000000"/>
                <w:sz w:val="24"/>
              </w:rPr>
              <w:t>成都片区</w:t>
            </w:r>
          </w:p>
        </w:tc>
        <w:tc>
          <w:tcPr>
            <w:tcW w:w="441" w:type="pct"/>
            <w:vAlign w:val="center"/>
          </w:tcPr>
          <w:p w14:paraId="3230711A">
            <w:pPr>
              <w:spacing w:line="440" w:lineRule="exact"/>
              <w:jc w:val="left"/>
              <w:rPr>
                <w:rFonts w:hint="eastAsia" w:ascii="宋体" w:hAnsi="宋体" w:cs="宋体"/>
                <w:color w:val="000000"/>
                <w:sz w:val="24"/>
              </w:rPr>
            </w:pPr>
          </w:p>
          <w:p w14:paraId="076FC120">
            <w:pPr>
              <w:spacing w:line="440" w:lineRule="exact"/>
              <w:jc w:val="left"/>
              <w:rPr>
                <w:rFonts w:hint="eastAsia" w:ascii="宋体" w:hAnsi="宋体" w:cs="宋体"/>
                <w:color w:val="000000"/>
                <w:sz w:val="24"/>
              </w:rPr>
            </w:pPr>
            <w:r>
              <w:rPr>
                <w:rFonts w:hint="eastAsia" w:ascii="宋体" w:hAnsi="宋体" w:cs="宋体"/>
                <w:color w:val="000000"/>
                <w:sz w:val="24"/>
              </w:rPr>
              <w:t>525</w:t>
            </w:r>
          </w:p>
        </w:tc>
        <w:tc>
          <w:tcPr>
            <w:tcW w:w="441" w:type="pct"/>
            <w:vAlign w:val="center"/>
          </w:tcPr>
          <w:p w14:paraId="65509175">
            <w:pPr>
              <w:spacing w:line="440" w:lineRule="exact"/>
              <w:jc w:val="left"/>
              <w:rPr>
                <w:rFonts w:hint="eastAsia" w:ascii="宋体" w:hAnsi="宋体" w:cs="宋体"/>
                <w:color w:val="000000"/>
                <w:sz w:val="24"/>
              </w:rPr>
            </w:pPr>
          </w:p>
          <w:p w14:paraId="5EE9357B">
            <w:pPr>
              <w:spacing w:line="440" w:lineRule="exact"/>
              <w:jc w:val="left"/>
              <w:rPr>
                <w:rFonts w:hint="eastAsia" w:ascii="宋体" w:hAnsi="宋体" w:cs="宋体"/>
                <w:color w:val="000000"/>
                <w:sz w:val="24"/>
              </w:rPr>
            </w:pPr>
            <w:r>
              <w:rPr>
                <w:rFonts w:hint="eastAsia" w:ascii="宋体" w:hAnsi="宋体" w:cs="宋体"/>
                <w:color w:val="000000"/>
                <w:sz w:val="24"/>
              </w:rPr>
              <w:t>170</w:t>
            </w:r>
          </w:p>
        </w:tc>
        <w:tc>
          <w:tcPr>
            <w:tcW w:w="754" w:type="pct"/>
            <w:vAlign w:val="center"/>
          </w:tcPr>
          <w:p w14:paraId="33B592D1">
            <w:pPr>
              <w:spacing w:line="440" w:lineRule="exact"/>
              <w:jc w:val="left"/>
              <w:rPr>
                <w:rFonts w:hint="eastAsia" w:ascii="宋体" w:hAnsi="宋体" w:cs="宋体"/>
                <w:color w:val="000000"/>
                <w:sz w:val="24"/>
              </w:rPr>
            </w:pPr>
          </w:p>
          <w:p w14:paraId="57CE1B50">
            <w:pPr>
              <w:spacing w:line="440" w:lineRule="exact"/>
              <w:ind w:firstLine="240" w:firstLineChars="100"/>
              <w:jc w:val="left"/>
              <w:rPr>
                <w:rFonts w:hint="eastAsia" w:ascii="宋体" w:hAnsi="宋体" w:cs="宋体"/>
                <w:color w:val="000000"/>
                <w:sz w:val="24"/>
              </w:rPr>
            </w:pPr>
            <w:r>
              <w:rPr>
                <w:rFonts w:hint="eastAsia" w:ascii="宋体" w:hAnsi="宋体" w:cs="宋体"/>
                <w:color w:val="000000"/>
                <w:sz w:val="24"/>
              </w:rPr>
              <w:t>128.50</w:t>
            </w:r>
          </w:p>
        </w:tc>
        <w:tc>
          <w:tcPr>
            <w:tcW w:w="866" w:type="pct"/>
          </w:tcPr>
          <w:p w14:paraId="18FABF88">
            <w:pPr>
              <w:spacing w:line="440" w:lineRule="exact"/>
              <w:jc w:val="left"/>
              <w:rPr>
                <w:rFonts w:hint="eastAsia" w:ascii="宋体" w:hAnsi="宋体" w:cs="宋体"/>
                <w:color w:val="000000"/>
                <w:sz w:val="24"/>
              </w:rPr>
            </w:pPr>
            <w:r>
              <w:rPr>
                <w:rFonts w:hint="eastAsia" w:ascii="宋体" w:hAnsi="宋体" w:cs="宋体"/>
                <w:color w:val="000000"/>
                <w:sz w:val="24"/>
              </w:rPr>
              <w:t>以实际参检人数结算</w:t>
            </w:r>
          </w:p>
        </w:tc>
      </w:tr>
      <w:tr w14:paraId="45038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393" w:type="pct"/>
          </w:tcPr>
          <w:p w14:paraId="1B86D0DB">
            <w:pPr>
              <w:spacing w:line="440" w:lineRule="exact"/>
              <w:jc w:val="left"/>
              <w:rPr>
                <w:rFonts w:hint="eastAsia" w:ascii="宋体" w:hAnsi="宋体" w:cs="宋体"/>
                <w:color w:val="000000"/>
                <w:sz w:val="24"/>
              </w:rPr>
            </w:pPr>
          </w:p>
          <w:p w14:paraId="1E071676">
            <w:pPr>
              <w:spacing w:line="440" w:lineRule="exact"/>
              <w:ind w:firstLine="240" w:firstLineChars="100"/>
              <w:jc w:val="left"/>
              <w:rPr>
                <w:rFonts w:hint="eastAsia" w:ascii="宋体" w:hAnsi="宋体" w:cs="宋体"/>
                <w:color w:val="000000"/>
                <w:sz w:val="24"/>
              </w:rPr>
            </w:pPr>
            <w:r>
              <w:rPr>
                <w:rFonts w:hint="eastAsia" w:ascii="宋体" w:hAnsi="宋体" w:cs="宋体"/>
                <w:color w:val="000000"/>
                <w:sz w:val="24"/>
              </w:rPr>
              <w:t>2</w:t>
            </w:r>
          </w:p>
        </w:tc>
        <w:tc>
          <w:tcPr>
            <w:tcW w:w="1043" w:type="pct"/>
            <w:vAlign w:val="center"/>
          </w:tcPr>
          <w:p w14:paraId="10F5697D">
            <w:pPr>
              <w:spacing w:line="440" w:lineRule="exact"/>
              <w:jc w:val="left"/>
              <w:rPr>
                <w:rFonts w:hint="eastAsia" w:ascii="宋体" w:hAnsi="宋体" w:cs="宋体"/>
                <w:color w:val="000000"/>
                <w:sz w:val="24"/>
              </w:rPr>
            </w:pPr>
            <w:r>
              <w:rPr>
                <w:rFonts w:hint="eastAsia" w:ascii="宋体" w:hAnsi="宋体" w:cs="宋体"/>
                <w:color w:val="000000"/>
                <w:sz w:val="24"/>
              </w:rPr>
              <w:t>民警健康体检</w:t>
            </w:r>
          </w:p>
        </w:tc>
        <w:tc>
          <w:tcPr>
            <w:tcW w:w="1059" w:type="pct"/>
            <w:vAlign w:val="center"/>
          </w:tcPr>
          <w:p w14:paraId="31DC91DD">
            <w:pPr>
              <w:spacing w:line="440" w:lineRule="exact"/>
              <w:jc w:val="left"/>
              <w:rPr>
                <w:rFonts w:hint="eastAsia" w:ascii="宋体" w:hAnsi="宋体" w:cs="宋体"/>
                <w:color w:val="000000"/>
                <w:sz w:val="24"/>
              </w:rPr>
            </w:pPr>
          </w:p>
          <w:p w14:paraId="75D4A0A0">
            <w:pPr>
              <w:spacing w:line="440" w:lineRule="exact"/>
              <w:ind w:firstLine="240" w:firstLineChars="100"/>
              <w:jc w:val="left"/>
              <w:rPr>
                <w:rFonts w:hint="eastAsia" w:ascii="宋体" w:hAnsi="宋体" w:cs="宋体"/>
                <w:color w:val="000000"/>
                <w:sz w:val="24"/>
              </w:rPr>
            </w:pPr>
            <w:r>
              <w:rPr>
                <w:rFonts w:hint="eastAsia" w:ascii="宋体" w:hAnsi="宋体" w:cs="宋体"/>
                <w:color w:val="000000"/>
                <w:sz w:val="24"/>
              </w:rPr>
              <w:t>大邑县片区</w:t>
            </w:r>
          </w:p>
        </w:tc>
        <w:tc>
          <w:tcPr>
            <w:tcW w:w="441" w:type="pct"/>
            <w:vAlign w:val="center"/>
          </w:tcPr>
          <w:p w14:paraId="7923160E">
            <w:pPr>
              <w:spacing w:line="440" w:lineRule="exact"/>
              <w:jc w:val="left"/>
              <w:rPr>
                <w:rFonts w:hint="eastAsia" w:ascii="宋体" w:hAnsi="宋体" w:cs="宋体"/>
                <w:color w:val="000000"/>
                <w:sz w:val="24"/>
              </w:rPr>
            </w:pPr>
          </w:p>
          <w:p w14:paraId="521201B5">
            <w:pPr>
              <w:spacing w:line="440" w:lineRule="exact"/>
              <w:jc w:val="left"/>
              <w:rPr>
                <w:rFonts w:hint="eastAsia" w:ascii="宋体" w:hAnsi="宋体" w:cs="宋体"/>
                <w:color w:val="000000"/>
                <w:sz w:val="24"/>
              </w:rPr>
            </w:pPr>
            <w:r>
              <w:rPr>
                <w:rFonts w:hint="eastAsia" w:ascii="宋体" w:hAnsi="宋体" w:cs="宋体"/>
                <w:color w:val="000000"/>
                <w:sz w:val="24"/>
              </w:rPr>
              <w:t>245</w:t>
            </w:r>
          </w:p>
        </w:tc>
        <w:tc>
          <w:tcPr>
            <w:tcW w:w="441" w:type="pct"/>
            <w:vAlign w:val="center"/>
          </w:tcPr>
          <w:p w14:paraId="17D868E1">
            <w:pPr>
              <w:spacing w:line="440" w:lineRule="exact"/>
              <w:jc w:val="left"/>
              <w:rPr>
                <w:rFonts w:hint="eastAsia" w:ascii="宋体" w:hAnsi="宋体" w:cs="宋体"/>
                <w:color w:val="000000"/>
                <w:sz w:val="24"/>
              </w:rPr>
            </w:pPr>
          </w:p>
          <w:p w14:paraId="643C3755">
            <w:pPr>
              <w:spacing w:line="440" w:lineRule="exact"/>
              <w:jc w:val="left"/>
              <w:rPr>
                <w:rFonts w:hint="eastAsia" w:ascii="宋体" w:hAnsi="宋体" w:cs="宋体"/>
                <w:color w:val="000000"/>
                <w:sz w:val="24"/>
              </w:rPr>
            </w:pPr>
            <w:r>
              <w:rPr>
                <w:rFonts w:hint="eastAsia" w:ascii="宋体" w:hAnsi="宋体" w:cs="宋体"/>
                <w:color w:val="000000"/>
                <w:sz w:val="24"/>
              </w:rPr>
              <w:t>17</w:t>
            </w:r>
          </w:p>
        </w:tc>
        <w:tc>
          <w:tcPr>
            <w:tcW w:w="754" w:type="pct"/>
            <w:vAlign w:val="center"/>
          </w:tcPr>
          <w:p w14:paraId="7523AF89">
            <w:pPr>
              <w:spacing w:line="440" w:lineRule="exact"/>
              <w:jc w:val="left"/>
              <w:rPr>
                <w:rFonts w:hint="eastAsia" w:ascii="宋体" w:hAnsi="宋体" w:cs="宋体"/>
                <w:color w:val="000000"/>
                <w:sz w:val="24"/>
              </w:rPr>
            </w:pPr>
          </w:p>
          <w:p w14:paraId="75121E0A">
            <w:pPr>
              <w:spacing w:line="440" w:lineRule="exact"/>
              <w:ind w:firstLine="240" w:firstLineChars="100"/>
              <w:jc w:val="left"/>
              <w:rPr>
                <w:rFonts w:hint="eastAsia" w:ascii="宋体" w:hAnsi="宋体" w:cs="宋体"/>
                <w:color w:val="000000"/>
                <w:sz w:val="24"/>
              </w:rPr>
            </w:pPr>
            <w:r>
              <w:rPr>
                <w:rFonts w:hint="eastAsia" w:ascii="宋体" w:hAnsi="宋体" w:cs="宋体"/>
                <w:color w:val="000000"/>
                <w:sz w:val="24"/>
              </w:rPr>
              <w:t>47.50</w:t>
            </w:r>
          </w:p>
        </w:tc>
        <w:tc>
          <w:tcPr>
            <w:tcW w:w="866" w:type="pct"/>
          </w:tcPr>
          <w:p w14:paraId="53176ED3">
            <w:pPr>
              <w:spacing w:line="440" w:lineRule="exact"/>
              <w:jc w:val="left"/>
              <w:rPr>
                <w:rFonts w:hint="eastAsia" w:ascii="宋体" w:hAnsi="宋体" w:cs="宋体"/>
                <w:color w:val="000000"/>
                <w:sz w:val="24"/>
              </w:rPr>
            </w:pPr>
            <w:r>
              <w:rPr>
                <w:rFonts w:hint="eastAsia" w:ascii="宋体" w:hAnsi="宋体" w:cs="宋体"/>
                <w:color w:val="000000"/>
                <w:sz w:val="24"/>
              </w:rPr>
              <w:t>以实际参检人数结算</w:t>
            </w:r>
          </w:p>
        </w:tc>
      </w:tr>
      <w:tr w14:paraId="4FA5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93" w:type="pct"/>
          </w:tcPr>
          <w:p w14:paraId="331102A6">
            <w:pPr>
              <w:spacing w:line="440" w:lineRule="exact"/>
              <w:ind w:firstLine="240" w:firstLineChars="100"/>
              <w:jc w:val="left"/>
              <w:rPr>
                <w:rFonts w:hint="eastAsia" w:ascii="宋体" w:hAnsi="宋体" w:cs="宋体"/>
                <w:color w:val="000000"/>
                <w:sz w:val="24"/>
              </w:rPr>
            </w:pPr>
          </w:p>
        </w:tc>
        <w:tc>
          <w:tcPr>
            <w:tcW w:w="1043" w:type="pct"/>
            <w:vAlign w:val="center"/>
          </w:tcPr>
          <w:p w14:paraId="2E9F6B01">
            <w:pPr>
              <w:spacing w:line="440" w:lineRule="exact"/>
              <w:ind w:firstLine="240" w:firstLineChars="100"/>
              <w:jc w:val="left"/>
              <w:rPr>
                <w:rFonts w:hint="eastAsia" w:ascii="宋体" w:hAnsi="宋体" w:cs="宋体"/>
                <w:color w:val="000000"/>
                <w:sz w:val="24"/>
              </w:rPr>
            </w:pPr>
            <w:r>
              <w:rPr>
                <w:rFonts w:hint="eastAsia" w:ascii="宋体" w:hAnsi="宋体" w:cs="宋体"/>
                <w:color w:val="000000"/>
                <w:sz w:val="24"/>
              </w:rPr>
              <w:t>合计</w:t>
            </w:r>
          </w:p>
        </w:tc>
        <w:tc>
          <w:tcPr>
            <w:tcW w:w="1059" w:type="pct"/>
            <w:vAlign w:val="center"/>
          </w:tcPr>
          <w:p w14:paraId="34D8D0E4">
            <w:pPr>
              <w:spacing w:line="440" w:lineRule="exact"/>
              <w:ind w:firstLine="240" w:firstLineChars="100"/>
              <w:jc w:val="left"/>
              <w:rPr>
                <w:rFonts w:hint="eastAsia" w:ascii="宋体" w:hAnsi="宋体" w:cs="宋体"/>
                <w:color w:val="000000"/>
                <w:sz w:val="24"/>
              </w:rPr>
            </w:pPr>
          </w:p>
        </w:tc>
        <w:tc>
          <w:tcPr>
            <w:tcW w:w="441" w:type="pct"/>
            <w:vAlign w:val="center"/>
          </w:tcPr>
          <w:p w14:paraId="7CD29843">
            <w:pPr>
              <w:spacing w:line="440" w:lineRule="exact"/>
              <w:jc w:val="left"/>
              <w:rPr>
                <w:rFonts w:hint="eastAsia" w:ascii="宋体" w:hAnsi="宋体" w:cs="宋体"/>
                <w:color w:val="000000"/>
                <w:sz w:val="24"/>
              </w:rPr>
            </w:pPr>
          </w:p>
        </w:tc>
        <w:tc>
          <w:tcPr>
            <w:tcW w:w="441" w:type="pct"/>
            <w:vAlign w:val="center"/>
          </w:tcPr>
          <w:p w14:paraId="36282F96">
            <w:pPr>
              <w:spacing w:line="440" w:lineRule="exact"/>
              <w:jc w:val="left"/>
              <w:rPr>
                <w:rFonts w:hint="eastAsia" w:ascii="宋体" w:hAnsi="宋体" w:cs="宋体"/>
                <w:color w:val="000000"/>
                <w:sz w:val="24"/>
              </w:rPr>
            </w:pPr>
          </w:p>
        </w:tc>
        <w:tc>
          <w:tcPr>
            <w:tcW w:w="754" w:type="pct"/>
            <w:vAlign w:val="center"/>
          </w:tcPr>
          <w:p w14:paraId="3EB6610A">
            <w:pPr>
              <w:spacing w:line="440" w:lineRule="exact"/>
              <w:ind w:firstLine="240" w:firstLineChars="100"/>
              <w:jc w:val="left"/>
              <w:rPr>
                <w:rFonts w:hint="eastAsia" w:ascii="宋体" w:hAnsi="宋体" w:cs="宋体"/>
                <w:color w:val="000000"/>
                <w:sz w:val="24"/>
              </w:rPr>
            </w:pPr>
            <w:r>
              <w:rPr>
                <w:rFonts w:hint="eastAsia" w:ascii="宋体" w:hAnsi="宋体" w:cs="宋体"/>
                <w:color w:val="000000"/>
                <w:sz w:val="24"/>
              </w:rPr>
              <w:t>176.00</w:t>
            </w:r>
          </w:p>
        </w:tc>
        <w:tc>
          <w:tcPr>
            <w:tcW w:w="866" w:type="pct"/>
          </w:tcPr>
          <w:p w14:paraId="75B58469">
            <w:pPr>
              <w:spacing w:line="440" w:lineRule="exact"/>
              <w:jc w:val="left"/>
              <w:rPr>
                <w:rFonts w:hint="eastAsia" w:ascii="宋体" w:hAnsi="宋体" w:cs="宋体"/>
                <w:color w:val="000000"/>
                <w:sz w:val="24"/>
              </w:rPr>
            </w:pPr>
          </w:p>
        </w:tc>
      </w:tr>
    </w:tbl>
    <w:p w14:paraId="227C574E"/>
    <w:p w14:paraId="172E12F8">
      <w:pPr>
        <w:overflowPunct w:val="0"/>
        <w:topLinePunct/>
        <w:snapToGrid w:val="0"/>
        <w:spacing w:line="360" w:lineRule="auto"/>
        <w:ind w:firstLine="482" w:firstLineChars="200"/>
        <w:outlineLvl w:val="1"/>
        <w:rPr>
          <w:rFonts w:cs="宋体"/>
          <w:b/>
          <w:sz w:val="24"/>
        </w:rPr>
      </w:pPr>
      <w:r>
        <w:rPr>
          <w:rFonts w:hint="eastAsia" w:cs="宋体"/>
          <w:b/>
          <w:sz w:val="24"/>
        </w:rPr>
        <w:t>★二、体检内容</w:t>
      </w:r>
      <w:bookmarkEnd w:id="6"/>
      <w:r>
        <w:rPr>
          <w:rFonts w:hint="eastAsia" w:cs="宋体"/>
          <w:b/>
          <w:sz w:val="24"/>
        </w:rPr>
        <w:t xml:space="preserve"> </w:t>
      </w:r>
    </w:p>
    <w:p w14:paraId="5D9A8072">
      <w:pPr>
        <w:overflowPunct w:val="0"/>
        <w:topLinePunct/>
        <w:snapToGrid w:val="0"/>
        <w:spacing w:line="360" w:lineRule="auto"/>
        <w:ind w:firstLine="482" w:firstLineChars="200"/>
        <w:outlineLvl w:val="9"/>
        <w:rPr>
          <w:rFonts w:cs="宋体"/>
          <w:b/>
          <w:sz w:val="24"/>
        </w:rPr>
      </w:pPr>
      <w:r>
        <w:rPr>
          <w:rFonts w:hint="eastAsia" w:cs="宋体"/>
          <w:b/>
          <w:sz w:val="24"/>
        </w:rPr>
        <w:t>单位人员在基础套餐+X套餐</w:t>
      </w:r>
      <w:r>
        <w:rPr>
          <w:rFonts w:hint="eastAsia" w:cs="宋体"/>
          <w:b/>
          <w:sz w:val="24"/>
          <w:lang w:eastAsia="zh-CN"/>
        </w:rPr>
        <w:t>（</w:t>
      </w:r>
      <w:r>
        <w:rPr>
          <w:rFonts w:hint="eastAsia" w:cs="宋体"/>
          <w:b/>
          <w:sz w:val="24"/>
          <w:lang w:val="en-US" w:eastAsia="zh-CN"/>
        </w:rPr>
        <w:t>方案一</w:t>
      </w:r>
      <w:r>
        <w:rPr>
          <w:rFonts w:hint="eastAsia" w:cs="宋体"/>
          <w:b/>
          <w:sz w:val="24"/>
          <w:lang w:eastAsia="zh-CN"/>
        </w:rPr>
        <w:t>）</w:t>
      </w:r>
      <w:r>
        <w:rPr>
          <w:rFonts w:hint="eastAsia" w:cs="宋体"/>
          <w:b/>
          <w:sz w:val="24"/>
        </w:rPr>
        <w:t>或者胃肠专项套餐</w:t>
      </w:r>
      <w:r>
        <w:rPr>
          <w:rFonts w:hint="eastAsia" w:cs="宋体"/>
          <w:b/>
          <w:sz w:val="24"/>
          <w:lang w:eastAsia="zh-CN"/>
        </w:rPr>
        <w:t>（</w:t>
      </w:r>
      <w:r>
        <w:rPr>
          <w:rFonts w:hint="eastAsia" w:cs="宋体"/>
          <w:b/>
          <w:sz w:val="24"/>
          <w:lang w:val="en-US" w:eastAsia="zh-CN"/>
        </w:rPr>
        <w:t>方案二</w:t>
      </w:r>
      <w:r>
        <w:rPr>
          <w:rFonts w:hint="eastAsia" w:cs="宋体"/>
          <w:b/>
          <w:sz w:val="24"/>
          <w:lang w:eastAsia="zh-CN"/>
        </w:rPr>
        <w:t>）</w:t>
      </w:r>
      <w:r>
        <w:rPr>
          <w:rFonts w:hint="eastAsia" w:cs="宋体"/>
          <w:b/>
          <w:sz w:val="24"/>
        </w:rPr>
        <w:t>中2选1作为本次体检标准（男: 1800元/人，已婚女2000元/人）。</w:t>
      </w:r>
    </w:p>
    <w:tbl>
      <w:tblPr>
        <w:tblStyle w:val="4"/>
        <w:tblW w:w="4987" w:type="pct"/>
        <w:tblInd w:w="12" w:type="dxa"/>
        <w:tblLayout w:type="autofit"/>
        <w:tblCellMar>
          <w:top w:w="0" w:type="dxa"/>
          <w:left w:w="108" w:type="dxa"/>
          <w:bottom w:w="0" w:type="dxa"/>
          <w:right w:w="108" w:type="dxa"/>
        </w:tblCellMar>
      </w:tblPr>
      <w:tblGrid>
        <w:gridCol w:w="437"/>
        <w:gridCol w:w="1756"/>
        <w:gridCol w:w="4189"/>
        <w:gridCol w:w="1088"/>
        <w:gridCol w:w="1030"/>
      </w:tblGrid>
      <w:tr w14:paraId="4537D41B">
        <w:tblPrEx>
          <w:tblCellMar>
            <w:top w:w="0" w:type="dxa"/>
            <w:left w:w="108" w:type="dxa"/>
            <w:bottom w:w="0" w:type="dxa"/>
            <w:right w:w="108" w:type="dxa"/>
          </w:tblCellMar>
        </w:tblPrEx>
        <w:trPr>
          <w:trHeight w:val="45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5E967">
            <w:pPr>
              <w:widowControl/>
              <w:jc w:val="center"/>
              <w:textAlignment w:val="center"/>
              <w:rPr>
                <w:rFonts w:hint="eastAsia" w:ascii="宋体" w:hAnsi="宋体" w:cs="宋体"/>
                <w:b/>
                <w:bCs/>
                <w:kern w:val="0"/>
                <w:sz w:val="36"/>
                <w:szCs w:val="36"/>
                <w:lang w:bidi="ar"/>
              </w:rPr>
            </w:pPr>
            <w:r>
              <w:rPr>
                <w:rFonts w:hint="eastAsia" w:ascii="宋体" w:hAnsi="宋体" w:cs="宋体"/>
                <w:b/>
                <w:bCs/>
                <w:kern w:val="0"/>
                <w:sz w:val="36"/>
                <w:szCs w:val="36"/>
                <w:lang w:bidi="ar"/>
              </w:rPr>
              <w:t>基础套餐</w:t>
            </w:r>
            <w:r>
              <w:rPr>
                <w:rFonts w:hint="eastAsia" w:ascii="宋体" w:hAnsi="宋体" w:cs="宋体"/>
                <w:b/>
                <w:bCs/>
                <w:kern w:val="0"/>
                <w:sz w:val="36"/>
                <w:szCs w:val="36"/>
                <w:lang w:eastAsia="zh-CN" w:bidi="ar"/>
              </w:rPr>
              <w:t>（</w:t>
            </w:r>
            <w:r>
              <w:rPr>
                <w:rFonts w:hint="eastAsia" w:ascii="宋体" w:hAnsi="宋体" w:cs="宋体"/>
                <w:b/>
                <w:bCs/>
                <w:kern w:val="0"/>
                <w:sz w:val="36"/>
                <w:szCs w:val="36"/>
                <w:lang w:val="en-US" w:eastAsia="zh-CN" w:bidi="ar"/>
              </w:rPr>
              <w:t>方案一</w:t>
            </w:r>
            <w:r>
              <w:rPr>
                <w:rFonts w:hint="eastAsia" w:ascii="宋体" w:hAnsi="宋体" w:cs="宋体"/>
                <w:b/>
                <w:bCs/>
                <w:kern w:val="0"/>
                <w:sz w:val="36"/>
                <w:szCs w:val="36"/>
                <w:lang w:eastAsia="zh-CN" w:bidi="ar"/>
              </w:rPr>
              <w:t>）</w:t>
            </w:r>
          </w:p>
        </w:tc>
      </w:tr>
      <w:tr w14:paraId="048EC9C3">
        <w:tblPrEx>
          <w:tblCellMar>
            <w:top w:w="0" w:type="dxa"/>
            <w:left w:w="108" w:type="dxa"/>
            <w:bottom w:w="0" w:type="dxa"/>
            <w:right w:w="108" w:type="dxa"/>
          </w:tblCellMar>
        </w:tblPrEx>
        <w:trPr>
          <w:trHeight w:val="270" w:hRule="atLeast"/>
        </w:trPr>
        <w:tc>
          <w:tcPr>
            <w:tcW w:w="24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0F8C9">
            <w:pPr>
              <w:jc w:val="center"/>
              <w:rPr>
                <w:rFonts w:hint="eastAsia" w:ascii="宋体" w:hAnsi="宋体" w:cs="宋体"/>
                <w:b/>
                <w:bCs/>
                <w:sz w:val="22"/>
                <w:szCs w:val="22"/>
              </w:rPr>
            </w:pPr>
          </w:p>
        </w:tc>
        <w:tc>
          <w:tcPr>
            <w:tcW w:w="98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4FCDB">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体检项目</w:t>
            </w:r>
          </w:p>
        </w:tc>
        <w:tc>
          <w:tcPr>
            <w:tcW w:w="248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C51C1F">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检查意义</w:t>
            </w:r>
          </w:p>
        </w:tc>
        <w:tc>
          <w:tcPr>
            <w:tcW w:w="128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4C4CD">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体检价格</w:t>
            </w:r>
          </w:p>
        </w:tc>
      </w:tr>
      <w:tr w14:paraId="077C3D72">
        <w:tblPrEx>
          <w:tblCellMar>
            <w:top w:w="0" w:type="dxa"/>
            <w:left w:w="108" w:type="dxa"/>
            <w:bottom w:w="0" w:type="dxa"/>
            <w:right w:w="108" w:type="dxa"/>
          </w:tblCellMar>
        </w:tblPrEx>
        <w:trPr>
          <w:trHeight w:val="27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EF6C8">
            <w:pPr>
              <w:jc w:val="center"/>
              <w:rPr>
                <w:rFonts w:hint="eastAsia" w:ascii="宋体" w:hAnsi="宋体" w:cs="宋体"/>
                <w:b/>
                <w:bCs/>
                <w:sz w:val="22"/>
                <w:szCs w:val="22"/>
              </w:rPr>
            </w:pPr>
          </w:p>
        </w:tc>
        <w:tc>
          <w:tcPr>
            <w:tcW w:w="98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E58A9">
            <w:pPr>
              <w:jc w:val="center"/>
              <w:rPr>
                <w:rFonts w:hint="eastAsia" w:ascii="宋体" w:hAnsi="宋体" w:cs="宋体"/>
                <w:b/>
                <w:bCs/>
                <w:sz w:val="22"/>
                <w:szCs w:val="22"/>
              </w:rPr>
            </w:pPr>
          </w:p>
        </w:tc>
        <w:tc>
          <w:tcPr>
            <w:tcW w:w="24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C0491">
            <w:pPr>
              <w:jc w:val="center"/>
              <w:rPr>
                <w:rFonts w:hint="eastAsia" w:ascii="宋体" w:hAnsi="宋体" w:cs="宋体"/>
                <w:b/>
                <w:bCs/>
                <w:sz w:val="22"/>
                <w:szCs w:val="22"/>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7F8DA">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男</w:t>
            </w:r>
          </w:p>
        </w:tc>
        <w:tc>
          <w:tcPr>
            <w:tcW w:w="6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2BCA7">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女</w:t>
            </w:r>
          </w:p>
        </w:tc>
      </w:tr>
      <w:tr w14:paraId="61A550A5">
        <w:tblPrEx>
          <w:tblCellMar>
            <w:top w:w="0" w:type="dxa"/>
            <w:left w:w="108" w:type="dxa"/>
            <w:bottom w:w="0" w:type="dxa"/>
            <w:right w:w="108" w:type="dxa"/>
          </w:tblCellMar>
        </w:tblPrEx>
        <w:trPr>
          <w:trHeight w:val="540" w:hRule="atLeast"/>
        </w:trPr>
        <w:tc>
          <w:tcPr>
            <w:tcW w:w="24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4DEBBF">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化验检查</w:t>
            </w: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9D41A">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血细胞分析</w:t>
            </w:r>
          </w:p>
        </w:tc>
        <w:tc>
          <w:tcPr>
            <w:tcW w:w="2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AE1DC">
            <w:pPr>
              <w:widowControl/>
              <w:jc w:val="left"/>
              <w:textAlignment w:val="center"/>
              <w:rPr>
                <w:rFonts w:hint="eastAsia" w:ascii="宋体" w:hAnsi="宋体" w:cs="宋体"/>
                <w:sz w:val="22"/>
                <w:szCs w:val="22"/>
              </w:rPr>
            </w:pPr>
            <w:r>
              <w:rPr>
                <w:rFonts w:hint="eastAsia" w:ascii="宋体" w:hAnsi="宋体" w:cs="宋体"/>
                <w:kern w:val="0"/>
                <w:sz w:val="22"/>
                <w:szCs w:val="22"/>
                <w:lang w:bidi="ar"/>
              </w:rPr>
              <w:t>评估红细胞、白细胞、血红蛋白计数及其分类，筛查血液系统疾病</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76481">
            <w:pPr>
              <w:widowControl/>
              <w:jc w:val="center"/>
              <w:textAlignment w:val="center"/>
              <w:rPr>
                <w:rFonts w:hint="eastAsia" w:ascii="宋体" w:hAnsi="宋体" w:cs="宋体"/>
                <w:sz w:val="22"/>
                <w:szCs w:val="22"/>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76974">
            <w:pPr>
              <w:widowControl/>
              <w:jc w:val="center"/>
              <w:textAlignment w:val="center"/>
              <w:rPr>
                <w:rFonts w:hint="eastAsia" w:ascii="宋体" w:hAnsi="宋体" w:cs="宋体"/>
                <w:sz w:val="22"/>
                <w:szCs w:val="22"/>
              </w:rPr>
            </w:pPr>
          </w:p>
        </w:tc>
      </w:tr>
      <w:tr w14:paraId="070DA2DF">
        <w:tblPrEx>
          <w:tblCellMar>
            <w:top w:w="0" w:type="dxa"/>
            <w:left w:w="108" w:type="dxa"/>
            <w:bottom w:w="0" w:type="dxa"/>
            <w:right w:w="108" w:type="dxa"/>
          </w:tblCellMar>
        </w:tblPrEx>
        <w:trPr>
          <w:trHeight w:val="162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13AB0D">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5D4C8">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肝脏疾病试验</w:t>
            </w:r>
          </w:p>
        </w:tc>
        <w:tc>
          <w:tcPr>
            <w:tcW w:w="2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0EC4C">
            <w:pPr>
              <w:widowControl/>
              <w:jc w:val="left"/>
              <w:textAlignment w:val="center"/>
              <w:rPr>
                <w:rFonts w:hint="eastAsia" w:ascii="宋体" w:hAnsi="宋体" w:cs="宋体"/>
                <w:sz w:val="22"/>
                <w:szCs w:val="22"/>
              </w:rPr>
            </w:pPr>
            <w:r>
              <w:rPr>
                <w:rFonts w:hint="eastAsia" w:ascii="宋体" w:hAnsi="宋体" w:cs="宋体"/>
                <w:kern w:val="0"/>
                <w:sz w:val="22"/>
                <w:szCs w:val="22"/>
                <w:lang w:bidi="ar"/>
              </w:rPr>
              <w:t xml:space="preserve">主要包含谷丙转氨酶、谷草转氨酶、r-谷氨酰转肽酶、总蛋白、白蛋白、球蛋白、总胆红素、直接胆红素、间接胆红素等，总胆汁酸、碱性磷酸酶、胆碱酯酶、乳酸脱氢酶，评估肝脏功能，筛查肝炎、肝硬化、黄疸、低蛋白血症等疾病。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61253">
            <w:pPr>
              <w:widowControl/>
              <w:jc w:val="center"/>
              <w:textAlignment w:val="center"/>
              <w:rPr>
                <w:rFonts w:hint="eastAsia" w:ascii="宋体" w:hAnsi="宋体" w:cs="宋体"/>
                <w:sz w:val="22"/>
                <w:szCs w:val="22"/>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9D784">
            <w:pPr>
              <w:widowControl/>
              <w:jc w:val="center"/>
              <w:textAlignment w:val="center"/>
              <w:rPr>
                <w:rFonts w:hint="eastAsia" w:ascii="宋体" w:hAnsi="宋体" w:cs="宋体"/>
                <w:sz w:val="22"/>
                <w:szCs w:val="22"/>
              </w:rPr>
            </w:pPr>
          </w:p>
        </w:tc>
      </w:tr>
      <w:tr w14:paraId="04FAB2A2">
        <w:tblPrEx>
          <w:tblCellMar>
            <w:top w:w="0" w:type="dxa"/>
            <w:left w:w="108" w:type="dxa"/>
            <w:bottom w:w="0" w:type="dxa"/>
            <w:right w:w="108" w:type="dxa"/>
          </w:tblCellMar>
        </w:tblPrEx>
        <w:trPr>
          <w:trHeight w:val="108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DF62A">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98917">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肾脏疾病试验</w:t>
            </w:r>
          </w:p>
        </w:tc>
        <w:tc>
          <w:tcPr>
            <w:tcW w:w="2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D1D68">
            <w:pPr>
              <w:widowControl/>
              <w:jc w:val="left"/>
              <w:textAlignment w:val="center"/>
              <w:rPr>
                <w:rFonts w:hint="eastAsia" w:ascii="宋体" w:hAnsi="宋体" w:cs="宋体"/>
                <w:sz w:val="22"/>
                <w:szCs w:val="22"/>
              </w:rPr>
            </w:pPr>
            <w:r>
              <w:rPr>
                <w:rFonts w:hint="eastAsia" w:ascii="宋体" w:hAnsi="宋体" w:cs="宋体"/>
                <w:kern w:val="0"/>
                <w:sz w:val="22"/>
                <w:szCs w:val="22"/>
                <w:lang w:bidi="ar"/>
              </w:rPr>
              <w:t>主要包含：尿素、肌酐、血尿酸、血钙、葡萄糖、胱抑素C，钾、钠、氯、二氧化碳、阴离子间隙，用于评估肾脏功能，筛查肾脏疾病及糖尿病。</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E07C1">
            <w:pPr>
              <w:widowControl/>
              <w:jc w:val="center"/>
              <w:textAlignment w:val="center"/>
              <w:rPr>
                <w:rFonts w:hint="eastAsia" w:ascii="宋体" w:hAnsi="宋体" w:cs="宋体"/>
                <w:sz w:val="22"/>
                <w:szCs w:val="22"/>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C634E">
            <w:pPr>
              <w:widowControl/>
              <w:jc w:val="center"/>
              <w:textAlignment w:val="center"/>
              <w:rPr>
                <w:rFonts w:hint="eastAsia" w:ascii="宋体" w:hAnsi="宋体" w:cs="宋体"/>
                <w:sz w:val="22"/>
                <w:szCs w:val="22"/>
              </w:rPr>
            </w:pPr>
          </w:p>
        </w:tc>
      </w:tr>
      <w:tr w14:paraId="4384DE7D">
        <w:tblPrEx>
          <w:tblCellMar>
            <w:top w:w="0" w:type="dxa"/>
            <w:left w:w="108" w:type="dxa"/>
            <w:bottom w:w="0" w:type="dxa"/>
            <w:right w:w="108" w:type="dxa"/>
          </w:tblCellMar>
        </w:tblPrEx>
        <w:trPr>
          <w:trHeight w:val="81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A397BE">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111EA">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血脂及脂蛋白常规</w:t>
            </w:r>
          </w:p>
        </w:tc>
        <w:tc>
          <w:tcPr>
            <w:tcW w:w="2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91933">
            <w:pPr>
              <w:widowControl/>
              <w:jc w:val="left"/>
              <w:textAlignment w:val="center"/>
              <w:rPr>
                <w:rFonts w:hint="eastAsia" w:ascii="宋体" w:hAnsi="宋体" w:cs="宋体"/>
                <w:sz w:val="22"/>
                <w:szCs w:val="22"/>
              </w:rPr>
            </w:pPr>
            <w:r>
              <w:rPr>
                <w:rFonts w:hint="eastAsia" w:ascii="宋体" w:hAnsi="宋体" w:cs="宋体"/>
                <w:kern w:val="0"/>
                <w:sz w:val="22"/>
                <w:szCs w:val="22"/>
                <w:lang w:bidi="ar"/>
              </w:rPr>
              <w:t>总胆固醇；甘油三酯；高密度脂蛋白胆固醇；低密度脂蛋白胆固醇；心血管疾病的检测指标，有无高脂血症等）</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86F2E">
            <w:pPr>
              <w:widowControl/>
              <w:jc w:val="center"/>
              <w:textAlignment w:val="center"/>
              <w:rPr>
                <w:rFonts w:hint="eastAsia" w:ascii="宋体" w:hAnsi="宋体" w:cs="宋体"/>
                <w:sz w:val="22"/>
                <w:szCs w:val="22"/>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DED49">
            <w:pPr>
              <w:widowControl/>
              <w:jc w:val="center"/>
              <w:textAlignment w:val="center"/>
              <w:rPr>
                <w:rFonts w:hint="eastAsia" w:ascii="宋体" w:hAnsi="宋体" w:cs="宋体"/>
                <w:sz w:val="22"/>
                <w:szCs w:val="22"/>
              </w:rPr>
            </w:pPr>
          </w:p>
        </w:tc>
      </w:tr>
      <w:tr w14:paraId="6B0F3230">
        <w:tblPrEx>
          <w:tblCellMar>
            <w:top w:w="0" w:type="dxa"/>
            <w:left w:w="108" w:type="dxa"/>
            <w:bottom w:w="0" w:type="dxa"/>
            <w:right w:w="108" w:type="dxa"/>
          </w:tblCellMar>
        </w:tblPrEx>
        <w:trPr>
          <w:trHeight w:val="81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583A80">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91937">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甲胎蛋白AFP</w:t>
            </w:r>
          </w:p>
        </w:tc>
        <w:tc>
          <w:tcPr>
            <w:tcW w:w="2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92F37">
            <w:pPr>
              <w:widowControl/>
              <w:jc w:val="left"/>
              <w:textAlignment w:val="center"/>
              <w:rPr>
                <w:rFonts w:hint="eastAsia" w:ascii="宋体" w:hAnsi="宋体" w:cs="宋体"/>
                <w:sz w:val="22"/>
                <w:szCs w:val="22"/>
              </w:rPr>
            </w:pPr>
            <w:r>
              <w:rPr>
                <w:rFonts w:hint="eastAsia" w:ascii="宋体" w:hAnsi="宋体" w:cs="宋体"/>
                <w:kern w:val="0"/>
                <w:sz w:val="22"/>
                <w:szCs w:val="22"/>
                <w:lang w:bidi="ar"/>
              </w:rPr>
              <w:t>肝癌早期筛查，用于检测早期筛查原发性肝癌、鉴别良恶性肝病、肝脏肿瘤恶性程度血清指标</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541D3">
            <w:pPr>
              <w:widowControl/>
              <w:jc w:val="center"/>
              <w:textAlignment w:val="center"/>
              <w:rPr>
                <w:rFonts w:hint="eastAsia" w:ascii="宋体" w:hAnsi="宋体" w:cs="宋体"/>
                <w:sz w:val="22"/>
                <w:szCs w:val="22"/>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B0441">
            <w:pPr>
              <w:widowControl/>
              <w:jc w:val="center"/>
              <w:textAlignment w:val="center"/>
              <w:rPr>
                <w:rFonts w:hint="eastAsia" w:ascii="宋体" w:hAnsi="宋体" w:cs="宋体"/>
                <w:sz w:val="22"/>
                <w:szCs w:val="22"/>
              </w:rPr>
            </w:pPr>
          </w:p>
        </w:tc>
      </w:tr>
      <w:tr w14:paraId="54664DCC">
        <w:tblPrEx>
          <w:tblCellMar>
            <w:top w:w="0" w:type="dxa"/>
            <w:left w:w="108" w:type="dxa"/>
            <w:bottom w:w="0" w:type="dxa"/>
            <w:right w:w="108" w:type="dxa"/>
          </w:tblCellMar>
        </w:tblPrEx>
        <w:trPr>
          <w:trHeight w:val="81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54FF4">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90881">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癌胚抗原CEA</w:t>
            </w:r>
          </w:p>
        </w:tc>
        <w:tc>
          <w:tcPr>
            <w:tcW w:w="2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7ED91">
            <w:pPr>
              <w:widowControl/>
              <w:jc w:val="left"/>
              <w:textAlignment w:val="center"/>
              <w:rPr>
                <w:rFonts w:hint="eastAsia" w:ascii="宋体" w:hAnsi="宋体" w:cs="宋体"/>
                <w:sz w:val="22"/>
                <w:szCs w:val="22"/>
              </w:rPr>
            </w:pPr>
            <w:r>
              <w:rPr>
                <w:rFonts w:hint="eastAsia" w:ascii="宋体" w:hAnsi="宋体" w:cs="宋体"/>
                <w:kern w:val="0"/>
                <w:sz w:val="22"/>
                <w:szCs w:val="22"/>
                <w:lang w:bidi="ar"/>
              </w:rPr>
              <w:t>系广谱性肿瘤标志物，对大肠癌、胰腺癌的筛查、疗效观察和预后评估有重要的临床意义。在胃、乳腺、肺癌等也可升高。</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1B00F">
            <w:pPr>
              <w:widowControl/>
              <w:jc w:val="center"/>
              <w:textAlignment w:val="center"/>
              <w:rPr>
                <w:rFonts w:hint="eastAsia" w:ascii="宋体" w:hAnsi="宋体" w:cs="宋体"/>
                <w:sz w:val="22"/>
                <w:szCs w:val="22"/>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C2E39">
            <w:pPr>
              <w:widowControl/>
              <w:jc w:val="center"/>
              <w:textAlignment w:val="center"/>
              <w:rPr>
                <w:rFonts w:hint="eastAsia" w:ascii="宋体" w:hAnsi="宋体" w:cs="宋体"/>
                <w:sz w:val="22"/>
                <w:szCs w:val="22"/>
              </w:rPr>
            </w:pPr>
          </w:p>
        </w:tc>
      </w:tr>
      <w:tr w14:paraId="648F6C9E">
        <w:tblPrEx>
          <w:tblCellMar>
            <w:top w:w="0" w:type="dxa"/>
            <w:left w:w="108" w:type="dxa"/>
            <w:bottom w:w="0" w:type="dxa"/>
            <w:right w:w="108" w:type="dxa"/>
          </w:tblCellMar>
        </w:tblPrEx>
        <w:trPr>
          <w:trHeight w:val="108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36625">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28DE2">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糖类抗原CA199</w:t>
            </w:r>
          </w:p>
        </w:tc>
        <w:tc>
          <w:tcPr>
            <w:tcW w:w="2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9D511">
            <w:pPr>
              <w:widowControl/>
              <w:jc w:val="left"/>
              <w:textAlignment w:val="center"/>
              <w:rPr>
                <w:rFonts w:hint="eastAsia" w:ascii="宋体" w:hAnsi="宋体" w:cs="宋体"/>
                <w:sz w:val="22"/>
                <w:szCs w:val="22"/>
              </w:rPr>
            </w:pPr>
            <w:r>
              <w:rPr>
                <w:rFonts w:hint="eastAsia" w:ascii="宋体" w:hAnsi="宋体" w:cs="宋体"/>
                <w:kern w:val="0"/>
                <w:sz w:val="22"/>
                <w:szCs w:val="22"/>
                <w:lang w:bidi="ar"/>
              </w:rPr>
              <w:t>对胰腺癌、胆道肿瘤、胃肠癌等的筛查及疗效监测、评估预后有临床重要意义。急性胰腺炎、胆管炎、胆石症、急性肝炎、肝硬化等可升高。</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FCF56">
            <w:pPr>
              <w:widowControl/>
              <w:jc w:val="center"/>
              <w:textAlignment w:val="center"/>
              <w:rPr>
                <w:rFonts w:hint="eastAsia" w:ascii="宋体" w:hAnsi="宋体" w:cs="宋体"/>
                <w:sz w:val="22"/>
                <w:szCs w:val="22"/>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1C7EB">
            <w:pPr>
              <w:widowControl/>
              <w:jc w:val="center"/>
              <w:textAlignment w:val="center"/>
              <w:rPr>
                <w:rFonts w:hint="eastAsia" w:ascii="宋体" w:hAnsi="宋体" w:cs="宋体"/>
                <w:sz w:val="22"/>
                <w:szCs w:val="22"/>
              </w:rPr>
            </w:pPr>
          </w:p>
        </w:tc>
      </w:tr>
      <w:tr w14:paraId="338D4B59">
        <w:tblPrEx>
          <w:tblCellMar>
            <w:top w:w="0" w:type="dxa"/>
            <w:left w:w="108" w:type="dxa"/>
            <w:bottom w:w="0" w:type="dxa"/>
            <w:right w:w="108" w:type="dxa"/>
          </w:tblCellMar>
        </w:tblPrEx>
        <w:trPr>
          <w:trHeight w:val="81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6D8F7">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E6754">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细胞角蛋白19片段(CK19或CYFRA21-1)</w:t>
            </w:r>
          </w:p>
        </w:tc>
        <w:tc>
          <w:tcPr>
            <w:tcW w:w="2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ED510">
            <w:pPr>
              <w:widowControl/>
              <w:jc w:val="left"/>
              <w:textAlignment w:val="center"/>
              <w:rPr>
                <w:rFonts w:hint="eastAsia" w:ascii="宋体" w:hAnsi="宋体" w:cs="宋体"/>
                <w:sz w:val="22"/>
                <w:szCs w:val="22"/>
              </w:rPr>
            </w:pPr>
            <w:r>
              <w:rPr>
                <w:rFonts w:hint="eastAsia" w:ascii="宋体" w:hAnsi="宋体" w:cs="宋体"/>
                <w:kern w:val="0"/>
                <w:sz w:val="22"/>
                <w:szCs w:val="22"/>
                <w:lang w:bidi="ar"/>
              </w:rPr>
              <w:t>是非小细胞肺癌筛查的首选标志物，对非小细胞肺癌的早期诊断、疗效监测和预后判断均有重要意义。</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08E98">
            <w:pPr>
              <w:widowControl/>
              <w:jc w:val="center"/>
              <w:textAlignment w:val="center"/>
              <w:rPr>
                <w:rFonts w:hint="eastAsia" w:ascii="宋体" w:hAnsi="宋体" w:cs="宋体"/>
                <w:sz w:val="22"/>
                <w:szCs w:val="22"/>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B3783">
            <w:pPr>
              <w:widowControl/>
              <w:jc w:val="center"/>
              <w:textAlignment w:val="center"/>
              <w:rPr>
                <w:rFonts w:hint="eastAsia" w:ascii="宋体" w:hAnsi="宋体" w:cs="宋体"/>
                <w:sz w:val="22"/>
                <w:szCs w:val="22"/>
              </w:rPr>
            </w:pPr>
          </w:p>
        </w:tc>
      </w:tr>
      <w:tr w14:paraId="6067602C">
        <w:tblPrEx>
          <w:tblCellMar>
            <w:top w:w="0" w:type="dxa"/>
            <w:left w:w="108" w:type="dxa"/>
            <w:bottom w:w="0" w:type="dxa"/>
            <w:right w:w="108" w:type="dxa"/>
          </w:tblCellMar>
        </w:tblPrEx>
        <w:trPr>
          <w:trHeight w:val="108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9055FF">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FE81D">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糖类抗原CA125＋糖类抗原CA153</w:t>
            </w:r>
          </w:p>
        </w:tc>
        <w:tc>
          <w:tcPr>
            <w:tcW w:w="2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85729">
            <w:pPr>
              <w:widowControl/>
              <w:jc w:val="left"/>
              <w:textAlignment w:val="center"/>
              <w:rPr>
                <w:rFonts w:hint="eastAsia" w:ascii="宋体" w:hAnsi="宋体" w:cs="宋体"/>
                <w:sz w:val="22"/>
                <w:szCs w:val="22"/>
              </w:rPr>
            </w:pPr>
            <w:r>
              <w:rPr>
                <w:rFonts w:hint="eastAsia" w:ascii="宋体" w:hAnsi="宋体" w:cs="宋体"/>
                <w:kern w:val="0"/>
                <w:sz w:val="22"/>
                <w:szCs w:val="22"/>
                <w:lang w:bidi="ar"/>
              </w:rPr>
              <w:t>联合检测有助于提高乳腺癌、卵巢癌早期检出率，也有助于乳腺癌和乳腺良性病变的鉴别诊断，是检查乳腺癌、卵巢癌较为理想的标志物组合</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48355">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F19A3">
            <w:pPr>
              <w:widowControl/>
              <w:jc w:val="center"/>
              <w:textAlignment w:val="center"/>
              <w:rPr>
                <w:rFonts w:hint="eastAsia" w:ascii="宋体" w:hAnsi="宋体" w:cs="宋体"/>
                <w:sz w:val="22"/>
                <w:szCs w:val="22"/>
              </w:rPr>
            </w:pPr>
          </w:p>
        </w:tc>
      </w:tr>
      <w:tr w14:paraId="6BB817FF">
        <w:tblPrEx>
          <w:tblCellMar>
            <w:top w:w="0" w:type="dxa"/>
            <w:left w:w="108" w:type="dxa"/>
            <w:bottom w:w="0" w:type="dxa"/>
            <w:right w:w="108" w:type="dxa"/>
          </w:tblCellMar>
        </w:tblPrEx>
        <w:trPr>
          <w:trHeight w:val="54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16FA4">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4E9D9">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男性肿瘤标志物PSA+FPSA</w:t>
            </w:r>
          </w:p>
        </w:tc>
        <w:tc>
          <w:tcPr>
            <w:tcW w:w="2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C3307">
            <w:pPr>
              <w:widowControl/>
              <w:jc w:val="left"/>
              <w:textAlignment w:val="center"/>
              <w:rPr>
                <w:rFonts w:hint="eastAsia" w:ascii="宋体" w:hAnsi="宋体" w:cs="宋体"/>
                <w:sz w:val="22"/>
                <w:szCs w:val="22"/>
              </w:rPr>
            </w:pPr>
            <w:r>
              <w:rPr>
                <w:rFonts w:hint="eastAsia" w:ascii="宋体" w:hAnsi="宋体" w:cs="宋体"/>
                <w:kern w:val="0"/>
                <w:sz w:val="22"/>
                <w:szCs w:val="22"/>
                <w:lang w:bidi="ar"/>
              </w:rPr>
              <w:t>对男性前列腺癌的诊断、疗效观察、评估预后有重要临床意义。</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E5D80">
            <w:pPr>
              <w:widowControl/>
              <w:jc w:val="center"/>
              <w:textAlignment w:val="center"/>
              <w:rPr>
                <w:rFonts w:hint="eastAsia" w:ascii="宋体" w:hAnsi="宋体" w:cs="宋体"/>
                <w:sz w:val="22"/>
                <w:szCs w:val="22"/>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5B5B1">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w:t>
            </w:r>
          </w:p>
        </w:tc>
      </w:tr>
      <w:tr w14:paraId="0B8BF1EC">
        <w:tblPrEx>
          <w:tblCellMar>
            <w:top w:w="0" w:type="dxa"/>
            <w:left w:w="108" w:type="dxa"/>
            <w:bottom w:w="0" w:type="dxa"/>
            <w:right w:w="108" w:type="dxa"/>
          </w:tblCellMar>
        </w:tblPrEx>
        <w:trPr>
          <w:trHeight w:val="108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7D8388">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BAF7B">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鳞状上皮细胞癌抗原（SCC）</w:t>
            </w:r>
          </w:p>
        </w:tc>
        <w:tc>
          <w:tcPr>
            <w:tcW w:w="2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7C891">
            <w:pPr>
              <w:widowControl/>
              <w:jc w:val="left"/>
              <w:textAlignment w:val="center"/>
              <w:rPr>
                <w:rFonts w:hint="eastAsia" w:ascii="宋体" w:hAnsi="宋体" w:cs="宋体"/>
                <w:sz w:val="22"/>
                <w:szCs w:val="22"/>
              </w:rPr>
            </w:pPr>
            <w:r>
              <w:rPr>
                <w:rFonts w:hint="eastAsia" w:ascii="宋体" w:hAnsi="宋体" w:cs="宋体"/>
                <w:kern w:val="0"/>
                <w:sz w:val="22"/>
                <w:szCs w:val="22"/>
                <w:lang w:bidi="ar"/>
              </w:rPr>
              <w:t>鳞状上皮细胞癌抗原最早用于诊断鳞癌（如宫颈癌、肺癌、头颈部癌）；少数良性疾病也能见SCCA升高，如肺部感染、皮肤炎、肾衰和肝病</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63613">
            <w:pPr>
              <w:widowControl/>
              <w:jc w:val="center"/>
              <w:textAlignment w:val="center"/>
              <w:rPr>
                <w:rFonts w:hint="eastAsia" w:ascii="宋体" w:hAnsi="宋体" w:cs="宋体"/>
                <w:sz w:val="22"/>
                <w:szCs w:val="22"/>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530BE">
            <w:pPr>
              <w:widowControl/>
              <w:jc w:val="center"/>
              <w:textAlignment w:val="center"/>
              <w:rPr>
                <w:rFonts w:hint="eastAsia" w:ascii="宋体" w:hAnsi="宋体" w:cs="宋体"/>
                <w:sz w:val="22"/>
                <w:szCs w:val="22"/>
              </w:rPr>
            </w:pPr>
          </w:p>
        </w:tc>
      </w:tr>
      <w:tr w14:paraId="6AEB43BB">
        <w:tblPrEx>
          <w:tblCellMar>
            <w:top w:w="0" w:type="dxa"/>
            <w:left w:w="108" w:type="dxa"/>
            <w:bottom w:w="0" w:type="dxa"/>
            <w:right w:w="108" w:type="dxa"/>
          </w:tblCellMar>
        </w:tblPrEx>
        <w:trPr>
          <w:trHeight w:val="243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C98D2">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F589A">
            <w:pPr>
              <w:widowControl/>
              <w:jc w:val="center"/>
              <w:textAlignment w:val="center"/>
              <w:rPr>
                <w:rFonts w:hint="eastAsia" w:ascii="宋体" w:hAnsi="宋体" w:cs="宋体"/>
                <w:sz w:val="22"/>
                <w:szCs w:val="22"/>
              </w:rPr>
            </w:pPr>
            <w:r>
              <w:rPr>
                <w:rStyle w:val="7"/>
                <w:rFonts w:hint="default"/>
                <w:color w:val="auto"/>
                <w:lang w:bidi="ar"/>
              </w:rPr>
              <w:t>EB病毒抗体检测（Rta+EA+VCA)-</w:t>
            </w:r>
            <w:r>
              <w:rPr>
                <w:rStyle w:val="8"/>
                <w:rFonts w:hint="default"/>
                <w:color w:val="auto"/>
                <w:lang w:bidi="ar"/>
              </w:rPr>
              <w:t>男性检查</w:t>
            </w:r>
          </w:p>
        </w:tc>
        <w:tc>
          <w:tcPr>
            <w:tcW w:w="2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6DB25">
            <w:pPr>
              <w:widowControl/>
              <w:jc w:val="left"/>
              <w:textAlignment w:val="center"/>
              <w:rPr>
                <w:rFonts w:hint="eastAsia" w:ascii="宋体" w:hAnsi="宋体" w:cs="宋体"/>
                <w:sz w:val="22"/>
                <w:szCs w:val="22"/>
              </w:rPr>
            </w:pPr>
            <w:r>
              <w:rPr>
                <w:rFonts w:hint="eastAsia" w:ascii="宋体" w:hAnsi="宋体" w:cs="宋体"/>
                <w:kern w:val="0"/>
                <w:sz w:val="22"/>
                <w:szCs w:val="22"/>
                <w:lang w:bidi="ar"/>
              </w:rPr>
              <w:t>鼻咽癌是一种因EB病毒导致，具有可传播、死亡率高，误诊率高、临床确诊晚期比例高等特点的癌症。EB病毒抗体RTA三联检（Rta+EA+VCA）——可捕捉鼻咽癌癌变发生的最早时刻, 并完全覆盖EB病毒全基因组，分别显示EBV感染不同时期抗原的表达状态，对鼻咽癌筛查早诊的敏感度和特异性均有很大的提升，真正做到了早发现、早干预、早治疗！</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1F40F">
            <w:pPr>
              <w:widowControl/>
              <w:jc w:val="center"/>
              <w:textAlignment w:val="center"/>
              <w:rPr>
                <w:rFonts w:hint="eastAsia" w:ascii="宋体" w:hAnsi="宋体" w:cs="宋体"/>
                <w:sz w:val="22"/>
                <w:szCs w:val="22"/>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CA037">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w:t>
            </w:r>
          </w:p>
        </w:tc>
      </w:tr>
      <w:tr w14:paraId="0AC44BAF">
        <w:tblPrEx>
          <w:tblCellMar>
            <w:top w:w="0" w:type="dxa"/>
            <w:left w:w="108" w:type="dxa"/>
            <w:bottom w:w="0" w:type="dxa"/>
            <w:right w:w="108" w:type="dxa"/>
          </w:tblCellMar>
        </w:tblPrEx>
        <w:trPr>
          <w:trHeight w:val="27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25066">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32F73">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尿液分析</w:t>
            </w:r>
          </w:p>
        </w:tc>
        <w:tc>
          <w:tcPr>
            <w:tcW w:w="248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E012D1">
            <w:pPr>
              <w:widowControl/>
              <w:jc w:val="left"/>
              <w:textAlignment w:val="center"/>
              <w:rPr>
                <w:rFonts w:hint="eastAsia" w:ascii="宋体" w:hAnsi="宋体" w:cs="宋体"/>
                <w:sz w:val="22"/>
                <w:szCs w:val="22"/>
              </w:rPr>
            </w:pPr>
            <w:r>
              <w:rPr>
                <w:rFonts w:hint="eastAsia" w:ascii="宋体" w:hAnsi="宋体" w:cs="宋体"/>
                <w:kern w:val="0"/>
                <w:sz w:val="22"/>
                <w:szCs w:val="22"/>
                <w:lang w:bidi="ar"/>
              </w:rPr>
              <w:t>主要包括尿液中尿蛋白、红细胞、白细胞、管型、细菌等项目的检测，有助于糖尿病、尿路感染、肾盂肾炎、肾小球肾炎、肾病等疾病诊断。</w:t>
            </w:r>
          </w:p>
        </w:tc>
        <w:tc>
          <w:tcPr>
            <w:tcW w:w="6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3E8CB5">
            <w:pPr>
              <w:widowControl/>
              <w:jc w:val="center"/>
              <w:textAlignment w:val="center"/>
              <w:rPr>
                <w:rFonts w:hint="eastAsia" w:ascii="宋体" w:hAnsi="宋体" w:cs="宋体"/>
                <w:sz w:val="22"/>
                <w:szCs w:val="22"/>
              </w:rPr>
            </w:pPr>
          </w:p>
        </w:tc>
        <w:tc>
          <w:tcPr>
            <w:tcW w:w="62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A8B8BF">
            <w:pPr>
              <w:widowControl/>
              <w:jc w:val="center"/>
              <w:textAlignment w:val="center"/>
              <w:rPr>
                <w:rFonts w:hint="eastAsia" w:ascii="宋体" w:hAnsi="宋体" w:cs="宋体"/>
                <w:sz w:val="22"/>
                <w:szCs w:val="22"/>
              </w:rPr>
            </w:pPr>
          </w:p>
        </w:tc>
      </w:tr>
      <w:tr w14:paraId="12208B7C">
        <w:tblPrEx>
          <w:tblCellMar>
            <w:top w:w="0" w:type="dxa"/>
            <w:left w:w="108" w:type="dxa"/>
            <w:bottom w:w="0" w:type="dxa"/>
            <w:right w:w="108" w:type="dxa"/>
          </w:tblCellMar>
        </w:tblPrEx>
        <w:trPr>
          <w:trHeight w:val="27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983950">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B8982">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尿沉渣定量</w:t>
            </w:r>
          </w:p>
        </w:tc>
        <w:tc>
          <w:tcPr>
            <w:tcW w:w="24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36F2BB">
            <w:pPr>
              <w:jc w:val="left"/>
              <w:rPr>
                <w:rFonts w:hint="eastAsia" w:ascii="宋体" w:hAnsi="宋体" w:cs="宋体"/>
                <w:sz w:val="22"/>
                <w:szCs w:val="22"/>
              </w:rPr>
            </w:pPr>
          </w:p>
        </w:tc>
        <w:tc>
          <w:tcPr>
            <w:tcW w:w="6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AB3BF">
            <w:pPr>
              <w:jc w:val="center"/>
              <w:rPr>
                <w:rFonts w:hint="eastAsia" w:ascii="宋体" w:hAnsi="宋体" w:cs="宋体"/>
                <w:sz w:val="22"/>
                <w:szCs w:val="22"/>
              </w:rPr>
            </w:pPr>
          </w:p>
        </w:tc>
        <w:tc>
          <w:tcPr>
            <w:tcW w:w="62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9E68A1">
            <w:pPr>
              <w:jc w:val="center"/>
              <w:rPr>
                <w:rFonts w:hint="eastAsia" w:ascii="宋体" w:hAnsi="宋体" w:cs="宋体"/>
                <w:sz w:val="22"/>
                <w:szCs w:val="22"/>
              </w:rPr>
            </w:pPr>
          </w:p>
        </w:tc>
      </w:tr>
      <w:tr w14:paraId="7820D768">
        <w:tblPrEx>
          <w:tblCellMar>
            <w:top w:w="0" w:type="dxa"/>
            <w:left w:w="108" w:type="dxa"/>
            <w:bottom w:w="0" w:type="dxa"/>
            <w:right w:w="108" w:type="dxa"/>
          </w:tblCellMar>
        </w:tblPrEx>
        <w:trPr>
          <w:trHeight w:val="540" w:hRule="atLeast"/>
        </w:trPr>
        <w:tc>
          <w:tcPr>
            <w:tcW w:w="24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93C0DC">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常规检查</w:t>
            </w: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A73DE">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男性彩超(肝、胆、胰、脾）</w:t>
            </w:r>
          </w:p>
        </w:tc>
        <w:tc>
          <w:tcPr>
            <w:tcW w:w="248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1BCB1C">
            <w:pPr>
              <w:widowControl/>
              <w:jc w:val="left"/>
              <w:textAlignment w:val="center"/>
              <w:rPr>
                <w:rFonts w:hint="eastAsia" w:ascii="宋体" w:hAnsi="宋体" w:cs="宋体"/>
                <w:sz w:val="22"/>
                <w:szCs w:val="22"/>
              </w:rPr>
            </w:pPr>
            <w:r>
              <w:rPr>
                <w:rFonts w:hint="eastAsia" w:ascii="宋体" w:hAnsi="宋体" w:cs="宋体"/>
                <w:kern w:val="0"/>
                <w:sz w:val="22"/>
                <w:szCs w:val="22"/>
                <w:lang w:bidi="ar"/>
              </w:rPr>
              <w:t>筛查肝、胆、胰、脾、双肾、输尿管、膀胱、前列腺的结构、形态、大小，筛查各脏器有无良恶性病变。</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BEB9B">
            <w:pPr>
              <w:widowControl/>
              <w:jc w:val="center"/>
              <w:textAlignment w:val="center"/>
              <w:rPr>
                <w:rFonts w:hint="eastAsia" w:ascii="宋体" w:hAnsi="宋体" w:cs="宋体"/>
                <w:sz w:val="22"/>
                <w:szCs w:val="22"/>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A6BA8">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w:t>
            </w:r>
          </w:p>
        </w:tc>
      </w:tr>
      <w:tr w14:paraId="7EA5A4BA">
        <w:tblPrEx>
          <w:tblCellMar>
            <w:top w:w="0" w:type="dxa"/>
            <w:left w:w="108" w:type="dxa"/>
            <w:bottom w:w="0" w:type="dxa"/>
            <w:right w:w="108" w:type="dxa"/>
          </w:tblCellMar>
        </w:tblPrEx>
        <w:trPr>
          <w:trHeight w:val="54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F4A6A5">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9D724">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男性彩超(双肾输尿管膀胱前列腺)</w:t>
            </w:r>
          </w:p>
        </w:tc>
        <w:tc>
          <w:tcPr>
            <w:tcW w:w="24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AF59B1">
            <w:pPr>
              <w:jc w:val="left"/>
              <w:rPr>
                <w:rFonts w:hint="eastAsia" w:ascii="宋体" w:hAnsi="宋体" w:cs="宋体"/>
                <w:sz w:val="22"/>
                <w:szCs w:val="22"/>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0BE6E">
            <w:pPr>
              <w:widowControl/>
              <w:jc w:val="center"/>
              <w:textAlignment w:val="center"/>
              <w:rPr>
                <w:rFonts w:hint="eastAsia" w:ascii="宋体" w:hAnsi="宋体" w:cs="宋体"/>
                <w:sz w:val="22"/>
                <w:szCs w:val="22"/>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667B8">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w:t>
            </w:r>
          </w:p>
        </w:tc>
      </w:tr>
      <w:tr w14:paraId="69518E0A">
        <w:tblPrEx>
          <w:tblCellMar>
            <w:top w:w="0" w:type="dxa"/>
            <w:left w:w="108" w:type="dxa"/>
            <w:bottom w:w="0" w:type="dxa"/>
            <w:right w:w="108" w:type="dxa"/>
          </w:tblCellMar>
        </w:tblPrEx>
        <w:trPr>
          <w:trHeight w:val="54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D7E30">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ED2C7">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女性彩超(肝、胆、胰、脾）</w:t>
            </w:r>
          </w:p>
        </w:tc>
        <w:tc>
          <w:tcPr>
            <w:tcW w:w="248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78DFE2">
            <w:pPr>
              <w:widowControl/>
              <w:jc w:val="left"/>
              <w:textAlignment w:val="center"/>
              <w:rPr>
                <w:rFonts w:hint="eastAsia" w:ascii="宋体" w:hAnsi="宋体" w:cs="宋体"/>
                <w:sz w:val="22"/>
                <w:szCs w:val="22"/>
              </w:rPr>
            </w:pPr>
            <w:r>
              <w:rPr>
                <w:rFonts w:hint="eastAsia" w:ascii="宋体" w:hAnsi="宋体" w:cs="宋体"/>
                <w:kern w:val="0"/>
                <w:sz w:val="22"/>
                <w:szCs w:val="22"/>
                <w:lang w:bidi="ar"/>
              </w:rPr>
              <w:t>筛查肝、胆、胰、脾、双肾、输尿管、膀胱、子宫、附件的结构、形态、大小，筛查各脏器有无良恶性病变。</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18E6F">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20E0B">
            <w:pPr>
              <w:widowControl/>
              <w:jc w:val="center"/>
              <w:textAlignment w:val="center"/>
              <w:rPr>
                <w:rFonts w:hint="eastAsia" w:ascii="宋体" w:hAnsi="宋体" w:cs="宋体"/>
                <w:sz w:val="22"/>
                <w:szCs w:val="22"/>
              </w:rPr>
            </w:pPr>
          </w:p>
        </w:tc>
      </w:tr>
      <w:tr w14:paraId="0FDB342D">
        <w:tblPrEx>
          <w:tblCellMar>
            <w:top w:w="0" w:type="dxa"/>
            <w:left w:w="108" w:type="dxa"/>
            <w:bottom w:w="0" w:type="dxa"/>
            <w:right w:w="108" w:type="dxa"/>
          </w:tblCellMar>
        </w:tblPrEx>
        <w:trPr>
          <w:trHeight w:val="54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311DC">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12B44">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女性彩超（双肾、输尿管、膀胱）</w:t>
            </w:r>
          </w:p>
        </w:tc>
        <w:tc>
          <w:tcPr>
            <w:tcW w:w="24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5C3C4">
            <w:pPr>
              <w:jc w:val="left"/>
              <w:rPr>
                <w:rFonts w:hint="eastAsia" w:ascii="宋体" w:hAnsi="宋体" w:cs="宋体"/>
                <w:sz w:val="22"/>
                <w:szCs w:val="22"/>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41DFA">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EEF9C">
            <w:pPr>
              <w:widowControl/>
              <w:jc w:val="center"/>
              <w:textAlignment w:val="center"/>
              <w:rPr>
                <w:rFonts w:hint="eastAsia" w:ascii="宋体" w:hAnsi="宋体" w:cs="宋体"/>
                <w:sz w:val="22"/>
                <w:szCs w:val="22"/>
              </w:rPr>
            </w:pPr>
          </w:p>
        </w:tc>
      </w:tr>
      <w:tr w14:paraId="68C0C689">
        <w:tblPrEx>
          <w:tblCellMar>
            <w:top w:w="0" w:type="dxa"/>
            <w:left w:w="108" w:type="dxa"/>
            <w:bottom w:w="0" w:type="dxa"/>
            <w:right w:w="108" w:type="dxa"/>
          </w:tblCellMar>
        </w:tblPrEx>
        <w:trPr>
          <w:trHeight w:val="27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D699A">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92F2E">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女性彩超(子宫、附件)</w:t>
            </w:r>
          </w:p>
        </w:tc>
        <w:tc>
          <w:tcPr>
            <w:tcW w:w="24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13E9AE">
            <w:pPr>
              <w:jc w:val="left"/>
              <w:rPr>
                <w:rFonts w:hint="eastAsia" w:ascii="宋体" w:hAnsi="宋体" w:cs="宋体"/>
                <w:sz w:val="22"/>
                <w:szCs w:val="22"/>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87653">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03E3F">
            <w:pPr>
              <w:widowControl/>
              <w:jc w:val="center"/>
              <w:textAlignment w:val="center"/>
              <w:rPr>
                <w:rFonts w:hint="eastAsia" w:ascii="宋体" w:hAnsi="宋体" w:cs="宋体"/>
                <w:sz w:val="22"/>
                <w:szCs w:val="22"/>
              </w:rPr>
            </w:pPr>
          </w:p>
        </w:tc>
      </w:tr>
      <w:tr w14:paraId="55DA7567">
        <w:tblPrEx>
          <w:tblCellMar>
            <w:top w:w="0" w:type="dxa"/>
            <w:left w:w="108" w:type="dxa"/>
            <w:bottom w:w="0" w:type="dxa"/>
            <w:right w:w="108" w:type="dxa"/>
          </w:tblCellMar>
        </w:tblPrEx>
        <w:trPr>
          <w:trHeight w:val="54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D52D5">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F7FC9">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 xml:space="preserve">乳腺及其引流区淋巴结 </w:t>
            </w:r>
          </w:p>
        </w:tc>
        <w:tc>
          <w:tcPr>
            <w:tcW w:w="2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603A9">
            <w:pPr>
              <w:widowControl/>
              <w:jc w:val="left"/>
              <w:textAlignment w:val="center"/>
              <w:rPr>
                <w:rFonts w:hint="eastAsia" w:ascii="宋体" w:hAnsi="宋体" w:cs="宋体"/>
                <w:sz w:val="22"/>
                <w:szCs w:val="22"/>
              </w:rPr>
            </w:pPr>
            <w:r>
              <w:rPr>
                <w:rFonts w:hint="eastAsia" w:ascii="宋体" w:hAnsi="宋体" w:cs="宋体"/>
                <w:kern w:val="0"/>
                <w:sz w:val="22"/>
                <w:szCs w:val="22"/>
                <w:lang w:bidi="ar"/>
              </w:rPr>
              <w:t>筛查有无乳腺增生症、乳腺囊肿、乳腺肿瘤及淋巴结有无异常等。</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7225E">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E3DED">
            <w:pPr>
              <w:widowControl/>
              <w:jc w:val="center"/>
              <w:textAlignment w:val="center"/>
              <w:rPr>
                <w:rFonts w:hint="eastAsia" w:ascii="宋体" w:hAnsi="宋体" w:cs="宋体"/>
                <w:sz w:val="22"/>
                <w:szCs w:val="22"/>
              </w:rPr>
            </w:pPr>
          </w:p>
        </w:tc>
      </w:tr>
      <w:tr w14:paraId="7585918A">
        <w:tblPrEx>
          <w:tblCellMar>
            <w:top w:w="0" w:type="dxa"/>
            <w:left w:w="108" w:type="dxa"/>
            <w:bottom w:w="0" w:type="dxa"/>
            <w:right w:w="108" w:type="dxa"/>
          </w:tblCellMar>
        </w:tblPrEx>
        <w:trPr>
          <w:trHeight w:val="54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D6D51F">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AE4E6">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甲状腺及颈部淋巴结</w:t>
            </w:r>
          </w:p>
        </w:tc>
        <w:tc>
          <w:tcPr>
            <w:tcW w:w="2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C0ED7">
            <w:pPr>
              <w:widowControl/>
              <w:jc w:val="left"/>
              <w:textAlignment w:val="center"/>
              <w:rPr>
                <w:rFonts w:hint="eastAsia" w:ascii="宋体" w:hAnsi="宋体" w:cs="宋体"/>
                <w:sz w:val="22"/>
                <w:szCs w:val="22"/>
              </w:rPr>
            </w:pPr>
            <w:r>
              <w:rPr>
                <w:rFonts w:hint="eastAsia" w:ascii="宋体" w:hAnsi="宋体" w:cs="宋体"/>
                <w:kern w:val="0"/>
                <w:sz w:val="22"/>
                <w:szCs w:val="22"/>
                <w:lang w:bidi="ar"/>
              </w:rPr>
              <w:t>了解甲状腺的结构及血流情况等，筛查有无甲状腺结节、囊肿、肿瘤等病变。</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22C4A">
            <w:pPr>
              <w:widowControl/>
              <w:jc w:val="center"/>
              <w:textAlignment w:val="center"/>
              <w:rPr>
                <w:rFonts w:hint="eastAsia" w:ascii="宋体" w:hAnsi="宋体" w:cs="宋体"/>
                <w:sz w:val="22"/>
                <w:szCs w:val="22"/>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9F916">
            <w:pPr>
              <w:widowControl/>
              <w:jc w:val="center"/>
              <w:textAlignment w:val="center"/>
              <w:rPr>
                <w:rFonts w:hint="eastAsia" w:ascii="宋体" w:hAnsi="宋体" w:cs="宋体"/>
                <w:sz w:val="22"/>
                <w:szCs w:val="22"/>
              </w:rPr>
            </w:pPr>
          </w:p>
        </w:tc>
      </w:tr>
      <w:tr w14:paraId="52FBEEEA">
        <w:tblPrEx>
          <w:tblCellMar>
            <w:top w:w="0" w:type="dxa"/>
            <w:left w:w="108" w:type="dxa"/>
            <w:bottom w:w="0" w:type="dxa"/>
            <w:right w:w="108" w:type="dxa"/>
          </w:tblCellMar>
        </w:tblPrEx>
        <w:trPr>
          <w:trHeight w:val="189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D3F17">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A14D3">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胸部平扫（含HRCT)</w:t>
            </w:r>
          </w:p>
        </w:tc>
        <w:tc>
          <w:tcPr>
            <w:tcW w:w="2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D905D">
            <w:pPr>
              <w:widowControl/>
              <w:jc w:val="left"/>
              <w:textAlignment w:val="center"/>
              <w:rPr>
                <w:rFonts w:hint="eastAsia" w:ascii="宋体" w:hAnsi="宋体" w:cs="宋体"/>
                <w:sz w:val="22"/>
                <w:szCs w:val="22"/>
              </w:rPr>
            </w:pPr>
            <w:r>
              <w:rPr>
                <w:rFonts w:hint="eastAsia" w:ascii="宋体" w:hAnsi="宋体" w:cs="宋体"/>
                <w:kern w:val="0"/>
                <w:sz w:val="22"/>
                <w:szCs w:val="22"/>
                <w:lang w:bidi="ar"/>
              </w:rPr>
              <w:t>临床检测肺部病变的主要方法，协助有无肺炎、肺结核、肺气肿、气胸、胸腔积液、肿瘤等病变，特别是对早期肺癌筛查具有重要意义，可检出直径小于1cm的微小肺癌，为筛查早期肺癌的“利器”，同时可协助心脏大血管、纵膈病变的评估及诊断。</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7EB9F">
            <w:pPr>
              <w:widowControl/>
              <w:jc w:val="center"/>
              <w:textAlignment w:val="center"/>
              <w:rPr>
                <w:rFonts w:hint="eastAsia" w:ascii="宋体" w:hAnsi="宋体" w:cs="宋体"/>
                <w:sz w:val="22"/>
                <w:szCs w:val="22"/>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70733">
            <w:pPr>
              <w:widowControl/>
              <w:jc w:val="center"/>
              <w:textAlignment w:val="center"/>
              <w:rPr>
                <w:rFonts w:hint="eastAsia" w:ascii="宋体" w:hAnsi="宋体" w:cs="宋体"/>
                <w:sz w:val="22"/>
                <w:szCs w:val="22"/>
              </w:rPr>
            </w:pPr>
          </w:p>
        </w:tc>
      </w:tr>
      <w:tr w14:paraId="1C4B1BA5">
        <w:tblPrEx>
          <w:tblCellMar>
            <w:top w:w="0" w:type="dxa"/>
            <w:left w:w="108" w:type="dxa"/>
            <w:bottom w:w="0" w:type="dxa"/>
            <w:right w:w="108" w:type="dxa"/>
          </w:tblCellMar>
        </w:tblPrEx>
        <w:trPr>
          <w:trHeight w:val="54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97A79">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C4A46">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12导联心电图</w:t>
            </w:r>
          </w:p>
        </w:tc>
        <w:tc>
          <w:tcPr>
            <w:tcW w:w="2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A42DB">
            <w:pPr>
              <w:widowControl/>
              <w:jc w:val="left"/>
              <w:textAlignment w:val="center"/>
              <w:rPr>
                <w:rFonts w:hint="eastAsia" w:ascii="宋体" w:hAnsi="宋体" w:cs="宋体"/>
                <w:sz w:val="22"/>
                <w:szCs w:val="22"/>
              </w:rPr>
            </w:pPr>
            <w:r>
              <w:rPr>
                <w:rFonts w:hint="eastAsia" w:ascii="宋体" w:hAnsi="宋体" w:cs="宋体"/>
                <w:kern w:val="0"/>
                <w:sz w:val="22"/>
                <w:szCs w:val="22"/>
                <w:lang w:bidi="ar"/>
              </w:rPr>
              <w:t>筛查有无心肌缺血、心肌梗塞、房室传导阻滞、心律失常等疾病。</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3CD2F">
            <w:pPr>
              <w:widowControl/>
              <w:jc w:val="center"/>
              <w:textAlignment w:val="center"/>
              <w:rPr>
                <w:rFonts w:hint="eastAsia" w:ascii="宋体" w:hAnsi="宋体" w:cs="宋体"/>
                <w:sz w:val="22"/>
                <w:szCs w:val="22"/>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36735">
            <w:pPr>
              <w:widowControl/>
              <w:jc w:val="center"/>
              <w:textAlignment w:val="center"/>
              <w:rPr>
                <w:rFonts w:hint="eastAsia" w:ascii="宋体" w:hAnsi="宋体" w:cs="宋体"/>
                <w:sz w:val="22"/>
                <w:szCs w:val="22"/>
              </w:rPr>
            </w:pPr>
          </w:p>
        </w:tc>
      </w:tr>
      <w:tr w14:paraId="0DF9DA12">
        <w:tblPrEx>
          <w:tblCellMar>
            <w:top w:w="0" w:type="dxa"/>
            <w:left w:w="108" w:type="dxa"/>
            <w:bottom w:w="0" w:type="dxa"/>
            <w:right w:w="108" w:type="dxa"/>
          </w:tblCellMar>
        </w:tblPrEx>
        <w:trPr>
          <w:trHeight w:val="810" w:hRule="atLeast"/>
        </w:trPr>
        <w:tc>
          <w:tcPr>
            <w:tcW w:w="24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70560C">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临床体格检查</w:t>
            </w: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1BA50">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一般检查</w:t>
            </w:r>
          </w:p>
        </w:tc>
        <w:tc>
          <w:tcPr>
            <w:tcW w:w="2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5727E">
            <w:pPr>
              <w:widowControl/>
              <w:jc w:val="left"/>
              <w:textAlignment w:val="center"/>
              <w:rPr>
                <w:rFonts w:hint="eastAsia" w:ascii="宋体" w:hAnsi="宋体" w:cs="宋体"/>
                <w:sz w:val="22"/>
                <w:szCs w:val="22"/>
              </w:rPr>
            </w:pPr>
            <w:r>
              <w:rPr>
                <w:rFonts w:hint="eastAsia" w:ascii="宋体" w:hAnsi="宋体" w:cs="宋体"/>
                <w:kern w:val="0"/>
                <w:sz w:val="22"/>
                <w:szCs w:val="22"/>
                <w:lang w:bidi="ar"/>
              </w:rPr>
              <w:t>检查身高、体重、血压、腰围、臀围，评估心脑血管疾病危险因素，辅助判断危险程度。健康评估证据和健康计划依据。</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62709">
            <w:pPr>
              <w:widowControl/>
              <w:jc w:val="center"/>
              <w:textAlignment w:val="center"/>
              <w:rPr>
                <w:rFonts w:hint="eastAsia" w:ascii="宋体" w:hAnsi="宋体" w:cs="宋体"/>
                <w:sz w:val="22"/>
                <w:szCs w:val="22"/>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46740">
            <w:pPr>
              <w:widowControl/>
              <w:jc w:val="center"/>
              <w:textAlignment w:val="center"/>
              <w:rPr>
                <w:rFonts w:hint="eastAsia" w:ascii="宋体" w:hAnsi="宋体" w:cs="宋体"/>
                <w:sz w:val="22"/>
                <w:szCs w:val="22"/>
              </w:rPr>
            </w:pPr>
          </w:p>
        </w:tc>
      </w:tr>
      <w:tr w14:paraId="3CCEF252">
        <w:tblPrEx>
          <w:tblCellMar>
            <w:top w:w="0" w:type="dxa"/>
            <w:left w:w="108" w:type="dxa"/>
            <w:bottom w:w="0" w:type="dxa"/>
            <w:right w:w="108" w:type="dxa"/>
          </w:tblCellMar>
        </w:tblPrEx>
        <w:trPr>
          <w:trHeight w:val="27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F9385">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B2AE2">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眼科（不含色觉）</w:t>
            </w:r>
          </w:p>
        </w:tc>
        <w:tc>
          <w:tcPr>
            <w:tcW w:w="2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90A92">
            <w:pPr>
              <w:widowControl/>
              <w:jc w:val="left"/>
              <w:textAlignment w:val="center"/>
              <w:rPr>
                <w:rFonts w:hint="eastAsia" w:ascii="宋体" w:hAnsi="宋体" w:cs="宋体"/>
                <w:sz w:val="22"/>
                <w:szCs w:val="22"/>
              </w:rPr>
            </w:pPr>
            <w:r>
              <w:rPr>
                <w:rFonts w:hint="eastAsia" w:ascii="宋体" w:hAnsi="宋体" w:cs="宋体"/>
                <w:kern w:val="0"/>
                <w:sz w:val="22"/>
                <w:szCs w:val="22"/>
                <w:lang w:bidi="ar"/>
              </w:rPr>
              <w:t>检查视力、外眼、角膜、结膜、晶状体等</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78784">
            <w:pPr>
              <w:widowControl/>
              <w:jc w:val="center"/>
              <w:textAlignment w:val="center"/>
              <w:rPr>
                <w:rFonts w:hint="eastAsia" w:ascii="宋体" w:hAnsi="宋体" w:cs="宋体"/>
                <w:sz w:val="22"/>
                <w:szCs w:val="22"/>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68BD4">
            <w:pPr>
              <w:widowControl/>
              <w:jc w:val="center"/>
              <w:textAlignment w:val="center"/>
              <w:rPr>
                <w:rFonts w:hint="eastAsia" w:ascii="宋体" w:hAnsi="宋体" w:cs="宋体"/>
                <w:sz w:val="22"/>
                <w:szCs w:val="22"/>
              </w:rPr>
            </w:pPr>
          </w:p>
        </w:tc>
      </w:tr>
      <w:tr w14:paraId="14FDC8E5">
        <w:tblPrEx>
          <w:tblCellMar>
            <w:top w:w="0" w:type="dxa"/>
            <w:left w:w="108" w:type="dxa"/>
            <w:bottom w:w="0" w:type="dxa"/>
            <w:right w:w="108" w:type="dxa"/>
          </w:tblCellMar>
        </w:tblPrEx>
        <w:trPr>
          <w:trHeight w:val="54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3175E">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45A59">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校正眼压检查</w:t>
            </w:r>
          </w:p>
        </w:tc>
        <w:tc>
          <w:tcPr>
            <w:tcW w:w="2484" w:type="pct"/>
            <w:tcBorders>
              <w:top w:val="single" w:color="000000" w:sz="4" w:space="0"/>
              <w:left w:val="nil"/>
              <w:bottom w:val="single" w:color="000000" w:sz="4" w:space="0"/>
              <w:right w:val="single" w:color="000000" w:sz="4" w:space="0"/>
            </w:tcBorders>
            <w:shd w:val="clear" w:color="auto" w:fill="auto"/>
            <w:vAlign w:val="center"/>
          </w:tcPr>
          <w:p w14:paraId="38DAE312">
            <w:pPr>
              <w:widowControl/>
              <w:jc w:val="left"/>
              <w:textAlignment w:val="center"/>
              <w:rPr>
                <w:rFonts w:hint="eastAsia" w:ascii="宋体" w:hAnsi="宋体" w:cs="宋体"/>
                <w:sz w:val="22"/>
                <w:szCs w:val="22"/>
              </w:rPr>
            </w:pPr>
            <w:r>
              <w:rPr>
                <w:rFonts w:hint="eastAsia" w:ascii="宋体" w:hAnsi="宋体" w:cs="宋体"/>
                <w:kern w:val="0"/>
                <w:sz w:val="22"/>
                <w:szCs w:val="22"/>
                <w:lang w:bidi="ar"/>
              </w:rPr>
              <w:t>通过检查中央角膜厚度更为准确的测量眼压，提高了早期筛查青光眼的准确性。</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6021B">
            <w:pPr>
              <w:widowControl/>
              <w:jc w:val="center"/>
              <w:textAlignment w:val="center"/>
              <w:rPr>
                <w:rFonts w:hint="eastAsia" w:ascii="宋体" w:hAnsi="宋体" w:cs="宋体"/>
                <w:sz w:val="22"/>
                <w:szCs w:val="22"/>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B941C">
            <w:pPr>
              <w:widowControl/>
              <w:jc w:val="center"/>
              <w:textAlignment w:val="center"/>
              <w:rPr>
                <w:rFonts w:hint="eastAsia" w:ascii="宋体" w:hAnsi="宋体" w:cs="宋体"/>
                <w:sz w:val="22"/>
                <w:szCs w:val="22"/>
              </w:rPr>
            </w:pPr>
          </w:p>
        </w:tc>
      </w:tr>
      <w:tr w14:paraId="3A7A79DE">
        <w:tblPrEx>
          <w:tblCellMar>
            <w:top w:w="0" w:type="dxa"/>
            <w:left w:w="108" w:type="dxa"/>
            <w:bottom w:w="0" w:type="dxa"/>
            <w:right w:w="108" w:type="dxa"/>
          </w:tblCellMar>
        </w:tblPrEx>
        <w:trPr>
          <w:trHeight w:val="54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0C10C">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nil"/>
            </w:tcBorders>
            <w:shd w:val="clear" w:color="auto" w:fill="auto"/>
            <w:vAlign w:val="center"/>
          </w:tcPr>
          <w:p w14:paraId="08CACA9F">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耳鼻喉科</w:t>
            </w:r>
          </w:p>
        </w:tc>
        <w:tc>
          <w:tcPr>
            <w:tcW w:w="2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BE065">
            <w:pPr>
              <w:widowControl/>
              <w:jc w:val="left"/>
              <w:textAlignment w:val="center"/>
              <w:rPr>
                <w:rFonts w:hint="eastAsia" w:ascii="宋体" w:hAnsi="宋体" w:cs="宋体"/>
                <w:sz w:val="22"/>
                <w:szCs w:val="22"/>
              </w:rPr>
            </w:pPr>
            <w:r>
              <w:rPr>
                <w:rFonts w:hint="eastAsia" w:ascii="宋体" w:hAnsi="宋体" w:cs="宋体"/>
                <w:kern w:val="0"/>
                <w:sz w:val="22"/>
                <w:szCs w:val="22"/>
                <w:lang w:bidi="ar"/>
              </w:rPr>
              <w:t>筛查耳鼻及咽喉部的炎症、息肉及新生物等异常。</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C6A18">
            <w:pPr>
              <w:widowControl/>
              <w:jc w:val="center"/>
              <w:textAlignment w:val="center"/>
              <w:rPr>
                <w:rFonts w:hint="eastAsia" w:ascii="宋体" w:hAnsi="宋体" w:cs="宋体"/>
                <w:sz w:val="22"/>
                <w:szCs w:val="22"/>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EE7AB">
            <w:pPr>
              <w:widowControl/>
              <w:jc w:val="center"/>
              <w:textAlignment w:val="center"/>
              <w:rPr>
                <w:rFonts w:hint="eastAsia" w:ascii="宋体" w:hAnsi="宋体" w:cs="宋体"/>
                <w:sz w:val="22"/>
                <w:szCs w:val="22"/>
              </w:rPr>
            </w:pPr>
          </w:p>
        </w:tc>
      </w:tr>
      <w:tr w14:paraId="724D1F10">
        <w:tblPrEx>
          <w:tblCellMar>
            <w:top w:w="0" w:type="dxa"/>
            <w:left w:w="108" w:type="dxa"/>
            <w:bottom w:w="0" w:type="dxa"/>
            <w:right w:w="108" w:type="dxa"/>
          </w:tblCellMar>
        </w:tblPrEx>
        <w:trPr>
          <w:trHeight w:val="108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A1FF1C">
            <w:pPr>
              <w:jc w:val="center"/>
              <w:rPr>
                <w:rFonts w:hint="eastAsia" w:ascii="宋体" w:hAnsi="宋体" w:cs="宋体"/>
                <w:b/>
                <w:bCs/>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49742">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妇科体格检查+宫颈液基细胞学检查</w:t>
            </w:r>
          </w:p>
        </w:tc>
        <w:tc>
          <w:tcPr>
            <w:tcW w:w="2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BA0C2">
            <w:pPr>
              <w:widowControl/>
              <w:jc w:val="left"/>
              <w:textAlignment w:val="center"/>
              <w:rPr>
                <w:rFonts w:hint="eastAsia" w:ascii="宋体" w:hAnsi="宋体" w:cs="宋体"/>
                <w:sz w:val="22"/>
                <w:szCs w:val="22"/>
              </w:rPr>
            </w:pPr>
            <w:r>
              <w:rPr>
                <w:rFonts w:hint="eastAsia" w:ascii="宋体" w:hAnsi="宋体" w:cs="宋体"/>
                <w:kern w:val="0"/>
                <w:sz w:val="22"/>
                <w:szCs w:val="22"/>
                <w:lang w:bidi="ar"/>
              </w:rPr>
              <w:t>了解女性的外阴、阴道、宫颈、子宫及附件的基本状况，宫颈液基细胞学检查用于初筛有无炎症及宫颈癌前病变、宫颈癌等（仅限有性生活史的女性检查）</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30DF8">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B8E40">
            <w:pPr>
              <w:widowControl/>
              <w:jc w:val="center"/>
              <w:textAlignment w:val="center"/>
              <w:rPr>
                <w:rFonts w:hint="eastAsia" w:ascii="宋体" w:hAnsi="宋体" w:cs="宋体"/>
                <w:sz w:val="22"/>
                <w:szCs w:val="22"/>
              </w:rPr>
            </w:pPr>
          </w:p>
        </w:tc>
      </w:tr>
      <w:tr w14:paraId="401149A6">
        <w:tblPrEx>
          <w:tblCellMar>
            <w:top w:w="0" w:type="dxa"/>
            <w:left w:w="108" w:type="dxa"/>
            <w:bottom w:w="0" w:type="dxa"/>
            <w:right w:w="108" w:type="dxa"/>
          </w:tblCellMar>
        </w:tblPrEx>
        <w:trPr>
          <w:trHeight w:val="270" w:hRule="atLeast"/>
        </w:trPr>
        <w:tc>
          <w:tcPr>
            <w:tcW w:w="371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3ADA5B9">
            <w:pPr>
              <w:widowControl/>
              <w:jc w:val="left"/>
              <w:textAlignment w:val="center"/>
              <w:rPr>
                <w:rFonts w:hint="eastAsia" w:ascii="宋体" w:hAnsi="宋体" w:cs="宋体"/>
                <w:sz w:val="22"/>
                <w:szCs w:val="22"/>
              </w:rPr>
            </w:pPr>
            <w:r>
              <w:rPr>
                <w:rFonts w:hint="eastAsia" w:ascii="宋体" w:hAnsi="宋体" w:cs="宋体"/>
                <w:kern w:val="0"/>
                <w:sz w:val="22"/>
                <w:szCs w:val="22"/>
                <w:lang w:bidi="ar"/>
              </w:rPr>
              <w:t>营养早餐，建立健康档案，专家健康咨询，静脉采血一次性医用材料费，体检费（查体，总检报告）</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B55E5">
            <w:pPr>
              <w:widowControl/>
              <w:jc w:val="center"/>
              <w:textAlignment w:val="center"/>
              <w:rPr>
                <w:rFonts w:hint="eastAsia" w:ascii="宋体" w:hAnsi="宋体" w:cs="宋体"/>
                <w:sz w:val="22"/>
                <w:szCs w:val="22"/>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AE1B2">
            <w:pPr>
              <w:widowControl/>
              <w:jc w:val="center"/>
              <w:textAlignment w:val="center"/>
              <w:rPr>
                <w:rFonts w:hint="eastAsia" w:ascii="宋体" w:hAnsi="宋体" w:cs="宋体"/>
                <w:sz w:val="22"/>
                <w:szCs w:val="22"/>
              </w:rPr>
            </w:pPr>
          </w:p>
        </w:tc>
      </w:tr>
      <w:tr w14:paraId="48BD2E24">
        <w:tblPrEx>
          <w:tblCellMar>
            <w:top w:w="0" w:type="dxa"/>
            <w:left w:w="108" w:type="dxa"/>
            <w:bottom w:w="0" w:type="dxa"/>
            <w:right w:w="108" w:type="dxa"/>
          </w:tblCellMar>
        </w:tblPrEx>
        <w:trPr>
          <w:trHeight w:val="270" w:hRule="atLeast"/>
        </w:trPr>
        <w:tc>
          <w:tcPr>
            <w:tcW w:w="371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24332ED">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基础套餐价格：单位（元/人）</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5B532">
            <w:pPr>
              <w:widowControl/>
              <w:jc w:val="center"/>
              <w:textAlignment w:val="center"/>
              <w:rPr>
                <w:rFonts w:hint="eastAsia" w:ascii="宋体" w:hAnsi="宋体" w:cs="宋体"/>
                <w:sz w:val="22"/>
                <w:szCs w:val="22"/>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505D2">
            <w:pPr>
              <w:widowControl/>
              <w:jc w:val="center"/>
              <w:textAlignment w:val="center"/>
              <w:rPr>
                <w:rFonts w:hint="eastAsia" w:ascii="宋体" w:hAnsi="宋体" w:cs="宋体"/>
                <w:sz w:val="22"/>
                <w:szCs w:val="22"/>
              </w:rPr>
            </w:pPr>
          </w:p>
        </w:tc>
      </w:tr>
    </w:tbl>
    <w:p w14:paraId="0A597A53">
      <w:pPr>
        <w:overflowPunct w:val="0"/>
        <w:topLinePunct/>
        <w:snapToGrid w:val="0"/>
        <w:spacing w:line="360" w:lineRule="auto"/>
        <w:ind w:firstLine="482" w:firstLineChars="200"/>
        <w:rPr>
          <w:rFonts w:cs="宋体"/>
          <w:b/>
          <w:sz w:val="24"/>
        </w:rPr>
      </w:pPr>
    </w:p>
    <w:tbl>
      <w:tblPr>
        <w:tblStyle w:val="4"/>
        <w:tblW w:w="5000" w:type="pct"/>
        <w:tblInd w:w="0" w:type="dxa"/>
        <w:tblLayout w:type="fixed"/>
        <w:tblCellMar>
          <w:top w:w="0" w:type="dxa"/>
          <w:left w:w="108" w:type="dxa"/>
          <w:bottom w:w="0" w:type="dxa"/>
          <w:right w:w="108" w:type="dxa"/>
        </w:tblCellMar>
      </w:tblPr>
      <w:tblGrid>
        <w:gridCol w:w="422"/>
        <w:gridCol w:w="1674"/>
        <w:gridCol w:w="4232"/>
        <w:gridCol w:w="1125"/>
        <w:gridCol w:w="1068"/>
      </w:tblGrid>
      <w:tr w14:paraId="63895622">
        <w:tblPrEx>
          <w:tblCellMar>
            <w:top w:w="0" w:type="dxa"/>
            <w:left w:w="108" w:type="dxa"/>
            <w:bottom w:w="0" w:type="dxa"/>
            <w:right w:w="108" w:type="dxa"/>
          </w:tblCellMar>
        </w:tblPrEx>
        <w:trPr>
          <w:trHeight w:val="450"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25B673E8">
            <w:pPr>
              <w:widowControl/>
              <w:jc w:val="left"/>
              <w:textAlignment w:val="center"/>
              <w:rPr>
                <w:rFonts w:hint="eastAsia" w:ascii="宋体" w:hAnsi="宋体" w:cs="宋体"/>
                <w:b/>
                <w:bCs/>
                <w:sz w:val="36"/>
                <w:szCs w:val="36"/>
              </w:rPr>
            </w:pPr>
            <w:r>
              <w:rPr>
                <w:rFonts w:hint="eastAsia" w:ascii="宋体" w:hAnsi="宋体" w:cs="宋体"/>
                <w:b/>
                <w:bCs/>
                <w:kern w:val="0"/>
                <w:sz w:val="36"/>
                <w:szCs w:val="36"/>
                <w:lang w:bidi="ar"/>
              </w:rPr>
              <w:t>X套餐（5选1）</w:t>
            </w:r>
          </w:p>
        </w:tc>
      </w:tr>
      <w:tr w14:paraId="527B1B15">
        <w:tblPrEx>
          <w:tblCellMar>
            <w:top w:w="0" w:type="dxa"/>
            <w:left w:w="108" w:type="dxa"/>
            <w:bottom w:w="0" w:type="dxa"/>
            <w:right w:w="108" w:type="dxa"/>
          </w:tblCellMar>
        </w:tblPrEx>
        <w:trPr>
          <w:trHeight w:val="285" w:hRule="atLeast"/>
        </w:trPr>
        <w:tc>
          <w:tcPr>
            <w:tcW w:w="5000" w:type="pct"/>
            <w:gridSpan w:val="5"/>
            <w:tcBorders>
              <w:top w:val="single" w:color="auto" w:sz="4" w:space="0"/>
              <w:left w:val="single" w:color="000000" w:sz="4" w:space="0"/>
              <w:bottom w:val="single" w:color="000000" w:sz="4" w:space="0"/>
              <w:right w:val="single" w:color="000000" w:sz="4" w:space="0"/>
            </w:tcBorders>
            <w:shd w:val="clear" w:color="auto" w:fill="auto"/>
            <w:noWrap/>
            <w:vAlign w:val="center"/>
          </w:tcPr>
          <w:p w14:paraId="26BA41CD">
            <w:pPr>
              <w:widowControl/>
              <w:jc w:val="center"/>
              <w:textAlignment w:val="center"/>
              <w:rPr>
                <w:rFonts w:hint="eastAsia" w:ascii="宋体" w:hAnsi="宋体" w:cs="宋体"/>
                <w:b/>
                <w:bCs/>
                <w:sz w:val="24"/>
              </w:rPr>
            </w:pPr>
            <w:r>
              <w:rPr>
                <w:rFonts w:hint="eastAsia" w:ascii="宋体" w:hAnsi="宋体" w:cs="宋体"/>
                <w:b/>
                <w:bCs/>
                <w:kern w:val="0"/>
                <w:sz w:val="24"/>
                <w:lang w:bidi="ar"/>
              </w:rPr>
              <w:t>X1-偏心脑血管风险筛查A</w:t>
            </w:r>
          </w:p>
        </w:tc>
      </w:tr>
      <w:tr w14:paraId="54FBDD39">
        <w:tblPrEx>
          <w:tblCellMar>
            <w:top w:w="0" w:type="dxa"/>
            <w:left w:w="108" w:type="dxa"/>
            <w:bottom w:w="0" w:type="dxa"/>
            <w:right w:w="108" w:type="dxa"/>
          </w:tblCellMar>
        </w:tblPrEx>
        <w:trPr>
          <w:trHeight w:val="810" w:hRule="atLeast"/>
        </w:trPr>
        <w:tc>
          <w:tcPr>
            <w:tcW w:w="248" w:type="pct"/>
            <w:vMerge w:val="restart"/>
            <w:tcBorders>
              <w:top w:val="single" w:color="000000" w:sz="4" w:space="0"/>
              <w:left w:val="single" w:color="000000" w:sz="4" w:space="0"/>
              <w:right w:val="nil"/>
            </w:tcBorders>
            <w:shd w:val="clear" w:color="auto" w:fill="auto"/>
            <w:vAlign w:val="center"/>
          </w:tcPr>
          <w:p w14:paraId="57CAC4A7">
            <w:pPr>
              <w:jc w:val="center"/>
              <w:rPr>
                <w:rFonts w:hint="eastAsia" w:ascii="宋体" w:hAnsi="宋体" w:cs="宋体"/>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71436">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体检项目</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F116A">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检查意义</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BF962">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单项价格（元）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AF167">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备注</w:t>
            </w:r>
          </w:p>
        </w:tc>
      </w:tr>
      <w:tr w14:paraId="3554630E">
        <w:tblPrEx>
          <w:tblCellMar>
            <w:top w:w="0" w:type="dxa"/>
            <w:left w:w="108" w:type="dxa"/>
            <w:bottom w:w="0" w:type="dxa"/>
            <w:right w:w="108" w:type="dxa"/>
          </w:tblCellMar>
        </w:tblPrEx>
        <w:trPr>
          <w:trHeight w:val="1080" w:hRule="atLeast"/>
        </w:trPr>
        <w:tc>
          <w:tcPr>
            <w:tcW w:w="248" w:type="pct"/>
            <w:vMerge w:val="continue"/>
            <w:tcBorders>
              <w:left w:val="single" w:color="000000" w:sz="4" w:space="0"/>
              <w:right w:val="nil"/>
            </w:tcBorders>
            <w:shd w:val="clear" w:color="auto" w:fill="auto"/>
            <w:vAlign w:val="center"/>
          </w:tcPr>
          <w:p w14:paraId="5D62C79F">
            <w:pPr>
              <w:jc w:val="center"/>
              <w:rPr>
                <w:rFonts w:hint="eastAsia" w:ascii="宋体" w:hAnsi="宋体" w:cs="宋体"/>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0F887">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心脏常规</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B1DC0">
            <w:pPr>
              <w:widowControl/>
              <w:jc w:val="left"/>
              <w:textAlignment w:val="center"/>
              <w:rPr>
                <w:rFonts w:hint="eastAsia" w:ascii="宋体" w:hAnsi="宋体" w:cs="宋体"/>
                <w:sz w:val="22"/>
                <w:szCs w:val="22"/>
              </w:rPr>
            </w:pPr>
            <w:r>
              <w:rPr>
                <w:rFonts w:hint="eastAsia" w:ascii="宋体" w:hAnsi="宋体" w:cs="宋体"/>
                <w:kern w:val="0"/>
                <w:sz w:val="22"/>
                <w:szCs w:val="22"/>
                <w:lang w:bidi="ar"/>
              </w:rPr>
              <w:t>动态显示心腔内结构、心脏的搏动和血液流动，评估有无高血压性心脏病、冠心病、先天性心脏病等心脏结构功能改变，是诊断心脏疾病的有效检查手段</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105E5">
            <w:pPr>
              <w:widowControl/>
              <w:jc w:val="center"/>
              <w:textAlignment w:val="center"/>
              <w:rPr>
                <w:rFonts w:hint="eastAsia" w:ascii="宋体" w:hAnsi="宋体" w:cs="宋体"/>
                <w:sz w:val="22"/>
                <w:szCs w:val="22"/>
              </w:rPr>
            </w:pPr>
          </w:p>
        </w:tc>
        <w:tc>
          <w:tcPr>
            <w:tcW w:w="627" w:type="pct"/>
            <w:vMerge w:val="restart"/>
            <w:tcBorders>
              <w:top w:val="single" w:color="000000" w:sz="4" w:space="0"/>
              <w:left w:val="single" w:color="000000" w:sz="4" w:space="0"/>
              <w:right w:val="single" w:color="000000" w:sz="4" w:space="0"/>
            </w:tcBorders>
            <w:shd w:val="clear" w:color="auto" w:fill="auto"/>
            <w:vAlign w:val="center"/>
          </w:tcPr>
          <w:p w14:paraId="2BDC1668">
            <w:pPr>
              <w:jc w:val="center"/>
              <w:rPr>
                <w:rFonts w:hint="eastAsia" w:ascii="宋体" w:hAnsi="宋体" w:cs="宋体"/>
                <w:b/>
                <w:bCs/>
                <w:sz w:val="22"/>
                <w:szCs w:val="22"/>
              </w:rPr>
            </w:pPr>
          </w:p>
        </w:tc>
      </w:tr>
      <w:tr w14:paraId="76872546">
        <w:tblPrEx>
          <w:tblCellMar>
            <w:top w:w="0" w:type="dxa"/>
            <w:left w:w="108" w:type="dxa"/>
            <w:bottom w:w="0" w:type="dxa"/>
            <w:right w:w="108" w:type="dxa"/>
          </w:tblCellMar>
        </w:tblPrEx>
        <w:trPr>
          <w:trHeight w:val="810" w:hRule="atLeast"/>
        </w:trPr>
        <w:tc>
          <w:tcPr>
            <w:tcW w:w="248" w:type="pct"/>
            <w:vMerge w:val="continue"/>
            <w:tcBorders>
              <w:left w:val="single" w:color="000000" w:sz="4" w:space="0"/>
              <w:right w:val="nil"/>
            </w:tcBorders>
            <w:shd w:val="clear" w:color="auto" w:fill="auto"/>
            <w:vAlign w:val="center"/>
          </w:tcPr>
          <w:p w14:paraId="0168F0AC">
            <w:pPr>
              <w:jc w:val="center"/>
              <w:rPr>
                <w:rFonts w:hint="eastAsia" w:ascii="宋体" w:hAnsi="宋体" w:cs="宋体"/>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5AF22">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APOE基因分型检测</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C6B1E">
            <w:pPr>
              <w:widowControl/>
              <w:jc w:val="left"/>
              <w:textAlignment w:val="center"/>
              <w:rPr>
                <w:rFonts w:hint="eastAsia" w:ascii="宋体" w:hAnsi="宋体" w:cs="宋体"/>
                <w:sz w:val="22"/>
                <w:szCs w:val="22"/>
              </w:rPr>
            </w:pPr>
            <w:r>
              <w:rPr>
                <w:rFonts w:hint="eastAsia" w:ascii="宋体" w:hAnsi="宋体" w:cs="宋体"/>
                <w:kern w:val="0"/>
                <w:sz w:val="22"/>
                <w:szCs w:val="22"/>
                <w:lang w:bidi="ar"/>
              </w:rPr>
              <w:t>APOE基因分型可预测认知障碍相关疾病、冠心病、脑梗塞等疾病发生的风险，并指导他汀类药物的使用。</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632FA">
            <w:pPr>
              <w:widowControl/>
              <w:jc w:val="center"/>
              <w:textAlignment w:val="center"/>
              <w:rPr>
                <w:rFonts w:hint="eastAsia" w:ascii="宋体" w:hAnsi="宋体" w:cs="宋体"/>
                <w:sz w:val="22"/>
                <w:szCs w:val="22"/>
              </w:rPr>
            </w:pPr>
          </w:p>
        </w:tc>
        <w:tc>
          <w:tcPr>
            <w:tcW w:w="627" w:type="pct"/>
            <w:vMerge w:val="continue"/>
            <w:tcBorders>
              <w:left w:val="single" w:color="000000" w:sz="4" w:space="0"/>
              <w:right w:val="single" w:color="000000" w:sz="4" w:space="0"/>
            </w:tcBorders>
            <w:shd w:val="clear" w:color="auto" w:fill="auto"/>
            <w:noWrap/>
            <w:vAlign w:val="center"/>
          </w:tcPr>
          <w:p w14:paraId="3F7E9782">
            <w:pPr>
              <w:widowControl/>
              <w:jc w:val="center"/>
              <w:textAlignment w:val="center"/>
              <w:rPr>
                <w:rFonts w:hint="eastAsia" w:ascii="宋体" w:hAnsi="宋体" w:cs="宋体"/>
                <w:sz w:val="22"/>
                <w:szCs w:val="22"/>
              </w:rPr>
            </w:pPr>
          </w:p>
        </w:tc>
      </w:tr>
      <w:tr w14:paraId="6C7F2266">
        <w:tblPrEx>
          <w:tblCellMar>
            <w:top w:w="0" w:type="dxa"/>
            <w:left w:w="108" w:type="dxa"/>
            <w:bottom w:w="0" w:type="dxa"/>
            <w:right w:w="108" w:type="dxa"/>
          </w:tblCellMar>
        </w:tblPrEx>
        <w:trPr>
          <w:trHeight w:val="540" w:hRule="atLeast"/>
        </w:trPr>
        <w:tc>
          <w:tcPr>
            <w:tcW w:w="248" w:type="pct"/>
            <w:vMerge w:val="continue"/>
            <w:tcBorders>
              <w:left w:val="single" w:color="000000" w:sz="4" w:space="0"/>
              <w:right w:val="nil"/>
            </w:tcBorders>
            <w:shd w:val="clear" w:color="auto" w:fill="auto"/>
            <w:vAlign w:val="center"/>
          </w:tcPr>
          <w:p w14:paraId="39ADE079">
            <w:pPr>
              <w:jc w:val="center"/>
              <w:rPr>
                <w:rFonts w:hint="eastAsia" w:ascii="宋体" w:hAnsi="宋体" w:cs="宋体"/>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9471D">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同型半胱氨酸</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A1679">
            <w:pPr>
              <w:widowControl/>
              <w:jc w:val="left"/>
              <w:textAlignment w:val="center"/>
              <w:rPr>
                <w:rFonts w:hint="eastAsia" w:ascii="宋体" w:hAnsi="宋体" w:cs="宋体"/>
                <w:sz w:val="22"/>
                <w:szCs w:val="22"/>
              </w:rPr>
            </w:pPr>
            <w:r>
              <w:rPr>
                <w:rFonts w:hint="eastAsia" w:ascii="宋体" w:hAnsi="宋体" w:cs="宋体"/>
                <w:kern w:val="0"/>
                <w:sz w:val="22"/>
                <w:szCs w:val="22"/>
                <w:lang w:bidi="ar"/>
              </w:rPr>
              <w:t>协助判断动脉粥样硬化性疾病、复发性静脉补血栓疾病的风险</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D123A">
            <w:pPr>
              <w:widowControl/>
              <w:jc w:val="center"/>
              <w:textAlignment w:val="center"/>
              <w:rPr>
                <w:rFonts w:hint="eastAsia" w:ascii="宋体" w:hAnsi="宋体" w:cs="宋体"/>
                <w:sz w:val="22"/>
                <w:szCs w:val="22"/>
              </w:rPr>
            </w:pPr>
          </w:p>
        </w:tc>
        <w:tc>
          <w:tcPr>
            <w:tcW w:w="627" w:type="pct"/>
            <w:vMerge w:val="continue"/>
            <w:tcBorders>
              <w:left w:val="single" w:color="000000" w:sz="4" w:space="0"/>
              <w:right w:val="single" w:color="000000" w:sz="4" w:space="0"/>
            </w:tcBorders>
            <w:shd w:val="clear" w:color="auto" w:fill="auto"/>
            <w:noWrap/>
            <w:vAlign w:val="center"/>
          </w:tcPr>
          <w:p w14:paraId="2970EE9F">
            <w:pPr>
              <w:jc w:val="center"/>
              <w:rPr>
                <w:rFonts w:hint="eastAsia" w:ascii="宋体" w:hAnsi="宋体" w:cs="宋体"/>
                <w:sz w:val="22"/>
                <w:szCs w:val="22"/>
              </w:rPr>
            </w:pPr>
          </w:p>
        </w:tc>
      </w:tr>
      <w:tr w14:paraId="24224E8E">
        <w:tblPrEx>
          <w:tblCellMar>
            <w:top w:w="0" w:type="dxa"/>
            <w:left w:w="108" w:type="dxa"/>
            <w:bottom w:w="0" w:type="dxa"/>
            <w:right w:w="108" w:type="dxa"/>
          </w:tblCellMar>
        </w:tblPrEx>
        <w:trPr>
          <w:trHeight w:val="1080" w:hRule="atLeast"/>
        </w:trPr>
        <w:tc>
          <w:tcPr>
            <w:tcW w:w="248" w:type="pct"/>
            <w:vMerge w:val="continue"/>
            <w:tcBorders>
              <w:left w:val="single" w:color="000000" w:sz="4" w:space="0"/>
              <w:right w:val="nil"/>
            </w:tcBorders>
            <w:shd w:val="clear" w:color="auto" w:fill="auto"/>
            <w:vAlign w:val="center"/>
          </w:tcPr>
          <w:p w14:paraId="64579EAF">
            <w:pPr>
              <w:jc w:val="center"/>
              <w:rPr>
                <w:rFonts w:hint="eastAsia" w:ascii="宋体" w:hAnsi="宋体" w:cs="宋体"/>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F94B1">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眼底照相（双眼）</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7FA1B">
            <w:pPr>
              <w:widowControl/>
              <w:jc w:val="left"/>
              <w:textAlignment w:val="center"/>
              <w:rPr>
                <w:rFonts w:hint="eastAsia" w:ascii="宋体" w:hAnsi="宋体" w:cs="宋体"/>
                <w:sz w:val="22"/>
                <w:szCs w:val="22"/>
              </w:rPr>
            </w:pPr>
            <w:r>
              <w:rPr>
                <w:rFonts w:hint="eastAsia" w:ascii="宋体" w:hAnsi="宋体" w:cs="宋体"/>
                <w:kern w:val="0"/>
                <w:sz w:val="22"/>
                <w:szCs w:val="22"/>
                <w:lang w:bidi="ar"/>
              </w:rPr>
              <w:t>属于无创、直观了解眼底及全身血管情况的技术。协助发现眼底病变,了解全身微血管疾病的情况，尤其是糖尿病视网膜病变、高血压眼底改变等情况。</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2B34C">
            <w:pPr>
              <w:widowControl/>
              <w:jc w:val="center"/>
              <w:textAlignment w:val="center"/>
              <w:rPr>
                <w:rFonts w:hint="eastAsia" w:ascii="宋体" w:hAnsi="宋体" w:cs="宋体"/>
                <w:sz w:val="22"/>
                <w:szCs w:val="22"/>
              </w:rPr>
            </w:pPr>
          </w:p>
        </w:tc>
        <w:tc>
          <w:tcPr>
            <w:tcW w:w="627" w:type="pct"/>
            <w:vMerge w:val="continue"/>
            <w:tcBorders>
              <w:left w:val="single" w:color="000000" w:sz="4" w:space="0"/>
              <w:right w:val="single" w:color="000000" w:sz="4" w:space="0"/>
            </w:tcBorders>
            <w:shd w:val="clear" w:color="auto" w:fill="auto"/>
            <w:noWrap/>
            <w:vAlign w:val="center"/>
          </w:tcPr>
          <w:p w14:paraId="7A157479">
            <w:pPr>
              <w:jc w:val="center"/>
              <w:rPr>
                <w:rFonts w:hint="eastAsia" w:ascii="宋体" w:hAnsi="宋体" w:cs="宋体"/>
                <w:sz w:val="22"/>
                <w:szCs w:val="22"/>
              </w:rPr>
            </w:pPr>
          </w:p>
        </w:tc>
      </w:tr>
      <w:tr w14:paraId="48D921DA">
        <w:tblPrEx>
          <w:tblCellMar>
            <w:top w:w="0" w:type="dxa"/>
            <w:left w:w="108" w:type="dxa"/>
            <w:bottom w:w="0" w:type="dxa"/>
            <w:right w:w="108" w:type="dxa"/>
          </w:tblCellMar>
        </w:tblPrEx>
        <w:trPr>
          <w:trHeight w:val="270" w:hRule="atLeast"/>
        </w:trPr>
        <w:tc>
          <w:tcPr>
            <w:tcW w:w="248" w:type="pct"/>
            <w:vMerge w:val="continue"/>
            <w:tcBorders>
              <w:left w:val="single" w:color="000000" w:sz="4" w:space="0"/>
              <w:bottom w:val="single" w:color="000000" w:sz="4" w:space="0"/>
              <w:right w:val="nil"/>
            </w:tcBorders>
            <w:shd w:val="clear" w:color="auto" w:fill="auto"/>
            <w:vAlign w:val="center"/>
          </w:tcPr>
          <w:p w14:paraId="532C5628">
            <w:pPr>
              <w:jc w:val="center"/>
              <w:rPr>
                <w:rFonts w:hint="eastAsia" w:ascii="宋体" w:hAnsi="宋体" w:cs="宋体"/>
                <w:sz w:val="22"/>
                <w:szCs w:val="22"/>
              </w:rPr>
            </w:pPr>
          </w:p>
        </w:tc>
        <w:tc>
          <w:tcPr>
            <w:tcW w:w="3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F21BB0">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合计</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D2300">
            <w:pPr>
              <w:widowControl/>
              <w:jc w:val="center"/>
              <w:textAlignment w:val="center"/>
              <w:rPr>
                <w:rFonts w:hint="eastAsia" w:ascii="宋体" w:hAnsi="宋体" w:cs="宋体"/>
                <w:sz w:val="22"/>
                <w:szCs w:val="22"/>
              </w:rPr>
            </w:pPr>
          </w:p>
        </w:tc>
        <w:tc>
          <w:tcPr>
            <w:tcW w:w="627" w:type="pct"/>
            <w:vMerge w:val="continue"/>
            <w:tcBorders>
              <w:left w:val="single" w:color="000000" w:sz="4" w:space="0"/>
              <w:bottom w:val="single" w:color="000000" w:sz="4" w:space="0"/>
              <w:right w:val="single" w:color="000000" w:sz="4" w:space="0"/>
            </w:tcBorders>
            <w:shd w:val="clear" w:color="auto" w:fill="auto"/>
            <w:noWrap/>
            <w:vAlign w:val="center"/>
          </w:tcPr>
          <w:p w14:paraId="05D49EB4">
            <w:pPr>
              <w:jc w:val="center"/>
              <w:rPr>
                <w:rFonts w:hint="eastAsia" w:ascii="宋体" w:hAnsi="宋体" w:cs="宋体"/>
                <w:sz w:val="22"/>
                <w:szCs w:val="22"/>
              </w:rPr>
            </w:pPr>
          </w:p>
        </w:tc>
      </w:tr>
      <w:tr w14:paraId="05E65ED2">
        <w:tblPrEx>
          <w:tblCellMar>
            <w:top w:w="0" w:type="dxa"/>
            <w:left w:w="108" w:type="dxa"/>
            <w:bottom w:w="0" w:type="dxa"/>
            <w:right w:w="108" w:type="dxa"/>
          </w:tblCellMar>
        </w:tblPrEx>
        <w:trPr>
          <w:trHeight w:val="270" w:hRule="atLeast"/>
        </w:trPr>
        <w:tc>
          <w:tcPr>
            <w:tcW w:w="248" w:type="pct"/>
            <w:tcBorders>
              <w:top w:val="nil"/>
              <w:left w:val="nil"/>
              <w:bottom w:val="nil"/>
              <w:right w:val="nil"/>
            </w:tcBorders>
            <w:shd w:val="clear" w:color="auto" w:fill="auto"/>
            <w:vAlign w:val="center"/>
          </w:tcPr>
          <w:p w14:paraId="4CF48674">
            <w:pPr>
              <w:jc w:val="center"/>
              <w:rPr>
                <w:rFonts w:hint="eastAsia" w:ascii="宋体" w:hAnsi="宋体" w:cs="宋体"/>
                <w:sz w:val="22"/>
                <w:szCs w:val="22"/>
              </w:rPr>
            </w:pPr>
          </w:p>
        </w:tc>
        <w:tc>
          <w:tcPr>
            <w:tcW w:w="982" w:type="pct"/>
            <w:tcBorders>
              <w:top w:val="nil"/>
              <w:left w:val="nil"/>
              <w:bottom w:val="nil"/>
              <w:right w:val="nil"/>
            </w:tcBorders>
            <w:shd w:val="clear" w:color="auto" w:fill="auto"/>
            <w:vAlign w:val="center"/>
          </w:tcPr>
          <w:p w14:paraId="5BD6FD4F">
            <w:pPr>
              <w:jc w:val="center"/>
              <w:rPr>
                <w:rFonts w:hint="eastAsia" w:ascii="宋体" w:hAnsi="宋体" w:cs="宋体"/>
                <w:sz w:val="22"/>
                <w:szCs w:val="22"/>
              </w:rPr>
            </w:pPr>
          </w:p>
        </w:tc>
        <w:tc>
          <w:tcPr>
            <w:tcW w:w="2483" w:type="pct"/>
            <w:tcBorders>
              <w:top w:val="nil"/>
              <w:left w:val="nil"/>
              <w:bottom w:val="nil"/>
              <w:right w:val="nil"/>
            </w:tcBorders>
            <w:shd w:val="clear" w:color="auto" w:fill="auto"/>
            <w:vAlign w:val="center"/>
          </w:tcPr>
          <w:p w14:paraId="61C0B27D">
            <w:pPr>
              <w:jc w:val="left"/>
              <w:rPr>
                <w:rFonts w:hint="eastAsia" w:ascii="宋体" w:hAnsi="宋体" w:cs="宋体"/>
                <w:sz w:val="22"/>
                <w:szCs w:val="22"/>
              </w:rPr>
            </w:pPr>
          </w:p>
        </w:tc>
        <w:tc>
          <w:tcPr>
            <w:tcW w:w="660" w:type="pct"/>
            <w:tcBorders>
              <w:top w:val="nil"/>
              <w:left w:val="nil"/>
              <w:bottom w:val="nil"/>
              <w:right w:val="nil"/>
            </w:tcBorders>
            <w:shd w:val="clear" w:color="auto" w:fill="auto"/>
            <w:vAlign w:val="center"/>
          </w:tcPr>
          <w:p w14:paraId="388C49BD">
            <w:pPr>
              <w:jc w:val="center"/>
              <w:rPr>
                <w:rFonts w:hint="eastAsia" w:ascii="宋体" w:hAnsi="宋体" w:cs="宋体"/>
                <w:sz w:val="22"/>
                <w:szCs w:val="22"/>
              </w:rPr>
            </w:pPr>
          </w:p>
        </w:tc>
        <w:tc>
          <w:tcPr>
            <w:tcW w:w="627" w:type="pct"/>
            <w:tcBorders>
              <w:top w:val="nil"/>
              <w:left w:val="nil"/>
              <w:bottom w:val="nil"/>
              <w:right w:val="nil"/>
            </w:tcBorders>
            <w:shd w:val="clear" w:color="auto" w:fill="auto"/>
            <w:noWrap/>
            <w:vAlign w:val="center"/>
          </w:tcPr>
          <w:p w14:paraId="78F5B9D0">
            <w:pPr>
              <w:jc w:val="center"/>
              <w:rPr>
                <w:rFonts w:hint="eastAsia" w:ascii="宋体" w:hAnsi="宋体" w:cs="宋体"/>
                <w:sz w:val="22"/>
                <w:szCs w:val="22"/>
              </w:rPr>
            </w:pPr>
          </w:p>
        </w:tc>
      </w:tr>
      <w:tr w14:paraId="603F597A">
        <w:tblPrEx>
          <w:tblCellMar>
            <w:top w:w="0" w:type="dxa"/>
            <w:left w:w="108" w:type="dxa"/>
            <w:bottom w:w="0" w:type="dxa"/>
            <w:right w:w="108" w:type="dxa"/>
          </w:tblCellMar>
        </w:tblPrEx>
        <w:trPr>
          <w:trHeight w:val="285"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0544F">
            <w:pPr>
              <w:widowControl/>
              <w:jc w:val="center"/>
              <w:textAlignment w:val="center"/>
              <w:rPr>
                <w:rFonts w:hint="eastAsia" w:ascii="宋体" w:hAnsi="宋体" w:cs="宋体"/>
                <w:b/>
                <w:bCs/>
                <w:sz w:val="24"/>
              </w:rPr>
            </w:pPr>
            <w:r>
              <w:rPr>
                <w:rFonts w:hint="eastAsia" w:ascii="宋体" w:hAnsi="宋体" w:cs="宋体"/>
                <w:b/>
                <w:bCs/>
                <w:kern w:val="0"/>
                <w:sz w:val="24"/>
                <w:lang w:bidi="ar"/>
              </w:rPr>
              <w:t>X2-偏心脑血管风险筛查B</w:t>
            </w:r>
          </w:p>
        </w:tc>
      </w:tr>
      <w:tr w14:paraId="3DEFF647">
        <w:tblPrEx>
          <w:tblCellMar>
            <w:top w:w="0" w:type="dxa"/>
            <w:left w:w="108" w:type="dxa"/>
            <w:bottom w:w="0" w:type="dxa"/>
            <w:right w:w="108" w:type="dxa"/>
          </w:tblCellMar>
        </w:tblPrEx>
        <w:trPr>
          <w:trHeight w:val="810" w:hRule="atLeast"/>
        </w:trPr>
        <w:tc>
          <w:tcPr>
            <w:tcW w:w="248" w:type="pct"/>
            <w:vMerge w:val="restart"/>
            <w:tcBorders>
              <w:top w:val="single" w:color="000000" w:sz="4" w:space="0"/>
              <w:left w:val="single" w:color="000000" w:sz="4" w:space="0"/>
              <w:right w:val="single" w:color="000000" w:sz="4" w:space="0"/>
            </w:tcBorders>
            <w:shd w:val="clear" w:color="auto" w:fill="auto"/>
            <w:vAlign w:val="center"/>
          </w:tcPr>
          <w:p w14:paraId="7958840B">
            <w:pPr>
              <w:jc w:val="center"/>
              <w:rPr>
                <w:rFonts w:hint="eastAsia" w:ascii="宋体" w:hAnsi="宋体" w:cs="宋体"/>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E9B52">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体检项目</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98669">
            <w:pPr>
              <w:widowControl/>
              <w:jc w:val="left"/>
              <w:textAlignment w:val="center"/>
              <w:rPr>
                <w:rFonts w:hint="eastAsia" w:ascii="宋体" w:hAnsi="宋体" w:cs="宋体"/>
                <w:b/>
                <w:bCs/>
                <w:sz w:val="22"/>
                <w:szCs w:val="22"/>
              </w:rPr>
            </w:pPr>
            <w:r>
              <w:rPr>
                <w:rFonts w:hint="eastAsia" w:ascii="宋体" w:hAnsi="宋体" w:cs="宋体"/>
                <w:b/>
                <w:bCs/>
                <w:kern w:val="0"/>
                <w:sz w:val="22"/>
                <w:szCs w:val="22"/>
                <w:lang w:bidi="ar"/>
              </w:rPr>
              <w:t>检查意义</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63A05">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单项价格（元）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C9D6B">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备注</w:t>
            </w:r>
          </w:p>
        </w:tc>
      </w:tr>
      <w:tr w14:paraId="6FC0C2CB">
        <w:tblPrEx>
          <w:tblCellMar>
            <w:top w:w="0" w:type="dxa"/>
            <w:left w:w="108" w:type="dxa"/>
            <w:bottom w:w="0" w:type="dxa"/>
            <w:right w:w="108" w:type="dxa"/>
          </w:tblCellMar>
        </w:tblPrEx>
        <w:trPr>
          <w:trHeight w:val="810" w:hRule="atLeast"/>
        </w:trPr>
        <w:tc>
          <w:tcPr>
            <w:tcW w:w="248" w:type="pct"/>
            <w:vMerge w:val="continue"/>
            <w:tcBorders>
              <w:left w:val="single" w:color="000000" w:sz="4" w:space="0"/>
              <w:right w:val="single" w:color="000000" w:sz="4" w:space="0"/>
            </w:tcBorders>
            <w:shd w:val="clear" w:color="auto" w:fill="auto"/>
            <w:vAlign w:val="center"/>
          </w:tcPr>
          <w:p w14:paraId="39C7C48E">
            <w:pPr>
              <w:jc w:val="center"/>
              <w:rPr>
                <w:rFonts w:hint="eastAsia" w:ascii="宋体" w:hAnsi="宋体" w:cs="宋体"/>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C4F5B">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颈部动脉血管8根：双侧(颈总+颈内+颈外+椎)动脉</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D32BF">
            <w:pPr>
              <w:widowControl/>
              <w:jc w:val="left"/>
              <w:textAlignment w:val="center"/>
              <w:rPr>
                <w:rFonts w:hint="eastAsia" w:ascii="宋体" w:hAnsi="宋体" w:cs="宋体"/>
                <w:sz w:val="22"/>
                <w:szCs w:val="22"/>
              </w:rPr>
            </w:pPr>
            <w:r>
              <w:rPr>
                <w:rFonts w:hint="eastAsia" w:ascii="宋体" w:hAnsi="宋体" w:cs="宋体"/>
                <w:kern w:val="0"/>
                <w:sz w:val="22"/>
                <w:szCs w:val="22"/>
                <w:lang w:bidi="ar"/>
              </w:rPr>
              <w:t>评估血管壁厚度、有无斑块、有无血管狭窄等情况，诊断有无动脉粥样硬化性病变，协助临床治疗方案选择</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09750">
            <w:pPr>
              <w:widowControl/>
              <w:jc w:val="center"/>
              <w:textAlignment w:val="center"/>
              <w:rPr>
                <w:rFonts w:hint="eastAsia" w:ascii="宋体" w:hAnsi="宋体" w:cs="宋体"/>
                <w:sz w:val="22"/>
                <w:szCs w:val="22"/>
              </w:rPr>
            </w:pP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99AE4E">
            <w:pPr>
              <w:widowControl/>
              <w:jc w:val="center"/>
              <w:textAlignment w:val="center"/>
              <w:rPr>
                <w:rFonts w:hint="eastAsia" w:ascii="宋体" w:hAnsi="宋体" w:cs="宋体"/>
                <w:sz w:val="22"/>
                <w:szCs w:val="22"/>
              </w:rPr>
            </w:pPr>
          </w:p>
        </w:tc>
      </w:tr>
      <w:tr w14:paraId="3FA2796A">
        <w:tblPrEx>
          <w:tblCellMar>
            <w:top w:w="0" w:type="dxa"/>
            <w:left w:w="108" w:type="dxa"/>
            <w:bottom w:w="0" w:type="dxa"/>
            <w:right w:w="108" w:type="dxa"/>
          </w:tblCellMar>
        </w:tblPrEx>
        <w:trPr>
          <w:trHeight w:val="540" w:hRule="atLeast"/>
        </w:trPr>
        <w:tc>
          <w:tcPr>
            <w:tcW w:w="248" w:type="pct"/>
            <w:vMerge w:val="continue"/>
            <w:tcBorders>
              <w:left w:val="single" w:color="000000" w:sz="4" w:space="0"/>
              <w:right w:val="single" w:color="000000" w:sz="4" w:space="0"/>
            </w:tcBorders>
            <w:shd w:val="clear" w:color="auto" w:fill="auto"/>
            <w:vAlign w:val="center"/>
          </w:tcPr>
          <w:p w14:paraId="50FDEB7E">
            <w:pPr>
              <w:jc w:val="center"/>
              <w:rPr>
                <w:rFonts w:hint="eastAsia" w:ascii="宋体" w:hAnsi="宋体" w:cs="宋体"/>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02374">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经颅多普勒（TCD）</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CFB73">
            <w:pPr>
              <w:widowControl/>
              <w:jc w:val="left"/>
              <w:textAlignment w:val="center"/>
              <w:rPr>
                <w:rFonts w:hint="eastAsia" w:ascii="宋体" w:hAnsi="宋体" w:cs="宋体"/>
                <w:sz w:val="22"/>
                <w:szCs w:val="22"/>
              </w:rPr>
            </w:pPr>
            <w:r>
              <w:rPr>
                <w:rFonts w:hint="eastAsia" w:ascii="宋体" w:hAnsi="宋体" w:cs="宋体"/>
                <w:kern w:val="0"/>
                <w:sz w:val="22"/>
                <w:szCs w:val="22"/>
                <w:lang w:bidi="ar"/>
              </w:rPr>
              <w:t>无创检测脑血管供血情况，主要用于评价脑动脉狭窄、闭塞或痉挛的部位及程度。</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72A3F">
            <w:pPr>
              <w:widowControl/>
              <w:jc w:val="center"/>
              <w:textAlignment w:val="center"/>
              <w:rPr>
                <w:rFonts w:hint="eastAsia" w:ascii="宋体" w:hAnsi="宋体" w:cs="宋体"/>
                <w:sz w:val="22"/>
                <w:szCs w:val="22"/>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CC6098">
            <w:pPr>
              <w:jc w:val="center"/>
              <w:rPr>
                <w:rFonts w:hint="eastAsia" w:ascii="宋体" w:hAnsi="宋体" w:cs="宋体"/>
                <w:sz w:val="22"/>
                <w:szCs w:val="22"/>
              </w:rPr>
            </w:pPr>
          </w:p>
        </w:tc>
      </w:tr>
      <w:tr w14:paraId="4C0D8B2D">
        <w:tblPrEx>
          <w:tblCellMar>
            <w:top w:w="0" w:type="dxa"/>
            <w:left w:w="108" w:type="dxa"/>
            <w:bottom w:w="0" w:type="dxa"/>
            <w:right w:w="108" w:type="dxa"/>
          </w:tblCellMar>
        </w:tblPrEx>
        <w:trPr>
          <w:trHeight w:val="270" w:hRule="atLeast"/>
        </w:trPr>
        <w:tc>
          <w:tcPr>
            <w:tcW w:w="248" w:type="pct"/>
            <w:vMerge w:val="continue"/>
            <w:tcBorders>
              <w:left w:val="single" w:color="000000" w:sz="4" w:space="0"/>
              <w:bottom w:val="single" w:color="auto" w:sz="4" w:space="0"/>
              <w:right w:val="single" w:color="000000" w:sz="4" w:space="0"/>
            </w:tcBorders>
            <w:shd w:val="clear" w:color="auto" w:fill="auto"/>
            <w:noWrap/>
            <w:vAlign w:val="center"/>
          </w:tcPr>
          <w:p w14:paraId="5718BB50">
            <w:pPr>
              <w:rPr>
                <w:rFonts w:hint="eastAsia" w:ascii="宋体" w:hAnsi="宋体" w:cs="宋体"/>
                <w:sz w:val="18"/>
                <w:szCs w:val="18"/>
              </w:rPr>
            </w:pPr>
          </w:p>
        </w:tc>
        <w:tc>
          <w:tcPr>
            <w:tcW w:w="3465"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AD6C3CD">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合计</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28436">
            <w:pPr>
              <w:widowControl/>
              <w:jc w:val="center"/>
              <w:textAlignment w:val="center"/>
              <w:rPr>
                <w:rFonts w:hint="eastAsia" w:ascii="宋体" w:hAnsi="宋体" w:cs="宋体"/>
                <w:sz w:val="22"/>
                <w:szCs w:val="22"/>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6E574">
            <w:pPr>
              <w:jc w:val="center"/>
              <w:rPr>
                <w:rFonts w:hint="eastAsia" w:ascii="宋体" w:hAnsi="宋体" w:cs="宋体"/>
                <w:sz w:val="22"/>
                <w:szCs w:val="22"/>
              </w:rPr>
            </w:pPr>
          </w:p>
        </w:tc>
      </w:tr>
      <w:tr w14:paraId="65C01B00">
        <w:tblPrEx>
          <w:tblCellMar>
            <w:top w:w="0" w:type="dxa"/>
            <w:left w:w="108" w:type="dxa"/>
            <w:bottom w:w="0" w:type="dxa"/>
            <w:right w:w="108" w:type="dxa"/>
          </w:tblCellMar>
        </w:tblPrEx>
        <w:trPr>
          <w:trHeight w:val="225" w:hRule="atLeast"/>
        </w:trPr>
        <w:tc>
          <w:tcPr>
            <w:tcW w:w="248" w:type="pct"/>
            <w:tcBorders>
              <w:top w:val="single" w:color="auto" w:sz="4" w:space="0"/>
              <w:left w:val="nil"/>
              <w:bottom w:val="nil"/>
              <w:right w:val="nil"/>
            </w:tcBorders>
            <w:shd w:val="clear" w:color="auto" w:fill="auto"/>
            <w:noWrap/>
            <w:vAlign w:val="center"/>
          </w:tcPr>
          <w:p w14:paraId="3EA116BD">
            <w:pPr>
              <w:rPr>
                <w:rFonts w:hint="eastAsia" w:ascii="宋体" w:hAnsi="宋体" w:cs="宋体"/>
                <w:sz w:val="18"/>
                <w:szCs w:val="18"/>
              </w:rPr>
            </w:pPr>
          </w:p>
        </w:tc>
        <w:tc>
          <w:tcPr>
            <w:tcW w:w="982" w:type="pct"/>
            <w:tcBorders>
              <w:top w:val="nil"/>
              <w:left w:val="nil"/>
              <w:bottom w:val="nil"/>
              <w:right w:val="nil"/>
            </w:tcBorders>
            <w:shd w:val="clear" w:color="auto" w:fill="auto"/>
            <w:noWrap/>
            <w:vAlign w:val="center"/>
          </w:tcPr>
          <w:p w14:paraId="44F21EE3">
            <w:pPr>
              <w:jc w:val="center"/>
              <w:rPr>
                <w:rFonts w:hint="eastAsia" w:ascii="宋体" w:hAnsi="宋体" w:cs="宋体"/>
                <w:sz w:val="18"/>
                <w:szCs w:val="18"/>
              </w:rPr>
            </w:pPr>
          </w:p>
        </w:tc>
        <w:tc>
          <w:tcPr>
            <w:tcW w:w="2483" w:type="pct"/>
            <w:tcBorders>
              <w:top w:val="nil"/>
              <w:left w:val="nil"/>
              <w:bottom w:val="nil"/>
              <w:right w:val="nil"/>
            </w:tcBorders>
            <w:shd w:val="clear" w:color="auto" w:fill="auto"/>
            <w:vAlign w:val="center"/>
          </w:tcPr>
          <w:p w14:paraId="1797B638">
            <w:pPr>
              <w:jc w:val="left"/>
              <w:rPr>
                <w:rFonts w:hint="eastAsia" w:ascii="宋体" w:hAnsi="宋体" w:cs="宋体"/>
                <w:sz w:val="18"/>
                <w:szCs w:val="18"/>
              </w:rPr>
            </w:pPr>
          </w:p>
        </w:tc>
        <w:tc>
          <w:tcPr>
            <w:tcW w:w="660" w:type="pct"/>
            <w:tcBorders>
              <w:top w:val="nil"/>
              <w:left w:val="nil"/>
              <w:bottom w:val="nil"/>
              <w:right w:val="nil"/>
            </w:tcBorders>
            <w:shd w:val="clear" w:color="auto" w:fill="auto"/>
            <w:noWrap/>
            <w:vAlign w:val="center"/>
          </w:tcPr>
          <w:p w14:paraId="32364E52">
            <w:pPr>
              <w:jc w:val="center"/>
              <w:rPr>
                <w:rFonts w:hint="eastAsia" w:ascii="宋体" w:hAnsi="宋体" w:cs="宋体"/>
                <w:sz w:val="18"/>
                <w:szCs w:val="18"/>
              </w:rPr>
            </w:pPr>
          </w:p>
        </w:tc>
        <w:tc>
          <w:tcPr>
            <w:tcW w:w="627" w:type="pct"/>
            <w:tcBorders>
              <w:top w:val="nil"/>
              <w:left w:val="nil"/>
              <w:bottom w:val="nil"/>
              <w:right w:val="nil"/>
            </w:tcBorders>
            <w:shd w:val="clear" w:color="auto" w:fill="auto"/>
            <w:noWrap/>
            <w:vAlign w:val="center"/>
          </w:tcPr>
          <w:p w14:paraId="686780AB">
            <w:pPr>
              <w:jc w:val="center"/>
              <w:rPr>
                <w:rFonts w:hint="eastAsia" w:ascii="宋体" w:hAnsi="宋体" w:cs="宋体"/>
                <w:sz w:val="18"/>
                <w:szCs w:val="18"/>
              </w:rPr>
            </w:pPr>
          </w:p>
        </w:tc>
      </w:tr>
      <w:tr w14:paraId="38F0D6CE">
        <w:tblPrEx>
          <w:tblCellMar>
            <w:top w:w="0" w:type="dxa"/>
            <w:left w:w="108" w:type="dxa"/>
            <w:bottom w:w="0" w:type="dxa"/>
            <w:right w:w="108" w:type="dxa"/>
          </w:tblCellMar>
        </w:tblPrEx>
        <w:trPr>
          <w:trHeight w:val="285"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8CB02">
            <w:pPr>
              <w:widowControl/>
              <w:jc w:val="center"/>
              <w:textAlignment w:val="center"/>
              <w:rPr>
                <w:rFonts w:hint="eastAsia" w:ascii="宋体" w:hAnsi="宋体" w:cs="宋体"/>
                <w:b/>
                <w:bCs/>
                <w:sz w:val="24"/>
              </w:rPr>
            </w:pPr>
            <w:r>
              <w:rPr>
                <w:rFonts w:hint="eastAsia" w:ascii="宋体" w:hAnsi="宋体" w:cs="宋体"/>
                <w:b/>
                <w:bCs/>
                <w:kern w:val="0"/>
                <w:sz w:val="24"/>
                <w:lang w:bidi="ar"/>
              </w:rPr>
              <w:t>X3-风湿免疫系统疾病风险筛查</w:t>
            </w:r>
          </w:p>
        </w:tc>
      </w:tr>
      <w:tr w14:paraId="0F3C64FC">
        <w:tblPrEx>
          <w:tblCellMar>
            <w:top w:w="0" w:type="dxa"/>
            <w:left w:w="108" w:type="dxa"/>
            <w:bottom w:w="0" w:type="dxa"/>
            <w:right w:w="108" w:type="dxa"/>
          </w:tblCellMar>
        </w:tblPrEx>
        <w:trPr>
          <w:trHeight w:val="810" w:hRule="atLeast"/>
        </w:trPr>
        <w:tc>
          <w:tcPr>
            <w:tcW w:w="248" w:type="pct"/>
            <w:vMerge w:val="restart"/>
            <w:tcBorders>
              <w:top w:val="single" w:color="000000" w:sz="4" w:space="0"/>
              <w:left w:val="single" w:color="000000" w:sz="4" w:space="0"/>
              <w:right w:val="single" w:color="000000" w:sz="4" w:space="0"/>
            </w:tcBorders>
            <w:shd w:val="clear" w:color="auto" w:fill="auto"/>
            <w:vAlign w:val="center"/>
          </w:tcPr>
          <w:p w14:paraId="0A6D76D4">
            <w:pPr>
              <w:jc w:val="center"/>
              <w:rPr>
                <w:rFonts w:hint="eastAsia" w:ascii="宋体" w:hAnsi="宋体" w:cs="宋体"/>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45C43">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体检项目</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4477D">
            <w:pPr>
              <w:widowControl/>
              <w:jc w:val="left"/>
              <w:textAlignment w:val="center"/>
              <w:rPr>
                <w:rFonts w:hint="eastAsia" w:ascii="宋体" w:hAnsi="宋体" w:cs="宋体"/>
                <w:b/>
                <w:bCs/>
                <w:sz w:val="22"/>
                <w:szCs w:val="22"/>
              </w:rPr>
            </w:pPr>
            <w:r>
              <w:rPr>
                <w:rFonts w:hint="eastAsia" w:ascii="宋体" w:hAnsi="宋体" w:cs="宋体"/>
                <w:b/>
                <w:bCs/>
                <w:kern w:val="0"/>
                <w:sz w:val="22"/>
                <w:szCs w:val="22"/>
                <w:lang w:bidi="ar"/>
              </w:rPr>
              <w:t>检查意义</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75564">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单项价格   （元）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37BAD">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备注</w:t>
            </w:r>
          </w:p>
        </w:tc>
      </w:tr>
      <w:tr w14:paraId="485B4023">
        <w:tblPrEx>
          <w:tblCellMar>
            <w:top w:w="0" w:type="dxa"/>
            <w:left w:w="108" w:type="dxa"/>
            <w:bottom w:w="0" w:type="dxa"/>
            <w:right w:w="108" w:type="dxa"/>
          </w:tblCellMar>
        </w:tblPrEx>
        <w:trPr>
          <w:trHeight w:val="810" w:hRule="atLeast"/>
        </w:trPr>
        <w:tc>
          <w:tcPr>
            <w:tcW w:w="248" w:type="pct"/>
            <w:vMerge w:val="continue"/>
            <w:tcBorders>
              <w:left w:val="single" w:color="000000" w:sz="4" w:space="0"/>
              <w:right w:val="single" w:color="000000" w:sz="4" w:space="0"/>
            </w:tcBorders>
            <w:shd w:val="clear" w:color="auto" w:fill="auto"/>
            <w:vAlign w:val="center"/>
          </w:tcPr>
          <w:p w14:paraId="1AFAC674">
            <w:pPr>
              <w:jc w:val="center"/>
              <w:rPr>
                <w:rFonts w:hint="eastAsia" w:ascii="宋体" w:hAnsi="宋体" w:cs="宋体"/>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C1EBE">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抗链球菌溶血素O1(ASO)</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42740">
            <w:pPr>
              <w:widowControl/>
              <w:jc w:val="left"/>
              <w:textAlignment w:val="center"/>
              <w:rPr>
                <w:rFonts w:hint="eastAsia" w:ascii="宋体" w:hAnsi="宋体" w:cs="宋体"/>
                <w:sz w:val="22"/>
                <w:szCs w:val="22"/>
              </w:rPr>
            </w:pPr>
            <w:r>
              <w:rPr>
                <w:rFonts w:hint="eastAsia" w:ascii="宋体" w:hAnsi="宋体" w:cs="宋体"/>
                <w:kern w:val="0"/>
                <w:sz w:val="22"/>
                <w:szCs w:val="22"/>
                <w:lang w:bidi="ar"/>
              </w:rPr>
              <w:t>咽炎、扁桃体炎、猩红热、丹毒、脓皮病、风湿热等感染A组链球菌后，可引起链球菌溶血素O抗体升高</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2C65A">
            <w:pPr>
              <w:widowControl/>
              <w:jc w:val="center"/>
              <w:textAlignment w:val="center"/>
              <w:rPr>
                <w:rFonts w:hint="eastAsia" w:ascii="宋体" w:hAnsi="宋体" w:cs="宋体"/>
                <w:sz w:val="22"/>
                <w:szCs w:val="22"/>
              </w:rPr>
            </w:pP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02729">
            <w:pPr>
              <w:widowControl/>
              <w:jc w:val="center"/>
              <w:textAlignment w:val="center"/>
              <w:rPr>
                <w:rFonts w:hint="eastAsia" w:ascii="宋体" w:hAnsi="宋体" w:cs="宋体"/>
                <w:sz w:val="22"/>
                <w:szCs w:val="22"/>
              </w:rPr>
            </w:pPr>
          </w:p>
        </w:tc>
      </w:tr>
      <w:tr w14:paraId="25F07002">
        <w:tblPrEx>
          <w:tblCellMar>
            <w:top w:w="0" w:type="dxa"/>
            <w:left w:w="108" w:type="dxa"/>
            <w:bottom w:w="0" w:type="dxa"/>
            <w:right w:w="108" w:type="dxa"/>
          </w:tblCellMar>
        </w:tblPrEx>
        <w:trPr>
          <w:trHeight w:val="270" w:hRule="atLeast"/>
        </w:trPr>
        <w:tc>
          <w:tcPr>
            <w:tcW w:w="248" w:type="pct"/>
            <w:vMerge w:val="continue"/>
            <w:tcBorders>
              <w:left w:val="single" w:color="000000" w:sz="4" w:space="0"/>
              <w:right w:val="single" w:color="000000" w:sz="4" w:space="0"/>
            </w:tcBorders>
            <w:shd w:val="clear" w:color="auto" w:fill="auto"/>
            <w:vAlign w:val="center"/>
          </w:tcPr>
          <w:p w14:paraId="6FB85C73">
            <w:pPr>
              <w:jc w:val="center"/>
              <w:rPr>
                <w:rFonts w:hint="eastAsia" w:ascii="宋体" w:hAnsi="宋体" w:cs="宋体"/>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F8A89">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类风湿因子（RF）</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26CD4">
            <w:pPr>
              <w:widowControl/>
              <w:jc w:val="left"/>
              <w:textAlignment w:val="center"/>
              <w:rPr>
                <w:rFonts w:hint="eastAsia" w:ascii="宋体" w:hAnsi="宋体" w:cs="宋体"/>
                <w:sz w:val="22"/>
                <w:szCs w:val="22"/>
              </w:rPr>
            </w:pPr>
            <w:r>
              <w:rPr>
                <w:rFonts w:hint="eastAsia" w:ascii="宋体" w:hAnsi="宋体" w:cs="宋体"/>
                <w:kern w:val="0"/>
                <w:sz w:val="22"/>
                <w:szCs w:val="22"/>
                <w:lang w:bidi="ar"/>
              </w:rPr>
              <w:t>用于诊断类风湿关节炎等风湿性疾病</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5F0A8">
            <w:pPr>
              <w:widowControl/>
              <w:jc w:val="center"/>
              <w:textAlignment w:val="center"/>
              <w:rPr>
                <w:rFonts w:hint="eastAsia" w:ascii="宋体" w:hAnsi="宋体" w:cs="宋体"/>
                <w:sz w:val="22"/>
                <w:szCs w:val="22"/>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E4F98">
            <w:pPr>
              <w:jc w:val="center"/>
              <w:rPr>
                <w:rFonts w:hint="eastAsia" w:ascii="宋体" w:hAnsi="宋体" w:cs="宋体"/>
                <w:sz w:val="22"/>
                <w:szCs w:val="22"/>
              </w:rPr>
            </w:pPr>
          </w:p>
        </w:tc>
      </w:tr>
      <w:tr w14:paraId="199E6753">
        <w:tblPrEx>
          <w:tblCellMar>
            <w:top w:w="0" w:type="dxa"/>
            <w:left w:w="108" w:type="dxa"/>
            <w:bottom w:w="0" w:type="dxa"/>
            <w:right w:w="108" w:type="dxa"/>
          </w:tblCellMar>
        </w:tblPrEx>
        <w:trPr>
          <w:trHeight w:val="810" w:hRule="atLeast"/>
        </w:trPr>
        <w:tc>
          <w:tcPr>
            <w:tcW w:w="248" w:type="pct"/>
            <w:vMerge w:val="continue"/>
            <w:tcBorders>
              <w:left w:val="single" w:color="000000" w:sz="4" w:space="0"/>
              <w:right w:val="single" w:color="000000" w:sz="4" w:space="0"/>
            </w:tcBorders>
            <w:shd w:val="clear" w:color="auto" w:fill="auto"/>
            <w:vAlign w:val="center"/>
          </w:tcPr>
          <w:p w14:paraId="1405C4E3">
            <w:pPr>
              <w:jc w:val="center"/>
              <w:rPr>
                <w:rFonts w:hint="eastAsia" w:ascii="宋体" w:hAnsi="宋体" w:cs="宋体"/>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EE8DE">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免疫球蛋白A（IgA）、G（IgG）、M（IgM）、总免疫球蛋白E（IgE）</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87387">
            <w:pPr>
              <w:widowControl/>
              <w:jc w:val="left"/>
              <w:textAlignment w:val="center"/>
              <w:rPr>
                <w:rFonts w:hint="eastAsia" w:ascii="宋体" w:hAnsi="宋体" w:cs="宋体"/>
                <w:sz w:val="22"/>
                <w:szCs w:val="22"/>
              </w:rPr>
            </w:pPr>
            <w:r>
              <w:rPr>
                <w:rFonts w:hint="eastAsia" w:ascii="宋体" w:hAnsi="宋体" w:cs="宋体"/>
                <w:kern w:val="0"/>
                <w:sz w:val="22"/>
                <w:szCs w:val="22"/>
                <w:lang w:bidi="ar"/>
              </w:rPr>
              <w:t>评估慢性感染性疾病及自身免疫性疾病的有效指标</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4C494">
            <w:pPr>
              <w:widowControl/>
              <w:jc w:val="center"/>
              <w:textAlignment w:val="center"/>
              <w:rPr>
                <w:rFonts w:hint="eastAsia" w:ascii="宋体" w:hAnsi="宋体" w:cs="宋体"/>
                <w:sz w:val="22"/>
                <w:szCs w:val="22"/>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646FE">
            <w:pPr>
              <w:jc w:val="center"/>
              <w:rPr>
                <w:rFonts w:hint="eastAsia" w:ascii="宋体" w:hAnsi="宋体" w:cs="宋体"/>
                <w:sz w:val="22"/>
                <w:szCs w:val="22"/>
              </w:rPr>
            </w:pPr>
          </w:p>
        </w:tc>
      </w:tr>
      <w:tr w14:paraId="5066926F">
        <w:tblPrEx>
          <w:tblCellMar>
            <w:top w:w="0" w:type="dxa"/>
            <w:left w:w="108" w:type="dxa"/>
            <w:bottom w:w="0" w:type="dxa"/>
            <w:right w:w="108" w:type="dxa"/>
          </w:tblCellMar>
        </w:tblPrEx>
        <w:trPr>
          <w:trHeight w:val="540" w:hRule="atLeast"/>
        </w:trPr>
        <w:tc>
          <w:tcPr>
            <w:tcW w:w="248" w:type="pct"/>
            <w:vMerge w:val="continue"/>
            <w:tcBorders>
              <w:left w:val="single" w:color="000000" w:sz="4" w:space="0"/>
              <w:right w:val="single" w:color="000000" w:sz="4" w:space="0"/>
            </w:tcBorders>
            <w:shd w:val="clear" w:color="auto" w:fill="auto"/>
            <w:vAlign w:val="center"/>
          </w:tcPr>
          <w:p w14:paraId="6CEEA7F4">
            <w:pPr>
              <w:jc w:val="center"/>
              <w:rPr>
                <w:rFonts w:hint="eastAsia" w:ascii="宋体" w:hAnsi="宋体" w:cs="宋体"/>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E1C73">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红细胞沉降率（ESR）</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63555">
            <w:pPr>
              <w:widowControl/>
              <w:jc w:val="left"/>
              <w:textAlignment w:val="center"/>
              <w:rPr>
                <w:rFonts w:hint="eastAsia" w:ascii="宋体" w:hAnsi="宋体" w:cs="宋体"/>
                <w:sz w:val="22"/>
                <w:szCs w:val="22"/>
              </w:rPr>
            </w:pPr>
            <w:r>
              <w:rPr>
                <w:rFonts w:hint="eastAsia" w:ascii="宋体" w:hAnsi="宋体" w:cs="宋体"/>
                <w:kern w:val="0"/>
                <w:sz w:val="22"/>
                <w:szCs w:val="22"/>
                <w:lang w:bidi="ar"/>
              </w:rPr>
              <w:t>常用于协助临床诊治炎症、自身免疫性以及肿瘤性疾病。</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8B148">
            <w:pPr>
              <w:widowControl/>
              <w:jc w:val="center"/>
              <w:textAlignment w:val="center"/>
              <w:rPr>
                <w:rFonts w:hint="eastAsia" w:ascii="宋体" w:hAnsi="宋体" w:cs="宋体"/>
                <w:sz w:val="22"/>
                <w:szCs w:val="22"/>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5E1DD">
            <w:pPr>
              <w:jc w:val="center"/>
              <w:rPr>
                <w:rFonts w:hint="eastAsia" w:ascii="宋体" w:hAnsi="宋体" w:cs="宋体"/>
                <w:sz w:val="22"/>
                <w:szCs w:val="22"/>
              </w:rPr>
            </w:pPr>
          </w:p>
        </w:tc>
      </w:tr>
      <w:tr w14:paraId="781D30DB">
        <w:tblPrEx>
          <w:tblCellMar>
            <w:top w:w="0" w:type="dxa"/>
            <w:left w:w="108" w:type="dxa"/>
            <w:bottom w:w="0" w:type="dxa"/>
            <w:right w:w="108" w:type="dxa"/>
          </w:tblCellMar>
        </w:tblPrEx>
        <w:trPr>
          <w:trHeight w:val="810" w:hRule="atLeast"/>
        </w:trPr>
        <w:tc>
          <w:tcPr>
            <w:tcW w:w="248" w:type="pct"/>
            <w:vMerge w:val="continue"/>
            <w:tcBorders>
              <w:left w:val="single" w:color="000000" w:sz="4" w:space="0"/>
              <w:right w:val="single" w:color="000000" w:sz="4" w:space="0"/>
            </w:tcBorders>
            <w:shd w:val="clear" w:color="auto" w:fill="auto"/>
            <w:vAlign w:val="center"/>
          </w:tcPr>
          <w:p w14:paraId="0A0C7A2E">
            <w:pPr>
              <w:jc w:val="center"/>
              <w:rPr>
                <w:rFonts w:hint="eastAsia" w:ascii="宋体" w:hAnsi="宋体" w:cs="宋体"/>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7DFA0">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抗环瓜氨酸抗体定量(anti-CCP)</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AB757">
            <w:pPr>
              <w:widowControl/>
              <w:jc w:val="left"/>
              <w:textAlignment w:val="center"/>
              <w:rPr>
                <w:rFonts w:hint="eastAsia" w:ascii="宋体" w:hAnsi="宋体" w:cs="宋体"/>
                <w:sz w:val="22"/>
                <w:szCs w:val="22"/>
              </w:rPr>
            </w:pPr>
            <w:r>
              <w:rPr>
                <w:rFonts w:hint="eastAsia" w:ascii="宋体" w:hAnsi="宋体" w:cs="宋体"/>
                <w:kern w:val="0"/>
                <w:sz w:val="22"/>
                <w:szCs w:val="22"/>
                <w:lang w:bidi="ar"/>
              </w:rPr>
              <w:t>抗环瓜氨酸肽抗体是风湿自身抗体系统的一种，对早期类风湿关节炎（RA）诊断具有较好的特异性。</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889FA">
            <w:pPr>
              <w:widowControl/>
              <w:jc w:val="center"/>
              <w:textAlignment w:val="center"/>
              <w:rPr>
                <w:rFonts w:hint="eastAsia" w:ascii="宋体" w:hAnsi="宋体" w:cs="宋体"/>
                <w:sz w:val="22"/>
                <w:szCs w:val="22"/>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221F4">
            <w:pPr>
              <w:jc w:val="center"/>
              <w:rPr>
                <w:rFonts w:hint="eastAsia" w:ascii="宋体" w:hAnsi="宋体" w:cs="宋体"/>
                <w:sz w:val="22"/>
                <w:szCs w:val="22"/>
              </w:rPr>
            </w:pPr>
          </w:p>
        </w:tc>
      </w:tr>
      <w:tr w14:paraId="1A36BA08">
        <w:tblPrEx>
          <w:tblCellMar>
            <w:top w:w="0" w:type="dxa"/>
            <w:left w:w="108" w:type="dxa"/>
            <w:bottom w:w="0" w:type="dxa"/>
            <w:right w:w="108" w:type="dxa"/>
          </w:tblCellMar>
        </w:tblPrEx>
        <w:trPr>
          <w:trHeight w:val="1080" w:hRule="atLeast"/>
        </w:trPr>
        <w:tc>
          <w:tcPr>
            <w:tcW w:w="248" w:type="pct"/>
            <w:vMerge w:val="continue"/>
            <w:tcBorders>
              <w:left w:val="single" w:color="000000" w:sz="4" w:space="0"/>
              <w:right w:val="single" w:color="000000" w:sz="4" w:space="0"/>
            </w:tcBorders>
            <w:shd w:val="clear" w:color="auto" w:fill="auto"/>
            <w:vAlign w:val="center"/>
          </w:tcPr>
          <w:p w14:paraId="12E829A3">
            <w:pPr>
              <w:jc w:val="center"/>
              <w:rPr>
                <w:rFonts w:hint="eastAsia" w:ascii="宋体" w:hAnsi="宋体" w:cs="宋体"/>
                <w:sz w:val="22"/>
                <w:szCs w:val="22"/>
              </w:rPr>
            </w:pPr>
          </w:p>
        </w:tc>
        <w:tc>
          <w:tcPr>
            <w:tcW w:w="982" w:type="pct"/>
            <w:tcBorders>
              <w:top w:val="single" w:color="000000" w:sz="4" w:space="0"/>
              <w:left w:val="single" w:color="000000" w:sz="4" w:space="0"/>
              <w:bottom w:val="single" w:color="auto" w:sz="4" w:space="0"/>
              <w:right w:val="single" w:color="000000" w:sz="4" w:space="0"/>
            </w:tcBorders>
            <w:shd w:val="clear" w:color="auto" w:fill="auto"/>
            <w:vAlign w:val="center"/>
          </w:tcPr>
          <w:p w14:paraId="6F92113A">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抗核抗体（15项）+抗核抗体（IIF）</w:t>
            </w:r>
          </w:p>
        </w:tc>
        <w:tc>
          <w:tcPr>
            <w:tcW w:w="2483" w:type="pct"/>
            <w:tcBorders>
              <w:top w:val="single" w:color="000000" w:sz="4" w:space="0"/>
              <w:left w:val="single" w:color="000000" w:sz="4" w:space="0"/>
              <w:bottom w:val="single" w:color="auto" w:sz="4" w:space="0"/>
              <w:right w:val="single" w:color="000000" w:sz="4" w:space="0"/>
            </w:tcBorders>
            <w:shd w:val="clear" w:color="auto" w:fill="auto"/>
            <w:vAlign w:val="center"/>
          </w:tcPr>
          <w:p w14:paraId="51ABD50E">
            <w:pPr>
              <w:widowControl/>
              <w:jc w:val="left"/>
              <w:textAlignment w:val="center"/>
              <w:rPr>
                <w:rFonts w:hint="eastAsia" w:ascii="宋体" w:hAnsi="宋体" w:cs="宋体"/>
                <w:sz w:val="22"/>
                <w:szCs w:val="22"/>
              </w:rPr>
            </w:pPr>
            <w:r>
              <w:rPr>
                <w:rFonts w:hint="eastAsia" w:ascii="宋体" w:hAnsi="宋体" w:cs="宋体"/>
                <w:kern w:val="0"/>
                <w:sz w:val="22"/>
                <w:szCs w:val="22"/>
                <w:lang w:bidi="ar"/>
              </w:rPr>
              <w:t>风湿免疫系统疾病筛查有效指标，协助临床判定有无系统性红斑狼疮、干燥综合征、自身免疫性肝病、硬皮病、类风湿关节炎等疾病。</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96502">
            <w:pPr>
              <w:widowControl/>
              <w:jc w:val="center"/>
              <w:textAlignment w:val="center"/>
              <w:rPr>
                <w:rFonts w:hint="eastAsia" w:ascii="宋体" w:hAnsi="宋体" w:cs="宋体"/>
                <w:sz w:val="22"/>
                <w:szCs w:val="22"/>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4DF49">
            <w:pPr>
              <w:jc w:val="center"/>
              <w:rPr>
                <w:rFonts w:hint="eastAsia" w:ascii="宋体" w:hAnsi="宋体" w:cs="宋体"/>
                <w:sz w:val="22"/>
                <w:szCs w:val="22"/>
              </w:rPr>
            </w:pPr>
          </w:p>
        </w:tc>
      </w:tr>
      <w:tr w14:paraId="5A603550">
        <w:tblPrEx>
          <w:tblCellMar>
            <w:top w:w="0" w:type="dxa"/>
            <w:left w:w="108" w:type="dxa"/>
            <w:bottom w:w="0" w:type="dxa"/>
            <w:right w:w="108" w:type="dxa"/>
          </w:tblCellMar>
        </w:tblPrEx>
        <w:trPr>
          <w:trHeight w:val="270" w:hRule="atLeast"/>
        </w:trPr>
        <w:tc>
          <w:tcPr>
            <w:tcW w:w="248" w:type="pct"/>
            <w:vMerge w:val="continue"/>
            <w:tcBorders>
              <w:left w:val="single" w:color="000000" w:sz="4" w:space="0"/>
              <w:bottom w:val="single" w:color="auto" w:sz="4" w:space="0"/>
              <w:right w:val="single" w:color="000000" w:sz="4" w:space="0"/>
            </w:tcBorders>
            <w:shd w:val="clear" w:color="auto" w:fill="auto"/>
            <w:vAlign w:val="center"/>
          </w:tcPr>
          <w:p w14:paraId="408B7576">
            <w:pPr>
              <w:jc w:val="center"/>
              <w:rPr>
                <w:rFonts w:hint="eastAsia" w:ascii="宋体" w:hAnsi="宋体" w:cs="宋体"/>
                <w:sz w:val="22"/>
                <w:szCs w:val="22"/>
              </w:rPr>
            </w:pPr>
          </w:p>
        </w:tc>
        <w:tc>
          <w:tcPr>
            <w:tcW w:w="3465" w:type="pct"/>
            <w:gridSpan w:val="2"/>
            <w:tcBorders>
              <w:top w:val="single" w:color="auto" w:sz="4" w:space="0"/>
              <w:left w:val="single" w:color="000000" w:sz="4" w:space="0"/>
              <w:bottom w:val="single" w:color="auto" w:sz="4" w:space="0"/>
              <w:right w:val="single" w:color="auto" w:sz="4" w:space="0"/>
            </w:tcBorders>
            <w:shd w:val="clear" w:color="auto" w:fill="auto"/>
            <w:vAlign w:val="center"/>
          </w:tcPr>
          <w:p w14:paraId="4125FE51">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合计</w:t>
            </w:r>
          </w:p>
        </w:tc>
        <w:tc>
          <w:tcPr>
            <w:tcW w:w="660" w:type="pct"/>
            <w:tcBorders>
              <w:top w:val="single" w:color="000000" w:sz="4" w:space="0"/>
              <w:left w:val="single" w:color="auto" w:sz="4" w:space="0"/>
              <w:bottom w:val="single" w:color="000000" w:sz="4" w:space="0"/>
              <w:right w:val="single" w:color="000000" w:sz="4" w:space="0"/>
            </w:tcBorders>
            <w:shd w:val="clear" w:color="auto" w:fill="auto"/>
            <w:vAlign w:val="center"/>
          </w:tcPr>
          <w:p w14:paraId="699A4A15">
            <w:pPr>
              <w:widowControl/>
              <w:jc w:val="center"/>
              <w:textAlignment w:val="center"/>
              <w:rPr>
                <w:rFonts w:hint="eastAsia" w:ascii="宋体" w:hAnsi="宋体" w:cs="宋体"/>
                <w:sz w:val="22"/>
                <w:szCs w:val="22"/>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8ED9B">
            <w:pPr>
              <w:jc w:val="center"/>
              <w:rPr>
                <w:rFonts w:hint="eastAsia" w:ascii="宋体" w:hAnsi="宋体" w:cs="宋体"/>
                <w:sz w:val="22"/>
                <w:szCs w:val="22"/>
              </w:rPr>
            </w:pPr>
          </w:p>
        </w:tc>
      </w:tr>
      <w:tr w14:paraId="487A21CB">
        <w:tblPrEx>
          <w:tblCellMar>
            <w:top w:w="0" w:type="dxa"/>
            <w:left w:w="108" w:type="dxa"/>
            <w:bottom w:w="0" w:type="dxa"/>
            <w:right w:w="108" w:type="dxa"/>
          </w:tblCellMar>
        </w:tblPrEx>
        <w:trPr>
          <w:trHeight w:val="270" w:hRule="atLeast"/>
        </w:trPr>
        <w:tc>
          <w:tcPr>
            <w:tcW w:w="248" w:type="pct"/>
            <w:tcBorders>
              <w:top w:val="single" w:color="auto" w:sz="4" w:space="0"/>
              <w:left w:val="nil"/>
              <w:bottom w:val="nil"/>
              <w:right w:val="nil"/>
            </w:tcBorders>
            <w:shd w:val="clear" w:color="auto" w:fill="auto"/>
            <w:vAlign w:val="center"/>
          </w:tcPr>
          <w:p w14:paraId="37EA2E61">
            <w:pPr>
              <w:jc w:val="center"/>
              <w:rPr>
                <w:rFonts w:hint="eastAsia" w:ascii="宋体" w:hAnsi="宋体" w:cs="宋体"/>
                <w:sz w:val="22"/>
                <w:szCs w:val="22"/>
              </w:rPr>
            </w:pPr>
          </w:p>
        </w:tc>
        <w:tc>
          <w:tcPr>
            <w:tcW w:w="982" w:type="pct"/>
            <w:tcBorders>
              <w:top w:val="single" w:color="auto" w:sz="4" w:space="0"/>
              <w:left w:val="nil"/>
              <w:bottom w:val="nil"/>
              <w:right w:val="nil"/>
            </w:tcBorders>
            <w:shd w:val="clear" w:color="auto" w:fill="auto"/>
            <w:vAlign w:val="center"/>
          </w:tcPr>
          <w:p w14:paraId="2E0223CB">
            <w:pPr>
              <w:jc w:val="center"/>
              <w:rPr>
                <w:rFonts w:hint="eastAsia" w:ascii="宋体" w:hAnsi="宋体" w:cs="宋体"/>
                <w:sz w:val="22"/>
                <w:szCs w:val="22"/>
              </w:rPr>
            </w:pPr>
          </w:p>
        </w:tc>
        <w:tc>
          <w:tcPr>
            <w:tcW w:w="2483" w:type="pct"/>
            <w:tcBorders>
              <w:top w:val="single" w:color="auto" w:sz="4" w:space="0"/>
              <w:left w:val="nil"/>
              <w:bottom w:val="nil"/>
              <w:right w:val="nil"/>
            </w:tcBorders>
            <w:shd w:val="clear" w:color="auto" w:fill="auto"/>
            <w:vAlign w:val="center"/>
          </w:tcPr>
          <w:p w14:paraId="2323F372">
            <w:pPr>
              <w:jc w:val="left"/>
              <w:rPr>
                <w:rFonts w:hint="eastAsia" w:ascii="宋体" w:hAnsi="宋体" w:cs="宋体"/>
                <w:sz w:val="22"/>
                <w:szCs w:val="22"/>
              </w:rPr>
            </w:pPr>
          </w:p>
        </w:tc>
        <w:tc>
          <w:tcPr>
            <w:tcW w:w="660" w:type="pct"/>
            <w:tcBorders>
              <w:top w:val="nil"/>
              <w:left w:val="nil"/>
              <w:bottom w:val="nil"/>
              <w:right w:val="nil"/>
            </w:tcBorders>
            <w:shd w:val="clear" w:color="auto" w:fill="auto"/>
            <w:vAlign w:val="center"/>
          </w:tcPr>
          <w:p w14:paraId="353F27F1">
            <w:pPr>
              <w:jc w:val="center"/>
              <w:rPr>
                <w:rFonts w:hint="eastAsia" w:ascii="宋体" w:hAnsi="宋体" w:cs="宋体"/>
                <w:sz w:val="22"/>
                <w:szCs w:val="22"/>
              </w:rPr>
            </w:pPr>
          </w:p>
        </w:tc>
        <w:tc>
          <w:tcPr>
            <w:tcW w:w="627" w:type="pct"/>
            <w:tcBorders>
              <w:top w:val="nil"/>
              <w:left w:val="nil"/>
              <w:bottom w:val="nil"/>
              <w:right w:val="nil"/>
            </w:tcBorders>
            <w:shd w:val="clear" w:color="auto" w:fill="auto"/>
            <w:noWrap/>
            <w:vAlign w:val="center"/>
          </w:tcPr>
          <w:p w14:paraId="52EC25FC">
            <w:pPr>
              <w:rPr>
                <w:rFonts w:hint="eastAsia" w:ascii="宋体" w:hAnsi="宋体" w:cs="宋体"/>
                <w:sz w:val="22"/>
                <w:szCs w:val="22"/>
              </w:rPr>
            </w:pPr>
          </w:p>
        </w:tc>
      </w:tr>
      <w:tr w14:paraId="1663114A">
        <w:tblPrEx>
          <w:tblCellMar>
            <w:top w:w="0" w:type="dxa"/>
            <w:left w:w="108" w:type="dxa"/>
            <w:bottom w:w="0" w:type="dxa"/>
            <w:right w:w="108" w:type="dxa"/>
          </w:tblCellMar>
        </w:tblPrEx>
        <w:trPr>
          <w:trHeight w:val="285" w:hRule="atLeast"/>
        </w:trPr>
        <w:tc>
          <w:tcPr>
            <w:tcW w:w="5000" w:type="pct"/>
            <w:gridSpan w:val="5"/>
            <w:tcBorders>
              <w:top w:val="single" w:color="000000" w:sz="4" w:space="0"/>
              <w:left w:val="single" w:color="000000" w:sz="4" w:space="0"/>
              <w:bottom w:val="nil"/>
              <w:right w:val="single" w:color="000000" w:sz="4" w:space="0"/>
            </w:tcBorders>
            <w:shd w:val="clear" w:color="auto" w:fill="auto"/>
            <w:vAlign w:val="center"/>
          </w:tcPr>
          <w:p w14:paraId="106F3C25">
            <w:pPr>
              <w:widowControl/>
              <w:jc w:val="center"/>
              <w:textAlignment w:val="center"/>
              <w:rPr>
                <w:rFonts w:hint="eastAsia" w:ascii="宋体" w:hAnsi="宋体" w:cs="宋体"/>
                <w:b/>
                <w:bCs/>
                <w:sz w:val="24"/>
              </w:rPr>
            </w:pPr>
            <w:r>
              <w:rPr>
                <w:rFonts w:hint="eastAsia" w:ascii="宋体" w:hAnsi="宋体" w:cs="宋体"/>
                <w:b/>
                <w:bCs/>
                <w:kern w:val="0"/>
                <w:sz w:val="24"/>
                <w:lang w:bidi="ar"/>
              </w:rPr>
              <w:t>X4-消化系统风险筛查</w:t>
            </w:r>
          </w:p>
        </w:tc>
      </w:tr>
      <w:tr w14:paraId="28F176BB">
        <w:tblPrEx>
          <w:tblCellMar>
            <w:top w:w="0" w:type="dxa"/>
            <w:left w:w="108" w:type="dxa"/>
            <w:bottom w:w="0" w:type="dxa"/>
            <w:right w:w="108" w:type="dxa"/>
          </w:tblCellMar>
        </w:tblPrEx>
        <w:trPr>
          <w:trHeight w:val="810" w:hRule="atLeast"/>
        </w:trPr>
        <w:tc>
          <w:tcPr>
            <w:tcW w:w="248" w:type="pct"/>
            <w:vMerge w:val="restart"/>
            <w:tcBorders>
              <w:top w:val="single" w:color="000000" w:sz="4" w:space="0"/>
              <w:left w:val="single" w:color="000000" w:sz="4" w:space="0"/>
              <w:right w:val="single" w:color="000000" w:sz="4" w:space="0"/>
            </w:tcBorders>
            <w:shd w:val="clear" w:color="auto" w:fill="auto"/>
            <w:vAlign w:val="center"/>
          </w:tcPr>
          <w:p w14:paraId="719B000C">
            <w:pPr>
              <w:jc w:val="center"/>
              <w:rPr>
                <w:rFonts w:hint="eastAsia" w:ascii="宋体" w:hAnsi="宋体" w:cs="宋体"/>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DC717">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体检项目</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BAB93">
            <w:pPr>
              <w:widowControl/>
              <w:jc w:val="left"/>
              <w:textAlignment w:val="center"/>
              <w:rPr>
                <w:rFonts w:hint="eastAsia" w:ascii="宋体" w:hAnsi="宋体" w:cs="宋体"/>
                <w:b/>
                <w:bCs/>
                <w:sz w:val="22"/>
                <w:szCs w:val="22"/>
              </w:rPr>
            </w:pPr>
            <w:r>
              <w:rPr>
                <w:rFonts w:hint="eastAsia" w:ascii="宋体" w:hAnsi="宋体" w:cs="宋体"/>
                <w:b/>
                <w:bCs/>
                <w:kern w:val="0"/>
                <w:sz w:val="22"/>
                <w:szCs w:val="22"/>
                <w:lang w:bidi="ar"/>
              </w:rPr>
              <w:t>检查意义</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207A9">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单项价格   （元）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CAF64">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备注</w:t>
            </w:r>
          </w:p>
        </w:tc>
      </w:tr>
      <w:tr w14:paraId="2C22834B">
        <w:tblPrEx>
          <w:tblCellMar>
            <w:top w:w="0" w:type="dxa"/>
            <w:left w:w="108" w:type="dxa"/>
            <w:bottom w:w="0" w:type="dxa"/>
            <w:right w:w="108" w:type="dxa"/>
          </w:tblCellMar>
        </w:tblPrEx>
        <w:trPr>
          <w:trHeight w:val="270" w:hRule="atLeast"/>
        </w:trPr>
        <w:tc>
          <w:tcPr>
            <w:tcW w:w="248" w:type="pct"/>
            <w:vMerge w:val="continue"/>
            <w:tcBorders>
              <w:left w:val="single" w:color="000000" w:sz="4" w:space="0"/>
              <w:right w:val="single" w:color="000000" w:sz="4" w:space="0"/>
            </w:tcBorders>
            <w:shd w:val="clear" w:color="auto" w:fill="auto"/>
            <w:vAlign w:val="center"/>
          </w:tcPr>
          <w:p w14:paraId="5264B0E2">
            <w:pPr>
              <w:jc w:val="center"/>
              <w:rPr>
                <w:rFonts w:hint="eastAsia" w:ascii="宋体" w:hAnsi="宋体" w:cs="宋体"/>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2BCD8">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13C呼气试验</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39624">
            <w:pPr>
              <w:widowControl/>
              <w:jc w:val="left"/>
              <w:textAlignment w:val="center"/>
              <w:rPr>
                <w:rFonts w:hint="eastAsia" w:ascii="宋体" w:hAnsi="宋体" w:cs="宋体"/>
                <w:sz w:val="22"/>
                <w:szCs w:val="22"/>
              </w:rPr>
            </w:pPr>
            <w:r>
              <w:rPr>
                <w:rFonts w:hint="eastAsia" w:ascii="宋体" w:hAnsi="宋体" w:cs="宋体"/>
                <w:kern w:val="0"/>
                <w:sz w:val="22"/>
                <w:szCs w:val="22"/>
                <w:lang w:bidi="ar"/>
              </w:rPr>
              <w:t>评估有无幽门螺旋杆菌的感染。</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3BDAB">
            <w:pPr>
              <w:widowControl/>
              <w:jc w:val="center"/>
              <w:textAlignment w:val="center"/>
              <w:rPr>
                <w:rFonts w:hint="eastAsia" w:ascii="宋体" w:hAnsi="宋体" w:cs="宋体"/>
                <w:sz w:val="22"/>
                <w:szCs w:val="22"/>
              </w:rPr>
            </w:pP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013C0">
            <w:pPr>
              <w:widowControl/>
              <w:jc w:val="center"/>
              <w:textAlignment w:val="center"/>
              <w:rPr>
                <w:rFonts w:hint="eastAsia" w:ascii="宋体" w:hAnsi="宋体" w:cs="宋体"/>
                <w:sz w:val="22"/>
                <w:szCs w:val="22"/>
              </w:rPr>
            </w:pPr>
          </w:p>
        </w:tc>
      </w:tr>
      <w:tr w14:paraId="216ED633">
        <w:tblPrEx>
          <w:tblCellMar>
            <w:top w:w="0" w:type="dxa"/>
            <w:left w:w="108" w:type="dxa"/>
            <w:bottom w:w="0" w:type="dxa"/>
            <w:right w:w="108" w:type="dxa"/>
          </w:tblCellMar>
        </w:tblPrEx>
        <w:trPr>
          <w:trHeight w:val="540" w:hRule="atLeast"/>
        </w:trPr>
        <w:tc>
          <w:tcPr>
            <w:tcW w:w="248" w:type="pct"/>
            <w:vMerge w:val="continue"/>
            <w:tcBorders>
              <w:left w:val="single" w:color="000000" w:sz="4" w:space="0"/>
              <w:right w:val="single" w:color="000000" w:sz="4" w:space="0"/>
            </w:tcBorders>
            <w:shd w:val="clear" w:color="auto" w:fill="auto"/>
            <w:vAlign w:val="center"/>
          </w:tcPr>
          <w:p w14:paraId="4313A638">
            <w:pPr>
              <w:jc w:val="center"/>
              <w:rPr>
                <w:rFonts w:hint="eastAsia" w:ascii="宋体" w:hAnsi="宋体" w:cs="宋体"/>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C813E">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 xml:space="preserve">胃泌素-17(G-17) </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70BA1">
            <w:pPr>
              <w:widowControl/>
              <w:jc w:val="left"/>
              <w:textAlignment w:val="center"/>
              <w:rPr>
                <w:rFonts w:hint="eastAsia" w:ascii="宋体" w:hAnsi="宋体" w:cs="宋体"/>
                <w:sz w:val="22"/>
                <w:szCs w:val="22"/>
              </w:rPr>
            </w:pPr>
            <w:r>
              <w:rPr>
                <w:rFonts w:hint="eastAsia" w:ascii="宋体" w:hAnsi="宋体" w:cs="宋体"/>
                <w:kern w:val="0"/>
                <w:sz w:val="22"/>
                <w:szCs w:val="22"/>
                <w:lang w:bidi="ar"/>
              </w:rPr>
              <w:t>评估胃粘膜的分泌功能，协助慢性胃病的诊断。</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5ECBE">
            <w:pPr>
              <w:widowControl/>
              <w:jc w:val="center"/>
              <w:textAlignment w:val="center"/>
              <w:rPr>
                <w:rFonts w:hint="eastAsia" w:ascii="宋体" w:hAnsi="宋体" w:cs="宋体"/>
                <w:sz w:val="22"/>
                <w:szCs w:val="22"/>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7F2E9">
            <w:pPr>
              <w:jc w:val="center"/>
              <w:rPr>
                <w:rFonts w:hint="eastAsia" w:ascii="宋体" w:hAnsi="宋体" w:cs="宋体"/>
                <w:sz w:val="22"/>
                <w:szCs w:val="22"/>
              </w:rPr>
            </w:pPr>
          </w:p>
        </w:tc>
      </w:tr>
      <w:tr w14:paraId="6D2EE71F">
        <w:tblPrEx>
          <w:tblCellMar>
            <w:top w:w="0" w:type="dxa"/>
            <w:left w:w="108" w:type="dxa"/>
            <w:bottom w:w="0" w:type="dxa"/>
            <w:right w:w="108" w:type="dxa"/>
          </w:tblCellMar>
        </w:tblPrEx>
        <w:trPr>
          <w:trHeight w:val="810" w:hRule="atLeast"/>
        </w:trPr>
        <w:tc>
          <w:tcPr>
            <w:tcW w:w="248" w:type="pct"/>
            <w:vMerge w:val="continue"/>
            <w:tcBorders>
              <w:left w:val="single" w:color="000000" w:sz="4" w:space="0"/>
              <w:right w:val="single" w:color="000000" w:sz="4" w:space="0"/>
            </w:tcBorders>
            <w:shd w:val="clear" w:color="auto" w:fill="auto"/>
            <w:vAlign w:val="center"/>
          </w:tcPr>
          <w:p w14:paraId="341C1841">
            <w:pPr>
              <w:jc w:val="center"/>
              <w:rPr>
                <w:rFonts w:hint="eastAsia" w:ascii="宋体" w:hAnsi="宋体" w:cs="宋体"/>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B3228">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粪便常规+粪便隐血检查</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FF961">
            <w:pPr>
              <w:widowControl/>
              <w:jc w:val="left"/>
              <w:textAlignment w:val="center"/>
              <w:rPr>
                <w:rFonts w:hint="eastAsia" w:ascii="宋体" w:hAnsi="宋体" w:cs="宋体"/>
                <w:sz w:val="22"/>
                <w:szCs w:val="22"/>
              </w:rPr>
            </w:pPr>
            <w:r>
              <w:rPr>
                <w:rFonts w:hint="eastAsia" w:ascii="宋体" w:hAnsi="宋体" w:cs="宋体"/>
                <w:kern w:val="0"/>
                <w:sz w:val="22"/>
                <w:szCs w:val="22"/>
                <w:lang w:bidi="ar"/>
              </w:rPr>
              <w:t>主要包括大便中白细胞、红细胞、隐血、虫卵等指标的检测，主要用于筛查肠道炎症、寄生虫感染及肿瘤性疾病。</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ED7B4">
            <w:pPr>
              <w:widowControl/>
              <w:jc w:val="center"/>
              <w:textAlignment w:val="center"/>
              <w:rPr>
                <w:rFonts w:hint="eastAsia" w:ascii="宋体" w:hAnsi="宋体" w:cs="宋体"/>
                <w:sz w:val="22"/>
                <w:szCs w:val="22"/>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5E996">
            <w:pPr>
              <w:jc w:val="center"/>
              <w:rPr>
                <w:rFonts w:hint="eastAsia" w:ascii="宋体" w:hAnsi="宋体" w:cs="宋体"/>
                <w:sz w:val="22"/>
                <w:szCs w:val="22"/>
              </w:rPr>
            </w:pPr>
          </w:p>
        </w:tc>
      </w:tr>
      <w:tr w14:paraId="7715E361">
        <w:tblPrEx>
          <w:tblCellMar>
            <w:top w:w="0" w:type="dxa"/>
            <w:left w:w="108" w:type="dxa"/>
            <w:bottom w:w="0" w:type="dxa"/>
            <w:right w:w="108" w:type="dxa"/>
          </w:tblCellMar>
        </w:tblPrEx>
        <w:trPr>
          <w:trHeight w:val="540" w:hRule="atLeast"/>
        </w:trPr>
        <w:tc>
          <w:tcPr>
            <w:tcW w:w="248" w:type="pct"/>
            <w:vMerge w:val="continue"/>
            <w:tcBorders>
              <w:left w:val="single" w:color="000000" w:sz="4" w:space="0"/>
              <w:right w:val="single" w:color="000000" w:sz="4" w:space="0"/>
            </w:tcBorders>
            <w:shd w:val="clear" w:color="auto" w:fill="auto"/>
            <w:vAlign w:val="center"/>
          </w:tcPr>
          <w:p w14:paraId="3B6582FA">
            <w:pPr>
              <w:jc w:val="center"/>
              <w:rPr>
                <w:rFonts w:hint="eastAsia" w:ascii="宋体" w:hAnsi="宋体" w:cs="宋体"/>
                <w:sz w:val="22"/>
                <w:szCs w:val="22"/>
              </w:rPr>
            </w:pP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E8E42">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超声诊断仪肝纤维化无创诊断</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440DD">
            <w:pPr>
              <w:widowControl/>
              <w:jc w:val="left"/>
              <w:textAlignment w:val="center"/>
              <w:rPr>
                <w:rFonts w:hint="eastAsia" w:ascii="宋体" w:hAnsi="宋体" w:cs="宋体"/>
                <w:sz w:val="22"/>
                <w:szCs w:val="22"/>
              </w:rPr>
            </w:pPr>
            <w:r>
              <w:rPr>
                <w:rFonts w:hint="eastAsia" w:ascii="宋体" w:hAnsi="宋体" w:cs="宋体"/>
                <w:kern w:val="0"/>
                <w:sz w:val="22"/>
                <w:szCs w:val="22"/>
                <w:lang w:bidi="ar"/>
              </w:rPr>
              <w:t>无创定量评估肝纤维化和脂肪肝病变程度，协助慢性肝病的诊断</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90B52">
            <w:pPr>
              <w:widowControl/>
              <w:jc w:val="center"/>
              <w:textAlignment w:val="center"/>
              <w:rPr>
                <w:rFonts w:hint="eastAsia" w:ascii="宋体" w:hAnsi="宋体" w:cs="宋体"/>
                <w:sz w:val="22"/>
                <w:szCs w:val="22"/>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402A2">
            <w:pPr>
              <w:jc w:val="center"/>
              <w:rPr>
                <w:rFonts w:hint="eastAsia" w:ascii="宋体" w:hAnsi="宋体" w:cs="宋体"/>
                <w:sz w:val="22"/>
                <w:szCs w:val="22"/>
              </w:rPr>
            </w:pPr>
          </w:p>
        </w:tc>
      </w:tr>
      <w:tr w14:paraId="136E586C">
        <w:tblPrEx>
          <w:tblCellMar>
            <w:top w:w="0" w:type="dxa"/>
            <w:left w:w="108" w:type="dxa"/>
            <w:bottom w:w="0" w:type="dxa"/>
            <w:right w:w="108" w:type="dxa"/>
          </w:tblCellMar>
        </w:tblPrEx>
        <w:trPr>
          <w:trHeight w:val="270" w:hRule="atLeast"/>
        </w:trPr>
        <w:tc>
          <w:tcPr>
            <w:tcW w:w="248" w:type="pct"/>
            <w:vMerge w:val="continue"/>
            <w:tcBorders>
              <w:left w:val="single" w:color="000000" w:sz="4" w:space="0"/>
              <w:bottom w:val="single" w:color="000000" w:sz="4" w:space="0"/>
              <w:right w:val="single" w:color="000000" w:sz="4" w:space="0"/>
            </w:tcBorders>
            <w:shd w:val="clear" w:color="auto" w:fill="auto"/>
            <w:vAlign w:val="center"/>
          </w:tcPr>
          <w:p w14:paraId="1DC0FAF9">
            <w:pPr>
              <w:rPr>
                <w:rFonts w:hint="eastAsia" w:ascii="宋体" w:hAnsi="宋体" w:cs="宋体"/>
                <w:sz w:val="22"/>
                <w:szCs w:val="22"/>
              </w:rPr>
            </w:pPr>
          </w:p>
        </w:tc>
        <w:tc>
          <w:tcPr>
            <w:tcW w:w="3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68EA51">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合计</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1E052">
            <w:pPr>
              <w:widowControl/>
              <w:jc w:val="center"/>
              <w:textAlignment w:val="center"/>
              <w:rPr>
                <w:rFonts w:hint="eastAsia" w:ascii="宋体" w:hAnsi="宋体" w:cs="宋体"/>
                <w:sz w:val="22"/>
                <w:szCs w:val="22"/>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77AC9">
            <w:pPr>
              <w:jc w:val="center"/>
              <w:rPr>
                <w:rFonts w:hint="eastAsia" w:ascii="宋体" w:hAnsi="宋体" w:cs="宋体"/>
                <w:sz w:val="22"/>
                <w:szCs w:val="22"/>
              </w:rPr>
            </w:pPr>
          </w:p>
        </w:tc>
      </w:tr>
      <w:tr w14:paraId="6862F3C2">
        <w:tblPrEx>
          <w:tblCellMar>
            <w:top w:w="0" w:type="dxa"/>
            <w:left w:w="108" w:type="dxa"/>
            <w:bottom w:w="0" w:type="dxa"/>
            <w:right w:w="108" w:type="dxa"/>
          </w:tblCellMar>
        </w:tblPrEx>
        <w:trPr>
          <w:trHeight w:val="225" w:hRule="atLeast"/>
        </w:trPr>
        <w:tc>
          <w:tcPr>
            <w:tcW w:w="248" w:type="pct"/>
            <w:tcBorders>
              <w:top w:val="nil"/>
              <w:left w:val="nil"/>
              <w:bottom w:val="nil"/>
              <w:right w:val="nil"/>
            </w:tcBorders>
            <w:shd w:val="clear" w:color="auto" w:fill="auto"/>
            <w:noWrap/>
            <w:vAlign w:val="center"/>
          </w:tcPr>
          <w:p w14:paraId="0B42F430">
            <w:pPr>
              <w:rPr>
                <w:rFonts w:hint="eastAsia" w:ascii="宋体" w:hAnsi="宋体" w:cs="宋体"/>
                <w:sz w:val="18"/>
                <w:szCs w:val="18"/>
              </w:rPr>
            </w:pPr>
          </w:p>
        </w:tc>
        <w:tc>
          <w:tcPr>
            <w:tcW w:w="982" w:type="pct"/>
            <w:tcBorders>
              <w:top w:val="nil"/>
              <w:left w:val="nil"/>
              <w:bottom w:val="nil"/>
              <w:right w:val="nil"/>
            </w:tcBorders>
            <w:shd w:val="clear" w:color="auto" w:fill="auto"/>
            <w:noWrap/>
            <w:vAlign w:val="center"/>
          </w:tcPr>
          <w:p w14:paraId="229E9DD2">
            <w:pPr>
              <w:jc w:val="center"/>
              <w:rPr>
                <w:rFonts w:hint="eastAsia" w:ascii="宋体" w:hAnsi="宋体" w:cs="宋体"/>
                <w:sz w:val="18"/>
                <w:szCs w:val="18"/>
              </w:rPr>
            </w:pPr>
          </w:p>
        </w:tc>
        <w:tc>
          <w:tcPr>
            <w:tcW w:w="2483" w:type="pct"/>
            <w:tcBorders>
              <w:top w:val="nil"/>
              <w:left w:val="nil"/>
              <w:bottom w:val="nil"/>
              <w:right w:val="nil"/>
            </w:tcBorders>
            <w:shd w:val="clear" w:color="auto" w:fill="auto"/>
            <w:vAlign w:val="center"/>
          </w:tcPr>
          <w:p w14:paraId="3A194699">
            <w:pPr>
              <w:jc w:val="left"/>
              <w:rPr>
                <w:rFonts w:hint="eastAsia" w:ascii="宋体" w:hAnsi="宋体" w:cs="宋体"/>
                <w:sz w:val="18"/>
                <w:szCs w:val="18"/>
              </w:rPr>
            </w:pPr>
          </w:p>
        </w:tc>
        <w:tc>
          <w:tcPr>
            <w:tcW w:w="660" w:type="pct"/>
            <w:tcBorders>
              <w:top w:val="nil"/>
              <w:left w:val="nil"/>
              <w:bottom w:val="nil"/>
              <w:right w:val="nil"/>
            </w:tcBorders>
            <w:shd w:val="clear" w:color="auto" w:fill="auto"/>
            <w:noWrap/>
            <w:vAlign w:val="center"/>
          </w:tcPr>
          <w:p w14:paraId="76B63618">
            <w:pPr>
              <w:jc w:val="center"/>
              <w:rPr>
                <w:rFonts w:hint="eastAsia" w:ascii="宋体" w:hAnsi="宋体" w:cs="宋体"/>
                <w:sz w:val="18"/>
                <w:szCs w:val="18"/>
              </w:rPr>
            </w:pPr>
          </w:p>
        </w:tc>
        <w:tc>
          <w:tcPr>
            <w:tcW w:w="627" w:type="pct"/>
            <w:tcBorders>
              <w:top w:val="nil"/>
              <w:left w:val="nil"/>
              <w:bottom w:val="nil"/>
              <w:right w:val="nil"/>
            </w:tcBorders>
            <w:shd w:val="clear" w:color="auto" w:fill="auto"/>
            <w:noWrap/>
            <w:vAlign w:val="center"/>
          </w:tcPr>
          <w:p w14:paraId="474620BE">
            <w:pPr>
              <w:jc w:val="center"/>
              <w:rPr>
                <w:rFonts w:hint="eastAsia" w:ascii="宋体" w:hAnsi="宋体" w:cs="宋体"/>
                <w:sz w:val="18"/>
                <w:szCs w:val="18"/>
              </w:rPr>
            </w:pPr>
          </w:p>
        </w:tc>
      </w:tr>
      <w:tr w14:paraId="08025C16">
        <w:tblPrEx>
          <w:tblCellMar>
            <w:top w:w="0" w:type="dxa"/>
            <w:left w:w="108" w:type="dxa"/>
            <w:bottom w:w="0" w:type="dxa"/>
            <w:right w:w="108" w:type="dxa"/>
          </w:tblCellMar>
        </w:tblPrEx>
        <w:trPr>
          <w:trHeight w:val="285" w:hRule="atLeast"/>
        </w:trPr>
        <w:tc>
          <w:tcPr>
            <w:tcW w:w="5000" w:type="pct"/>
            <w:gridSpan w:val="5"/>
            <w:tcBorders>
              <w:top w:val="nil"/>
              <w:left w:val="nil"/>
              <w:bottom w:val="nil"/>
              <w:right w:val="single" w:color="000000" w:sz="4" w:space="0"/>
            </w:tcBorders>
            <w:shd w:val="clear" w:color="auto" w:fill="auto"/>
            <w:vAlign w:val="center"/>
          </w:tcPr>
          <w:p w14:paraId="372E5868">
            <w:pPr>
              <w:widowControl/>
              <w:jc w:val="center"/>
              <w:textAlignment w:val="center"/>
              <w:rPr>
                <w:rFonts w:hint="eastAsia" w:ascii="宋体" w:hAnsi="宋体" w:cs="宋体"/>
                <w:b/>
                <w:bCs/>
                <w:sz w:val="24"/>
              </w:rPr>
            </w:pPr>
            <w:r>
              <w:rPr>
                <w:rFonts w:hint="eastAsia" w:ascii="宋体" w:hAnsi="宋体" w:cs="宋体"/>
                <w:b/>
                <w:bCs/>
                <w:kern w:val="0"/>
                <w:sz w:val="24"/>
                <w:lang w:bidi="ar"/>
              </w:rPr>
              <w:t>X5-内分泌系统风险筛查</w:t>
            </w:r>
          </w:p>
        </w:tc>
      </w:tr>
      <w:tr w14:paraId="43EC92C5">
        <w:tblPrEx>
          <w:tblCellMar>
            <w:top w:w="0" w:type="dxa"/>
            <w:left w:w="108" w:type="dxa"/>
            <w:bottom w:w="0" w:type="dxa"/>
            <w:right w:w="108" w:type="dxa"/>
          </w:tblCellMar>
        </w:tblPrEx>
        <w:trPr>
          <w:trHeight w:val="810" w:hRule="atLeast"/>
        </w:trPr>
        <w:tc>
          <w:tcPr>
            <w:tcW w:w="248" w:type="pct"/>
            <w:vMerge w:val="restart"/>
            <w:tcBorders>
              <w:top w:val="single" w:color="auto" w:sz="4" w:space="0"/>
              <w:left w:val="single" w:color="auto" w:sz="4" w:space="0"/>
              <w:right w:val="single" w:color="auto" w:sz="4" w:space="0"/>
            </w:tcBorders>
            <w:shd w:val="clear" w:color="auto" w:fill="auto"/>
            <w:vAlign w:val="center"/>
          </w:tcPr>
          <w:p w14:paraId="5D936459">
            <w:pPr>
              <w:jc w:val="center"/>
              <w:rPr>
                <w:rFonts w:hint="eastAsia" w:ascii="宋体" w:hAnsi="宋体" w:cs="宋体"/>
                <w:sz w:val="22"/>
                <w:szCs w:val="22"/>
              </w:rPr>
            </w:pPr>
          </w:p>
        </w:tc>
        <w:tc>
          <w:tcPr>
            <w:tcW w:w="982" w:type="pct"/>
            <w:tcBorders>
              <w:top w:val="single" w:color="000000" w:sz="4" w:space="0"/>
              <w:left w:val="single" w:color="auto" w:sz="4" w:space="0"/>
              <w:bottom w:val="single" w:color="000000" w:sz="4" w:space="0"/>
              <w:right w:val="single" w:color="000000" w:sz="4" w:space="0"/>
            </w:tcBorders>
            <w:shd w:val="clear" w:color="auto" w:fill="auto"/>
            <w:vAlign w:val="center"/>
          </w:tcPr>
          <w:p w14:paraId="7A7D988C">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体检项目</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23A7B">
            <w:pPr>
              <w:widowControl/>
              <w:jc w:val="left"/>
              <w:textAlignment w:val="center"/>
              <w:rPr>
                <w:rFonts w:hint="eastAsia" w:ascii="宋体" w:hAnsi="宋体" w:cs="宋体"/>
                <w:b/>
                <w:bCs/>
                <w:sz w:val="22"/>
                <w:szCs w:val="22"/>
              </w:rPr>
            </w:pPr>
            <w:r>
              <w:rPr>
                <w:rFonts w:hint="eastAsia" w:ascii="宋体" w:hAnsi="宋体" w:cs="宋体"/>
                <w:b/>
                <w:bCs/>
                <w:kern w:val="0"/>
                <w:sz w:val="22"/>
                <w:szCs w:val="22"/>
                <w:lang w:bidi="ar"/>
              </w:rPr>
              <w:t>检查意义</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A51D5">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单项价格   （元）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2275A">
            <w:pPr>
              <w:widowControl/>
              <w:jc w:val="center"/>
              <w:textAlignment w:val="center"/>
              <w:rPr>
                <w:rFonts w:hint="eastAsia" w:ascii="宋体" w:hAnsi="宋体" w:cs="宋体"/>
                <w:b/>
                <w:bCs/>
                <w:sz w:val="22"/>
                <w:szCs w:val="22"/>
              </w:rPr>
            </w:pPr>
            <w:r>
              <w:rPr>
                <w:rFonts w:hint="eastAsia" w:ascii="宋体" w:hAnsi="宋体" w:cs="宋体"/>
                <w:b/>
                <w:bCs/>
                <w:sz w:val="22"/>
                <w:szCs w:val="22"/>
              </w:rPr>
              <w:t>备注</w:t>
            </w:r>
          </w:p>
        </w:tc>
      </w:tr>
      <w:tr w14:paraId="03FCA227">
        <w:tblPrEx>
          <w:tblCellMar>
            <w:top w:w="0" w:type="dxa"/>
            <w:left w:w="108" w:type="dxa"/>
            <w:bottom w:w="0" w:type="dxa"/>
            <w:right w:w="108" w:type="dxa"/>
          </w:tblCellMar>
        </w:tblPrEx>
        <w:trPr>
          <w:trHeight w:val="540" w:hRule="atLeast"/>
        </w:trPr>
        <w:tc>
          <w:tcPr>
            <w:tcW w:w="248" w:type="pct"/>
            <w:vMerge w:val="continue"/>
            <w:tcBorders>
              <w:left w:val="single" w:color="auto" w:sz="4" w:space="0"/>
              <w:right w:val="single" w:color="auto" w:sz="4" w:space="0"/>
            </w:tcBorders>
            <w:shd w:val="clear" w:color="auto" w:fill="auto"/>
            <w:noWrap/>
            <w:vAlign w:val="center"/>
          </w:tcPr>
          <w:p w14:paraId="65C758B2">
            <w:pPr>
              <w:rPr>
                <w:rFonts w:hint="eastAsia" w:ascii="宋体" w:hAnsi="宋体" w:cs="宋体"/>
                <w:sz w:val="18"/>
                <w:szCs w:val="18"/>
              </w:rPr>
            </w:pPr>
          </w:p>
        </w:tc>
        <w:tc>
          <w:tcPr>
            <w:tcW w:w="982" w:type="pct"/>
            <w:tcBorders>
              <w:top w:val="single" w:color="000000" w:sz="4" w:space="0"/>
              <w:left w:val="single" w:color="auto" w:sz="4" w:space="0"/>
              <w:bottom w:val="single" w:color="000000" w:sz="4" w:space="0"/>
              <w:right w:val="single" w:color="000000" w:sz="4" w:space="0"/>
            </w:tcBorders>
            <w:shd w:val="clear" w:color="auto" w:fill="auto"/>
            <w:vAlign w:val="center"/>
          </w:tcPr>
          <w:p w14:paraId="2BA2894B">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甲状腺激素三项（TSH、FT3、FT4）</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9D9EA">
            <w:pPr>
              <w:widowControl/>
              <w:jc w:val="left"/>
              <w:textAlignment w:val="center"/>
              <w:rPr>
                <w:rFonts w:hint="eastAsia" w:ascii="宋体" w:hAnsi="宋体" w:cs="宋体"/>
                <w:sz w:val="22"/>
                <w:szCs w:val="22"/>
              </w:rPr>
            </w:pPr>
            <w:r>
              <w:rPr>
                <w:rFonts w:hint="eastAsia" w:ascii="宋体" w:hAnsi="宋体" w:cs="宋体"/>
                <w:kern w:val="0"/>
                <w:sz w:val="22"/>
                <w:szCs w:val="22"/>
                <w:lang w:bidi="ar"/>
              </w:rPr>
              <w:t>了解甲状腺激素水平，提示有无甲亢、甲减、自身免疫性甲状腺疾病等疾病</w:t>
            </w:r>
          </w:p>
        </w:tc>
        <w:tc>
          <w:tcPr>
            <w:tcW w:w="660" w:type="pct"/>
            <w:tcBorders>
              <w:top w:val="single" w:color="000000" w:sz="4" w:space="0"/>
              <w:left w:val="single" w:color="000000" w:sz="4" w:space="0"/>
              <w:bottom w:val="single" w:color="000000" w:sz="4" w:space="0"/>
              <w:right w:val="nil"/>
            </w:tcBorders>
            <w:shd w:val="clear" w:color="auto" w:fill="auto"/>
            <w:vAlign w:val="center"/>
          </w:tcPr>
          <w:p w14:paraId="7EA9AD69">
            <w:pPr>
              <w:widowControl/>
              <w:jc w:val="center"/>
              <w:textAlignment w:val="center"/>
              <w:rPr>
                <w:rFonts w:hint="eastAsia" w:ascii="宋体" w:hAnsi="宋体" w:cs="宋体"/>
                <w:sz w:val="22"/>
                <w:szCs w:val="22"/>
              </w:rPr>
            </w:pP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E9951">
            <w:pPr>
              <w:widowControl/>
              <w:jc w:val="center"/>
              <w:textAlignment w:val="center"/>
              <w:rPr>
                <w:rFonts w:hint="eastAsia" w:ascii="宋体" w:hAnsi="宋体" w:cs="宋体"/>
                <w:sz w:val="22"/>
                <w:szCs w:val="22"/>
              </w:rPr>
            </w:pPr>
          </w:p>
        </w:tc>
      </w:tr>
      <w:tr w14:paraId="60D7B1A1">
        <w:tblPrEx>
          <w:tblCellMar>
            <w:top w:w="0" w:type="dxa"/>
            <w:left w:w="108" w:type="dxa"/>
            <w:bottom w:w="0" w:type="dxa"/>
            <w:right w:w="108" w:type="dxa"/>
          </w:tblCellMar>
        </w:tblPrEx>
        <w:trPr>
          <w:trHeight w:val="540" w:hRule="atLeast"/>
        </w:trPr>
        <w:tc>
          <w:tcPr>
            <w:tcW w:w="248" w:type="pct"/>
            <w:vMerge w:val="continue"/>
            <w:tcBorders>
              <w:left w:val="single" w:color="auto" w:sz="4" w:space="0"/>
              <w:right w:val="single" w:color="auto" w:sz="4" w:space="0"/>
            </w:tcBorders>
            <w:shd w:val="clear" w:color="auto" w:fill="auto"/>
            <w:noWrap/>
            <w:vAlign w:val="center"/>
          </w:tcPr>
          <w:p w14:paraId="0DE570F6">
            <w:pPr>
              <w:rPr>
                <w:rFonts w:hint="eastAsia" w:ascii="宋体" w:hAnsi="宋体" w:cs="宋体"/>
                <w:sz w:val="18"/>
                <w:szCs w:val="18"/>
              </w:rPr>
            </w:pPr>
          </w:p>
        </w:tc>
        <w:tc>
          <w:tcPr>
            <w:tcW w:w="982" w:type="pct"/>
            <w:tcBorders>
              <w:top w:val="single" w:color="000000" w:sz="4" w:space="0"/>
              <w:left w:val="single" w:color="auto" w:sz="4" w:space="0"/>
              <w:bottom w:val="single" w:color="000000" w:sz="4" w:space="0"/>
              <w:right w:val="single" w:color="000000" w:sz="4" w:space="0"/>
            </w:tcBorders>
            <w:shd w:val="clear" w:color="auto" w:fill="auto"/>
            <w:vAlign w:val="center"/>
          </w:tcPr>
          <w:p w14:paraId="362B4916">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糖化血红蛋白</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FA1EA">
            <w:pPr>
              <w:widowControl/>
              <w:jc w:val="left"/>
              <w:textAlignment w:val="center"/>
              <w:rPr>
                <w:rFonts w:hint="eastAsia" w:ascii="宋体" w:hAnsi="宋体" w:cs="宋体"/>
                <w:sz w:val="22"/>
                <w:szCs w:val="22"/>
              </w:rPr>
            </w:pPr>
            <w:r>
              <w:rPr>
                <w:rFonts w:hint="eastAsia" w:ascii="宋体" w:hAnsi="宋体" w:cs="宋体"/>
                <w:kern w:val="0"/>
                <w:sz w:val="22"/>
                <w:szCs w:val="22"/>
                <w:lang w:bidi="ar"/>
              </w:rPr>
              <w:t>评估近三个月机体血糖平均水平，协助糖尿病诊断及病情评价。</w:t>
            </w:r>
          </w:p>
        </w:tc>
        <w:tc>
          <w:tcPr>
            <w:tcW w:w="660" w:type="pct"/>
            <w:tcBorders>
              <w:top w:val="single" w:color="000000" w:sz="4" w:space="0"/>
              <w:left w:val="single" w:color="000000" w:sz="4" w:space="0"/>
              <w:bottom w:val="single" w:color="000000" w:sz="4" w:space="0"/>
              <w:right w:val="nil"/>
            </w:tcBorders>
            <w:shd w:val="clear" w:color="auto" w:fill="auto"/>
            <w:vAlign w:val="center"/>
          </w:tcPr>
          <w:p w14:paraId="48136E71">
            <w:pPr>
              <w:widowControl/>
              <w:jc w:val="center"/>
              <w:textAlignment w:val="center"/>
              <w:rPr>
                <w:rFonts w:hint="eastAsia" w:ascii="宋体" w:hAnsi="宋体" w:cs="宋体"/>
                <w:sz w:val="22"/>
                <w:szCs w:val="22"/>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0B620">
            <w:pPr>
              <w:jc w:val="center"/>
              <w:rPr>
                <w:rFonts w:hint="eastAsia" w:ascii="宋体" w:hAnsi="宋体" w:cs="宋体"/>
                <w:sz w:val="22"/>
                <w:szCs w:val="22"/>
              </w:rPr>
            </w:pPr>
          </w:p>
        </w:tc>
      </w:tr>
      <w:tr w14:paraId="633E2A1B">
        <w:tblPrEx>
          <w:tblCellMar>
            <w:top w:w="0" w:type="dxa"/>
            <w:left w:w="108" w:type="dxa"/>
            <w:bottom w:w="0" w:type="dxa"/>
            <w:right w:w="108" w:type="dxa"/>
          </w:tblCellMar>
        </w:tblPrEx>
        <w:trPr>
          <w:trHeight w:val="2160" w:hRule="atLeast"/>
        </w:trPr>
        <w:tc>
          <w:tcPr>
            <w:tcW w:w="248" w:type="pct"/>
            <w:vMerge w:val="continue"/>
            <w:tcBorders>
              <w:left w:val="single" w:color="auto" w:sz="4" w:space="0"/>
              <w:right w:val="single" w:color="auto" w:sz="4" w:space="0"/>
            </w:tcBorders>
            <w:shd w:val="clear" w:color="auto" w:fill="auto"/>
            <w:noWrap/>
            <w:vAlign w:val="center"/>
          </w:tcPr>
          <w:p w14:paraId="4DC65CAE">
            <w:pPr>
              <w:rPr>
                <w:rFonts w:hint="eastAsia" w:ascii="宋体" w:hAnsi="宋体" w:cs="宋体"/>
                <w:sz w:val="18"/>
                <w:szCs w:val="18"/>
              </w:rPr>
            </w:pPr>
          </w:p>
        </w:tc>
        <w:tc>
          <w:tcPr>
            <w:tcW w:w="982" w:type="pct"/>
            <w:tcBorders>
              <w:top w:val="single" w:color="000000" w:sz="4" w:space="0"/>
              <w:left w:val="single" w:color="auto" w:sz="4" w:space="0"/>
              <w:bottom w:val="single" w:color="000000" w:sz="4" w:space="0"/>
              <w:right w:val="single" w:color="000000" w:sz="4" w:space="0"/>
            </w:tcBorders>
            <w:shd w:val="clear" w:color="auto" w:fill="auto"/>
            <w:vAlign w:val="center"/>
          </w:tcPr>
          <w:p w14:paraId="4DDE6E54">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骨代谢实验+骨钙素测定(N-MID)</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B74AA">
            <w:pPr>
              <w:widowControl/>
              <w:jc w:val="left"/>
              <w:textAlignment w:val="center"/>
              <w:rPr>
                <w:rFonts w:hint="eastAsia" w:ascii="宋体" w:hAnsi="宋体" w:cs="宋体"/>
                <w:sz w:val="22"/>
                <w:szCs w:val="22"/>
              </w:rPr>
            </w:pPr>
            <w:r>
              <w:rPr>
                <w:rFonts w:hint="eastAsia" w:ascii="宋体" w:hAnsi="宋体" w:cs="宋体"/>
                <w:kern w:val="0"/>
                <w:sz w:val="22"/>
                <w:szCs w:val="22"/>
                <w:lang w:bidi="ar"/>
              </w:rPr>
              <w:t>属于骨代谢生化指标中骨转换标志物，可反映骨代谢状态，临床常用于协助诊断骨质疏松、骨肿瘤、肿瘤骨转移（如前列腺癌、肺癌、胃癌、乳腺癌转移等）、原发性甲状旁腺功能亢进症、佝偻病和骨软化症等代谢性骨病，同时可预测疾病相关骨折风险，也是筛选抗骨质疏松治疗方案，评价治疗疗效的重要参考指标。</w:t>
            </w:r>
          </w:p>
        </w:tc>
        <w:tc>
          <w:tcPr>
            <w:tcW w:w="660" w:type="pct"/>
            <w:tcBorders>
              <w:top w:val="single" w:color="000000" w:sz="4" w:space="0"/>
              <w:left w:val="single" w:color="000000" w:sz="4" w:space="0"/>
              <w:bottom w:val="single" w:color="000000" w:sz="4" w:space="0"/>
              <w:right w:val="nil"/>
            </w:tcBorders>
            <w:shd w:val="clear" w:color="auto" w:fill="auto"/>
            <w:vAlign w:val="center"/>
          </w:tcPr>
          <w:p w14:paraId="28F78A08">
            <w:pPr>
              <w:widowControl/>
              <w:jc w:val="center"/>
              <w:textAlignment w:val="center"/>
              <w:rPr>
                <w:rFonts w:hint="eastAsia" w:ascii="宋体" w:hAnsi="宋体" w:cs="宋体"/>
                <w:sz w:val="22"/>
                <w:szCs w:val="22"/>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71A71">
            <w:pPr>
              <w:jc w:val="center"/>
              <w:rPr>
                <w:rFonts w:hint="eastAsia" w:ascii="宋体" w:hAnsi="宋体" w:cs="宋体"/>
                <w:sz w:val="22"/>
                <w:szCs w:val="22"/>
              </w:rPr>
            </w:pPr>
          </w:p>
        </w:tc>
      </w:tr>
      <w:tr w14:paraId="030BE5EB">
        <w:tblPrEx>
          <w:tblCellMar>
            <w:top w:w="0" w:type="dxa"/>
            <w:left w:w="108" w:type="dxa"/>
            <w:bottom w:w="0" w:type="dxa"/>
            <w:right w:w="108" w:type="dxa"/>
          </w:tblCellMar>
        </w:tblPrEx>
        <w:trPr>
          <w:trHeight w:val="540" w:hRule="atLeast"/>
        </w:trPr>
        <w:tc>
          <w:tcPr>
            <w:tcW w:w="248" w:type="pct"/>
            <w:vMerge w:val="continue"/>
            <w:tcBorders>
              <w:left w:val="single" w:color="auto" w:sz="4" w:space="0"/>
              <w:right w:val="single" w:color="auto" w:sz="4" w:space="0"/>
            </w:tcBorders>
            <w:shd w:val="clear" w:color="auto" w:fill="auto"/>
            <w:noWrap/>
            <w:vAlign w:val="center"/>
          </w:tcPr>
          <w:p w14:paraId="62E22B78">
            <w:pPr>
              <w:rPr>
                <w:rFonts w:hint="eastAsia" w:ascii="宋体" w:hAnsi="宋体" w:cs="宋体"/>
                <w:sz w:val="18"/>
                <w:szCs w:val="18"/>
              </w:rPr>
            </w:pPr>
          </w:p>
        </w:tc>
        <w:tc>
          <w:tcPr>
            <w:tcW w:w="982" w:type="pct"/>
            <w:tcBorders>
              <w:top w:val="single" w:color="000000" w:sz="4" w:space="0"/>
              <w:left w:val="single" w:color="auto" w:sz="4" w:space="0"/>
              <w:bottom w:val="single" w:color="000000" w:sz="4" w:space="0"/>
              <w:right w:val="single" w:color="000000" w:sz="4" w:space="0"/>
            </w:tcBorders>
            <w:shd w:val="clear" w:color="auto" w:fill="auto"/>
            <w:vAlign w:val="center"/>
          </w:tcPr>
          <w:p w14:paraId="19AA7662">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X线骨密度</w:t>
            </w:r>
          </w:p>
        </w:tc>
        <w:tc>
          <w:tcPr>
            <w:tcW w:w="2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C54A2">
            <w:pPr>
              <w:widowControl/>
              <w:jc w:val="left"/>
              <w:textAlignment w:val="center"/>
              <w:rPr>
                <w:rFonts w:hint="eastAsia" w:ascii="宋体" w:hAnsi="宋体" w:cs="宋体"/>
                <w:sz w:val="22"/>
                <w:szCs w:val="22"/>
              </w:rPr>
            </w:pPr>
            <w:r>
              <w:rPr>
                <w:rFonts w:hint="eastAsia" w:ascii="宋体" w:hAnsi="宋体" w:cs="宋体"/>
                <w:kern w:val="0"/>
                <w:sz w:val="22"/>
                <w:szCs w:val="22"/>
                <w:lang w:bidi="ar"/>
              </w:rPr>
              <w:t>检测有无骨量减少及骨质疏松，预测骨折风险</w:t>
            </w:r>
          </w:p>
        </w:tc>
        <w:tc>
          <w:tcPr>
            <w:tcW w:w="660" w:type="pct"/>
            <w:tcBorders>
              <w:top w:val="single" w:color="000000" w:sz="4" w:space="0"/>
              <w:left w:val="single" w:color="000000" w:sz="4" w:space="0"/>
              <w:bottom w:val="single" w:color="000000" w:sz="4" w:space="0"/>
              <w:right w:val="nil"/>
            </w:tcBorders>
            <w:shd w:val="clear" w:color="auto" w:fill="auto"/>
            <w:vAlign w:val="center"/>
          </w:tcPr>
          <w:p w14:paraId="1197AC30">
            <w:pPr>
              <w:widowControl/>
              <w:jc w:val="center"/>
              <w:textAlignment w:val="center"/>
              <w:rPr>
                <w:rFonts w:hint="eastAsia" w:ascii="宋体" w:hAnsi="宋体" w:cs="宋体"/>
                <w:sz w:val="22"/>
                <w:szCs w:val="22"/>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55F0B">
            <w:pPr>
              <w:jc w:val="center"/>
              <w:rPr>
                <w:rFonts w:hint="eastAsia" w:ascii="宋体" w:hAnsi="宋体" w:cs="宋体"/>
                <w:sz w:val="22"/>
                <w:szCs w:val="22"/>
              </w:rPr>
            </w:pPr>
          </w:p>
        </w:tc>
      </w:tr>
      <w:tr w14:paraId="6F01E466">
        <w:tblPrEx>
          <w:tblCellMar>
            <w:top w:w="0" w:type="dxa"/>
            <w:left w:w="108" w:type="dxa"/>
            <w:bottom w:w="0" w:type="dxa"/>
            <w:right w:w="108" w:type="dxa"/>
          </w:tblCellMar>
        </w:tblPrEx>
        <w:trPr>
          <w:trHeight w:val="270" w:hRule="atLeast"/>
        </w:trPr>
        <w:tc>
          <w:tcPr>
            <w:tcW w:w="248" w:type="pct"/>
            <w:vMerge w:val="continue"/>
            <w:tcBorders>
              <w:left w:val="single" w:color="auto" w:sz="4" w:space="0"/>
              <w:bottom w:val="single" w:color="auto" w:sz="4" w:space="0"/>
              <w:right w:val="single" w:color="auto" w:sz="4" w:space="0"/>
            </w:tcBorders>
            <w:shd w:val="clear" w:color="auto" w:fill="auto"/>
            <w:noWrap/>
            <w:vAlign w:val="center"/>
          </w:tcPr>
          <w:p w14:paraId="7A800F55">
            <w:pPr>
              <w:rPr>
                <w:rFonts w:hint="eastAsia" w:ascii="宋体" w:hAnsi="宋体" w:cs="宋体"/>
                <w:sz w:val="18"/>
                <w:szCs w:val="18"/>
              </w:rPr>
            </w:pPr>
          </w:p>
        </w:tc>
        <w:tc>
          <w:tcPr>
            <w:tcW w:w="3465"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1DD9321A">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合计</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3D5F4">
            <w:pPr>
              <w:widowControl/>
              <w:jc w:val="center"/>
              <w:textAlignment w:val="center"/>
              <w:rPr>
                <w:rFonts w:hint="eastAsia" w:ascii="宋体" w:hAnsi="宋体" w:cs="宋体"/>
                <w:sz w:val="22"/>
                <w:szCs w:val="22"/>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3C890">
            <w:pPr>
              <w:jc w:val="center"/>
              <w:rPr>
                <w:rFonts w:hint="eastAsia" w:ascii="宋体" w:hAnsi="宋体" w:cs="宋体"/>
                <w:sz w:val="22"/>
                <w:szCs w:val="22"/>
              </w:rPr>
            </w:pPr>
          </w:p>
        </w:tc>
      </w:tr>
    </w:tbl>
    <w:p w14:paraId="51F26444">
      <w:pPr>
        <w:overflowPunct w:val="0"/>
        <w:topLinePunct/>
        <w:snapToGrid w:val="0"/>
        <w:spacing w:line="360" w:lineRule="auto"/>
        <w:ind w:firstLine="482" w:firstLineChars="200"/>
        <w:rPr>
          <w:rFonts w:cs="宋体"/>
          <w:b/>
          <w:sz w:val="24"/>
        </w:rPr>
      </w:pPr>
    </w:p>
    <w:tbl>
      <w:tblPr>
        <w:tblStyle w:val="4"/>
        <w:tblW w:w="5000" w:type="pct"/>
        <w:tblInd w:w="0" w:type="dxa"/>
        <w:tblLayout w:type="autofit"/>
        <w:tblCellMar>
          <w:top w:w="0" w:type="dxa"/>
          <w:left w:w="108" w:type="dxa"/>
          <w:bottom w:w="0" w:type="dxa"/>
          <w:right w:w="108" w:type="dxa"/>
        </w:tblCellMar>
      </w:tblPr>
      <w:tblGrid>
        <w:gridCol w:w="528"/>
        <w:gridCol w:w="2204"/>
        <w:gridCol w:w="3705"/>
        <w:gridCol w:w="1040"/>
        <w:gridCol w:w="1045"/>
      </w:tblGrid>
      <w:tr w14:paraId="2C0A29FF">
        <w:tblPrEx>
          <w:tblCellMar>
            <w:top w:w="0" w:type="dxa"/>
            <w:left w:w="108" w:type="dxa"/>
            <w:bottom w:w="0" w:type="dxa"/>
            <w:right w:w="108" w:type="dxa"/>
          </w:tblCellMar>
        </w:tblPrEx>
        <w:trPr>
          <w:trHeight w:val="780"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496E6AF6">
            <w:pPr>
              <w:widowControl/>
              <w:jc w:val="center"/>
              <w:rPr>
                <w:rFonts w:ascii="宋体" w:hAnsi="宋体" w:cs="宋体"/>
                <w:b/>
                <w:bCs/>
                <w:kern w:val="0"/>
                <w:sz w:val="32"/>
                <w:szCs w:val="32"/>
              </w:rPr>
            </w:pPr>
            <w:bookmarkStart w:id="9" w:name="_GoBack"/>
            <w:r>
              <w:rPr>
                <w:rFonts w:hint="eastAsia" w:ascii="宋体" w:hAnsi="宋体" w:cs="宋体"/>
                <w:b/>
                <w:bCs/>
                <w:kern w:val="0"/>
                <w:sz w:val="32"/>
                <w:szCs w:val="32"/>
              </w:rPr>
              <w:t>无痛胃肠镜专项</w:t>
            </w:r>
            <w:r>
              <w:rPr>
                <w:rFonts w:hint="eastAsia" w:ascii="宋体" w:hAnsi="宋体" w:cs="宋体"/>
                <w:b/>
                <w:bCs/>
                <w:kern w:val="0"/>
                <w:sz w:val="32"/>
                <w:szCs w:val="32"/>
                <w:lang w:eastAsia="zh-CN"/>
              </w:rPr>
              <w:t>（</w:t>
            </w:r>
            <w:r>
              <w:rPr>
                <w:rFonts w:hint="eastAsia" w:ascii="宋体" w:hAnsi="宋体" w:cs="宋体"/>
                <w:b/>
                <w:bCs/>
                <w:kern w:val="0"/>
                <w:sz w:val="32"/>
                <w:szCs w:val="32"/>
                <w:lang w:val="en-US" w:eastAsia="zh-CN"/>
              </w:rPr>
              <w:t>方案二</w:t>
            </w:r>
            <w:r>
              <w:rPr>
                <w:rFonts w:hint="eastAsia" w:ascii="宋体" w:hAnsi="宋体" w:cs="宋体"/>
                <w:b/>
                <w:bCs/>
                <w:kern w:val="0"/>
                <w:sz w:val="32"/>
                <w:szCs w:val="32"/>
                <w:lang w:eastAsia="zh-CN"/>
              </w:rPr>
              <w:t>）</w:t>
            </w:r>
          </w:p>
        </w:tc>
      </w:tr>
      <w:tr w14:paraId="12C4C911">
        <w:tblPrEx>
          <w:tblCellMar>
            <w:top w:w="0" w:type="dxa"/>
            <w:left w:w="108" w:type="dxa"/>
            <w:bottom w:w="0" w:type="dxa"/>
            <w:right w:w="108" w:type="dxa"/>
          </w:tblCellMar>
        </w:tblPrEx>
        <w:trPr>
          <w:trHeight w:val="270" w:hRule="atLeast"/>
        </w:trPr>
        <w:tc>
          <w:tcPr>
            <w:tcW w:w="310" w:type="pct"/>
            <w:vMerge w:val="restart"/>
            <w:tcBorders>
              <w:top w:val="nil"/>
              <w:left w:val="single" w:color="auto" w:sz="4" w:space="0"/>
              <w:bottom w:val="single" w:color="auto" w:sz="4" w:space="0"/>
              <w:right w:val="single" w:color="auto" w:sz="4" w:space="0"/>
            </w:tcBorders>
            <w:shd w:val="clear" w:color="auto" w:fill="auto"/>
            <w:vAlign w:val="center"/>
          </w:tcPr>
          <w:p w14:paraId="1CF9F22E">
            <w:pPr>
              <w:widowControl/>
              <w:jc w:val="center"/>
              <w:rPr>
                <w:rFonts w:hint="eastAsia" w:ascii="宋体" w:hAnsi="宋体" w:cs="宋体"/>
                <w:kern w:val="0"/>
                <w:sz w:val="22"/>
                <w:szCs w:val="22"/>
              </w:rPr>
            </w:pPr>
            <w:r>
              <w:rPr>
                <w:rFonts w:hint="eastAsia" w:ascii="宋体" w:hAnsi="宋体" w:cs="宋体"/>
                <w:kern w:val="0"/>
                <w:sz w:val="22"/>
                <w:szCs w:val="22"/>
              </w:rPr>
              <w:t>　</w:t>
            </w:r>
          </w:p>
        </w:tc>
        <w:tc>
          <w:tcPr>
            <w:tcW w:w="12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BCCA0AF">
            <w:pPr>
              <w:widowControl/>
              <w:jc w:val="center"/>
              <w:rPr>
                <w:rFonts w:hint="eastAsia" w:ascii="宋体" w:hAnsi="宋体" w:cs="宋体"/>
                <w:b/>
                <w:bCs/>
                <w:kern w:val="0"/>
                <w:sz w:val="22"/>
                <w:szCs w:val="22"/>
              </w:rPr>
            </w:pPr>
            <w:r>
              <w:rPr>
                <w:rFonts w:hint="eastAsia" w:ascii="宋体" w:hAnsi="宋体" w:cs="宋体"/>
                <w:b/>
                <w:bCs/>
                <w:kern w:val="0"/>
                <w:sz w:val="22"/>
                <w:szCs w:val="22"/>
              </w:rPr>
              <w:t>体检项目</w:t>
            </w:r>
          </w:p>
        </w:tc>
        <w:tc>
          <w:tcPr>
            <w:tcW w:w="2173" w:type="pct"/>
            <w:vMerge w:val="restart"/>
            <w:tcBorders>
              <w:top w:val="nil"/>
              <w:left w:val="single" w:color="auto" w:sz="4" w:space="0"/>
              <w:bottom w:val="single" w:color="auto" w:sz="4" w:space="0"/>
              <w:right w:val="single" w:color="auto" w:sz="4" w:space="0"/>
            </w:tcBorders>
            <w:shd w:val="clear" w:color="auto" w:fill="auto"/>
            <w:vAlign w:val="center"/>
          </w:tcPr>
          <w:p w14:paraId="343D287A">
            <w:pPr>
              <w:widowControl/>
              <w:jc w:val="center"/>
              <w:rPr>
                <w:rFonts w:hint="eastAsia" w:ascii="宋体" w:hAnsi="宋体" w:cs="宋体"/>
                <w:b/>
                <w:bCs/>
                <w:kern w:val="0"/>
                <w:sz w:val="22"/>
                <w:szCs w:val="22"/>
              </w:rPr>
            </w:pPr>
            <w:r>
              <w:rPr>
                <w:rFonts w:hint="eastAsia" w:ascii="宋体" w:hAnsi="宋体" w:cs="宋体"/>
                <w:b/>
                <w:bCs/>
                <w:kern w:val="0"/>
                <w:sz w:val="22"/>
                <w:szCs w:val="22"/>
              </w:rPr>
              <w:t>检查意义</w:t>
            </w:r>
          </w:p>
        </w:tc>
        <w:tc>
          <w:tcPr>
            <w:tcW w:w="1222" w:type="pct"/>
            <w:gridSpan w:val="2"/>
            <w:tcBorders>
              <w:top w:val="single" w:color="auto" w:sz="4" w:space="0"/>
              <w:left w:val="nil"/>
              <w:bottom w:val="single" w:color="auto" w:sz="4" w:space="0"/>
              <w:right w:val="single" w:color="auto" w:sz="4" w:space="0"/>
            </w:tcBorders>
            <w:shd w:val="clear" w:color="auto" w:fill="auto"/>
            <w:vAlign w:val="center"/>
          </w:tcPr>
          <w:p w14:paraId="29468E10">
            <w:pPr>
              <w:widowControl/>
              <w:jc w:val="center"/>
              <w:rPr>
                <w:rFonts w:hint="eastAsia" w:ascii="宋体" w:hAnsi="宋体" w:cs="宋体"/>
                <w:b/>
                <w:bCs/>
                <w:kern w:val="0"/>
                <w:sz w:val="22"/>
                <w:szCs w:val="22"/>
              </w:rPr>
            </w:pPr>
            <w:r>
              <w:rPr>
                <w:rFonts w:hint="eastAsia" w:ascii="宋体" w:hAnsi="宋体" w:cs="宋体"/>
                <w:b/>
                <w:bCs/>
                <w:kern w:val="0"/>
                <w:sz w:val="22"/>
                <w:szCs w:val="22"/>
              </w:rPr>
              <w:t>体检价格</w:t>
            </w:r>
          </w:p>
        </w:tc>
      </w:tr>
      <w:tr w14:paraId="3CC87BC1">
        <w:tblPrEx>
          <w:tblCellMar>
            <w:top w:w="0" w:type="dxa"/>
            <w:left w:w="108" w:type="dxa"/>
            <w:bottom w:w="0" w:type="dxa"/>
            <w:right w:w="108" w:type="dxa"/>
          </w:tblCellMar>
        </w:tblPrEx>
        <w:trPr>
          <w:trHeight w:val="270" w:hRule="atLeast"/>
        </w:trPr>
        <w:tc>
          <w:tcPr>
            <w:tcW w:w="310" w:type="pct"/>
            <w:vMerge w:val="continue"/>
            <w:tcBorders>
              <w:top w:val="nil"/>
              <w:left w:val="single" w:color="auto" w:sz="4" w:space="0"/>
              <w:bottom w:val="single" w:color="auto" w:sz="4" w:space="0"/>
              <w:right w:val="single" w:color="auto" w:sz="4" w:space="0"/>
            </w:tcBorders>
            <w:vAlign w:val="center"/>
          </w:tcPr>
          <w:p w14:paraId="22624F12">
            <w:pPr>
              <w:widowControl/>
              <w:jc w:val="left"/>
              <w:rPr>
                <w:rFonts w:ascii="宋体" w:hAnsi="宋体" w:cs="宋体"/>
                <w:kern w:val="0"/>
                <w:sz w:val="22"/>
                <w:szCs w:val="22"/>
              </w:rPr>
            </w:pPr>
          </w:p>
        </w:tc>
        <w:tc>
          <w:tcPr>
            <w:tcW w:w="1293" w:type="pct"/>
            <w:vMerge w:val="continue"/>
            <w:tcBorders>
              <w:top w:val="single" w:color="auto" w:sz="4" w:space="0"/>
              <w:left w:val="single" w:color="auto" w:sz="4" w:space="0"/>
              <w:bottom w:val="single" w:color="auto" w:sz="4" w:space="0"/>
              <w:right w:val="single" w:color="auto" w:sz="4" w:space="0"/>
            </w:tcBorders>
            <w:vAlign w:val="center"/>
          </w:tcPr>
          <w:p w14:paraId="30801A5D">
            <w:pPr>
              <w:widowControl/>
              <w:jc w:val="left"/>
              <w:rPr>
                <w:rFonts w:ascii="宋体" w:hAnsi="宋体" w:cs="宋体"/>
                <w:b/>
                <w:bCs/>
                <w:kern w:val="0"/>
                <w:sz w:val="22"/>
                <w:szCs w:val="22"/>
              </w:rPr>
            </w:pPr>
          </w:p>
        </w:tc>
        <w:tc>
          <w:tcPr>
            <w:tcW w:w="2173" w:type="pct"/>
            <w:vMerge w:val="continue"/>
            <w:tcBorders>
              <w:top w:val="nil"/>
              <w:left w:val="single" w:color="auto" w:sz="4" w:space="0"/>
              <w:bottom w:val="single" w:color="auto" w:sz="4" w:space="0"/>
              <w:right w:val="single" w:color="auto" w:sz="4" w:space="0"/>
            </w:tcBorders>
            <w:vAlign w:val="center"/>
          </w:tcPr>
          <w:p w14:paraId="3D803DCC">
            <w:pPr>
              <w:widowControl/>
              <w:jc w:val="left"/>
              <w:rPr>
                <w:rFonts w:ascii="宋体" w:hAnsi="宋体" w:cs="宋体"/>
                <w:b/>
                <w:bCs/>
                <w:kern w:val="0"/>
                <w:sz w:val="22"/>
                <w:szCs w:val="22"/>
              </w:rPr>
            </w:pPr>
          </w:p>
        </w:tc>
        <w:tc>
          <w:tcPr>
            <w:tcW w:w="610" w:type="pct"/>
            <w:tcBorders>
              <w:top w:val="nil"/>
              <w:left w:val="nil"/>
              <w:bottom w:val="single" w:color="auto" w:sz="4" w:space="0"/>
              <w:right w:val="single" w:color="auto" w:sz="4" w:space="0"/>
            </w:tcBorders>
            <w:shd w:val="clear" w:color="auto" w:fill="auto"/>
            <w:vAlign w:val="center"/>
          </w:tcPr>
          <w:p w14:paraId="7BCF970B">
            <w:pPr>
              <w:widowControl/>
              <w:jc w:val="center"/>
              <w:rPr>
                <w:rFonts w:hint="eastAsia" w:ascii="宋体" w:hAnsi="宋体" w:cs="宋体"/>
                <w:b/>
                <w:bCs/>
                <w:kern w:val="0"/>
                <w:sz w:val="22"/>
                <w:szCs w:val="22"/>
              </w:rPr>
            </w:pPr>
            <w:r>
              <w:rPr>
                <w:rFonts w:hint="eastAsia" w:ascii="宋体" w:hAnsi="宋体" w:cs="宋体"/>
                <w:b/>
                <w:bCs/>
                <w:kern w:val="0"/>
                <w:sz w:val="22"/>
                <w:szCs w:val="22"/>
              </w:rPr>
              <w:t>男</w:t>
            </w:r>
          </w:p>
        </w:tc>
        <w:tc>
          <w:tcPr>
            <w:tcW w:w="611" w:type="pct"/>
            <w:tcBorders>
              <w:top w:val="nil"/>
              <w:left w:val="nil"/>
              <w:bottom w:val="single" w:color="auto" w:sz="4" w:space="0"/>
              <w:right w:val="single" w:color="auto" w:sz="4" w:space="0"/>
            </w:tcBorders>
            <w:shd w:val="clear" w:color="auto" w:fill="auto"/>
            <w:vAlign w:val="center"/>
          </w:tcPr>
          <w:p w14:paraId="65E27C53">
            <w:pPr>
              <w:widowControl/>
              <w:jc w:val="center"/>
              <w:rPr>
                <w:rFonts w:hint="eastAsia" w:ascii="宋体" w:hAnsi="宋体" w:cs="宋体"/>
                <w:b/>
                <w:bCs/>
                <w:kern w:val="0"/>
                <w:sz w:val="22"/>
                <w:szCs w:val="22"/>
              </w:rPr>
            </w:pPr>
            <w:r>
              <w:rPr>
                <w:rFonts w:hint="eastAsia" w:ascii="宋体" w:hAnsi="宋体" w:cs="宋体"/>
                <w:b/>
                <w:bCs/>
                <w:kern w:val="0"/>
                <w:sz w:val="22"/>
                <w:szCs w:val="22"/>
              </w:rPr>
              <w:t>女</w:t>
            </w:r>
          </w:p>
        </w:tc>
      </w:tr>
      <w:tr w14:paraId="4A5E6C2D">
        <w:tblPrEx>
          <w:tblCellMar>
            <w:top w:w="0" w:type="dxa"/>
            <w:left w:w="108" w:type="dxa"/>
            <w:bottom w:w="0" w:type="dxa"/>
            <w:right w:w="108" w:type="dxa"/>
          </w:tblCellMar>
        </w:tblPrEx>
        <w:trPr>
          <w:trHeight w:val="810" w:hRule="atLeast"/>
        </w:trPr>
        <w:tc>
          <w:tcPr>
            <w:tcW w:w="310" w:type="pct"/>
            <w:vMerge w:val="restart"/>
            <w:tcBorders>
              <w:top w:val="nil"/>
              <w:left w:val="single" w:color="auto" w:sz="4" w:space="0"/>
              <w:bottom w:val="single" w:color="000000" w:sz="4" w:space="0"/>
              <w:right w:val="single" w:color="auto" w:sz="4" w:space="0"/>
            </w:tcBorders>
            <w:shd w:val="clear" w:color="auto" w:fill="auto"/>
            <w:vAlign w:val="center"/>
          </w:tcPr>
          <w:p w14:paraId="724081C3">
            <w:pPr>
              <w:widowControl/>
              <w:jc w:val="center"/>
              <w:rPr>
                <w:rFonts w:hint="eastAsia" w:ascii="宋体" w:hAnsi="宋体" w:cs="宋体"/>
                <w:b/>
                <w:bCs/>
                <w:kern w:val="0"/>
                <w:sz w:val="22"/>
                <w:szCs w:val="22"/>
              </w:rPr>
            </w:pPr>
            <w:r>
              <w:rPr>
                <w:rFonts w:hint="eastAsia" w:ascii="宋体" w:hAnsi="宋体" w:cs="宋体"/>
                <w:b/>
                <w:bCs/>
                <w:kern w:val="0"/>
                <w:sz w:val="22"/>
                <w:szCs w:val="22"/>
              </w:rPr>
              <w:t>化验检查</w:t>
            </w:r>
          </w:p>
        </w:tc>
        <w:tc>
          <w:tcPr>
            <w:tcW w:w="1293" w:type="pct"/>
            <w:tcBorders>
              <w:top w:val="single" w:color="auto" w:sz="4" w:space="0"/>
              <w:left w:val="nil"/>
              <w:bottom w:val="single" w:color="auto" w:sz="4" w:space="0"/>
              <w:right w:val="single" w:color="auto" w:sz="4" w:space="0"/>
            </w:tcBorders>
            <w:shd w:val="clear" w:color="auto" w:fill="auto"/>
            <w:vAlign w:val="center"/>
          </w:tcPr>
          <w:p w14:paraId="2FBF1033">
            <w:pPr>
              <w:widowControl/>
              <w:jc w:val="center"/>
              <w:rPr>
                <w:rFonts w:hint="eastAsia" w:ascii="宋体" w:hAnsi="宋体" w:cs="宋体"/>
                <w:kern w:val="0"/>
                <w:sz w:val="22"/>
                <w:szCs w:val="22"/>
              </w:rPr>
            </w:pPr>
            <w:r>
              <w:rPr>
                <w:rFonts w:hint="eastAsia" w:ascii="宋体" w:hAnsi="宋体" w:cs="宋体"/>
                <w:kern w:val="0"/>
                <w:sz w:val="22"/>
                <w:szCs w:val="22"/>
              </w:rPr>
              <w:t>血细胞分析</w:t>
            </w:r>
          </w:p>
        </w:tc>
        <w:tc>
          <w:tcPr>
            <w:tcW w:w="2173" w:type="pct"/>
            <w:tcBorders>
              <w:top w:val="nil"/>
              <w:left w:val="nil"/>
              <w:bottom w:val="single" w:color="auto" w:sz="4" w:space="0"/>
              <w:right w:val="single" w:color="auto" w:sz="4" w:space="0"/>
            </w:tcBorders>
            <w:shd w:val="clear" w:color="auto" w:fill="auto"/>
            <w:vAlign w:val="center"/>
          </w:tcPr>
          <w:p w14:paraId="4FDD3FD4">
            <w:pPr>
              <w:widowControl/>
              <w:jc w:val="left"/>
              <w:rPr>
                <w:rFonts w:hint="eastAsia" w:ascii="宋体" w:hAnsi="宋体" w:cs="宋体"/>
                <w:kern w:val="0"/>
                <w:sz w:val="22"/>
                <w:szCs w:val="22"/>
              </w:rPr>
            </w:pPr>
            <w:r>
              <w:rPr>
                <w:rFonts w:hint="eastAsia" w:ascii="宋体" w:hAnsi="宋体" w:cs="宋体"/>
                <w:kern w:val="0"/>
                <w:sz w:val="22"/>
                <w:szCs w:val="22"/>
              </w:rPr>
              <w:t>主要包含白细胞计数及其分类、红细胞，血红蛋白、血小板等检测，筛查常见感染性疾病及血液系统疾病。</w:t>
            </w:r>
          </w:p>
        </w:tc>
        <w:tc>
          <w:tcPr>
            <w:tcW w:w="610" w:type="pct"/>
            <w:tcBorders>
              <w:top w:val="nil"/>
              <w:left w:val="nil"/>
              <w:bottom w:val="single" w:color="auto" w:sz="4" w:space="0"/>
              <w:right w:val="single" w:color="auto" w:sz="4" w:space="0"/>
            </w:tcBorders>
            <w:shd w:val="clear" w:color="auto" w:fill="auto"/>
            <w:vAlign w:val="center"/>
          </w:tcPr>
          <w:p w14:paraId="75E696E8">
            <w:pPr>
              <w:widowControl/>
              <w:jc w:val="center"/>
              <w:rPr>
                <w:rFonts w:hint="eastAsia" w:ascii="宋体" w:hAnsi="宋体" w:cs="宋体"/>
                <w:kern w:val="0"/>
                <w:sz w:val="22"/>
                <w:szCs w:val="22"/>
              </w:rPr>
            </w:pPr>
            <w:r>
              <w:rPr>
                <w:rFonts w:hint="eastAsia" w:ascii="宋体" w:hAnsi="宋体" w:cs="宋体"/>
                <w:kern w:val="0"/>
                <w:sz w:val="22"/>
                <w:szCs w:val="22"/>
              </w:rPr>
              <w:t>　</w:t>
            </w:r>
          </w:p>
        </w:tc>
        <w:tc>
          <w:tcPr>
            <w:tcW w:w="611" w:type="pct"/>
            <w:tcBorders>
              <w:top w:val="nil"/>
              <w:left w:val="nil"/>
              <w:bottom w:val="single" w:color="auto" w:sz="4" w:space="0"/>
              <w:right w:val="single" w:color="auto" w:sz="4" w:space="0"/>
            </w:tcBorders>
            <w:shd w:val="clear" w:color="auto" w:fill="auto"/>
            <w:vAlign w:val="center"/>
          </w:tcPr>
          <w:p w14:paraId="2A383BE4">
            <w:pPr>
              <w:widowControl/>
              <w:jc w:val="center"/>
              <w:rPr>
                <w:rFonts w:hint="eastAsia" w:ascii="宋体" w:hAnsi="宋体" w:cs="宋体"/>
                <w:kern w:val="0"/>
                <w:sz w:val="22"/>
                <w:szCs w:val="22"/>
              </w:rPr>
            </w:pPr>
            <w:r>
              <w:rPr>
                <w:rFonts w:hint="eastAsia" w:ascii="宋体" w:hAnsi="宋体" w:cs="宋体"/>
                <w:kern w:val="0"/>
                <w:sz w:val="22"/>
                <w:szCs w:val="22"/>
              </w:rPr>
              <w:t>　</w:t>
            </w:r>
          </w:p>
        </w:tc>
      </w:tr>
      <w:tr w14:paraId="74C3347F">
        <w:tblPrEx>
          <w:tblCellMar>
            <w:top w:w="0" w:type="dxa"/>
            <w:left w:w="108" w:type="dxa"/>
            <w:bottom w:w="0" w:type="dxa"/>
            <w:right w:w="108" w:type="dxa"/>
          </w:tblCellMar>
        </w:tblPrEx>
        <w:trPr>
          <w:trHeight w:val="1620" w:hRule="atLeast"/>
        </w:trPr>
        <w:tc>
          <w:tcPr>
            <w:tcW w:w="310" w:type="pct"/>
            <w:vMerge w:val="continue"/>
            <w:tcBorders>
              <w:top w:val="nil"/>
              <w:left w:val="single" w:color="auto" w:sz="4" w:space="0"/>
              <w:bottom w:val="single" w:color="000000" w:sz="4" w:space="0"/>
              <w:right w:val="single" w:color="auto" w:sz="4" w:space="0"/>
            </w:tcBorders>
            <w:vAlign w:val="center"/>
          </w:tcPr>
          <w:p w14:paraId="2368C5BA">
            <w:pPr>
              <w:widowControl/>
              <w:jc w:val="left"/>
              <w:rPr>
                <w:rFonts w:ascii="宋体" w:hAnsi="宋体" w:cs="宋体"/>
                <w:b/>
                <w:bCs/>
                <w:kern w:val="0"/>
                <w:sz w:val="22"/>
                <w:szCs w:val="22"/>
              </w:rPr>
            </w:pPr>
          </w:p>
        </w:tc>
        <w:tc>
          <w:tcPr>
            <w:tcW w:w="1293" w:type="pct"/>
            <w:tcBorders>
              <w:top w:val="single" w:color="auto" w:sz="4" w:space="0"/>
              <w:left w:val="nil"/>
              <w:bottom w:val="single" w:color="auto" w:sz="4" w:space="0"/>
              <w:right w:val="single" w:color="000000" w:sz="4" w:space="0"/>
            </w:tcBorders>
            <w:shd w:val="clear" w:color="auto" w:fill="auto"/>
            <w:vAlign w:val="center"/>
          </w:tcPr>
          <w:p w14:paraId="05764013">
            <w:pPr>
              <w:widowControl/>
              <w:jc w:val="center"/>
              <w:rPr>
                <w:rFonts w:hint="eastAsia" w:ascii="宋体" w:hAnsi="宋体" w:cs="宋体"/>
                <w:kern w:val="0"/>
                <w:sz w:val="22"/>
                <w:szCs w:val="22"/>
              </w:rPr>
            </w:pPr>
            <w:r>
              <w:rPr>
                <w:rFonts w:hint="eastAsia" w:ascii="宋体" w:hAnsi="宋体" w:cs="宋体"/>
                <w:kern w:val="0"/>
                <w:sz w:val="22"/>
                <w:szCs w:val="22"/>
              </w:rPr>
              <w:t>肝功1</w:t>
            </w:r>
          </w:p>
        </w:tc>
        <w:tc>
          <w:tcPr>
            <w:tcW w:w="2173" w:type="pct"/>
            <w:tcBorders>
              <w:top w:val="nil"/>
              <w:left w:val="nil"/>
              <w:bottom w:val="single" w:color="auto" w:sz="4" w:space="0"/>
              <w:right w:val="single" w:color="auto" w:sz="4" w:space="0"/>
            </w:tcBorders>
            <w:shd w:val="clear" w:color="auto" w:fill="auto"/>
            <w:vAlign w:val="center"/>
          </w:tcPr>
          <w:p w14:paraId="2484C1AA">
            <w:pPr>
              <w:widowControl/>
              <w:jc w:val="left"/>
              <w:rPr>
                <w:rFonts w:hint="eastAsia" w:ascii="宋体" w:hAnsi="宋体" w:cs="宋体"/>
                <w:kern w:val="0"/>
                <w:sz w:val="22"/>
                <w:szCs w:val="22"/>
              </w:rPr>
            </w:pPr>
            <w:r>
              <w:rPr>
                <w:rFonts w:hint="eastAsia" w:ascii="宋体" w:hAnsi="宋体" w:cs="宋体"/>
                <w:kern w:val="0"/>
                <w:sz w:val="22"/>
                <w:szCs w:val="22"/>
              </w:rPr>
              <w:t xml:space="preserve">主要包含谷丙转氨酶、谷草转氨酶、r-谷氨酰转肽酶、总蛋白、白蛋白、球蛋白、总胆红素、直接胆红素、间接胆红素等，总胆汁酸、碱性磷酸酶、胆碱酯酶、乳酸脱氢酶，评估肝脏功能，筛查肝炎、肝硬化、黄疸、低蛋白血症等疾病。                         </w:t>
            </w:r>
          </w:p>
        </w:tc>
        <w:tc>
          <w:tcPr>
            <w:tcW w:w="610" w:type="pct"/>
            <w:tcBorders>
              <w:top w:val="nil"/>
              <w:left w:val="nil"/>
              <w:bottom w:val="single" w:color="auto" w:sz="4" w:space="0"/>
              <w:right w:val="single" w:color="auto" w:sz="4" w:space="0"/>
            </w:tcBorders>
            <w:shd w:val="clear" w:color="auto" w:fill="auto"/>
            <w:vAlign w:val="center"/>
          </w:tcPr>
          <w:p w14:paraId="14066968">
            <w:pPr>
              <w:widowControl/>
              <w:jc w:val="center"/>
              <w:rPr>
                <w:rFonts w:hint="eastAsia" w:ascii="宋体" w:hAnsi="宋体" w:cs="宋体"/>
                <w:kern w:val="0"/>
                <w:sz w:val="22"/>
                <w:szCs w:val="22"/>
              </w:rPr>
            </w:pPr>
            <w:r>
              <w:rPr>
                <w:rFonts w:hint="eastAsia" w:ascii="宋体" w:hAnsi="宋体" w:cs="宋体"/>
                <w:kern w:val="0"/>
                <w:sz w:val="22"/>
                <w:szCs w:val="22"/>
              </w:rPr>
              <w:t>　</w:t>
            </w:r>
          </w:p>
        </w:tc>
        <w:tc>
          <w:tcPr>
            <w:tcW w:w="611" w:type="pct"/>
            <w:tcBorders>
              <w:top w:val="nil"/>
              <w:left w:val="nil"/>
              <w:bottom w:val="single" w:color="auto" w:sz="4" w:space="0"/>
              <w:right w:val="single" w:color="auto" w:sz="4" w:space="0"/>
            </w:tcBorders>
            <w:shd w:val="clear" w:color="auto" w:fill="auto"/>
            <w:vAlign w:val="center"/>
          </w:tcPr>
          <w:p w14:paraId="55067BAB">
            <w:pPr>
              <w:widowControl/>
              <w:jc w:val="center"/>
              <w:rPr>
                <w:rFonts w:hint="eastAsia" w:ascii="宋体" w:hAnsi="宋体" w:cs="宋体"/>
                <w:kern w:val="0"/>
                <w:sz w:val="22"/>
                <w:szCs w:val="22"/>
              </w:rPr>
            </w:pPr>
            <w:r>
              <w:rPr>
                <w:rFonts w:hint="eastAsia" w:ascii="宋体" w:hAnsi="宋体" w:cs="宋体"/>
                <w:kern w:val="0"/>
                <w:sz w:val="22"/>
                <w:szCs w:val="22"/>
              </w:rPr>
              <w:t>　</w:t>
            </w:r>
          </w:p>
        </w:tc>
      </w:tr>
      <w:tr w14:paraId="01BFD043">
        <w:tblPrEx>
          <w:tblCellMar>
            <w:top w:w="0" w:type="dxa"/>
            <w:left w:w="108" w:type="dxa"/>
            <w:bottom w:w="0" w:type="dxa"/>
            <w:right w:w="108" w:type="dxa"/>
          </w:tblCellMar>
        </w:tblPrEx>
        <w:trPr>
          <w:trHeight w:val="540" w:hRule="atLeast"/>
        </w:trPr>
        <w:tc>
          <w:tcPr>
            <w:tcW w:w="310" w:type="pct"/>
            <w:vMerge w:val="continue"/>
            <w:tcBorders>
              <w:top w:val="nil"/>
              <w:left w:val="single" w:color="auto" w:sz="4" w:space="0"/>
              <w:bottom w:val="single" w:color="000000" w:sz="4" w:space="0"/>
              <w:right w:val="single" w:color="auto" w:sz="4" w:space="0"/>
            </w:tcBorders>
            <w:vAlign w:val="center"/>
          </w:tcPr>
          <w:p w14:paraId="7FC1E31F">
            <w:pPr>
              <w:widowControl/>
              <w:jc w:val="left"/>
              <w:rPr>
                <w:rFonts w:ascii="宋体" w:hAnsi="宋体" w:cs="宋体"/>
                <w:b/>
                <w:bCs/>
                <w:kern w:val="0"/>
                <w:sz w:val="22"/>
                <w:szCs w:val="22"/>
              </w:rPr>
            </w:pPr>
          </w:p>
        </w:tc>
        <w:tc>
          <w:tcPr>
            <w:tcW w:w="1293" w:type="pct"/>
            <w:tcBorders>
              <w:top w:val="single" w:color="auto" w:sz="4" w:space="0"/>
              <w:left w:val="nil"/>
              <w:bottom w:val="single" w:color="auto" w:sz="4" w:space="0"/>
              <w:right w:val="single" w:color="auto" w:sz="4" w:space="0"/>
            </w:tcBorders>
            <w:shd w:val="clear" w:color="auto" w:fill="auto"/>
            <w:vAlign w:val="center"/>
          </w:tcPr>
          <w:p w14:paraId="4C33072F">
            <w:pPr>
              <w:widowControl/>
              <w:jc w:val="center"/>
              <w:rPr>
                <w:rFonts w:hint="eastAsia" w:ascii="宋体" w:hAnsi="宋体" w:cs="宋体"/>
                <w:kern w:val="0"/>
                <w:sz w:val="22"/>
                <w:szCs w:val="22"/>
              </w:rPr>
            </w:pPr>
            <w:r>
              <w:rPr>
                <w:rFonts w:hint="eastAsia" w:ascii="宋体" w:hAnsi="宋体" w:cs="宋体"/>
                <w:kern w:val="0"/>
                <w:sz w:val="22"/>
                <w:szCs w:val="22"/>
              </w:rPr>
              <w:t>肾功1</w:t>
            </w:r>
          </w:p>
        </w:tc>
        <w:tc>
          <w:tcPr>
            <w:tcW w:w="2173" w:type="pct"/>
            <w:tcBorders>
              <w:top w:val="nil"/>
              <w:left w:val="nil"/>
              <w:bottom w:val="single" w:color="auto" w:sz="4" w:space="0"/>
              <w:right w:val="single" w:color="auto" w:sz="4" w:space="0"/>
            </w:tcBorders>
            <w:shd w:val="clear" w:color="auto" w:fill="auto"/>
            <w:vAlign w:val="center"/>
          </w:tcPr>
          <w:p w14:paraId="5CA777B4">
            <w:pPr>
              <w:widowControl/>
              <w:jc w:val="left"/>
              <w:rPr>
                <w:rFonts w:hint="eastAsia" w:ascii="宋体" w:hAnsi="宋体" w:cs="宋体"/>
                <w:kern w:val="0"/>
                <w:sz w:val="22"/>
                <w:szCs w:val="22"/>
              </w:rPr>
            </w:pPr>
            <w:r>
              <w:rPr>
                <w:rFonts w:hint="eastAsia" w:ascii="宋体" w:hAnsi="宋体" w:cs="宋体"/>
                <w:kern w:val="0"/>
                <w:sz w:val="22"/>
                <w:szCs w:val="22"/>
              </w:rPr>
              <w:t>尿素、肌酐、血尿酸、血钙、胱抑素C （评估肾脏功能，筛查肾脏疾病）</w:t>
            </w:r>
          </w:p>
        </w:tc>
        <w:tc>
          <w:tcPr>
            <w:tcW w:w="610" w:type="pct"/>
            <w:tcBorders>
              <w:top w:val="nil"/>
              <w:left w:val="nil"/>
              <w:bottom w:val="single" w:color="auto" w:sz="4" w:space="0"/>
              <w:right w:val="single" w:color="auto" w:sz="4" w:space="0"/>
            </w:tcBorders>
            <w:shd w:val="clear" w:color="auto" w:fill="auto"/>
            <w:vAlign w:val="center"/>
          </w:tcPr>
          <w:p w14:paraId="1FA8283B">
            <w:pPr>
              <w:widowControl/>
              <w:jc w:val="center"/>
              <w:rPr>
                <w:rFonts w:hint="eastAsia" w:ascii="宋体" w:hAnsi="宋体" w:cs="宋体"/>
                <w:kern w:val="0"/>
                <w:sz w:val="22"/>
                <w:szCs w:val="22"/>
              </w:rPr>
            </w:pPr>
            <w:r>
              <w:rPr>
                <w:rFonts w:hint="eastAsia" w:ascii="宋体" w:hAnsi="宋体" w:cs="宋体"/>
                <w:kern w:val="0"/>
                <w:sz w:val="22"/>
                <w:szCs w:val="22"/>
              </w:rPr>
              <w:t>　</w:t>
            </w:r>
          </w:p>
        </w:tc>
        <w:tc>
          <w:tcPr>
            <w:tcW w:w="611" w:type="pct"/>
            <w:tcBorders>
              <w:top w:val="nil"/>
              <w:left w:val="nil"/>
              <w:bottom w:val="single" w:color="auto" w:sz="4" w:space="0"/>
              <w:right w:val="single" w:color="auto" w:sz="4" w:space="0"/>
            </w:tcBorders>
            <w:shd w:val="clear" w:color="auto" w:fill="auto"/>
            <w:vAlign w:val="center"/>
          </w:tcPr>
          <w:p w14:paraId="111C323C">
            <w:pPr>
              <w:widowControl/>
              <w:jc w:val="center"/>
              <w:rPr>
                <w:rFonts w:hint="eastAsia" w:ascii="宋体" w:hAnsi="宋体" w:cs="宋体"/>
                <w:kern w:val="0"/>
                <w:sz w:val="22"/>
                <w:szCs w:val="22"/>
              </w:rPr>
            </w:pPr>
            <w:r>
              <w:rPr>
                <w:rFonts w:hint="eastAsia" w:ascii="宋体" w:hAnsi="宋体" w:cs="宋体"/>
                <w:kern w:val="0"/>
                <w:sz w:val="22"/>
                <w:szCs w:val="22"/>
              </w:rPr>
              <w:t>　</w:t>
            </w:r>
          </w:p>
        </w:tc>
      </w:tr>
      <w:tr w14:paraId="34B029A0">
        <w:tblPrEx>
          <w:tblCellMar>
            <w:top w:w="0" w:type="dxa"/>
            <w:left w:w="108" w:type="dxa"/>
            <w:bottom w:w="0" w:type="dxa"/>
            <w:right w:w="108" w:type="dxa"/>
          </w:tblCellMar>
        </w:tblPrEx>
        <w:trPr>
          <w:trHeight w:val="1080" w:hRule="atLeast"/>
        </w:trPr>
        <w:tc>
          <w:tcPr>
            <w:tcW w:w="310" w:type="pct"/>
            <w:vMerge w:val="continue"/>
            <w:tcBorders>
              <w:top w:val="nil"/>
              <w:left w:val="single" w:color="auto" w:sz="4" w:space="0"/>
              <w:bottom w:val="single" w:color="000000" w:sz="4" w:space="0"/>
              <w:right w:val="single" w:color="auto" w:sz="4" w:space="0"/>
            </w:tcBorders>
            <w:vAlign w:val="center"/>
          </w:tcPr>
          <w:p w14:paraId="36A5511D">
            <w:pPr>
              <w:widowControl/>
              <w:jc w:val="left"/>
              <w:rPr>
                <w:rFonts w:ascii="宋体" w:hAnsi="宋体" w:cs="宋体"/>
                <w:b/>
                <w:bCs/>
                <w:kern w:val="0"/>
                <w:sz w:val="22"/>
                <w:szCs w:val="22"/>
              </w:rPr>
            </w:pPr>
          </w:p>
        </w:tc>
        <w:tc>
          <w:tcPr>
            <w:tcW w:w="1293" w:type="pct"/>
            <w:tcBorders>
              <w:top w:val="single" w:color="auto" w:sz="4" w:space="0"/>
              <w:left w:val="nil"/>
              <w:bottom w:val="single" w:color="auto" w:sz="4" w:space="0"/>
              <w:right w:val="single" w:color="auto" w:sz="4" w:space="0"/>
            </w:tcBorders>
            <w:shd w:val="clear" w:color="auto" w:fill="auto"/>
            <w:vAlign w:val="center"/>
          </w:tcPr>
          <w:p w14:paraId="7F2596E8">
            <w:pPr>
              <w:widowControl/>
              <w:jc w:val="center"/>
              <w:rPr>
                <w:rFonts w:hint="eastAsia" w:ascii="宋体" w:hAnsi="宋体" w:cs="宋体"/>
                <w:kern w:val="0"/>
                <w:sz w:val="22"/>
                <w:szCs w:val="22"/>
              </w:rPr>
            </w:pPr>
            <w:r>
              <w:rPr>
                <w:rFonts w:hint="eastAsia" w:ascii="宋体" w:hAnsi="宋体" w:cs="宋体"/>
                <w:kern w:val="0"/>
                <w:sz w:val="22"/>
                <w:szCs w:val="22"/>
              </w:rPr>
              <w:t>血脂1.2</w:t>
            </w:r>
          </w:p>
        </w:tc>
        <w:tc>
          <w:tcPr>
            <w:tcW w:w="2173" w:type="pct"/>
            <w:tcBorders>
              <w:top w:val="nil"/>
              <w:left w:val="nil"/>
              <w:bottom w:val="single" w:color="auto" w:sz="4" w:space="0"/>
              <w:right w:val="single" w:color="auto" w:sz="4" w:space="0"/>
            </w:tcBorders>
            <w:shd w:val="clear" w:color="auto" w:fill="auto"/>
            <w:vAlign w:val="center"/>
          </w:tcPr>
          <w:p w14:paraId="601B3D29">
            <w:pPr>
              <w:widowControl/>
              <w:jc w:val="left"/>
              <w:rPr>
                <w:rFonts w:hint="eastAsia" w:ascii="宋体" w:hAnsi="宋体" w:cs="宋体"/>
                <w:kern w:val="0"/>
                <w:sz w:val="22"/>
                <w:szCs w:val="22"/>
              </w:rPr>
            </w:pPr>
            <w:r>
              <w:rPr>
                <w:rFonts w:hint="eastAsia" w:ascii="宋体" w:hAnsi="宋体" w:cs="宋体"/>
                <w:kern w:val="0"/>
                <w:sz w:val="22"/>
                <w:szCs w:val="22"/>
              </w:rPr>
              <w:t>总胆固醇、甘油三酯、 高密度脂蛋白、低密度脂蛋白                    （心血管疾病的检测指标，有无高脂血症等）</w:t>
            </w:r>
          </w:p>
        </w:tc>
        <w:tc>
          <w:tcPr>
            <w:tcW w:w="610" w:type="pct"/>
            <w:tcBorders>
              <w:top w:val="nil"/>
              <w:left w:val="nil"/>
              <w:bottom w:val="single" w:color="auto" w:sz="4" w:space="0"/>
              <w:right w:val="single" w:color="auto" w:sz="4" w:space="0"/>
            </w:tcBorders>
            <w:shd w:val="clear" w:color="auto" w:fill="auto"/>
            <w:vAlign w:val="center"/>
          </w:tcPr>
          <w:p w14:paraId="100649E7">
            <w:pPr>
              <w:widowControl/>
              <w:jc w:val="center"/>
              <w:rPr>
                <w:rFonts w:hint="eastAsia" w:ascii="宋体" w:hAnsi="宋体" w:cs="宋体"/>
                <w:kern w:val="0"/>
                <w:sz w:val="22"/>
                <w:szCs w:val="22"/>
              </w:rPr>
            </w:pPr>
            <w:r>
              <w:rPr>
                <w:rFonts w:hint="eastAsia" w:ascii="宋体" w:hAnsi="宋体" w:cs="宋体"/>
                <w:kern w:val="0"/>
                <w:sz w:val="22"/>
                <w:szCs w:val="22"/>
              </w:rPr>
              <w:t>　</w:t>
            </w:r>
          </w:p>
        </w:tc>
        <w:tc>
          <w:tcPr>
            <w:tcW w:w="611" w:type="pct"/>
            <w:tcBorders>
              <w:top w:val="nil"/>
              <w:left w:val="nil"/>
              <w:bottom w:val="single" w:color="auto" w:sz="4" w:space="0"/>
              <w:right w:val="single" w:color="auto" w:sz="4" w:space="0"/>
            </w:tcBorders>
            <w:shd w:val="clear" w:color="auto" w:fill="auto"/>
            <w:vAlign w:val="center"/>
          </w:tcPr>
          <w:p w14:paraId="5C4DEDFF">
            <w:pPr>
              <w:widowControl/>
              <w:jc w:val="center"/>
              <w:rPr>
                <w:rFonts w:hint="eastAsia" w:ascii="宋体" w:hAnsi="宋体" w:cs="宋体"/>
                <w:kern w:val="0"/>
                <w:sz w:val="22"/>
                <w:szCs w:val="22"/>
              </w:rPr>
            </w:pPr>
            <w:r>
              <w:rPr>
                <w:rFonts w:hint="eastAsia" w:ascii="宋体" w:hAnsi="宋体" w:cs="宋体"/>
                <w:kern w:val="0"/>
                <w:sz w:val="22"/>
                <w:szCs w:val="22"/>
              </w:rPr>
              <w:t>　</w:t>
            </w:r>
          </w:p>
        </w:tc>
      </w:tr>
      <w:tr w14:paraId="09D56933">
        <w:tblPrEx>
          <w:tblCellMar>
            <w:top w:w="0" w:type="dxa"/>
            <w:left w:w="108" w:type="dxa"/>
            <w:bottom w:w="0" w:type="dxa"/>
            <w:right w:w="108" w:type="dxa"/>
          </w:tblCellMar>
        </w:tblPrEx>
        <w:trPr>
          <w:trHeight w:val="270" w:hRule="atLeast"/>
        </w:trPr>
        <w:tc>
          <w:tcPr>
            <w:tcW w:w="310" w:type="pct"/>
            <w:vMerge w:val="continue"/>
            <w:tcBorders>
              <w:top w:val="nil"/>
              <w:left w:val="single" w:color="auto" w:sz="4" w:space="0"/>
              <w:bottom w:val="single" w:color="000000" w:sz="4" w:space="0"/>
              <w:right w:val="single" w:color="auto" w:sz="4" w:space="0"/>
            </w:tcBorders>
            <w:vAlign w:val="center"/>
          </w:tcPr>
          <w:p w14:paraId="6539BEBB">
            <w:pPr>
              <w:widowControl/>
              <w:jc w:val="left"/>
              <w:rPr>
                <w:rFonts w:ascii="宋体" w:hAnsi="宋体" w:cs="宋体"/>
                <w:b/>
                <w:bCs/>
                <w:kern w:val="0"/>
                <w:sz w:val="22"/>
                <w:szCs w:val="22"/>
              </w:rPr>
            </w:pPr>
          </w:p>
        </w:tc>
        <w:tc>
          <w:tcPr>
            <w:tcW w:w="1293" w:type="pct"/>
            <w:tcBorders>
              <w:top w:val="single" w:color="auto" w:sz="4" w:space="0"/>
              <w:left w:val="nil"/>
              <w:bottom w:val="single" w:color="auto" w:sz="4" w:space="0"/>
              <w:right w:val="single" w:color="auto" w:sz="4" w:space="0"/>
            </w:tcBorders>
            <w:shd w:val="clear" w:color="auto" w:fill="auto"/>
            <w:vAlign w:val="center"/>
          </w:tcPr>
          <w:p w14:paraId="73570371">
            <w:pPr>
              <w:widowControl/>
              <w:jc w:val="center"/>
              <w:rPr>
                <w:rFonts w:hint="eastAsia" w:ascii="宋体" w:hAnsi="宋体" w:cs="宋体"/>
                <w:kern w:val="0"/>
                <w:sz w:val="22"/>
                <w:szCs w:val="22"/>
              </w:rPr>
            </w:pPr>
            <w:r>
              <w:rPr>
                <w:rFonts w:hint="eastAsia" w:ascii="宋体" w:hAnsi="宋体" w:cs="宋体"/>
                <w:kern w:val="0"/>
                <w:sz w:val="22"/>
                <w:szCs w:val="22"/>
              </w:rPr>
              <w:t>感染性疾病常规筛查</w:t>
            </w:r>
          </w:p>
        </w:tc>
        <w:tc>
          <w:tcPr>
            <w:tcW w:w="2173" w:type="pct"/>
            <w:tcBorders>
              <w:top w:val="nil"/>
              <w:left w:val="nil"/>
              <w:bottom w:val="single" w:color="auto" w:sz="4" w:space="0"/>
              <w:right w:val="single" w:color="auto" w:sz="4" w:space="0"/>
            </w:tcBorders>
            <w:shd w:val="clear" w:color="auto" w:fill="auto"/>
            <w:vAlign w:val="center"/>
          </w:tcPr>
          <w:p w14:paraId="6C2BFB63">
            <w:pPr>
              <w:widowControl/>
              <w:jc w:val="left"/>
              <w:rPr>
                <w:rFonts w:hint="eastAsia" w:ascii="宋体" w:hAnsi="宋体" w:cs="宋体"/>
                <w:kern w:val="0"/>
                <w:sz w:val="22"/>
                <w:szCs w:val="22"/>
              </w:rPr>
            </w:pPr>
            <w:r>
              <w:rPr>
                <w:rFonts w:hint="eastAsia" w:ascii="宋体" w:hAnsi="宋体" w:cs="宋体"/>
                <w:kern w:val="0"/>
                <w:sz w:val="22"/>
                <w:szCs w:val="22"/>
              </w:rPr>
              <w:t>了解乙肝、丙肝、梅毒及艾滋感染情况</w:t>
            </w:r>
          </w:p>
        </w:tc>
        <w:tc>
          <w:tcPr>
            <w:tcW w:w="610" w:type="pct"/>
            <w:tcBorders>
              <w:top w:val="nil"/>
              <w:left w:val="nil"/>
              <w:bottom w:val="single" w:color="auto" w:sz="4" w:space="0"/>
              <w:right w:val="single" w:color="auto" w:sz="4" w:space="0"/>
            </w:tcBorders>
            <w:shd w:val="clear" w:color="auto" w:fill="auto"/>
            <w:vAlign w:val="center"/>
          </w:tcPr>
          <w:p w14:paraId="6E57F02F">
            <w:pPr>
              <w:widowControl/>
              <w:jc w:val="center"/>
              <w:rPr>
                <w:rFonts w:hint="eastAsia" w:ascii="宋体" w:hAnsi="宋体" w:cs="宋体"/>
                <w:kern w:val="0"/>
                <w:sz w:val="22"/>
                <w:szCs w:val="22"/>
              </w:rPr>
            </w:pPr>
            <w:r>
              <w:rPr>
                <w:rFonts w:hint="eastAsia" w:ascii="宋体" w:hAnsi="宋体" w:cs="宋体"/>
                <w:kern w:val="0"/>
                <w:sz w:val="22"/>
                <w:szCs w:val="22"/>
              </w:rPr>
              <w:t>　</w:t>
            </w:r>
          </w:p>
        </w:tc>
        <w:tc>
          <w:tcPr>
            <w:tcW w:w="611" w:type="pct"/>
            <w:tcBorders>
              <w:top w:val="nil"/>
              <w:left w:val="nil"/>
              <w:bottom w:val="single" w:color="auto" w:sz="4" w:space="0"/>
              <w:right w:val="single" w:color="auto" w:sz="4" w:space="0"/>
            </w:tcBorders>
            <w:shd w:val="clear" w:color="auto" w:fill="auto"/>
            <w:noWrap/>
            <w:vAlign w:val="center"/>
          </w:tcPr>
          <w:p w14:paraId="3EA63894">
            <w:pPr>
              <w:widowControl/>
              <w:jc w:val="center"/>
              <w:rPr>
                <w:rFonts w:hint="eastAsia" w:ascii="宋体" w:hAnsi="宋体" w:cs="宋体"/>
                <w:kern w:val="0"/>
                <w:sz w:val="22"/>
                <w:szCs w:val="22"/>
              </w:rPr>
            </w:pPr>
            <w:r>
              <w:rPr>
                <w:rFonts w:hint="eastAsia" w:ascii="宋体" w:hAnsi="宋体" w:cs="宋体"/>
                <w:kern w:val="0"/>
                <w:sz w:val="22"/>
                <w:szCs w:val="22"/>
              </w:rPr>
              <w:t>　</w:t>
            </w:r>
          </w:p>
        </w:tc>
      </w:tr>
      <w:tr w14:paraId="39414206">
        <w:tblPrEx>
          <w:tblCellMar>
            <w:top w:w="0" w:type="dxa"/>
            <w:left w:w="108" w:type="dxa"/>
            <w:bottom w:w="0" w:type="dxa"/>
            <w:right w:w="108" w:type="dxa"/>
          </w:tblCellMar>
        </w:tblPrEx>
        <w:trPr>
          <w:trHeight w:val="540" w:hRule="atLeast"/>
        </w:trPr>
        <w:tc>
          <w:tcPr>
            <w:tcW w:w="310" w:type="pct"/>
            <w:vMerge w:val="continue"/>
            <w:tcBorders>
              <w:top w:val="nil"/>
              <w:left w:val="single" w:color="auto" w:sz="4" w:space="0"/>
              <w:bottom w:val="single" w:color="000000" w:sz="4" w:space="0"/>
              <w:right w:val="single" w:color="auto" w:sz="4" w:space="0"/>
            </w:tcBorders>
            <w:vAlign w:val="center"/>
          </w:tcPr>
          <w:p w14:paraId="5B317E6D">
            <w:pPr>
              <w:widowControl/>
              <w:jc w:val="left"/>
              <w:rPr>
                <w:rFonts w:ascii="宋体" w:hAnsi="宋体" w:cs="宋体"/>
                <w:b/>
                <w:bCs/>
                <w:kern w:val="0"/>
                <w:sz w:val="22"/>
                <w:szCs w:val="22"/>
              </w:rPr>
            </w:pPr>
          </w:p>
        </w:tc>
        <w:tc>
          <w:tcPr>
            <w:tcW w:w="1293" w:type="pct"/>
            <w:tcBorders>
              <w:top w:val="single" w:color="auto" w:sz="4" w:space="0"/>
              <w:left w:val="nil"/>
              <w:bottom w:val="single" w:color="auto" w:sz="4" w:space="0"/>
              <w:right w:val="single" w:color="000000" w:sz="4" w:space="0"/>
            </w:tcBorders>
            <w:shd w:val="clear" w:color="auto" w:fill="auto"/>
            <w:vAlign w:val="center"/>
          </w:tcPr>
          <w:p w14:paraId="14CBFE95">
            <w:pPr>
              <w:widowControl/>
              <w:jc w:val="center"/>
              <w:rPr>
                <w:rFonts w:hint="eastAsia" w:ascii="宋体" w:hAnsi="宋体" w:cs="宋体"/>
                <w:kern w:val="0"/>
                <w:sz w:val="22"/>
                <w:szCs w:val="22"/>
              </w:rPr>
            </w:pPr>
            <w:r>
              <w:rPr>
                <w:rFonts w:hint="eastAsia" w:ascii="宋体" w:hAnsi="宋体" w:cs="宋体"/>
                <w:kern w:val="0"/>
                <w:sz w:val="22"/>
                <w:szCs w:val="22"/>
              </w:rPr>
              <w:t>凝血功能筛查</w:t>
            </w:r>
          </w:p>
        </w:tc>
        <w:tc>
          <w:tcPr>
            <w:tcW w:w="2173" w:type="pct"/>
            <w:tcBorders>
              <w:top w:val="nil"/>
              <w:left w:val="nil"/>
              <w:bottom w:val="single" w:color="auto" w:sz="4" w:space="0"/>
              <w:right w:val="single" w:color="auto" w:sz="4" w:space="0"/>
            </w:tcBorders>
            <w:shd w:val="clear" w:color="auto" w:fill="auto"/>
            <w:vAlign w:val="center"/>
          </w:tcPr>
          <w:p w14:paraId="70F24B94">
            <w:pPr>
              <w:widowControl/>
              <w:jc w:val="left"/>
              <w:rPr>
                <w:rFonts w:hint="eastAsia" w:ascii="宋体" w:hAnsi="宋体" w:cs="宋体"/>
                <w:kern w:val="0"/>
                <w:sz w:val="22"/>
                <w:szCs w:val="22"/>
              </w:rPr>
            </w:pPr>
            <w:r>
              <w:rPr>
                <w:rFonts w:hint="eastAsia" w:ascii="宋体" w:hAnsi="宋体" w:cs="宋体"/>
                <w:kern w:val="0"/>
                <w:sz w:val="22"/>
                <w:szCs w:val="22"/>
              </w:rPr>
              <w:t>了解机体凝血功能情况，是凝血系统的筛选试验</w:t>
            </w:r>
          </w:p>
        </w:tc>
        <w:tc>
          <w:tcPr>
            <w:tcW w:w="610" w:type="pct"/>
            <w:tcBorders>
              <w:top w:val="nil"/>
              <w:left w:val="nil"/>
              <w:bottom w:val="single" w:color="auto" w:sz="4" w:space="0"/>
              <w:right w:val="single" w:color="auto" w:sz="4" w:space="0"/>
            </w:tcBorders>
            <w:shd w:val="clear" w:color="auto" w:fill="auto"/>
            <w:vAlign w:val="center"/>
          </w:tcPr>
          <w:p w14:paraId="1A4A687A">
            <w:pPr>
              <w:widowControl/>
              <w:jc w:val="center"/>
              <w:rPr>
                <w:rFonts w:hint="eastAsia" w:ascii="宋体" w:hAnsi="宋体" w:cs="宋体"/>
                <w:kern w:val="0"/>
                <w:sz w:val="22"/>
                <w:szCs w:val="22"/>
              </w:rPr>
            </w:pPr>
            <w:r>
              <w:rPr>
                <w:rFonts w:hint="eastAsia" w:ascii="宋体" w:hAnsi="宋体" w:cs="宋体"/>
                <w:kern w:val="0"/>
                <w:sz w:val="22"/>
                <w:szCs w:val="22"/>
              </w:rPr>
              <w:t>　</w:t>
            </w:r>
          </w:p>
        </w:tc>
        <w:tc>
          <w:tcPr>
            <w:tcW w:w="611" w:type="pct"/>
            <w:tcBorders>
              <w:top w:val="nil"/>
              <w:left w:val="nil"/>
              <w:bottom w:val="single" w:color="auto" w:sz="4" w:space="0"/>
              <w:right w:val="single" w:color="auto" w:sz="4" w:space="0"/>
            </w:tcBorders>
            <w:shd w:val="clear" w:color="auto" w:fill="auto"/>
            <w:noWrap/>
            <w:vAlign w:val="center"/>
          </w:tcPr>
          <w:p w14:paraId="3396BF9A">
            <w:pPr>
              <w:widowControl/>
              <w:jc w:val="center"/>
              <w:rPr>
                <w:rFonts w:hint="eastAsia" w:ascii="宋体" w:hAnsi="宋体" w:cs="宋体"/>
                <w:kern w:val="0"/>
                <w:sz w:val="22"/>
                <w:szCs w:val="22"/>
              </w:rPr>
            </w:pPr>
            <w:r>
              <w:rPr>
                <w:rFonts w:hint="eastAsia" w:ascii="宋体" w:hAnsi="宋体" w:cs="宋体"/>
                <w:kern w:val="0"/>
                <w:sz w:val="22"/>
                <w:szCs w:val="22"/>
              </w:rPr>
              <w:t>　</w:t>
            </w:r>
          </w:p>
        </w:tc>
      </w:tr>
      <w:tr w14:paraId="42521D30">
        <w:tblPrEx>
          <w:tblCellMar>
            <w:top w:w="0" w:type="dxa"/>
            <w:left w:w="108" w:type="dxa"/>
            <w:bottom w:w="0" w:type="dxa"/>
            <w:right w:w="108" w:type="dxa"/>
          </w:tblCellMar>
        </w:tblPrEx>
        <w:trPr>
          <w:trHeight w:val="270" w:hRule="atLeast"/>
        </w:trPr>
        <w:tc>
          <w:tcPr>
            <w:tcW w:w="310" w:type="pct"/>
            <w:vMerge w:val="continue"/>
            <w:tcBorders>
              <w:top w:val="nil"/>
              <w:left w:val="single" w:color="auto" w:sz="4" w:space="0"/>
              <w:bottom w:val="single" w:color="000000" w:sz="4" w:space="0"/>
              <w:right w:val="single" w:color="auto" w:sz="4" w:space="0"/>
            </w:tcBorders>
            <w:vAlign w:val="center"/>
          </w:tcPr>
          <w:p w14:paraId="178EBA2C">
            <w:pPr>
              <w:widowControl/>
              <w:jc w:val="left"/>
              <w:rPr>
                <w:rFonts w:ascii="宋体" w:hAnsi="宋体" w:cs="宋体"/>
                <w:b/>
                <w:bCs/>
                <w:kern w:val="0"/>
                <w:sz w:val="22"/>
                <w:szCs w:val="22"/>
              </w:rPr>
            </w:pPr>
          </w:p>
        </w:tc>
        <w:tc>
          <w:tcPr>
            <w:tcW w:w="1293" w:type="pct"/>
            <w:tcBorders>
              <w:top w:val="single" w:color="auto" w:sz="4" w:space="0"/>
              <w:left w:val="nil"/>
              <w:bottom w:val="single" w:color="auto" w:sz="4" w:space="0"/>
              <w:right w:val="single" w:color="auto" w:sz="4" w:space="0"/>
            </w:tcBorders>
            <w:shd w:val="clear" w:color="auto" w:fill="auto"/>
            <w:vAlign w:val="center"/>
          </w:tcPr>
          <w:p w14:paraId="5988E33A">
            <w:pPr>
              <w:widowControl/>
              <w:jc w:val="center"/>
              <w:rPr>
                <w:rFonts w:hint="eastAsia" w:ascii="宋体" w:hAnsi="宋体" w:cs="宋体"/>
                <w:kern w:val="0"/>
                <w:sz w:val="22"/>
                <w:szCs w:val="22"/>
              </w:rPr>
            </w:pPr>
            <w:r>
              <w:rPr>
                <w:rFonts w:hint="eastAsia" w:ascii="宋体" w:hAnsi="宋体" w:cs="宋体"/>
                <w:kern w:val="0"/>
                <w:sz w:val="22"/>
                <w:szCs w:val="22"/>
              </w:rPr>
              <w:t>尿液分析</w:t>
            </w:r>
          </w:p>
        </w:tc>
        <w:tc>
          <w:tcPr>
            <w:tcW w:w="2173" w:type="pct"/>
            <w:vMerge w:val="restart"/>
            <w:tcBorders>
              <w:top w:val="nil"/>
              <w:left w:val="single" w:color="auto" w:sz="4" w:space="0"/>
              <w:bottom w:val="nil"/>
              <w:right w:val="single" w:color="auto" w:sz="4" w:space="0"/>
            </w:tcBorders>
            <w:shd w:val="clear" w:color="auto" w:fill="auto"/>
            <w:vAlign w:val="center"/>
          </w:tcPr>
          <w:p w14:paraId="73821F94">
            <w:pPr>
              <w:widowControl/>
              <w:jc w:val="left"/>
              <w:rPr>
                <w:rFonts w:hint="eastAsia" w:ascii="宋体" w:hAnsi="宋体" w:cs="宋体"/>
                <w:kern w:val="0"/>
                <w:sz w:val="22"/>
                <w:szCs w:val="22"/>
              </w:rPr>
            </w:pPr>
            <w:r>
              <w:rPr>
                <w:rFonts w:hint="eastAsia" w:ascii="宋体" w:hAnsi="宋体" w:cs="宋体"/>
                <w:kern w:val="0"/>
                <w:sz w:val="22"/>
                <w:szCs w:val="22"/>
              </w:rPr>
              <w:t>主要包括尿液中尿蛋白、红细胞、白细胞、管型、细菌等项目的检测，有助于糖尿病、尿路感染、肾盂肾炎、肾小球肾炎、肾病等疾病诊断。</w:t>
            </w:r>
          </w:p>
        </w:tc>
        <w:tc>
          <w:tcPr>
            <w:tcW w:w="610" w:type="pct"/>
            <w:vMerge w:val="restart"/>
            <w:tcBorders>
              <w:top w:val="nil"/>
              <w:left w:val="single" w:color="auto" w:sz="4" w:space="0"/>
              <w:bottom w:val="single" w:color="000000" w:sz="4" w:space="0"/>
              <w:right w:val="single" w:color="auto" w:sz="4" w:space="0"/>
            </w:tcBorders>
            <w:shd w:val="clear" w:color="auto" w:fill="auto"/>
            <w:vAlign w:val="center"/>
          </w:tcPr>
          <w:p w14:paraId="6202661A">
            <w:pPr>
              <w:widowControl/>
              <w:jc w:val="center"/>
              <w:rPr>
                <w:rFonts w:hint="eastAsia" w:ascii="宋体" w:hAnsi="宋体" w:cs="宋体"/>
                <w:kern w:val="0"/>
                <w:sz w:val="22"/>
                <w:szCs w:val="22"/>
              </w:rPr>
            </w:pPr>
            <w:r>
              <w:rPr>
                <w:rFonts w:hint="eastAsia" w:ascii="宋体" w:hAnsi="宋体" w:cs="宋体"/>
                <w:kern w:val="0"/>
                <w:sz w:val="22"/>
                <w:szCs w:val="22"/>
              </w:rPr>
              <w:t>　</w:t>
            </w:r>
          </w:p>
        </w:tc>
        <w:tc>
          <w:tcPr>
            <w:tcW w:w="611" w:type="pct"/>
            <w:vMerge w:val="restart"/>
            <w:tcBorders>
              <w:top w:val="nil"/>
              <w:left w:val="single" w:color="auto" w:sz="4" w:space="0"/>
              <w:bottom w:val="single" w:color="000000" w:sz="4" w:space="0"/>
              <w:right w:val="single" w:color="auto" w:sz="4" w:space="0"/>
            </w:tcBorders>
            <w:shd w:val="clear" w:color="auto" w:fill="auto"/>
            <w:vAlign w:val="center"/>
          </w:tcPr>
          <w:p w14:paraId="1113DEAC">
            <w:pPr>
              <w:widowControl/>
              <w:jc w:val="center"/>
              <w:rPr>
                <w:rFonts w:hint="eastAsia" w:ascii="宋体" w:hAnsi="宋体" w:cs="宋体"/>
                <w:kern w:val="0"/>
                <w:sz w:val="22"/>
                <w:szCs w:val="22"/>
              </w:rPr>
            </w:pPr>
            <w:r>
              <w:rPr>
                <w:rFonts w:hint="eastAsia" w:ascii="宋体" w:hAnsi="宋体" w:cs="宋体"/>
                <w:kern w:val="0"/>
                <w:sz w:val="22"/>
                <w:szCs w:val="22"/>
              </w:rPr>
              <w:t>　</w:t>
            </w:r>
          </w:p>
        </w:tc>
      </w:tr>
      <w:tr w14:paraId="389E418E">
        <w:tblPrEx>
          <w:tblCellMar>
            <w:top w:w="0" w:type="dxa"/>
            <w:left w:w="108" w:type="dxa"/>
            <w:bottom w:w="0" w:type="dxa"/>
            <w:right w:w="108" w:type="dxa"/>
          </w:tblCellMar>
        </w:tblPrEx>
        <w:trPr>
          <w:trHeight w:val="270" w:hRule="atLeast"/>
        </w:trPr>
        <w:tc>
          <w:tcPr>
            <w:tcW w:w="310" w:type="pct"/>
            <w:vMerge w:val="continue"/>
            <w:tcBorders>
              <w:top w:val="nil"/>
              <w:left w:val="single" w:color="auto" w:sz="4" w:space="0"/>
              <w:bottom w:val="single" w:color="000000" w:sz="4" w:space="0"/>
              <w:right w:val="single" w:color="auto" w:sz="4" w:space="0"/>
            </w:tcBorders>
            <w:vAlign w:val="center"/>
          </w:tcPr>
          <w:p w14:paraId="633696D2">
            <w:pPr>
              <w:widowControl/>
              <w:jc w:val="left"/>
              <w:rPr>
                <w:rFonts w:ascii="宋体" w:hAnsi="宋体" w:cs="宋体"/>
                <w:b/>
                <w:bCs/>
                <w:kern w:val="0"/>
                <w:sz w:val="22"/>
                <w:szCs w:val="22"/>
              </w:rPr>
            </w:pPr>
          </w:p>
        </w:tc>
        <w:tc>
          <w:tcPr>
            <w:tcW w:w="1293" w:type="pct"/>
            <w:tcBorders>
              <w:top w:val="single" w:color="auto" w:sz="4" w:space="0"/>
              <w:left w:val="nil"/>
              <w:bottom w:val="single" w:color="auto" w:sz="4" w:space="0"/>
              <w:right w:val="single" w:color="auto" w:sz="4" w:space="0"/>
            </w:tcBorders>
            <w:shd w:val="clear" w:color="auto" w:fill="auto"/>
            <w:vAlign w:val="center"/>
          </w:tcPr>
          <w:p w14:paraId="4044F511">
            <w:pPr>
              <w:widowControl/>
              <w:jc w:val="center"/>
              <w:rPr>
                <w:rFonts w:hint="eastAsia" w:ascii="宋体" w:hAnsi="宋体" w:cs="宋体"/>
                <w:kern w:val="0"/>
                <w:sz w:val="22"/>
                <w:szCs w:val="22"/>
              </w:rPr>
            </w:pPr>
            <w:r>
              <w:rPr>
                <w:rFonts w:hint="eastAsia" w:ascii="宋体" w:hAnsi="宋体" w:cs="宋体"/>
                <w:kern w:val="0"/>
                <w:sz w:val="22"/>
                <w:szCs w:val="22"/>
              </w:rPr>
              <w:t>尿沉渣定量</w:t>
            </w:r>
          </w:p>
        </w:tc>
        <w:tc>
          <w:tcPr>
            <w:tcW w:w="2173" w:type="pct"/>
            <w:vMerge w:val="continue"/>
            <w:tcBorders>
              <w:top w:val="nil"/>
              <w:left w:val="single" w:color="auto" w:sz="4" w:space="0"/>
              <w:bottom w:val="nil"/>
              <w:right w:val="single" w:color="auto" w:sz="4" w:space="0"/>
            </w:tcBorders>
            <w:vAlign w:val="center"/>
          </w:tcPr>
          <w:p w14:paraId="307A73E7">
            <w:pPr>
              <w:widowControl/>
              <w:jc w:val="left"/>
              <w:rPr>
                <w:rFonts w:ascii="宋体" w:hAnsi="宋体" w:cs="宋体"/>
                <w:kern w:val="0"/>
                <w:sz w:val="22"/>
                <w:szCs w:val="22"/>
              </w:rPr>
            </w:pPr>
          </w:p>
        </w:tc>
        <w:tc>
          <w:tcPr>
            <w:tcW w:w="610" w:type="pct"/>
            <w:vMerge w:val="continue"/>
            <w:tcBorders>
              <w:top w:val="nil"/>
              <w:left w:val="single" w:color="auto" w:sz="4" w:space="0"/>
              <w:bottom w:val="single" w:color="000000" w:sz="4" w:space="0"/>
              <w:right w:val="single" w:color="auto" w:sz="4" w:space="0"/>
            </w:tcBorders>
            <w:vAlign w:val="center"/>
          </w:tcPr>
          <w:p w14:paraId="64BD3FE1">
            <w:pPr>
              <w:widowControl/>
              <w:jc w:val="left"/>
              <w:rPr>
                <w:rFonts w:ascii="宋体" w:hAnsi="宋体" w:cs="宋体"/>
                <w:kern w:val="0"/>
                <w:sz w:val="22"/>
                <w:szCs w:val="22"/>
              </w:rPr>
            </w:pPr>
          </w:p>
        </w:tc>
        <w:tc>
          <w:tcPr>
            <w:tcW w:w="611" w:type="pct"/>
            <w:vMerge w:val="continue"/>
            <w:tcBorders>
              <w:top w:val="nil"/>
              <w:left w:val="single" w:color="auto" w:sz="4" w:space="0"/>
              <w:bottom w:val="single" w:color="000000" w:sz="4" w:space="0"/>
              <w:right w:val="single" w:color="auto" w:sz="4" w:space="0"/>
            </w:tcBorders>
            <w:vAlign w:val="center"/>
          </w:tcPr>
          <w:p w14:paraId="4B488835">
            <w:pPr>
              <w:widowControl/>
              <w:jc w:val="left"/>
              <w:rPr>
                <w:rFonts w:ascii="宋体" w:hAnsi="宋体" w:cs="宋体"/>
                <w:kern w:val="0"/>
                <w:sz w:val="22"/>
                <w:szCs w:val="22"/>
              </w:rPr>
            </w:pPr>
          </w:p>
        </w:tc>
      </w:tr>
      <w:tr w14:paraId="32E66367">
        <w:tblPrEx>
          <w:tblCellMar>
            <w:top w:w="0" w:type="dxa"/>
            <w:left w:w="108" w:type="dxa"/>
            <w:bottom w:w="0" w:type="dxa"/>
            <w:right w:w="108" w:type="dxa"/>
          </w:tblCellMar>
        </w:tblPrEx>
        <w:trPr>
          <w:trHeight w:val="540" w:hRule="atLeast"/>
        </w:trPr>
        <w:tc>
          <w:tcPr>
            <w:tcW w:w="310" w:type="pct"/>
            <w:vMerge w:val="continue"/>
            <w:tcBorders>
              <w:top w:val="nil"/>
              <w:left w:val="single" w:color="auto" w:sz="4" w:space="0"/>
              <w:bottom w:val="single" w:color="000000" w:sz="4" w:space="0"/>
              <w:right w:val="single" w:color="auto" w:sz="4" w:space="0"/>
            </w:tcBorders>
            <w:vAlign w:val="center"/>
          </w:tcPr>
          <w:p w14:paraId="2A45B86F">
            <w:pPr>
              <w:widowControl/>
              <w:jc w:val="left"/>
              <w:rPr>
                <w:rFonts w:ascii="宋体" w:hAnsi="宋体" w:cs="宋体"/>
                <w:b/>
                <w:bCs/>
                <w:kern w:val="0"/>
                <w:sz w:val="22"/>
                <w:szCs w:val="22"/>
              </w:rPr>
            </w:pPr>
          </w:p>
        </w:tc>
        <w:tc>
          <w:tcPr>
            <w:tcW w:w="1293" w:type="pct"/>
            <w:tcBorders>
              <w:top w:val="single" w:color="auto" w:sz="4" w:space="0"/>
              <w:left w:val="nil"/>
              <w:bottom w:val="single" w:color="auto" w:sz="4" w:space="0"/>
              <w:right w:val="single" w:color="000000" w:sz="4" w:space="0"/>
            </w:tcBorders>
            <w:shd w:val="clear" w:color="auto" w:fill="auto"/>
            <w:vAlign w:val="center"/>
          </w:tcPr>
          <w:p w14:paraId="4FC1379D">
            <w:pPr>
              <w:widowControl/>
              <w:jc w:val="center"/>
              <w:rPr>
                <w:rFonts w:hint="eastAsia" w:ascii="宋体" w:hAnsi="宋体" w:cs="宋体"/>
                <w:kern w:val="0"/>
                <w:sz w:val="22"/>
                <w:szCs w:val="22"/>
              </w:rPr>
            </w:pPr>
            <w:r>
              <w:rPr>
                <w:rFonts w:hint="eastAsia" w:ascii="宋体" w:hAnsi="宋体" w:cs="宋体"/>
                <w:kern w:val="0"/>
                <w:sz w:val="22"/>
                <w:szCs w:val="22"/>
              </w:rPr>
              <w:t>甲胎蛋白异质体AFP</w:t>
            </w:r>
          </w:p>
        </w:tc>
        <w:tc>
          <w:tcPr>
            <w:tcW w:w="2173" w:type="pct"/>
            <w:tcBorders>
              <w:top w:val="single" w:color="auto" w:sz="4" w:space="0"/>
              <w:left w:val="nil"/>
              <w:bottom w:val="single" w:color="auto" w:sz="4" w:space="0"/>
              <w:right w:val="single" w:color="auto" w:sz="4" w:space="0"/>
            </w:tcBorders>
            <w:shd w:val="clear" w:color="auto" w:fill="auto"/>
            <w:vAlign w:val="center"/>
          </w:tcPr>
          <w:p w14:paraId="427F7234">
            <w:pPr>
              <w:widowControl/>
              <w:jc w:val="left"/>
              <w:rPr>
                <w:rFonts w:hint="eastAsia" w:ascii="宋体" w:hAnsi="宋体" w:cs="宋体"/>
                <w:kern w:val="0"/>
                <w:sz w:val="22"/>
                <w:szCs w:val="22"/>
              </w:rPr>
            </w:pPr>
            <w:r>
              <w:rPr>
                <w:rFonts w:hint="eastAsia" w:ascii="宋体" w:hAnsi="宋体" w:cs="宋体"/>
                <w:kern w:val="0"/>
                <w:sz w:val="22"/>
                <w:szCs w:val="22"/>
              </w:rPr>
              <w:t>用于检测早期筛查原发性肝癌、鉴别良恶性肝病、肝脏肿瘤恶性程度血清指标</w:t>
            </w:r>
          </w:p>
        </w:tc>
        <w:tc>
          <w:tcPr>
            <w:tcW w:w="610" w:type="pct"/>
            <w:tcBorders>
              <w:top w:val="nil"/>
              <w:left w:val="nil"/>
              <w:bottom w:val="single" w:color="auto" w:sz="4" w:space="0"/>
              <w:right w:val="single" w:color="auto" w:sz="4" w:space="0"/>
            </w:tcBorders>
            <w:shd w:val="clear" w:color="auto" w:fill="auto"/>
            <w:vAlign w:val="center"/>
          </w:tcPr>
          <w:p w14:paraId="2E4D0B82">
            <w:pPr>
              <w:widowControl/>
              <w:jc w:val="center"/>
              <w:rPr>
                <w:rFonts w:hint="eastAsia" w:ascii="宋体" w:hAnsi="宋体" w:cs="宋体"/>
                <w:kern w:val="0"/>
                <w:sz w:val="22"/>
                <w:szCs w:val="22"/>
              </w:rPr>
            </w:pPr>
            <w:r>
              <w:rPr>
                <w:rFonts w:hint="eastAsia" w:ascii="宋体" w:hAnsi="宋体" w:cs="宋体"/>
                <w:kern w:val="0"/>
                <w:sz w:val="22"/>
                <w:szCs w:val="22"/>
              </w:rPr>
              <w:t>　</w:t>
            </w:r>
          </w:p>
        </w:tc>
        <w:tc>
          <w:tcPr>
            <w:tcW w:w="611" w:type="pct"/>
            <w:tcBorders>
              <w:top w:val="nil"/>
              <w:left w:val="nil"/>
              <w:bottom w:val="single" w:color="auto" w:sz="4" w:space="0"/>
              <w:right w:val="single" w:color="auto" w:sz="4" w:space="0"/>
            </w:tcBorders>
            <w:shd w:val="clear" w:color="auto" w:fill="auto"/>
            <w:vAlign w:val="center"/>
          </w:tcPr>
          <w:p w14:paraId="5CBF532A">
            <w:pPr>
              <w:widowControl/>
              <w:jc w:val="center"/>
              <w:rPr>
                <w:rFonts w:hint="eastAsia" w:ascii="宋体" w:hAnsi="宋体" w:cs="宋体"/>
                <w:kern w:val="0"/>
                <w:sz w:val="22"/>
                <w:szCs w:val="22"/>
              </w:rPr>
            </w:pPr>
            <w:r>
              <w:rPr>
                <w:rFonts w:hint="eastAsia" w:ascii="宋体" w:hAnsi="宋体" w:cs="宋体"/>
                <w:kern w:val="0"/>
                <w:sz w:val="22"/>
                <w:szCs w:val="22"/>
              </w:rPr>
              <w:t>　</w:t>
            </w:r>
          </w:p>
        </w:tc>
      </w:tr>
      <w:tr w14:paraId="3D5736B9">
        <w:tblPrEx>
          <w:tblCellMar>
            <w:top w:w="0" w:type="dxa"/>
            <w:left w:w="108" w:type="dxa"/>
            <w:bottom w:w="0" w:type="dxa"/>
            <w:right w:w="108" w:type="dxa"/>
          </w:tblCellMar>
        </w:tblPrEx>
        <w:trPr>
          <w:trHeight w:val="810" w:hRule="atLeast"/>
        </w:trPr>
        <w:tc>
          <w:tcPr>
            <w:tcW w:w="310" w:type="pct"/>
            <w:vMerge w:val="continue"/>
            <w:tcBorders>
              <w:top w:val="nil"/>
              <w:left w:val="single" w:color="auto" w:sz="4" w:space="0"/>
              <w:bottom w:val="single" w:color="000000" w:sz="4" w:space="0"/>
              <w:right w:val="single" w:color="auto" w:sz="4" w:space="0"/>
            </w:tcBorders>
            <w:vAlign w:val="center"/>
          </w:tcPr>
          <w:p w14:paraId="4B802488">
            <w:pPr>
              <w:widowControl/>
              <w:jc w:val="left"/>
              <w:rPr>
                <w:rFonts w:ascii="宋体" w:hAnsi="宋体" w:cs="宋体"/>
                <w:b/>
                <w:bCs/>
                <w:kern w:val="0"/>
                <w:sz w:val="22"/>
                <w:szCs w:val="22"/>
              </w:rPr>
            </w:pPr>
          </w:p>
        </w:tc>
        <w:tc>
          <w:tcPr>
            <w:tcW w:w="1293" w:type="pct"/>
            <w:tcBorders>
              <w:top w:val="single" w:color="auto" w:sz="4" w:space="0"/>
              <w:left w:val="nil"/>
              <w:bottom w:val="single" w:color="auto" w:sz="4" w:space="0"/>
              <w:right w:val="single" w:color="auto" w:sz="4" w:space="0"/>
            </w:tcBorders>
            <w:shd w:val="clear" w:color="auto" w:fill="auto"/>
            <w:vAlign w:val="center"/>
          </w:tcPr>
          <w:p w14:paraId="0E066581">
            <w:pPr>
              <w:widowControl/>
              <w:jc w:val="center"/>
              <w:rPr>
                <w:rFonts w:hint="eastAsia" w:ascii="宋体" w:hAnsi="宋体" w:cs="宋体"/>
                <w:kern w:val="0"/>
                <w:sz w:val="22"/>
                <w:szCs w:val="22"/>
              </w:rPr>
            </w:pPr>
            <w:r>
              <w:rPr>
                <w:rFonts w:hint="eastAsia" w:ascii="宋体" w:hAnsi="宋体" w:cs="宋体"/>
                <w:kern w:val="0"/>
                <w:sz w:val="22"/>
                <w:szCs w:val="22"/>
              </w:rPr>
              <w:t>癌胚抗原CEA</w:t>
            </w:r>
          </w:p>
        </w:tc>
        <w:tc>
          <w:tcPr>
            <w:tcW w:w="2173" w:type="pct"/>
            <w:tcBorders>
              <w:top w:val="nil"/>
              <w:left w:val="nil"/>
              <w:bottom w:val="single" w:color="auto" w:sz="4" w:space="0"/>
              <w:right w:val="single" w:color="auto" w:sz="4" w:space="0"/>
            </w:tcBorders>
            <w:shd w:val="clear" w:color="auto" w:fill="auto"/>
            <w:vAlign w:val="center"/>
          </w:tcPr>
          <w:p w14:paraId="2670AF27">
            <w:pPr>
              <w:widowControl/>
              <w:jc w:val="left"/>
              <w:rPr>
                <w:rFonts w:hint="eastAsia" w:ascii="宋体" w:hAnsi="宋体" w:cs="宋体"/>
                <w:kern w:val="0"/>
                <w:sz w:val="22"/>
                <w:szCs w:val="22"/>
              </w:rPr>
            </w:pPr>
            <w:r>
              <w:rPr>
                <w:rFonts w:hint="eastAsia" w:ascii="宋体" w:hAnsi="宋体" w:cs="宋体"/>
                <w:kern w:val="0"/>
                <w:sz w:val="22"/>
                <w:szCs w:val="22"/>
              </w:rPr>
              <w:t>系广谱性肿瘤标志物，对大肠癌、胰腺癌的筛查、疗效观察和预后评估有重要的临床意义。在胃、乳腺、肺癌等也可升高。</w:t>
            </w:r>
          </w:p>
        </w:tc>
        <w:tc>
          <w:tcPr>
            <w:tcW w:w="610" w:type="pct"/>
            <w:tcBorders>
              <w:top w:val="nil"/>
              <w:left w:val="nil"/>
              <w:bottom w:val="single" w:color="auto" w:sz="4" w:space="0"/>
              <w:right w:val="single" w:color="auto" w:sz="4" w:space="0"/>
            </w:tcBorders>
            <w:shd w:val="clear" w:color="auto" w:fill="auto"/>
            <w:vAlign w:val="center"/>
          </w:tcPr>
          <w:p w14:paraId="4BFC21DD">
            <w:pPr>
              <w:widowControl/>
              <w:jc w:val="center"/>
              <w:rPr>
                <w:rFonts w:hint="eastAsia" w:ascii="宋体" w:hAnsi="宋体" w:cs="宋体"/>
                <w:kern w:val="0"/>
                <w:sz w:val="22"/>
                <w:szCs w:val="22"/>
              </w:rPr>
            </w:pPr>
            <w:r>
              <w:rPr>
                <w:rFonts w:hint="eastAsia" w:ascii="宋体" w:hAnsi="宋体" w:cs="宋体"/>
                <w:kern w:val="0"/>
                <w:sz w:val="22"/>
                <w:szCs w:val="22"/>
              </w:rPr>
              <w:t>　</w:t>
            </w:r>
          </w:p>
        </w:tc>
        <w:tc>
          <w:tcPr>
            <w:tcW w:w="611" w:type="pct"/>
            <w:tcBorders>
              <w:top w:val="nil"/>
              <w:left w:val="nil"/>
              <w:bottom w:val="single" w:color="auto" w:sz="4" w:space="0"/>
              <w:right w:val="single" w:color="auto" w:sz="4" w:space="0"/>
            </w:tcBorders>
            <w:shd w:val="clear" w:color="auto" w:fill="auto"/>
            <w:vAlign w:val="center"/>
          </w:tcPr>
          <w:p w14:paraId="22AC0C0E">
            <w:pPr>
              <w:widowControl/>
              <w:jc w:val="center"/>
              <w:rPr>
                <w:rFonts w:hint="eastAsia" w:ascii="宋体" w:hAnsi="宋体" w:cs="宋体"/>
                <w:kern w:val="0"/>
                <w:sz w:val="22"/>
                <w:szCs w:val="22"/>
              </w:rPr>
            </w:pPr>
            <w:r>
              <w:rPr>
                <w:rFonts w:hint="eastAsia" w:ascii="宋体" w:hAnsi="宋体" w:cs="宋体"/>
                <w:kern w:val="0"/>
                <w:sz w:val="22"/>
                <w:szCs w:val="22"/>
              </w:rPr>
              <w:t>　</w:t>
            </w:r>
          </w:p>
        </w:tc>
      </w:tr>
      <w:tr w14:paraId="2B6CDB81">
        <w:tblPrEx>
          <w:tblCellMar>
            <w:top w:w="0" w:type="dxa"/>
            <w:left w:w="108" w:type="dxa"/>
            <w:bottom w:w="0" w:type="dxa"/>
            <w:right w:w="108" w:type="dxa"/>
          </w:tblCellMar>
        </w:tblPrEx>
        <w:trPr>
          <w:trHeight w:val="270" w:hRule="atLeast"/>
        </w:trPr>
        <w:tc>
          <w:tcPr>
            <w:tcW w:w="310" w:type="pct"/>
            <w:vMerge w:val="restart"/>
            <w:tcBorders>
              <w:top w:val="nil"/>
              <w:left w:val="single" w:color="auto" w:sz="4" w:space="0"/>
              <w:bottom w:val="single" w:color="000000" w:sz="4" w:space="0"/>
              <w:right w:val="single" w:color="auto" w:sz="4" w:space="0"/>
            </w:tcBorders>
            <w:shd w:val="clear" w:color="auto" w:fill="auto"/>
            <w:vAlign w:val="center"/>
          </w:tcPr>
          <w:p w14:paraId="55DB358A">
            <w:pPr>
              <w:widowControl/>
              <w:jc w:val="center"/>
              <w:rPr>
                <w:rFonts w:hint="eastAsia" w:ascii="宋体" w:hAnsi="宋体" w:cs="宋体"/>
                <w:kern w:val="0"/>
                <w:sz w:val="22"/>
                <w:szCs w:val="22"/>
              </w:rPr>
            </w:pPr>
            <w:r>
              <w:rPr>
                <w:rFonts w:hint="eastAsia" w:ascii="宋体" w:hAnsi="宋体" w:cs="宋体"/>
                <w:kern w:val="0"/>
                <w:sz w:val="22"/>
                <w:szCs w:val="22"/>
              </w:rPr>
              <w:t>常规检查</w:t>
            </w:r>
          </w:p>
        </w:tc>
        <w:tc>
          <w:tcPr>
            <w:tcW w:w="1293" w:type="pct"/>
            <w:tcBorders>
              <w:top w:val="nil"/>
              <w:left w:val="nil"/>
              <w:bottom w:val="single" w:color="auto" w:sz="4" w:space="0"/>
              <w:right w:val="single" w:color="auto" w:sz="4" w:space="0"/>
            </w:tcBorders>
            <w:shd w:val="clear" w:color="auto" w:fill="auto"/>
            <w:vAlign w:val="center"/>
          </w:tcPr>
          <w:p w14:paraId="55A1E345">
            <w:pPr>
              <w:widowControl/>
              <w:jc w:val="center"/>
              <w:rPr>
                <w:rFonts w:hint="eastAsia" w:ascii="宋体" w:hAnsi="宋体" w:cs="宋体"/>
                <w:kern w:val="0"/>
                <w:sz w:val="22"/>
                <w:szCs w:val="22"/>
              </w:rPr>
            </w:pPr>
            <w:r>
              <w:rPr>
                <w:rFonts w:hint="eastAsia" w:ascii="宋体" w:hAnsi="宋体" w:cs="宋体"/>
                <w:kern w:val="0"/>
                <w:sz w:val="22"/>
                <w:szCs w:val="22"/>
              </w:rPr>
              <w:t>男性彩超(肝、胆、胰、脾）</w:t>
            </w:r>
          </w:p>
        </w:tc>
        <w:tc>
          <w:tcPr>
            <w:tcW w:w="2173" w:type="pct"/>
            <w:vMerge w:val="restart"/>
            <w:tcBorders>
              <w:top w:val="nil"/>
              <w:left w:val="single" w:color="auto" w:sz="4" w:space="0"/>
              <w:bottom w:val="single" w:color="000000" w:sz="4" w:space="0"/>
              <w:right w:val="single" w:color="auto" w:sz="4" w:space="0"/>
            </w:tcBorders>
            <w:shd w:val="clear" w:color="auto" w:fill="auto"/>
            <w:vAlign w:val="center"/>
          </w:tcPr>
          <w:p w14:paraId="3E98BCBC">
            <w:pPr>
              <w:widowControl/>
              <w:jc w:val="left"/>
              <w:rPr>
                <w:rFonts w:hint="eastAsia" w:ascii="宋体" w:hAnsi="宋体" w:cs="宋体"/>
                <w:kern w:val="0"/>
                <w:sz w:val="22"/>
                <w:szCs w:val="22"/>
              </w:rPr>
            </w:pPr>
            <w:r>
              <w:rPr>
                <w:rFonts w:hint="eastAsia" w:ascii="宋体" w:hAnsi="宋体" w:cs="宋体"/>
                <w:kern w:val="0"/>
                <w:sz w:val="22"/>
                <w:szCs w:val="22"/>
              </w:rPr>
              <w:t>筛查肝、胆、胰、脾、双肾、输尿管、膀胱、前列腺的结构、形态、大小，筛查各脏器有无良恶性病变。</w:t>
            </w:r>
          </w:p>
        </w:tc>
        <w:tc>
          <w:tcPr>
            <w:tcW w:w="610" w:type="pct"/>
            <w:tcBorders>
              <w:top w:val="nil"/>
              <w:left w:val="nil"/>
              <w:bottom w:val="single" w:color="auto" w:sz="4" w:space="0"/>
              <w:right w:val="single" w:color="auto" w:sz="4" w:space="0"/>
            </w:tcBorders>
            <w:shd w:val="clear" w:color="auto" w:fill="auto"/>
            <w:vAlign w:val="center"/>
          </w:tcPr>
          <w:p w14:paraId="048D5D01">
            <w:pPr>
              <w:widowControl/>
              <w:jc w:val="center"/>
              <w:rPr>
                <w:rFonts w:hint="eastAsia" w:ascii="宋体" w:hAnsi="宋体" w:cs="宋体"/>
                <w:kern w:val="0"/>
                <w:sz w:val="22"/>
                <w:szCs w:val="22"/>
              </w:rPr>
            </w:pPr>
            <w:r>
              <w:rPr>
                <w:rFonts w:hint="eastAsia" w:ascii="宋体" w:hAnsi="宋体" w:cs="宋体"/>
                <w:kern w:val="0"/>
                <w:sz w:val="22"/>
                <w:szCs w:val="22"/>
              </w:rPr>
              <w:t>　</w:t>
            </w:r>
          </w:p>
        </w:tc>
        <w:tc>
          <w:tcPr>
            <w:tcW w:w="611" w:type="pct"/>
            <w:tcBorders>
              <w:top w:val="nil"/>
              <w:left w:val="nil"/>
              <w:bottom w:val="single" w:color="auto" w:sz="4" w:space="0"/>
              <w:right w:val="single" w:color="auto" w:sz="4" w:space="0"/>
            </w:tcBorders>
            <w:shd w:val="clear" w:color="auto" w:fill="auto"/>
            <w:vAlign w:val="center"/>
          </w:tcPr>
          <w:p w14:paraId="3E35A7A3">
            <w:pPr>
              <w:widowControl/>
              <w:jc w:val="center"/>
              <w:rPr>
                <w:rFonts w:hint="eastAsia" w:ascii="宋体" w:hAnsi="宋体" w:cs="宋体"/>
                <w:kern w:val="0"/>
                <w:sz w:val="22"/>
                <w:szCs w:val="22"/>
              </w:rPr>
            </w:pPr>
            <w:r>
              <w:rPr>
                <w:rFonts w:hint="eastAsia" w:ascii="宋体" w:hAnsi="宋体" w:cs="宋体"/>
                <w:kern w:val="0"/>
                <w:sz w:val="22"/>
                <w:szCs w:val="22"/>
              </w:rPr>
              <w:t>　</w:t>
            </w:r>
          </w:p>
        </w:tc>
      </w:tr>
      <w:tr w14:paraId="20021D20">
        <w:tblPrEx>
          <w:tblCellMar>
            <w:top w:w="0" w:type="dxa"/>
            <w:left w:w="108" w:type="dxa"/>
            <w:bottom w:w="0" w:type="dxa"/>
            <w:right w:w="108" w:type="dxa"/>
          </w:tblCellMar>
        </w:tblPrEx>
        <w:trPr>
          <w:trHeight w:val="270" w:hRule="atLeast"/>
        </w:trPr>
        <w:tc>
          <w:tcPr>
            <w:tcW w:w="310" w:type="pct"/>
            <w:vMerge w:val="continue"/>
            <w:tcBorders>
              <w:top w:val="nil"/>
              <w:left w:val="single" w:color="auto" w:sz="4" w:space="0"/>
              <w:bottom w:val="single" w:color="000000" w:sz="4" w:space="0"/>
              <w:right w:val="single" w:color="auto" w:sz="4" w:space="0"/>
            </w:tcBorders>
            <w:vAlign w:val="center"/>
          </w:tcPr>
          <w:p w14:paraId="0A2D9BB0">
            <w:pPr>
              <w:widowControl/>
              <w:jc w:val="left"/>
              <w:rPr>
                <w:rFonts w:ascii="宋体" w:hAnsi="宋体" w:cs="宋体"/>
                <w:kern w:val="0"/>
                <w:sz w:val="22"/>
                <w:szCs w:val="22"/>
              </w:rPr>
            </w:pPr>
          </w:p>
        </w:tc>
        <w:tc>
          <w:tcPr>
            <w:tcW w:w="1293" w:type="pct"/>
            <w:tcBorders>
              <w:top w:val="single" w:color="auto" w:sz="4" w:space="0"/>
              <w:left w:val="nil"/>
              <w:bottom w:val="single" w:color="auto" w:sz="4" w:space="0"/>
              <w:right w:val="single" w:color="000000" w:sz="4" w:space="0"/>
            </w:tcBorders>
            <w:shd w:val="clear" w:color="auto" w:fill="auto"/>
            <w:vAlign w:val="center"/>
          </w:tcPr>
          <w:p w14:paraId="12BA6EC8">
            <w:pPr>
              <w:widowControl/>
              <w:jc w:val="center"/>
              <w:rPr>
                <w:rFonts w:hint="eastAsia" w:ascii="宋体" w:hAnsi="宋体" w:cs="宋体"/>
                <w:kern w:val="0"/>
                <w:sz w:val="22"/>
                <w:szCs w:val="22"/>
              </w:rPr>
            </w:pPr>
            <w:r>
              <w:rPr>
                <w:rFonts w:hint="eastAsia" w:ascii="宋体" w:hAnsi="宋体" w:cs="宋体"/>
                <w:kern w:val="0"/>
                <w:sz w:val="22"/>
                <w:szCs w:val="22"/>
              </w:rPr>
              <w:t>男性彩超(双肾输尿管膀胱前列腺)</w:t>
            </w:r>
          </w:p>
        </w:tc>
        <w:tc>
          <w:tcPr>
            <w:tcW w:w="2173" w:type="pct"/>
            <w:vMerge w:val="continue"/>
            <w:tcBorders>
              <w:top w:val="nil"/>
              <w:left w:val="single" w:color="auto" w:sz="4" w:space="0"/>
              <w:bottom w:val="single" w:color="000000" w:sz="4" w:space="0"/>
              <w:right w:val="single" w:color="auto" w:sz="4" w:space="0"/>
            </w:tcBorders>
            <w:vAlign w:val="center"/>
          </w:tcPr>
          <w:p w14:paraId="153898D8">
            <w:pPr>
              <w:widowControl/>
              <w:jc w:val="left"/>
              <w:rPr>
                <w:rFonts w:ascii="宋体" w:hAnsi="宋体" w:cs="宋体"/>
                <w:kern w:val="0"/>
                <w:sz w:val="22"/>
                <w:szCs w:val="22"/>
              </w:rPr>
            </w:pPr>
          </w:p>
        </w:tc>
        <w:tc>
          <w:tcPr>
            <w:tcW w:w="610" w:type="pct"/>
            <w:tcBorders>
              <w:top w:val="nil"/>
              <w:left w:val="nil"/>
              <w:bottom w:val="single" w:color="auto" w:sz="4" w:space="0"/>
              <w:right w:val="single" w:color="auto" w:sz="4" w:space="0"/>
            </w:tcBorders>
            <w:shd w:val="clear" w:color="auto" w:fill="auto"/>
            <w:vAlign w:val="center"/>
          </w:tcPr>
          <w:p w14:paraId="374C5410">
            <w:pPr>
              <w:widowControl/>
              <w:jc w:val="center"/>
              <w:rPr>
                <w:rFonts w:hint="eastAsia" w:ascii="宋体" w:hAnsi="宋体" w:cs="宋体"/>
                <w:kern w:val="0"/>
                <w:sz w:val="22"/>
                <w:szCs w:val="22"/>
              </w:rPr>
            </w:pPr>
            <w:r>
              <w:rPr>
                <w:rFonts w:hint="eastAsia" w:ascii="宋体" w:hAnsi="宋体" w:cs="宋体"/>
                <w:kern w:val="0"/>
                <w:sz w:val="22"/>
                <w:szCs w:val="22"/>
              </w:rPr>
              <w:t>　</w:t>
            </w:r>
          </w:p>
        </w:tc>
        <w:tc>
          <w:tcPr>
            <w:tcW w:w="611" w:type="pct"/>
            <w:tcBorders>
              <w:top w:val="nil"/>
              <w:left w:val="nil"/>
              <w:bottom w:val="single" w:color="auto" w:sz="4" w:space="0"/>
              <w:right w:val="single" w:color="auto" w:sz="4" w:space="0"/>
            </w:tcBorders>
            <w:shd w:val="clear" w:color="auto" w:fill="auto"/>
            <w:vAlign w:val="center"/>
          </w:tcPr>
          <w:p w14:paraId="0641A921">
            <w:pPr>
              <w:widowControl/>
              <w:jc w:val="center"/>
              <w:rPr>
                <w:rFonts w:hint="eastAsia" w:ascii="宋体" w:hAnsi="宋体" w:cs="宋体"/>
                <w:kern w:val="0"/>
                <w:sz w:val="22"/>
                <w:szCs w:val="22"/>
              </w:rPr>
            </w:pPr>
            <w:r>
              <w:rPr>
                <w:rFonts w:hint="eastAsia" w:ascii="宋体" w:hAnsi="宋体" w:cs="宋体"/>
                <w:kern w:val="0"/>
                <w:sz w:val="22"/>
                <w:szCs w:val="22"/>
              </w:rPr>
              <w:t>　</w:t>
            </w:r>
          </w:p>
        </w:tc>
      </w:tr>
      <w:tr w14:paraId="6F88A453">
        <w:tblPrEx>
          <w:tblCellMar>
            <w:top w:w="0" w:type="dxa"/>
            <w:left w:w="108" w:type="dxa"/>
            <w:bottom w:w="0" w:type="dxa"/>
            <w:right w:w="108" w:type="dxa"/>
          </w:tblCellMar>
        </w:tblPrEx>
        <w:trPr>
          <w:trHeight w:val="270" w:hRule="atLeast"/>
        </w:trPr>
        <w:tc>
          <w:tcPr>
            <w:tcW w:w="310" w:type="pct"/>
            <w:vMerge w:val="continue"/>
            <w:tcBorders>
              <w:top w:val="nil"/>
              <w:left w:val="single" w:color="auto" w:sz="4" w:space="0"/>
              <w:bottom w:val="single" w:color="000000" w:sz="4" w:space="0"/>
              <w:right w:val="single" w:color="auto" w:sz="4" w:space="0"/>
            </w:tcBorders>
            <w:vAlign w:val="center"/>
          </w:tcPr>
          <w:p w14:paraId="0C2408B4">
            <w:pPr>
              <w:widowControl/>
              <w:jc w:val="left"/>
              <w:rPr>
                <w:rFonts w:ascii="宋体" w:hAnsi="宋体" w:cs="宋体"/>
                <w:kern w:val="0"/>
                <w:sz w:val="22"/>
                <w:szCs w:val="22"/>
              </w:rPr>
            </w:pPr>
          </w:p>
        </w:tc>
        <w:tc>
          <w:tcPr>
            <w:tcW w:w="1293" w:type="pct"/>
            <w:tcBorders>
              <w:top w:val="single" w:color="auto" w:sz="4" w:space="0"/>
              <w:left w:val="nil"/>
              <w:bottom w:val="single" w:color="auto" w:sz="4" w:space="0"/>
              <w:right w:val="single" w:color="auto" w:sz="4" w:space="0"/>
            </w:tcBorders>
            <w:shd w:val="clear" w:color="auto" w:fill="auto"/>
            <w:vAlign w:val="center"/>
          </w:tcPr>
          <w:p w14:paraId="5D6E9E15">
            <w:pPr>
              <w:widowControl/>
              <w:jc w:val="center"/>
              <w:rPr>
                <w:rFonts w:hint="eastAsia" w:ascii="宋体" w:hAnsi="宋体" w:cs="宋体"/>
                <w:kern w:val="0"/>
                <w:sz w:val="22"/>
                <w:szCs w:val="22"/>
              </w:rPr>
            </w:pPr>
            <w:r>
              <w:rPr>
                <w:rFonts w:hint="eastAsia" w:ascii="宋体" w:hAnsi="宋体" w:cs="宋体"/>
                <w:kern w:val="0"/>
                <w:sz w:val="22"/>
                <w:szCs w:val="22"/>
              </w:rPr>
              <w:t>女性彩超(肝、胆、胰、脾）</w:t>
            </w:r>
          </w:p>
        </w:tc>
        <w:tc>
          <w:tcPr>
            <w:tcW w:w="2173" w:type="pct"/>
            <w:vMerge w:val="restart"/>
            <w:tcBorders>
              <w:top w:val="nil"/>
              <w:left w:val="single" w:color="auto" w:sz="4" w:space="0"/>
              <w:bottom w:val="single" w:color="000000" w:sz="4" w:space="0"/>
              <w:right w:val="single" w:color="auto" w:sz="4" w:space="0"/>
            </w:tcBorders>
            <w:shd w:val="clear" w:color="auto" w:fill="auto"/>
            <w:vAlign w:val="center"/>
          </w:tcPr>
          <w:p w14:paraId="77B36A69">
            <w:pPr>
              <w:widowControl/>
              <w:jc w:val="left"/>
              <w:rPr>
                <w:rFonts w:hint="eastAsia" w:ascii="宋体" w:hAnsi="宋体" w:cs="宋体"/>
                <w:kern w:val="0"/>
                <w:sz w:val="22"/>
                <w:szCs w:val="22"/>
              </w:rPr>
            </w:pPr>
            <w:r>
              <w:rPr>
                <w:rFonts w:hint="eastAsia" w:ascii="宋体" w:hAnsi="宋体" w:cs="宋体"/>
                <w:kern w:val="0"/>
                <w:sz w:val="22"/>
                <w:szCs w:val="22"/>
              </w:rPr>
              <w:t>筛查肝、胆、胰、脾、双肾、输尿管、膀胱、子宫、附件的结构、形态、大小，筛查各脏器有无良恶性病变。</w:t>
            </w:r>
          </w:p>
        </w:tc>
        <w:tc>
          <w:tcPr>
            <w:tcW w:w="610" w:type="pct"/>
            <w:tcBorders>
              <w:top w:val="nil"/>
              <w:left w:val="nil"/>
              <w:bottom w:val="single" w:color="auto" w:sz="4" w:space="0"/>
              <w:right w:val="single" w:color="auto" w:sz="4" w:space="0"/>
            </w:tcBorders>
            <w:shd w:val="clear" w:color="auto" w:fill="auto"/>
            <w:vAlign w:val="center"/>
          </w:tcPr>
          <w:p w14:paraId="390635BB">
            <w:pPr>
              <w:widowControl/>
              <w:jc w:val="center"/>
              <w:rPr>
                <w:rFonts w:hint="eastAsia" w:ascii="宋体" w:hAnsi="宋体" w:cs="宋体"/>
                <w:kern w:val="0"/>
                <w:sz w:val="22"/>
                <w:szCs w:val="22"/>
              </w:rPr>
            </w:pPr>
            <w:r>
              <w:rPr>
                <w:rFonts w:hint="eastAsia" w:ascii="宋体" w:hAnsi="宋体" w:cs="宋体"/>
                <w:kern w:val="0"/>
                <w:sz w:val="22"/>
                <w:szCs w:val="22"/>
              </w:rPr>
              <w:t>　</w:t>
            </w:r>
          </w:p>
        </w:tc>
        <w:tc>
          <w:tcPr>
            <w:tcW w:w="611" w:type="pct"/>
            <w:tcBorders>
              <w:top w:val="nil"/>
              <w:left w:val="nil"/>
              <w:bottom w:val="single" w:color="auto" w:sz="4" w:space="0"/>
              <w:right w:val="single" w:color="auto" w:sz="4" w:space="0"/>
            </w:tcBorders>
            <w:shd w:val="clear" w:color="auto" w:fill="auto"/>
            <w:vAlign w:val="center"/>
          </w:tcPr>
          <w:p w14:paraId="3E481CE0">
            <w:pPr>
              <w:widowControl/>
              <w:jc w:val="center"/>
              <w:rPr>
                <w:rFonts w:hint="eastAsia" w:ascii="宋体" w:hAnsi="宋体" w:cs="宋体"/>
                <w:kern w:val="0"/>
                <w:sz w:val="22"/>
                <w:szCs w:val="22"/>
              </w:rPr>
            </w:pPr>
            <w:r>
              <w:rPr>
                <w:rFonts w:hint="eastAsia" w:ascii="宋体" w:hAnsi="宋体" w:cs="宋体"/>
                <w:kern w:val="0"/>
                <w:sz w:val="22"/>
                <w:szCs w:val="22"/>
              </w:rPr>
              <w:t>　</w:t>
            </w:r>
          </w:p>
        </w:tc>
      </w:tr>
      <w:tr w14:paraId="1869AF05">
        <w:tblPrEx>
          <w:tblCellMar>
            <w:top w:w="0" w:type="dxa"/>
            <w:left w:w="108" w:type="dxa"/>
            <w:bottom w:w="0" w:type="dxa"/>
            <w:right w:w="108" w:type="dxa"/>
          </w:tblCellMar>
        </w:tblPrEx>
        <w:trPr>
          <w:trHeight w:val="270" w:hRule="atLeast"/>
        </w:trPr>
        <w:tc>
          <w:tcPr>
            <w:tcW w:w="310" w:type="pct"/>
            <w:vMerge w:val="continue"/>
            <w:tcBorders>
              <w:top w:val="nil"/>
              <w:left w:val="single" w:color="auto" w:sz="4" w:space="0"/>
              <w:bottom w:val="single" w:color="000000" w:sz="4" w:space="0"/>
              <w:right w:val="single" w:color="auto" w:sz="4" w:space="0"/>
            </w:tcBorders>
            <w:vAlign w:val="center"/>
          </w:tcPr>
          <w:p w14:paraId="6814F405">
            <w:pPr>
              <w:widowControl/>
              <w:jc w:val="left"/>
              <w:rPr>
                <w:rFonts w:ascii="宋体" w:hAnsi="宋体" w:cs="宋体"/>
                <w:kern w:val="0"/>
                <w:sz w:val="22"/>
                <w:szCs w:val="22"/>
              </w:rPr>
            </w:pPr>
          </w:p>
        </w:tc>
        <w:tc>
          <w:tcPr>
            <w:tcW w:w="1293" w:type="pct"/>
            <w:tcBorders>
              <w:top w:val="single" w:color="auto" w:sz="4" w:space="0"/>
              <w:left w:val="nil"/>
              <w:bottom w:val="single" w:color="auto" w:sz="4" w:space="0"/>
              <w:right w:val="single" w:color="000000" w:sz="4" w:space="0"/>
            </w:tcBorders>
            <w:shd w:val="clear" w:color="auto" w:fill="auto"/>
            <w:vAlign w:val="center"/>
          </w:tcPr>
          <w:p w14:paraId="06E24501">
            <w:pPr>
              <w:widowControl/>
              <w:jc w:val="center"/>
              <w:rPr>
                <w:rFonts w:hint="eastAsia" w:ascii="宋体" w:hAnsi="宋体" w:cs="宋体"/>
                <w:kern w:val="0"/>
                <w:sz w:val="22"/>
                <w:szCs w:val="22"/>
              </w:rPr>
            </w:pPr>
            <w:r>
              <w:rPr>
                <w:rFonts w:hint="eastAsia" w:ascii="宋体" w:hAnsi="宋体" w:cs="宋体"/>
                <w:kern w:val="0"/>
                <w:sz w:val="22"/>
                <w:szCs w:val="22"/>
              </w:rPr>
              <w:t>女性彩超（双肾、输尿管、膀胱）</w:t>
            </w:r>
          </w:p>
        </w:tc>
        <w:tc>
          <w:tcPr>
            <w:tcW w:w="2173" w:type="pct"/>
            <w:vMerge w:val="continue"/>
            <w:tcBorders>
              <w:top w:val="nil"/>
              <w:left w:val="single" w:color="auto" w:sz="4" w:space="0"/>
              <w:bottom w:val="single" w:color="000000" w:sz="4" w:space="0"/>
              <w:right w:val="single" w:color="auto" w:sz="4" w:space="0"/>
            </w:tcBorders>
            <w:vAlign w:val="center"/>
          </w:tcPr>
          <w:p w14:paraId="317DDB08">
            <w:pPr>
              <w:widowControl/>
              <w:jc w:val="left"/>
              <w:rPr>
                <w:rFonts w:ascii="宋体" w:hAnsi="宋体" w:cs="宋体"/>
                <w:kern w:val="0"/>
                <w:sz w:val="22"/>
                <w:szCs w:val="22"/>
              </w:rPr>
            </w:pPr>
          </w:p>
        </w:tc>
        <w:tc>
          <w:tcPr>
            <w:tcW w:w="610" w:type="pct"/>
            <w:tcBorders>
              <w:top w:val="nil"/>
              <w:left w:val="nil"/>
              <w:bottom w:val="single" w:color="auto" w:sz="4" w:space="0"/>
              <w:right w:val="single" w:color="auto" w:sz="4" w:space="0"/>
            </w:tcBorders>
            <w:shd w:val="clear" w:color="auto" w:fill="auto"/>
            <w:vAlign w:val="center"/>
          </w:tcPr>
          <w:p w14:paraId="44488711">
            <w:pPr>
              <w:widowControl/>
              <w:jc w:val="center"/>
              <w:rPr>
                <w:rFonts w:hint="eastAsia" w:ascii="宋体" w:hAnsi="宋体" w:cs="宋体"/>
                <w:kern w:val="0"/>
                <w:sz w:val="22"/>
                <w:szCs w:val="22"/>
              </w:rPr>
            </w:pPr>
            <w:r>
              <w:rPr>
                <w:rFonts w:hint="eastAsia" w:ascii="宋体" w:hAnsi="宋体" w:cs="宋体"/>
                <w:kern w:val="0"/>
                <w:sz w:val="22"/>
                <w:szCs w:val="22"/>
              </w:rPr>
              <w:t>　</w:t>
            </w:r>
          </w:p>
        </w:tc>
        <w:tc>
          <w:tcPr>
            <w:tcW w:w="611" w:type="pct"/>
            <w:tcBorders>
              <w:top w:val="nil"/>
              <w:left w:val="nil"/>
              <w:bottom w:val="single" w:color="auto" w:sz="4" w:space="0"/>
              <w:right w:val="single" w:color="auto" w:sz="4" w:space="0"/>
            </w:tcBorders>
            <w:shd w:val="clear" w:color="auto" w:fill="auto"/>
            <w:vAlign w:val="center"/>
          </w:tcPr>
          <w:p w14:paraId="2D7263C1">
            <w:pPr>
              <w:widowControl/>
              <w:jc w:val="center"/>
              <w:rPr>
                <w:rFonts w:hint="eastAsia" w:ascii="宋体" w:hAnsi="宋体" w:cs="宋体"/>
                <w:kern w:val="0"/>
                <w:sz w:val="22"/>
                <w:szCs w:val="22"/>
              </w:rPr>
            </w:pPr>
            <w:r>
              <w:rPr>
                <w:rFonts w:hint="eastAsia" w:ascii="宋体" w:hAnsi="宋体" w:cs="宋体"/>
                <w:kern w:val="0"/>
                <w:sz w:val="22"/>
                <w:szCs w:val="22"/>
              </w:rPr>
              <w:t>　</w:t>
            </w:r>
          </w:p>
        </w:tc>
      </w:tr>
      <w:tr w14:paraId="255D1F59">
        <w:tblPrEx>
          <w:tblCellMar>
            <w:top w:w="0" w:type="dxa"/>
            <w:left w:w="108" w:type="dxa"/>
            <w:bottom w:w="0" w:type="dxa"/>
            <w:right w:w="108" w:type="dxa"/>
          </w:tblCellMar>
        </w:tblPrEx>
        <w:trPr>
          <w:trHeight w:val="270" w:hRule="atLeast"/>
        </w:trPr>
        <w:tc>
          <w:tcPr>
            <w:tcW w:w="310" w:type="pct"/>
            <w:vMerge w:val="continue"/>
            <w:tcBorders>
              <w:top w:val="nil"/>
              <w:left w:val="single" w:color="auto" w:sz="4" w:space="0"/>
              <w:bottom w:val="single" w:color="000000" w:sz="4" w:space="0"/>
              <w:right w:val="single" w:color="auto" w:sz="4" w:space="0"/>
            </w:tcBorders>
            <w:vAlign w:val="center"/>
          </w:tcPr>
          <w:p w14:paraId="296C065E">
            <w:pPr>
              <w:widowControl/>
              <w:jc w:val="left"/>
              <w:rPr>
                <w:rFonts w:ascii="宋体" w:hAnsi="宋体" w:cs="宋体"/>
                <w:kern w:val="0"/>
                <w:sz w:val="22"/>
                <w:szCs w:val="22"/>
              </w:rPr>
            </w:pPr>
          </w:p>
        </w:tc>
        <w:tc>
          <w:tcPr>
            <w:tcW w:w="1293" w:type="pct"/>
            <w:tcBorders>
              <w:top w:val="single" w:color="auto" w:sz="4" w:space="0"/>
              <w:left w:val="nil"/>
              <w:bottom w:val="single" w:color="auto" w:sz="4" w:space="0"/>
              <w:right w:val="single" w:color="000000" w:sz="4" w:space="0"/>
            </w:tcBorders>
            <w:shd w:val="clear" w:color="auto" w:fill="auto"/>
            <w:vAlign w:val="center"/>
          </w:tcPr>
          <w:p w14:paraId="303D1CCA">
            <w:pPr>
              <w:widowControl/>
              <w:jc w:val="center"/>
              <w:rPr>
                <w:rFonts w:hint="eastAsia" w:ascii="宋体" w:hAnsi="宋体" w:cs="宋体"/>
                <w:kern w:val="0"/>
                <w:sz w:val="22"/>
                <w:szCs w:val="22"/>
              </w:rPr>
            </w:pPr>
            <w:r>
              <w:rPr>
                <w:rFonts w:hint="eastAsia" w:ascii="宋体" w:hAnsi="宋体" w:cs="宋体"/>
                <w:kern w:val="0"/>
                <w:sz w:val="22"/>
                <w:szCs w:val="22"/>
              </w:rPr>
              <w:t>女性彩超(子宫、附件)</w:t>
            </w:r>
          </w:p>
        </w:tc>
        <w:tc>
          <w:tcPr>
            <w:tcW w:w="2173" w:type="pct"/>
            <w:vMerge w:val="continue"/>
            <w:tcBorders>
              <w:top w:val="nil"/>
              <w:left w:val="single" w:color="auto" w:sz="4" w:space="0"/>
              <w:bottom w:val="single" w:color="000000" w:sz="4" w:space="0"/>
              <w:right w:val="single" w:color="auto" w:sz="4" w:space="0"/>
            </w:tcBorders>
            <w:vAlign w:val="center"/>
          </w:tcPr>
          <w:p w14:paraId="338646A7">
            <w:pPr>
              <w:widowControl/>
              <w:jc w:val="left"/>
              <w:rPr>
                <w:rFonts w:ascii="宋体" w:hAnsi="宋体" w:cs="宋体"/>
                <w:kern w:val="0"/>
                <w:sz w:val="22"/>
                <w:szCs w:val="22"/>
              </w:rPr>
            </w:pPr>
          </w:p>
        </w:tc>
        <w:tc>
          <w:tcPr>
            <w:tcW w:w="610" w:type="pct"/>
            <w:tcBorders>
              <w:top w:val="nil"/>
              <w:left w:val="nil"/>
              <w:bottom w:val="single" w:color="auto" w:sz="4" w:space="0"/>
              <w:right w:val="single" w:color="auto" w:sz="4" w:space="0"/>
            </w:tcBorders>
            <w:shd w:val="clear" w:color="auto" w:fill="auto"/>
            <w:vAlign w:val="center"/>
          </w:tcPr>
          <w:p w14:paraId="41514345">
            <w:pPr>
              <w:widowControl/>
              <w:jc w:val="center"/>
              <w:rPr>
                <w:rFonts w:hint="eastAsia" w:ascii="宋体" w:hAnsi="宋体" w:cs="宋体"/>
                <w:kern w:val="0"/>
                <w:sz w:val="22"/>
                <w:szCs w:val="22"/>
              </w:rPr>
            </w:pPr>
            <w:r>
              <w:rPr>
                <w:rFonts w:hint="eastAsia" w:ascii="宋体" w:hAnsi="宋体" w:cs="宋体"/>
                <w:kern w:val="0"/>
                <w:sz w:val="22"/>
                <w:szCs w:val="22"/>
              </w:rPr>
              <w:t>　</w:t>
            </w:r>
          </w:p>
        </w:tc>
        <w:tc>
          <w:tcPr>
            <w:tcW w:w="611" w:type="pct"/>
            <w:tcBorders>
              <w:top w:val="nil"/>
              <w:left w:val="nil"/>
              <w:bottom w:val="single" w:color="auto" w:sz="4" w:space="0"/>
              <w:right w:val="single" w:color="auto" w:sz="4" w:space="0"/>
            </w:tcBorders>
            <w:shd w:val="clear" w:color="auto" w:fill="auto"/>
            <w:vAlign w:val="center"/>
          </w:tcPr>
          <w:p w14:paraId="658E764C">
            <w:pPr>
              <w:widowControl/>
              <w:jc w:val="center"/>
              <w:rPr>
                <w:rFonts w:hint="eastAsia" w:ascii="宋体" w:hAnsi="宋体" w:cs="宋体"/>
                <w:kern w:val="0"/>
                <w:sz w:val="22"/>
                <w:szCs w:val="22"/>
              </w:rPr>
            </w:pPr>
            <w:r>
              <w:rPr>
                <w:rFonts w:hint="eastAsia" w:ascii="宋体" w:hAnsi="宋体" w:cs="宋体"/>
                <w:kern w:val="0"/>
                <w:sz w:val="22"/>
                <w:szCs w:val="22"/>
              </w:rPr>
              <w:t>　</w:t>
            </w:r>
          </w:p>
        </w:tc>
      </w:tr>
      <w:tr w14:paraId="7E6AFC87">
        <w:tblPrEx>
          <w:tblCellMar>
            <w:top w:w="0" w:type="dxa"/>
            <w:left w:w="108" w:type="dxa"/>
            <w:bottom w:w="0" w:type="dxa"/>
            <w:right w:w="108" w:type="dxa"/>
          </w:tblCellMar>
        </w:tblPrEx>
        <w:trPr>
          <w:trHeight w:val="540" w:hRule="atLeast"/>
        </w:trPr>
        <w:tc>
          <w:tcPr>
            <w:tcW w:w="310" w:type="pct"/>
            <w:vMerge w:val="continue"/>
            <w:tcBorders>
              <w:top w:val="nil"/>
              <w:left w:val="single" w:color="auto" w:sz="4" w:space="0"/>
              <w:bottom w:val="single" w:color="000000" w:sz="4" w:space="0"/>
              <w:right w:val="single" w:color="auto" w:sz="4" w:space="0"/>
            </w:tcBorders>
            <w:vAlign w:val="center"/>
          </w:tcPr>
          <w:p w14:paraId="008855BA">
            <w:pPr>
              <w:widowControl/>
              <w:jc w:val="left"/>
              <w:rPr>
                <w:rFonts w:ascii="宋体" w:hAnsi="宋体" w:cs="宋体"/>
                <w:kern w:val="0"/>
                <w:sz w:val="22"/>
                <w:szCs w:val="22"/>
              </w:rPr>
            </w:pPr>
          </w:p>
        </w:tc>
        <w:tc>
          <w:tcPr>
            <w:tcW w:w="1293" w:type="pct"/>
            <w:tcBorders>
              <w:top w:val="single" w:color="auto" w:sz="4" w:space="0"/>
              <w:left w:val="nil"/>
              <w:bottom w:val="single" w:color="auto" w:sz="4" w:space="0"/>
              <w:right w:val="single" w:color="auto" w:sz="4" w:space="0"/>
            </w:tcBorders>
            <w:shd w:val="clear" w:color="auto" w:fill="auto"/>
            <w:vAlign w:val="center"/>
          </w:tcPr>
          <w:p w14:paraId="094D837C">
            <w:pPr>
              <w:widowControl/>
              <w:jc w:val="center"/>
              <w:rPr>
                <w:rFonts w:hint="eastAsia" w:ascii="宋体" w:hAnsi="宋体" w:cs="宋体"/>
                <w:kern w:val="0"/>
                <w:sz w:val="22"/>
                <w:szCs w:val="22"/>
              </w:rPr>
            </w:pPr>
            <w:r>
              <w:rPr>
                <w:rFonts w:hint="eastAsia" w:ascii="宋体" w:hAnsi="宋体" w:cs="宋体"/>
                <w:kern w:val="0"/>
                <w:sz w:val="22"/>
                <w:szCs w:val="22"/>
              </w:rPr>
              <w:t xml:space="preserve">乳腺及其引流区淋巴结 </w:t>
            </w:r>
          </w:p>
        </w:tc>
        <w:tc>
          <w:tcPr>
            <w:tcW w:w="2173" w:type="pct"/>
            <w:tcBorders>
              <w:top w:val="nil"/>
              <w:left w:val="nil"/>
              <w:bottom w:val="single" w:color="auto" w:sz="4" w:space="0"/>
              <w:right w:val="single" w:color="auto" w:sz="4" w:space="0"/>
            </w:tcBorders>
            <w:shd w:val="clear" w:color="auto" w:fill="auto"/>
            <w:vAlign w:val="center"/>
          </w:tcPr>
          <w:p w14:paraId="7DB9E763">
            <w:pPr>
              <w:widowControl/>
              <w:rPr>
                <w:rFonts w:hint="eastAsia" w:ascii="宋体" w:hAnsi="宋体" w:cs="宋体"/>
                <w:kern w:val="0"/>
                <w:sz w:val="22"/>
                <w:szCs w:val="22"/>
              </w:rPr>
            </w:pPr>
            <w:r>
              <w:rPr>
                <w:rFonts w:hint="eastAsia" w:ascii="宋体" w:hAnsi="宋体" w:cs="宋体"/>
                <w:kern w:val="0"/>
                <w:sz w:val="22"/>
                <w:szCs w:val="22"/>
              </w:rPr>
              <w:t>筛查有无乳腺增生症、乳腺囊肿、乳腺肿瘤及淋巴结有无异常等。</w:t>
            </w:r>
          </w:p>
        </w:tc>
        <w:tc>
          <w:tcPr>
            <w:tcW w:w="610" w:type="pct"/>
            <w:tcBorders>
              <w:top w:val="nil"/>
              <w:left w:val="nil"/>
              <w:bottom w:val="single" w:color="auto" w:sz="4" w:space="0"/>
              <w:right w:val="single" w:color="auto" w:sz="4" w:space="0"/>
            </w:tcBorders>
            <w:shd w:val="clear" w:color="auto" w:fill="auto"/>
            <w:vAlign w:val="center"/>
          </w:tcPr>
          <w:p w14:paraId="5FEEC746">
            <w:pPr>
              <w:widowControl/>
              <w:jc w:val="center"/>
              <w:rPr>
                <w:rFonts w:hint="eastAsia" w:ascii="宋体" w:hAnsi="宋体" w:cs="宋体"/>
                <w:kern w:val="0"/>
                <w:sz w:val="22"/>
                <w:szCs w:val="22"/>
              </w:rPr>
            </w:pPr>
            <w:r>
              <w:rPr>
                <w:rFonts w:hint="eastAsia" w:ascii="宋体" w:hAnsi="宋体" w:cs="宋体"/>
                <w:kern w:val="0"/>
                <w:sz w:val="22"/>
                <w:szCs w:val="22"/>
              </w:rPr>
              <w:t>　</w:t>
            </w:r>
          </w:p>
        </w:tc>
        <w:tc>
          <w:tcPr>
            <w:tcW w:w="611" w:type="pct"/>
            <w:tcBorders>
              <w:top w:val="nil"/>
              <w:left w:val="nil"/>
              <w:bottom w:val="single" w:color="auto" w:sz="4" w:space="0"/>
              <w:right w:val="single" w:color="auto" w:sz="4" w:space="0"/>
            </w:tcBorders>
            <w:shd w:val="clear" w:color="auto" w:fill="auto"/>
            <w:vAlign w:val="center"/>
          </w:tcPr>
          <w:p w14:paraId="665FA5DD">
            <w:pPr>
              <w:widowControl/>
              <w:jc w:val="center"/>
              <w:rPr>
                <w:rFonts w:hint="eastAsia" w:ascii="宋体" w:hAnsi="宋体" w:cs="宋体"/>
                <w:kern w:val="0"/>
                <w:sz w:val="22"/>
                <w:szCs w:val="22"/>
              </w:rPr>
            </w:pPr>
            <w:r>
              <w:rPr>
                <w:rFonts w:hint="eastAsia" w:ascii="宋体" w:hAnsi="宋体" w:cs="宋体"/>
                <w:kern w:val="0"/>
                <w:sz w:val="22"/>
                <w:szCs w:val="22"/>
              </w:rPr>
              <w:t>　</w:t>
            </w:r>
          </w:p>
        </w:tc>
      </w:tr>
      <w:tr w14:paraId="0BED0BBF">
        <w:tblPrEx>
          <w:tblCellMar>
            <w:top w:w="0" w:type="dxa"/>
            <w:left w:w="108" w:type="dxa"/>
            <w:bottom w:w="0" w:type="dxa"/>
            <w:right w:w="108" w:type="dxa"/>
          </w:tblCellMar>
        </w:tblPrEx>
        <w:trPr>
          <w:trHeight w:val="1620" w:hRule="atLeast"/>
        </w:trPr>
        <w:tc>
          <w:tcPr>
            <w:tcW w:w="310" w:type="pct"/>
            <w:vMerge w:val="continue"/>
            <w:tcBorders>
              <w:top w:val="nil"/>
              <w:left w:val="single" w:color="auto" w:sz="4" w:space="0"/>
              <w:bottom w:val="single" w:color="000000" w:sz="4" w:space="0"/>
              <w:right w:val="single" w:color="auto" w:sz="4" w:space="0"/>
            </w:tcBorders>
            <w:vAlign w:val="center"/>
          </w:tcPr>
          <w:p w14:paraId="6966C0CD">
            <w:pPr>
              <w:widowControl/>
              <w:jc w:val="left"/>
              <w:rPr>
                <w:rFonts w:ascii="宋体" w:hAnsi="宋体" w:cs="宋体"/>
                <w:kern w:val="0"/>
                <w:sz w:val="22"/>
                <w:szCs w:val="22"/>
              </w:rPr>
            </w:pPr>
          </w:p>
        </w:tc>
        <w:tc>
          <w:tcPr>
            <w:tcW w:w="1293" w:type="pct"/>
            <w:tcBorders>
              <w:top w:val="single" w:color="auto" w:sz="4" w:space="0"/>
              <w:left w:val="nil"/>
              <w:bottom w:val="single" w:color="auto" w:sz="4" w:space="0"/>
              <w:right w:val="single" w:color="000000" w:sz="4" w:space="0"/>
            </w:tcBorders>
            <w:shd w:val="clear" w:color="auto" w:fill="auto"/>
            <w:vAlign w:val="center"/>
          </w:tcPr>
          <w:p w14:paraId="25FF58C2">
            <w:pPr>
              <w:widowControl/>
              <w:jc w:val="center"/>
              <w:rPr>
                <w:rFonts w:hint="eastAsia" w:ascii="宋体" w:hAnsi="宋体" w:cs="宋体"/>
                <w:kern w:val="0"/>
                <w:sz w:val="22"/>
                <w:szCs w:val="22"/>
              </w:rPr>
            </w:pPr>
            <w:r>
              <w:rPr>
                <w:rFonts w:hint="eastAsia" w:ascii="宋体" w:hAnsi="宋体" w:cs="宋体"/>
                <w:kern w:val="0"/>
                <w:sz w:val="22"/>
                <w:szCs w:val="22"/>
              </w:rPr>
              <w:t>无痛胃镜联合肠镜</w:t>
            </w:r>
          </w:p>
        </w:tc>
        <w:tc>
          <w:tcPr>
            <w:tcW w:w="2173" w:type="pct"/>
            <w:tcBorders>
              <w:top w:val="nil"/>
              <w:left w:val="nil"/>
              <w:bottom w:val="single" w:color="auto" w:sz="4" w:space="0"/>
              <w:right w:val="single" w:color="auto" w:sz="4" w:space="0"/>
            </w:tcBorders>
            <w:shd w:val="clear" w:color="auto" w:fill="auto"/>
            <w:vAlign w:val="center"/>
          </w:tcPr>
          <w:p w14:paraId="4FFCCD9D">
            <w:pPr>
              <w:widowControl/>
              <w:jc w:val="left"/>
              <w:rPr>
                <w:rFonts w:hint="eastAsia" w:ascii="宋体" w:hAnsi="宋体" w:cs="宋体"/>
                <w:kern w:val="0"/>
                <w:sz w:val="22"/>
                <w:szCs w:val="22"/>
              </w:rPr>
            </w:pPr>
            <w:r>
              <w:rPr>
                <w:rFonts w:hint="eastAsia" w:ascii="宋体" w:hAnsi="宋体" w:cs="宋体"/>
                <w:kern w:val="0"/>
                <w:sz w:val="22"/>
                <w:szCs w:val="22"/>
              </w:rPr>
              <w:t>通过内窥镜的方式直视观察直肠及结肠病变、口咽部、食管、胃和近端十二指肠病变，协助诊断有无慢性非萎缩性/萎缩性胃炎、溃疡、肿瘤、憩室、出血等病变。同时若有病变可取相应的活检进一步诊断。</w:t>
            </w:r>
          </w:p>
        </w:tc>
        <w:tc>
          <w:tcPr>
            <w:tcW w:w="610" w:type="pct"/>
            <w:tcBorders>
              <w:top w:val="nil"/>
              <w:left w:val="nil"/>
              <w:bottom w:val="single" w:color="auto" w:sz="4" w:space="0"/>
              <w:right w:val="single" w:color="auto" w:sz="4" w:space="0"/>
            </w:tcBorders>
            <w:shd w:val="clear" w:color="auto" w:fill="auto"/>
            <w:vAlign w:val="center"/>
          </w:tcPr>
          <w:p w14:paraId="3068D049">
            <w:pPr>
              <w:widowControl/>
              <w:jc w:val="center"/>
              <w:rPr>
                <w:rFonts w:hint="eastAsia" w:ascii="宋体" w:hAnsi="宋体" w:cs="宋体"/>
                <w:kern w:val="0"/>
                <w:sz w:val="22"/>
                <w:szCs w:val="22"/>
              </w:rPr>
            </w:pPr>
            <w:r>
              <w:rPr>
                <w:rFonts w:hint="eastAsia" w:ascii="宋体" w:hAnsi="宋体" w:cs="宋体"/>
                <w:kern w:val="0"/>
                <w:sz w:val="22"/>
                <w:szCs w:val="22"/>
              </w:rPr>
              <w:t>　</w:t>
            </w:r>
          </w:p>
        </w:tc>
        <w:tc>
          <w:tcPr>
            <w:tcW w:w="611" w:type="pct"/>
            <w:tcBorders>
              <w:top w:val="nil"/>
              <w:left w:val="nil"/>
              <w:bottom w:val="single" w:color="auto" w:sz="4" w:space="0"/>
              <w:right w:val="single" w:color="auto" w:sz="4" w:space="0"/>
            </w:tcBorders>
            <w:shd w:val="clear" w:color="auto" w:fill="auto"/>
            <w:vAlign w:val="center"/>
          </w:tcPr>
          <w:p w14:paraId="400B489A">
            <w:pPr>
              <w:widowControl/>
              <w:jc w:val="center"/>
              <w:rPr>
                <w:rFonts w:hint="eastAsia" w:ascii="宋体" w:hAnsi="宋体" w:cs="宋体"/>
                <w:kern w:val="0"/>
                <w:sz w:val="22"/>
                <w:szCs w:val="22"/>
              </w:rPr>
            </w:pPr>
            <w:r>
              <w:rPr>
                <w:rFonts w:hint="eastAsia" w:ascii="宋体" w:hAnsi="宋体" w:cs="宋体"/>
                <w:kern w:val="0"/>
                <w:sz w:val="22"/>
                <w:szCs w:val="22"/>
              </w:rPr>
              <w:t>　</w:t>
            </w:r>
          </w:p>
        </w:tc>
      </w:tr>
      <w:tr w14:paraId="0840C40D">
        <w:tblPrEx>
          <w:tblCellMar>
            <w:top w:w="0" w:type="dxa"/>
            <w:left w:w="108" w:type="dxa"/>
            <w:bottom w:w="0" w:type="dxa"/>
            <w:right w:w="108" w:type="dxa"/>
          </w:tblCellMar>
        </w:tblPrEx>
        <w:trPr>
          <w:trHeight w:val="1890" w:hRule="atLeast"/>
        </w:trPr>
        <w:tc>
          <w:tcPr>
            <w:tcW w:w="310" w:type="pct"/>
            <w:vMerge w:val="continue"/>
            <w:tcBorders>
              <w:top w:val="nil"/>
              <w:left w:val="single" w:color="auto" w:sz="4" w:space="0"/>
              <w:bottom w:val="single" w:color="000000" w:sz="4" w:space="0"/>
              <w:right w:val="single" w:color="auto" w:sz="4" w:space="0"/>
            </w:tcBorders>
            <w:vAlign w:val="center"/>
          </w:tcPr>
          <w:p w14:paraId="1FE86306">
            <w:pPr>
              <w:widowControl/>
              <w:jc w:val="left"/>
              <w:rPr>
                <w:rFonts w:ascii="宋体" w:hAnsi="宋体" w:cs="宋体"/>
                <w:kern w:val="0"/>
                <w:sz w:val="22"/>
                <w:szCs w:val="22"/>
              </w:rPr>
            </w:pPr>
          </w:p>
        </w:tc>
        <w:tc>
          <w:tcPr>
            <w:tcW w:w="1293" w:type="pct"/>
            <w:tcBorders>
              <w:top w:val="single" w:color="auto" w:sz="4" w:space="0"/>
              <w:left w:val="nil"/>
              <w:bottom w:val="single" w:color="auto" w:sz="4" w:space="0"/>
              <w:right w:val="single" w:color="auto" w:sz="4" w:space="0"/>
            </w:tcBorders>
            <w:shd w:val="clear" w:color="auto" w:fill="auto"/>
            <w:vAlign w:val="center"/>
          </w:tcPr>
          <w:p w14:paraId="312B9F58">
            <w:pPr>
              <w:widowControl/>
              <w:jc w:val="center"/>
              <w:rPr>
                <w:rFonts w:hint="eastAsia" w:ascii="宋体" w:hAnsi="宋体" w:cs="宋体"/>
                <w:kern w:val="0"/>
                <w:sz w:val="22"/>
                <w:szCs w:val="22"/>
              </w:rPr>
            </w:pPr>
            <w:r>
              <w:rPr>
                <w:rFonts w:hint="eastAsia" w:ascii="宋体" w:hAnsi="宋体" w:cs="宋体"/>
                <w:kern w:val="0"/>
                <w:sz w:val="22"/>
                <w:szCs w:val="22"/>
              </w:rPr>
              <w:t>胸部平扫（含HRCT)</w:t>
            </w:r>
          </w:p>
        </w:tc>
        <w:tc>
          <w:tcPr>
            <w:tcW w:w="2173" w:type="pct"/>
            <w:tcBorders>
              <w:top w:val="nil"/>
              <w:left w:val="nil"/>
              <w:bottom w:val="single" w:color="auto" w:sz="4" w:space="0"/>
              <w:right w:val="single" w:color="auto" w:sz="4" w:space="0"/>
            </w:tcBorders>
            <w:shd w:val="clear" w:color="auto" w:fill="auto"/>
            <w:vAlign w:val="center"/>
          </w:tcPr>
          <w:p w14:paraId="718CB55A">
            <w:pPr>
              <w:widowControl/>
              <w:rPr>
                <w:rFonts w:hint="eastAsia" w:ascii="宋体" w:hAnsi="宋体" w:cs="宋体"/>
                <w:kern w:val="0"/>
                <w:sz w:val="22"/>
                <w:szCs w:val="22"/>
              </w:rPr>
            </w:pPr>
            <w:r>
              <w:rPr>
                <w:rFonts w:hint="eastAsia" w:ascii="宋体" w:hAnsi="宋体" w:cs="宋体"/>
                <w:kern w:val="0"/>
                <w:sz w:val="22"/>
                <w:szCs w:val="22"/>
              </w:rPr>
              <w:t>临床检测肺部病变的主要方法，协助有无肺炎、肺结核、肺气肿、气胸、胸腔积液、肿瘤等病变，特别是对早期肺癌筛查具有重要意义，可检出直径小于1cm的微小肺癌，为筛查早期肺癌的“利器”，同时可协助心脏大血管、纵膈病变的评估及诊断。</w:t>
            </w:r>
          </w:p>
        </w:tc>
        <w:tc>
          <w:tcPr>
            <w:tcW w:w="610" w:type="pct"/>
            <w:tcBorders>
              <w:top w:val="nil"/>
              <w:left w:val="nil"/>
              <w:bottom w:val="single" w:color="auto" w:sz="4" w:space="0"/>
              <w:right w:val="single" w:color="auto" w:sz="4" w:space="0"/>
            </w:tcBorders>
            <w:shd w:val="clear" w:color="auto" w:fill="auto"/>
            <w:vAlign w:val="center"/>
          </w:tcPr>
          <w:p w14:paraId="3E163B5A">
            <w:pPr>
              <w:widowControl/>
              <w:jc w:val="center"/>
              <w:rPr>
                <w:rFonts w:hint="eastAsia" w:ascii="宋体" w:hAnsi="宋体" w:cs="宋体"/>
                <w:kern w:val="0"/>
                <w:sz w:val="22"/>
                <w:szCs w:val="22"/>
              </w:rPr>
            </w:pPr>
            <w:r>
              <w:rPr>
                <w:rFonts w:hint="eastAsia" w:ascii="宋体" w:hAnsi="宋体" w:cs="宋体"/>
                <w:kern w:val="0"/>
                <w:sz w:val="22"/>
                <w:szCs w:val="22"/>
              </w:rPr>
              <w:t>　</w:t>
            </w:r>
          </w:p>
        </w:tc>
        <w:tc>
          <w:tcPr>
            <w:tcW w:w="611" w:type="pct"/>
            <w:tcBorders>
              <w:top w:val="nil"/>
              <w:left w:val="nil"/>
              <w:bottom w:val="single" w:color="auto" w:sz="4" w:space="0"/>
              <w:right w:val="single" w:color="auto" w:sz="4" w:space="0"/>
            </w:tcBorders>
            <w:shd w:val="clear" w:color="auto" w:fill="auto"/>
            <w:vAlign w:val="center"/>
          </w:tcPr>
          <w:p w14:paraId="75EFB6B2">
            <w:pPr>
              <w:widowControl/>
              <w:jc w:val="center"/>
              <w:rPr>
                <w:rFonts w:hint="eastAsia" w:ascii="宋体" w:hAnsi="宋体" w:cs="宋体"/>
                <w:kern w:val="0"/>
                <w:sz w:val="22"/>
                <w:szCs w:val="22"/>
              </w:rPr>
            </w:pPr>
            <w:r>
              <w:rPr>
                <w:rFonts w:hint="eastAsia" w:ascii="宋体" w:hAnsi="宋体" w:cs="宋体"/>
                <w:kern w:val="0"/>
                <w:sz w:val="22"/>
                <w:szCs w:val="22"/>
              </w:rPr>
              <w:t>　</w:t>
            </w:r>
          </w:p>
        </w:tc>
      </w:tr>
      <w:tr w14:paraId="2BF0E9DF">
        <w:tblPrEx>
          <w:tblCellMar>
            <w:top w:w="0" w:type="dxa"/>
            <w:left w:w="108" w:type="dxa"/>
            <w:bottom w:w="0" w:type="dxa"/>
            <w:right w:w="108" w:type="dxa"/>
          </w:tblCellMar>
        </w:tblPrEx>
        <w:trPr>
          <w:trHeight w:val="540" w:hRule="atLeast"/>
        </w:trPr>
        <w:tc>
          <w:tcPr>
            <w:tcW w:w="310" w:type="pct"/>
            <w:vMerge w:val="continue"/>
            <w:tcBorders>
              <w:top w:val="nil"/>
              <w:left w:val="single" w:color="auto" w:sz="4" w:space="0"/>
              <w:bottom w:val="single" w:color="000000" w:sz="4" w:space="0"/>
              <w:right w:val="single" w:color="auto" w:sz="4" w:space="0"/>
            </w:tcBorders>
            <w:vAlign w:val="center"/>
          </w:tcPr>
          <w:p w14:paraId="37ADE417">
            <w:pPr>
              <w:widowControl/>
              <w:jc w:val="left"/>
              <w:rPr>
                <w:rFonts w:ascii="宋体" w:hAnsi="宋体" w:cs="宋体"/>
                <w:kern w:val="0"/>
                <w:sz w:val="22"/>
                <w:szCs w:val="22"/>
              </w:rPr>
            </w:pPr>
          </w:p>
        </w:tc>
        <w:tc>
          <w:tcPr>
            <w:tcW w:w="1293" w:type="pct"/>
            <w:tcBorders>
              <w:top w:val="single" w:color="auto" w:sz="4" w:space="0"/>
              <w:left w:val="nil"/>
              <w:bottom w:val="single" w:color="auto" w:sz="4" w:space="0"/>
              <w:right w:val="single" w:color="auto" w:sz="4" w:space="0"/>
            </w:tcBorders>
            <w:shd w:val="clear" w:color="auto" w:fill="auto"/>
            <w:vAlign w:val="center"/>
          </w:tcPr>
          <w:p w14:paraId="25141721">
            <w:pPr>
              <w:widowControl/>
              <w:jc w:val="center"/>
              <w:rPr>
                <w:rFonts w:hint="eastAsia" w:ascii="宋体" w:hAnsi="宋体" w:cs="宋体"/>
                <w:kern w:val="0"/>
                <w:sz w:val="22"/>
                <w:szCs w:val="22"/>
              </w:rPr>
            </w:pPr>
            <w:r>
              <w:rPr>
                <w:rFonts w:hint="eastAsia" w:ascii="宋体" w:hAnsi="宋体" w:cs="宋体"/>
                <w:kern w:val="0"/>
                <w:sz w:val="22"/>
                <w:szCs w:val="22"/>
              </w:rPr>
              <w:t>12导联心电图</w:t>
            </w:r>
          </w:p>
        </w:tc>
        <w:tc>
          <w:tcPr>
            <w:tcW w:w="2173" w:type="pct"/>
            <w:tcBorders>
              <w:top w:val="nil"/>
              <w:left w:val="nil"/>
              <w:bottom w:val="single" w:color="auto" w:sz="4" w:space="0"/>
              <w:right w:val="single" w:color="auto" w:sz="4" w:space="0"/>
            </w:tcBorders>
            <w:shd w:val="clear" w:color="auto" w:fill="auto"/>
            <w:vAlign w:val="center"/>
          </w:tcPr>
          <w:p w14:paraId="0EC81F7D">
            <w:pPr>
              <w:widowControl/>
              <w:rPr>
                <w:rFonts w:hint="eastAsia" w:ascii="宋体" w:hAnsi="宋体" w:cs="宋体"/>
                <w:kern w:val="0"/>
                <w:sz w:val="22"/>
                <w:szCs w:val="22"/>
              </w:rPr>
            </w:pPr>
            <w:r>
              <w:rPr>
                <w:rFonts w:hint="eastAsia" w:ascii="宋体" w:hAnsi="宋体" w:cs="宋体"/>
                <w:kern w:val="0"/>
                <w:sz w:val="22"/>
                <w:szCs w:val="22"/>
              </w:rPr>
              <w:t>筛查有无心肌缺血、心肌梗塞、房室传导阻滞、心律失常等疾病。</w:t>
            </w:r>
          </w:p>
        </w:tc>
        <w:tc>
          <w:tcPr>
            <w:tcW w:w="610" w:type="pct"/>
            <w:tcBorders>
              <w:top w:val="nil"/>
              <w:left w:val="nil"/>
              <w:bottom w:val="single" w:color="auto" w:sz="4" w:space="0"/>
              <w:right w:val="single" w:color="auto" w:sz="4" w:space="0"/>
            </w:tcBorders>
            <w:shd w:val="clear" w:color="auto" w:fill="auto"/>
            <w:vAlign w:val="center"/>
          </w:tcPr>
          <w:p w14:paraId="2E6CB15D">
            <w:pPr>
              <w:widowControl/>
              <w:jc w:val="center"/>
              <w:rPr>
                <w:rFonts w:hint="eastAsia" w:ascii="宋体" w:hAnsi="宋体" w:cs="宋体"/>
                <w:kern w:val="0"/>
                <w:sz w:val="22"/>
                <w:szCs w:val="22"/>
              </w:rPr>
            </w:pPr>
            <w:r>
              <w:rPr>
                <w:rFonts w:hint="eastAsia" w:ascii="宋体" w:hAnsi="宋体" w:cs="宋体"/>
                <w:kern w:val="0"/>
                <w:sz w:val="22"/>
                <w:szCs w:val="22"/>
              </w:rPr>
              <w:t>　</w:t>
            </w:r>
          </w:p>
        </w:tc>
        <w:tc>
          <w:tcPr>
            <w:tcW w:w="611" w:type="pct"/>
            <w:tcBorders>
              <w:top w:val="nil"/>
              <w:left w:val="nil"/>
              <w:bottom w:val="single" w:color="auto" w:sz="4" w:space="0"/>
              <w:right w:val="single" w:color="auto" w:sz="4" w:space="0"/>
            </w:tcBorders>
            <w:shd w:val="clear" w:color="auto" w:fill="auto"/>
            <w:vAlign w:val="center"/>
          </w:tcPr>
          <w:p w14:paraId="1ADD040B">
            <w:pPr>
              <w:widowControl/>
              <w:jc w:val="center"/>
              <w:rPr>
                <w:rFonts w:hint="eastAsia" w:ascii="宋体" w:hAnsi="宋体" w:cs="宋体"/>
                <w:kern w:val="0"/>
                <w:sz w:val="22"/>
                <w:szCs w:val="22"/>
              </w:rPr>
            </w:pPr>
            <w:r>
              <w:rPr>
                <w:rFonts w:hint="eastAsia" w:ascii="宋体" w:hAnsi="宋体" w:cs="宋体"/>
                <w:kern w:val="0"/>
                <w:sz w:val="22"/>
                <w:szCs w:val="22"/>
              </w:rPr>
              <w:t>　</w:t>
            </w:r>
          </w:p>
        </w:tc>
      </w:tr>
      <w:tr w14:paraId="00DEE3AE">
        <w:tblPrEx>
          <w:tblCellMar>
            <w:top w:w="0" w:type="dxa"/>
            <w:left w:w="108" w:type="dxa"/>
            <w:bottom w:w="0" w:type="dxa"/>
            <w:right w:w="108" w:type="dxa"/>
          </w:tblCellMar>
        </w:tblPrEx>
        <w:trPr>
          <w:trHeight w:val="810" w:hRule="atLeast"/>
        </w:trPr>
        <w:tc>
          <w:tcPr>
            <w:tcW w:w="310" w:type="pct"/>
            <w:vMerge w:val="continue"/>
            <w:tcBorders>
              <w:top w:val="nil"/>
              <w:left w:val="single" w:color="auto" w:sz="4" w:space="0"/>
              <w:bottom w:val="single" w:color="000000" w:sz="4" w:space="0"/>
              <w:right w:val="single" w:color="auto" w:sz="4" w:space="0"/>
            </w:tcBorders>
            <w:vAlign w:val="center"/>
          </w:tcPr>
          <w:p w14:paraId="5448DB9D">
            <w:pPr>
              <w:widowControl/>
              <w:jc w:val="left"/>
              <w:rPr>
                <w:rFonts w:ascii="宋体" w:hAnsi="宋体" w:cs="宋体"/>
                <w:kern w:val="0"/>
                <w:sz w:val="22"/>
                <w:szCs w:val="22"/>
              </w:rPr>
            </w:pPr>
          </w:p>
        </w:tc>
        <w:tc>
          <w:tcPr>
            <w:tcW w:w="1293" w:type="pct"/>
            <w:tcBorders>
              <w:top w:val="single" w:color="auto" w:sz="4" w:space="0"/>
              <w:left w:val="nil"/>
              <w:bottom w:val="single" w:color="auto" w:sz="4" w:space="0"/>
              <w:right w:val="single" w:color="auto" w:sz="4" w:space="0"/>
            </w:tcBorders>
            <w:shd w:val="clear" w:color="auto" w:fill="auto"/>
            <w:vAlign w:val="center"/>
          </w:tcPr>
          <w:p w14:paraId="0A1DFA71">
            <w:pPr>
              <w:widowControl/>
              <w:jc w:val="center"/>
              <w:rPr>
                <w:rFonts w:hint="eastAsia" w:ascii="宋体" w:hAnsi="宋体" w:cs="宋体"/>
                <w:kern w:val="0"/>
                <w:sz w:val="22"/>
                <w:szCs w:val="22"/>
              </w:rPr>
            </w:pPr>
            <w:r>
              <w:rPr>
                <w:rFonts w:hint="eastAsia" w:ascii="宋体" w:hAnsi="宋体" w:cs="宋体"/>
                <w:kern w:val="0"/>
                <w:sz w:val="22"/>
                <w:szCs w:val="22"/>
              </w:rPr>
              <w:t>一般检查</w:t>
            </w:r>
          </w:p>
        </w:tc>
        <w:tc>
          <w:tcPr>
            <w:tcW w:w="2173" w:type="pct"/>
            <w:tcBorders>
              <w:top w:val="nil"/>
              <w:left w:val="nil"/>
              <w:bottom w:val="single" w:color="auto" w:sz="4" w:space="0"/>
              <w:right w:val="single" w:color="auto" w:sz="4" w:space="0"/>
            </w:tcBorders>
            <w:shd w:val="clear" w:color="auto" w:fill="auto"/>
            <w:vAlign w:val="center"/>
          </w:tcPr>
          <w:p w14:paraId="3B1D83D0">
            <w:pPr>
              <w:widowControl/>
              <w:rPr>
                <w:rFonts w:hint="eastAsia" w:ascii="宋体" w:hAnsi="宋体" w:cs="宋体"/>
                <w:kern w:val="0"/>
                <w:sz w:val="22"/>
                <w:szCs w:val="22"/>
              </w:rPr>
            </w:pPr>
            <w:r>
              <w:rPr>
                <w:rFonts w:hint="eastAsia" w:ascii="宋体" w:hAnsi="宋体" w:cs="宋体"/>
                <w:kern w:val="0"/>
                <w:sz w:val="22"/>
                <w:szCs w:val="22"/>
              </w:rPr>
              <w:t>检查身高、体重、血压、腰围、臀围，评估心脑血管疾病危险因素，辅助判断危险程度。健康评估证据和健康计划依据</w:t>
            </w:r>
          </w:p>
        </w:tc>
        <w:tc>
          <w:tcPr>
            <w:tcW w:w="610" w:type="pct"/>
            <w:tcBorders>
              <w:top w:val="nil"/>
              <w:left w:val="nil"/>
              <w:bottom w:val="single" w:color="auto" w:sz="4" w:space="0"/>
              <w:right w:val="single" w:color="auto" w:sz="4" w:space="0"/>
            </w:tcBorders>
            <w:shd w:val="clear" w:color="auto" w:fill="auto"/>
            <w:vAlign w:val="center"/>
          </w:tcPr>
          <w:p w14:paraId="76569654">
            <w:pPr>
              <w:widowControl/>
              <w:jc w:val="center"/>
              <w:rPr>
                <w:rFonts w:hint="eastAsia" w:ascii="宋体" w:hAnsi="宋体" w:cs="宋体"/>
                <w:kern w:val="0"/>
                <w:sz w:val="22"/>
                <w:szCs w:val="22"/>
              </w:rPr>
            </w:pPr>
            <w:r>
              <w:rPr>
                <w:rFonts w:hint="eastAsia" w:ascii="宋体" w:hAnsi="宋体" w:cs="宋体"/>
                <w:kern w:val="0"/>
                <w:sz w:val="22"/>
                <w:szCs w:val="22"/>
              </w:rPr>
              <w:t>　</w:t>
            </w:r>
          </w:p>
        </w:tc>
        <w:tc>
          <w:tcPr>
            <w:tcW w:w="611" w:type="pct"/>
            <w:tcBorders>
              <w:top w:val="nil"/>
              <w:left w:val="nil"/>
              <w:bottom w:val="single" w:color="auto" w:sz="4" w:space="0"/>
              <w:right w:val="single" w:color="auto" w:sz="4" w:space="0"/>
            </w:tcBorders>
            <w:shd w:val="clear" w:color="auto" w:fill="auto"/>
            <w:vAlign w:val="center"/>
          </w:tcPr>
          <w:p w14:paraId="72D21790">
            <w:pPr>
              <w:widowControl/>
              <w:jc w:val="center"/>
              <w:rPr>
                <w:rFonts w:hint="eastAsia" w:ascii="宋体" w:hAnsi="宋体" w:cs="宋体"/>
                <w:kern w:val="0"/>
                <w:sz w:val="22"/>
                <w:szCs w:val="22"/>
              </w:rPr>
            </w:pPr>
            <w:r>
              <w:rPr>
                <w:rFonts w:hint="eastAsia" w:ascii="宋体" w:hAnsi="宋体" w:cs="宋体"/>
                <w:kern w:val="0"/>
                <w:sz w:val="22"/>
                <w:szCs w:val="22"/>
              </w:rPr>
              <w:t>　</w:t>
            </w:r>
          </w:p>
        </w:tc>
      </w:tr>
      <w:tr w14:paraId="08F47E8D">
        <w:tblPrEx>
          <w:tblCellMar>
            <w:top w:w="0" w:type="dxa"/>
            <w:left w:w="108" w:type="dxa"/>
            <w:bottom w:w="0" w:type="dxa"/>
            <w:right w:w="108" w:type="dxa"/>
          </w:tblCellMar>
        </w:tblPrEx>
        <w:trPr>
          <w:trHeight w:val="795" w:hRule="atLeast"/>
        </w:trPr>
        <w:tc>
          <w:tcPr>
            <w:tcW w:w="3777" w:type="pct"/>
            <w:gridSpan w:val="3"/>
            <w:tcBorders>
              <w:top w:val="single" w:color="auto" w:sz="4" w:space="0"/>
              <w:left w:val="single" w:color="auto" w:sz="4" w:space="0"/>
              <w:bottom w:val="single" w:color="auto" w:sz="4" w:space="0"/>
              <w:right w:val="single" w:color="000000" w:sz="4" w:space="0"/>
            </w:tcBorders>
            <w:shd w:val="clear" w:color="auto" w:fill="auto"/>
            <w:vAlign w:val="center"/>
          </w:tcPr>
          <w:p w14:paraId="01D14123">
            <w:pPr>
              <w:widowControl/>
              <w:jc w:val="center"/>
              <w:rPr>
                <w:rFonts w:hint="eastAsia" w:ascii="宋体" w:hAnsi="宋体" w:cs="宋体"/>
                <w:kern w:val="0"/>
                <w:sz w:val="22"/>
                <w:szCs w:val="22"/>
              </w:rPr>
            </w:pPr>
            <w:r>
              <w:rPr>
                <w:rFonts w:hint="eastAsia" w:ascii="宋体" w:hAnsi="宋体" w:cs="宋体"/>
                <w:kern w:val="0"/>
                <w:sz w:val="22"/>
                <w:szCs w:val="22"/>
              </w:rPr>
              <w:t>营养早餐，建立健康档案，专家健康咨询，静脉采血一次性医用材料费，体检费（查体，总检报告）</w:t>
            </w:r>
          </w:p>
        </w:tc>
        <w:tc>
          <w:tcPr>
            <w:tcW w:w="610" w:type="pct"/>
            <w:tcBorders>
              <w:top w:val="nil"/>
              <w:left w:val="nil"/>
              <w:bottom w:val="single" w:color="auto" w:sz="4" w:space="0"/>
              <w:right w:val="single" w:color="auto" w:sz="4" w:space="0"/>
            </w:tcBorders>
            <w:shd w:val="clear" w:color="auto" w:fill="auto"/>
            <w:vAlign w:val="center"/>
          </w:tcPr>
          <w:p w14:paraId="53BC94A9">
            <w:pPr>
              <w:widowControl/>
              <w:jc w:val="center"/>
              <w:rPr>
                <w:rFonts w:hint="eastAsia" w:ascii="宋体" w:hAnsi="宋体" w:cs="宋体"/>
                <w:kern w:val="0"/>
                <w:sz w:val="22"/>
                <w:szCs w:val="22"/>
              </w:rPr>
            </w:pPr>
            <w:r>
              <w:rPr>
                <w:rFonts w:hint="eastAsia" w:ascii="宋体" w:hAnsi="宋体" w:cs="宋体"/>
                <w:kern w:val="0"/>
                <w:sz w:val="22"/>
                <w:szCs w:val="22"/>
              </w:rPr>
              <w:t>　</w:t>
            </w:r>
          </w:p>
        </w:tc>
        <w:tc>
          <w:tcPr>
            <w:tcW w:w="611" w:type="pct"/>
            <w:tcBorders>
              <w:top w:val="nil"/>
              <w:left w:val="nil"/>
              <w:bottom w:val="single" w:color="auto" w:sz="4" w:space="0"/>
              <w:right w:val="single" w:color="auto" w:sz="4" w:space="0"/>
            </w:tcBorders>
            <w:shd w:val="clear" w:color="auto" w:fill="auto"/>
            <w:vAlign w:val="center"/>
          </w:tcPr>
          <w:p w14:paraId="049FFE89">
            <w:pPr>
              <w:widowControl/>
              <w:jc w:val="center"/>
              <w:rPr>
                <w:rFonts w:hint="eastAsia" w:ascii="宋体" w:hAnsi="宋体" w:cs="宋体"/>
                <w:kern w:val="0"/>
                <w:sz w:val="22"/>
                <w:szCs w:val="22"/>
              </w:rPr>
            </w:pPr>
            <w:r>
              <w:rPr>
                <w:rFonts w:hint="eastAsia" w:ascii="宋体" w:hAnsi="宋体" w:cs="宋体"/>
                <w:kern w:val="0"/>
                <w:sz w:val="22"/>
                <w:szCs w:val="22"/>
              </w:rPr>
              <w:t>　</w:t>
            </w:r>
          </w:p>
        </w:tc>
      </w:tr>
      <w:tr w14:paraId="10B3E2DA">
        <w:tblPrEx>
          <w:tblCellMar>
            <w:top w:w="0" w:type="dxa"/>
            <w:left w:w="108" w:type="dxa"/>
            <w:bottom w:w="0" w:type="dxa"/>
            <w:right w:w="108" w:type="dxa"/>
          </w:tblCellMar>
        </w:tblPrEx>
        <w:trPr>
          <w:trHeight w:val="525" w:hRule="atLeast"/>
        </w:trPr>
        <w:tc>
          <w:tcPr>
            <w:tcW w:w="3777" w:type="pct"/>
            <w:gridSpan w:val="3"/>
            <w:tcBorders>
              <w:top w:val="single" w:color="auto" w:sz="4" w:space="0"/>
              <w:left w:val="single" w:color="auto" w:sz="4" w:space="0"/>
              <w:bottom w:val="single" w:color="auto" w:sz="4" w:space="0"/>
              <w:right w:val="single" w:color="000000" w:sz="4" w:space="0"/>
            </w:tcBorders>
            <w:shd w:val="clear" w:color="auto" w:fill="auto"/>
            <w:vAlign w:val="center"/>
          </w:tcPr>
          <w:p w14:paraId="26A7A437">
            <w:pPr>
              <w:widowControl/>
              <w:jc w:val="center"/>
              <w:rPr>
                <w:rFonts w:hint="eastAsia" w:ascii="宋体" w:hAnsi="宋体" w:cs="宋体"/>
                <w:b/>
                <w:bCs/>
                <w:kern w:val="0"/>
                <w:sz w:val="22"/>
                <w:szCs w:val="22"/>
              </w:rPr>
            </w:pPr>
            <w:r>
              <w:rPr>
                <w:rFonts w:hint="eastAsia" w:ascii="宋体" w:hAnsi="宋体" w:cs="宋体"/>
                <w:b/>
                <w:bCs/>
                <w:kern w:val="0"/>
                <w:sz w:val="22"/>
                <w:szCs w:val="22"/>
              </w:rPr>
              <w:t>价格合计：单位（元/人）</w:t>
            </w:r>
          </w:p>
        </w:tc>
        <w:tc>
          <w:tcPr>
            <w:tcW w:w="610" w:type="pct"/>
            <w:tcBorders>
              <w:top w:val="nil"/>
              <w:left w:val="nil"/>
              <w:bottom w:val="single" w:color="auto" w:sz="4" w:space="0"/>
              <w:right w:val="single" w:color="auto" w:sz="4" w:space="0"/>
            </w:tcBorders>
            <w:shd w:val="clear" w:color="auto" w:fill="auto"/>
            <w:vAlign w:val="center"/>
          </w:tcPr>
          <w:p w14:paraId="0853A647">
            <w:pPr>
              <w:widowControl/>
              <w:jc w:val="center"/>
              <w:rPr>
                <w:rFonts w:hint="eastAsia" w:ascii="宋体" w:hAnsi="宋体" w:cs="宋体"/>
                <w:b/>
                <w:bCs/>
                <w:kern w:val="0"/>
                <w:sz w:val="22"/>
                <w:szCs w:val="22"/>
              </w:rPr>
            </w:pPr>
            <w:r>
              <w:rPr>
                <w:rFonts w:hint="eastAsia" w:ascii="宋体" w:hAnsi="宋体" w:cs="宋体"/>
                <w:b/>
                <w:bCs/>
                <w:kern w:val="0"/>
                <w:sz w:val="22"/>
                <w:szCs w:val="22"/>
              </w:rPr>
              <w:t>　</w:t>
            </w:r>
          </w:p>
        </w:tc>
        <w:tc>
          <w:tcPr>
            <w:tcW w:w="611" w:type="pct"/>
            <w:tcBorders>
              <w:top w:val="nil"/>
              <w:left w:val="nil"/>
              <w:bottom w:val="single" w:color="auto" w:sz="4" w:space="0"/>
              <w:right w:val="single" w:color="auto" w:sz="4" w:space="0"/>
            </w:tcBorders>
            <w:shd w:val="clear" w:color="auto" w:fill="auto"/>
            <w:vAlign w:val="center"/>
          </w:tcPr>
          <w:p w14:paraId="0C1EB289">
            <w:pPr>
              <w:widowControl/>
              <w:jc w:val="center"/>
              <w:rPr>
                <w:rFonts w:hint="eastAsia" w:ascii="宋体" w:hAnsi="宋体" w:cs="宋体"/>
                <w:b/>
                <w:bCs/>
                <w:kern w:val="0"/>
                <w:sz w:val="22"/>
                <w:szCs w:val="22"/>
              </w:rPr>
            </w:pPr>
            <w:r>
              <w:rPr>
                <w:rFonts w:hint="eastAsia" w:ascii="宋体" w:hAnsi="宋体" w:cs="宋体"/>
                <w:b/>
                <w:bCs/>
                <w:kern w:val="0"/>
                <w:sz w:val="22"/>
                <w:szCs w:val="22"/>
              </w:rPr>
              <w:t>　</w:t>
            </w:r>
          </w:p>
        </w:tc>
      </w:tr>
      <w:bookmarkEnd w:id="9"/>
    </w:tbl>
    <w:p w14:paraId="36E88FC5">
      <w:pPr>
        <w:overflowPunct w:val="0"/>
        <w:topLinePunct/>
        <w:snapToGrid w:val="0"/>
        <w:spacing w:line="360" w:lineRule="auto"/>
        <w:rPr>
          <w:rFonts w:hint="eastAsia" w:cs="宋体"/>
          <w:b/>
          <w:sz w:val="24"/>
        </w:rPr>
      </w:pPr>
    </w:p>
    <w:p w14:paraId="5AFD5E04">
      <w:pPr>
        <w:overflowPunct w:val="0"/>
        <w:topLinePunct/>
        <w:snapToGrid w:val="0"/>
        <w:spacing w:line="360" w:lineRule="auto"/>
        <w:ind w:firstLine="482" w:firstLineChars="200"/>
        <w:outlineLvl w:val="1"/>
        <w:rPr>
          <w:rFonts w:cs="宋体"/>
          <w:b/>
          <w:sz w:val="24"/>
        </w:rPr>
      </w:pPr>
      <w:bookmarkStart w:id="7" w:name="_Toc19231"/>
      <w:r>
        <w:rPr>
          <w:rFonts w:hint="eastAsia" w:cs="宋体"/>
          <w:b/>
          <w:sz w:val="24"/>
        </w:rPr>
        <w:t>三、</w:t>
      </w:r>
      <w:bookmarkEnd w:id="7"/>
      <w:r>
        <w:rPr>
          <w:rFonts w:hint="eastAsia" w:cs="宋体"/>
          <w:b/>
          <w:sz w:val="24"/>
        </w:rPr>
        <w:t>技术要求</w:t>
      </w:r>
    </w:p>
    <w:p w14:paraId="450CAD13">
      <w:pPr>
        <w:overflowPunct w:val="0"/>
        <w:topLinePunct/>
        <w:snapToGrid w:val="0"/>
        <w:spacing w:line="360" w:lineRule="auto"/>
        <w:ind w:firstLine="480" w:firstLineChars="200"/>
        <w:rPr>
          <w:rFonts w:cs="宋体"/>
          <w:sz w:val="24"/>
        </w:rPr>
      </w:pPr>
      <w:bookmarkStart w:id="8" w:name="_Toc30520"/>
      <w:r>
        <w:rPr>
          <w:rFonts w:hint="eastAsia" w:cs="宋体"/>
          <w:sz w:val="24"/>
        </w:rPr>
        <w:t xml:space="preserve">1.供应商有义务协助采购人选择体检项目。 </w:t>
      </w:r>
    </w:p>
    <w:p w14:paraId="125881C7">
      <w:pPr>
        <w:overflowPunct w:val="0"/>
        <w:topLinePunct/>
        <w:snapToGrid w:val="0"/>
        <w:spacing w:line="360" w:lineRule="auto"/>
        <w:ind w:firstLine="480" w:firstLineChars="200"/>
        <w:rPr>
          <w:rFonts w:cs="宋体"/>
          <w:sz w:val="24"/>
        </w:rPr>
      </w:pPr>
      <w:r>
        <w:rPr>
          <w:rFonts w:hint="eastAsia" w:cs="宋体"/>
          <w:sz w:val="24"/>
        </w:rPr>
        <w:t xml:space="preserve">2.供应商应该具有独立的体检场所、能做到检患分离，避免交叉感染。 </w:t>
      </w:r>
    </w:p>
    <w:p w14:paraId="68777AE5">
      <w:pPr>
        <w:overflowPunct w:val="0"/>
        <w:topLinePunct/>
        <w:snapToGrid w:val="0"/>
        <w:spacing w:line="360" w:lineRule="auto"/>
        <w:ind w:firstLine="480" w:firstLineChars="200"/>
        <w:rPr>
          <w:rFonts w:cs="宋体"/>
          <w:sz w:val="24"/>
        </w:rPr>
      </w:pPr>
      <w:r>
        <w:rPr>
          <w:rFonts w:hint="eastAsia" w:cs="宋体"/>
          <w:sz w:val="24"/>
        </w:rPr>
        <w:t xml:space="preserve">3.对异常结果凡需进一步检查确诊的，由供应商向本人提出并给予安排，进一步检查的费用由需复检本人自行承担，费用不计入体检经费内。 </w:t>
      </w:r>
    </w:p>
    <w:p w14:paraId="4AB28798">
      <w:pPr>
        <w:overflowPunct w:val="0"/>
        <w:topLinePunct/>
        <w:snapToGrid w:val="0"/>
        <w:spacing w:line="360" w:lineRule="auto"/>
        <w:ind w:firstLine="480" w:firstLineChars="200"/>
        <w:rPr>
          <w:rFonts w:cs="宋体"/>
          <w:sz w:val="24"/>
        </w:rPr>
      </w:pPr>
      <w:r>
        <w:rPr>
          <w:rFonts w:hint="eastAsia" w:cs="宋体"/>
          <w:sz w:val="24"/>
        </w:rPr>
        <w:t xml:space="preserve">4.供应商应落实保密制度，对有可疑肿瘤或其它危害身体健康较大的疾病， 由体检医生直接通知员工本人，以便及时就诊或进一步检查。 </w:t>
      </w:r>
    </w:p>
    <w:p w14:paraId="3E08BB58">
      <w:pPr>
        <w:overflowPunct w:val="0"/>
        <w:topLinePunct/>
        <w:snapToGrid w:val="0"/>
        <w:spacing w:line="360" w:lineRule="auto"/>
        <w:ind w:firstLine="480" w:firstLineChars="200"/>
        <w:rPr>
          <w:rFonts w:cs="宋体"/>
          <w:sz w:val="24"/>
        </w:rPr>
      </w:pPr>
      <w:r>
        <w:rPr>
          <w:rFonts w:hint="eastAsia" w:cs="宋体"/>
          <w:sz w:val="24"/>
        </w:rPr>
        <w:t xml:space="preserve">5.供应商应提供所有参检人员的体检报告，体检报告中除进行常规的数据分析外，应提供相应的保健知识，以及个性化的健康促进计划。 </w:t>
      </w:r>
    </w:p>
    <w:p w14:paraId="7007F2BC">
      <w:pPr>
        <w:overflowPunct w:val="0"/>
        <w:topLinePunct/>
        <w:snapToGrid w:val="0"/>
        <w:spacing w:line="360" w:lineRule="auto"/>
        <w:ind w:firstLine="480" w:firstLineChars="200"/>
        <w:rPr>
          <w:rFonts w:cs="宋体"/>
          <w:sz w:val="24"/>
        </w:rPr>
      </w:pPr>
      <w:r>
        <w:rPr>
          <w:rFonts w:hint="eastAsia" w:cs="宋体"/>
          <w:sz w:val="24"/>
        </w:rPr>
        <w:t xml:space="preserve">6.为采购人提供检后咨询服务。 </w:t>
      </w:r>
    </w:p>
    <w:p w14:paraId="7BF81958">
      <w:pPr>
        <w:overflowPunct w:val="0"/>
        <w:topLinePunct/>
        <w:snapToGrid w:val="0"/>
        <w:spacing w:line="360" w:lineRule="auto"/>
        <w:ind w:firstLine="480" w:firstLineChars="200"/>
        <w:rPr>
          <w:rFonts w:cs="宋体"/>
          <w:sz w:val="24"/>
        </w:rPr>
      </w:pPr>
      <w:r>
        <w:rPr>
          <w:rFonts w:hint="eastAsia" w:cs="宋体"/>
          <w:sz w:val="24"/>
        </w:rPr>
        <w:t xml:space="preserve">7.在采购人参加体检人员的总检报告完成后为采购人提供团队检查的健康总结报告，供领导全面了解员工的健康状况。 </w:t>
      </w:r>
    </w:p>
    <w:p w14:paraId="77F13954">
      <w:pPr>
        <w:overflowPunct w:val="0"/>
        <w:topLinePunct/>
        <w:snapToGrid w:val="0"/>
        <w:spacing w:line="360" w:lineRule="auto"/>
        <w:ind w:firstLine="480" w:firstLineChars="200"/>
        <w:rPr>
          <w:rFonts w:cs="宋体"/>
          <w:sz w:val="24"/>
        </w:rPr>
      </w:pPr>
      <w:r>
        <w:rPr>
          <w:rFonts w:hint="eastAsia" w:cs="宋体"/>
          <w:sz w:val="24"/>
        </w:rPr>
        <w:t xml:space="preserve">8.每批次体检工作结束后 15 个工作日内将体检报告由供应商统一送采购人，再由采购人转发给体检人员。 </w:t>
      </w:r>
    </w:p>
    <w:p w14:paraId="7C314F29">
      <w:pPr>
        <w:overflowPunct w:val="0"/>
        <w:topLinePunct/>
        <w:snapToGrid w:val="0"/>
        <w:spacing w:line="360" w:lineRule="auto"/>
        <w:ind w:firstLine="480" w:firstLineChars="200"/>
        <w:rPr>
          <w:rFonts w:cs="宋体"/>
          <w:sz w:val="24"/>
        </w:rPr>
      </w:pPr>
      <w:r>
        <w:rPr>
          <w:rFonts w:hint="eastAsia" w:cs="宋体"/>
          <w:sz w:val="24"/>
        </w:rPr>
        <w:t xml:space="preserve">9.体检机构要提供清晰准确的检前注意事项。如饮食、作息等方面准确的建议。 </w:t>
      </w:r>
    </w:p>
    <w:p w14:paraId="0AB6DDA5">
      <w:pPr>
        <w:spacing w:line="360" w:lineRule="auto"/>
        <w:ind w:firstLine="480" w:firstLineChars="200"/>
        <w:jc w:val="left"/>
        <w:rPr>
          <w:rFonts w:cs="宋体"/>
          <w:sz w:val="24"/>
        </w:rPr>
      </w:pPr>
      <w:r>
        <w:rPr>
          <w:rFonts w:hint="eastAsia" w:cs="宋体"/>
          <w:sz w:val="24"/>
        </w:rPr>
        <w:t>10.设有餐厅并由成交供应商工作人员统一安排体检人员在检后用餐。</w:t>
      </w:r>
    </w:p>
    <w:p w14:paraId="2461BF43">
      <w:pPr>
        <w:overflowPunct w:val="0"/>
        <w:topLinePunct/>
        <w:snapToGrid w:val="0"/>
        <w:spacing w:line="360" w:lineRule="auto"/>
        <w:ind w:firstLine="482" w:firstLineChars="200"/>
        <w:outlineLvl w:val="1"/>
        <w:rPr>
          <w:rFonts w:cs="宋体"/>
          <w:b/>
          <w:bCs/>
          <w:sz w:val="24"/>
        </w:rPr>
      </w:pPr>
      <w:r>
        <w:rPr>
          <w:rFonts w:hint="eastAsia" w:cs="宋体"/>
          <w:b/>
          <w:bCs/>
          <w:sz w:val="24"/>
        </w:rPr>
        <w:t>★四、商务要求</w:t>
      </w:r>
      <w:bookmarkEnd w:id="8"/>
      <w:r>
        <w:rPr>
          <w:rFonts w:hint="eastAsia" w:cs="宋体"/>
          <w:b/>
          <w:bCs/>
          <w:sz w:val="24"/>
        </w:rPr>
        <w:t xml:space="preserve"> </w:t>
      </w:r>
    </w:p>
    <w:p w14:paraId="54F32948">
      <w:pPr>
        <w:numPr>
          <w:ilvl w:val="0"/>
          <w:numId w:val="1"/>
        </w:numPr>
        <w:overflowPunct w:val="0"/>
        <w:topLinePunct/>
        <w:snapToGrid w:val="0"/>
        <w:spacing w:line="360" w:lineRule="auto"/>
        <w:ind w:firstLine="480" w:firstLineChars="200"/>
        <w:rPr>
          <w:rFonts w:cs="宋体"/>
          <w:sz w:val="24"/>
        </w:rPr>
      </w:pPr>
      <w:r>
        <w:rPr>
          <w:rFonts w:hint="eastAsia" w:cs="宋体"/>
          <w:sz w:val="24"/>
        </w:rPr>
        <w:t>服务时间：2025年6月至9月底，完成全部体检工作。体检人员因特殊原因未能在上述时间内参加体检的，成交人应协商安排补检时间。</w:t>
      </w:r>
    </w:p>
    <w:p w14:paraId="0F8394FD">
      <w:pPr>
        <w:numPr>
          <w:ilvl w:val="0"/>
          <w:numId w:val="1"/>
        </w:numPr>
        <w:overflowPunct w:val="0"/>
        <w:topLinePunct/>
        <w:snapToGrid w:val="0"/>
        <w:spacing w:line="360" w:lineRule="auto"/>
        <w:ind w:firstLine="480" w:firstLineChars="200"/>
        <w:rPr>
          <w:rFonts w:cs="宋体"/>
          <w:sz w:val="24"/>
        </w:rPr>
      </w:pPr>
      <w:r>
        <w:rPr>
          <w:rFonts w:hint="eastAsia" w:cs="宋体"/>
          <w:sz w:val="24"/>
        </w:rPr>
        <w:t>服务地点：合同履约地点：服务地点为成交供应商所在地，能为采购人体检人员提供接送服务，并在接到采购人通知后100分钟内到达接送点。（须单独提供承诺函，格式自拟）</w:t>
      </w:r>
    </w:p>
    <w:p w14:paraId="45F75B9E">
      <w:pPr>
        <w:numPr>
          <w:ilvl w:val="0"/>
          <w:numId w:val="1"/>
        </w:numPr>
        <w:overflowPunct w:val="0"/>
        <w:topLinePunct/>
        <w:snapToGrid w:val="0"/>
        <w:spacing w:line="360" w:lineRule="auto"/>
        <w:ind w:firstLine="480" w:firstLineChars="200"/>
        <w:rPr>
          <w:rFonts w:cs="宋体"/>
          <w:sz w:val="24"/>
        </w:rPr>
      </w:pPr>
      <w:r>
        <w:rPr>
          <w:rFonts w:hint="eastAsia" w:cs="宋体"/>
          <w:sz w:val="24"/>
        </w:rPr>
        <w:t>支付方式：银行转账</w:t>
      </w:r>
    </w:p>
    <w:p w14:paraId="3D828E98">
      <w:pPr>
        <w:numPr>
          <w:ilvl w:val="0"/>
          <w:numId w:val="1"/>
        </w:numPr>
        <w:overflowPunct w:val="0"/>
        <w:topLinePunct/>
        <w:snapToGrid w:val="0"/>
        <w:spacing w:line="360" w:lineRule="auto"/>
        <w:ind w:firstLine="480" w:firstLineChars="200"/>
        <w:rPr>
          <w:rFonts w:cs="宋体"/>
          <w:sz w:val="24"/>
        </w:rPr>
      </w:pPr>
      <w:r>
        <w:rPr>
          <w:rFonts w:hint="eastAsia" w:cs="宋体"/>
          <w:sz w:val="24"/>
        </w:rPr>
        <w:t>履约保证金及缴纳方式：本项目不收取履约保证金。</w:t>
      </w:r>
    </w:p>
    <w:p w14:paraId="54A54106">
      <w:pPr>
        <w:numPr>
          <w:ilvl w:val="0"/>
          <w:numId w:val="1"/>
        </w:numPr>
        <w:overflowPunct w:val="0"/>
        <w:topLinePunct/>
        <w:snapToGrid w:val="0"/>
        <w:spacing w:line="360" w:lineRule="auto"/>
        <w:ind w:firstLine="480" w:firstLineChars="200"/>
        <w:rPr>
          <w:rFonts w:cs="宋体"/>
          <w:sz w:val="24"/>
        </w:rPr>
      </w:pPr>
      <w:r>
        <w:rPr>
          <w:rFonts w:hint="eastAsia" w:cs="宋体"/>
          <w:sz w:val="24"/>
        </w:rPr>
        <w:t>合同支付约定：签订合同生效后，采购人支付供应商合同金额的60%，所有参检人员体检完毕后7个工作日内，成交人应提交参检人员明细报表给采购人审核和核算，最终合同价款的计算根据实际体检人数和成交的单价据实结算，审核通过后按实际参检人数支付结算剩余款项费用。</w:t>
      </w:r>
    </w:p>
    <w:p w14:paraId="62BC5AEB">
      <w:pPr>
        <w:numPr>
          <w:ilvl w:val="0"/>
          <w:numId w:val="1"/>
        </w:numPr>
        <w:overflowPunct w:val="0"/>
        <w:topLinePunct/>
        <w:snapToGrid w:val="0"/>
        <w:spacing w:line="360" w:lineRule="auto"/>
        <w:ind w:firstLine="480" w:firstLineChars="200"/>
        <w:rPr>
          <w:rFonts w:cs="宋体"/>
          <w:sz w:val="24"/>
        </w:rPr>
      </w:pPr>
      <w:r>
        <w:rPr>
          <w:rFonts w:hint="eastAsia" w:cs="宋体"/>
          <w:sz w:val="24"/>
        </w:rPr>
        <w:t>注：采购人每次付款前，供应商应出具合法有效的票据及凭证资料，采购人将在收到票据及凭证资料后15日内付款，否则采购人付款时间顺延，且不承担延迟支付的违约责任。</w:t>
      </w:r>
    </w:p>
    <w:p w14:paraId="6EF8DE1B">
      <w:pPr>
        <w:pStyle w:val="2"/>
        <w:spacing w:line="360" w:lineRule="auto"/>
        <w:ind w:firstLine="480"/>
        <w:rPr>
          <w:rFonts w:cs="宋体"/>
          <w:sz w:val="24"/>
        </w:rPr>
      </w:pPr>
      <w:r>
        <w:rPr>
          <w:rFonts w:hint="eastAsia" w:cs="宋体"/>
          <w:sz w:val="24"/>
        </w:rPr>
        <w:t>7、履约验收：</w:t>
      </w:r>
    </w:p>
    <w:p w14:paraId="5C6DB1DC">
      <w:pPr>
        <w:pStyle w:val="9"/>
        <w:spacing w:before="150" w:line="360" w:lineRule="auto"/>
        <w:ind w:left="123" w:right="143" w:firstLine="422"/>
        <w:rPr>
          <w:rFonts w:ascii="Times New Roman" w:hAnsi="Times New Roman"/>
          <w:lang w:eastAsia="zh-CN"/>
        </w:rPr>
      </w:pPr>
      <w:r>
        <w:rPr>
          <w:rFonts w:hint="eastAsia" w:ascii="Times New Roman" w:hAnsi="Times New Roman"/>
          <w:lang w:eastAsia="zh-CN"/>
        </w:rPr>
        <w:t>①履约验收主体：四川省邑州监狱</w:t>
      </w:r>
    </w:p>
    <w:p w14:paraId="774D2F18">
      <w:pPr>
        <w:pStyle w:val="9"/>
        <w:spacing w:before="150" w:line="360" w:lineRule="auto"/>
        <w:ind w:left="123" w:right="143" w:firstLine="422"/>
        <w:rPr>
          <w:rFonts w:ascii="Times New Roman" w:hAnsi="Times New Roman"/>
          <w:lang w:eastAsia="zh-CN"/>
        </w:rPr>
      </w:pPr>
      <w:r>
        <w:rPr>
          <w:rFonts w:hint="eastAsia" w:ascii="Times New Roman" w:hAnsi="Times New Roman"/>
          <w:lang w:eastAsia="zh-CN"/>
        </w:rPr>
        <w:t>②履约验收时间：计划于服务完成后，供应商提出验收申请之日起10日内组织验收</w:t>
      </w:r>
    </w:p>
    <w:p w14:paraId="67149451">
      <w:pPr>
        <w:pStyle w:val="9"/>
        <w:spacing w:before="150" w:line="360" w:lineRule="auto"/>
        <w:ind w:left="123" w:right="143" w:firstLine="422"/>
        <w:rPr>
          <w:rFonts w:ascii="Times New Roman" w:hAnsi="Times New Roman"/>
          <w:lang w:eastAsia="zh-CN"/>
        </w:rPr>
      </w:pPr>
      <w:r>
        <w:rPr>
          <w:rFonts w:hint="eastAsia" w:ascii="Times New Roman" w:hAnsi="Times New Roman"/>
          <w:lang w:eastAsia="zh-CN"/>
        </w:rPr>
        <w:t>③验收组织方式和程序：自行验收，一次性验收。</w:t>
      </w:r>
    </w:p>
    <w:p w14:paraId="1B8AD725">
      <w:pPr>
        <w:pStyle w:val="9"/>
        <w:spacing w:before="150" w:line="360" w:lineRule="auto"/>
        <w:ind w:left="123" w:right="143" w:firstLine="422"/>
        <w:rPr>
          <w:rFonts w:ascii="Times New Roman" w:hAnsi="Times New Roman"/>
          <w:lang w:eastAsia="zh-CN"/>
        </w:rPr>
      </w:pPr>
      <w:r>
        <w:rPr>
          <w:rFonts w:hint="eastAsia" w:ascii="Times New Roman" w:hAnsi="Times New Roman"/>
          <w:lang w:eastAsia="zh-CN"/>
        </w:rPr>
        <w:t>④技术履约验收内容：按照本项目采购文件中“技术、服务要求”及服务供应商响应文件进行验收。</w:t>
      </w:r>
    </w:p>
    <w:p w14:paraId="386C799D">
      <w:pPr>
        <w:pStyle w:val="9"/>
        <w:spacing w:before="150" w:line="360" w:lineRule="auto"/>
        <w:ind w:left="123" w:right="143" w:firstLine="422"/>
        <w:rPr>
          <w:rFonts w:ascii="Times New Roman" w:hAnsi="Times New Roman"/>
          <w:lang w:eastAsia="zh-CN"/>
        </w:rPr>
      </w:pPr>
      <w:r>
        <w:rPr>
          <w:rFonts w:hint="eastAsia" w:ascii="Times New Roman" w:hAnsi="Times New Roman"/>
          <w:lang w:eastAsia="zh-CN"/>
        </w:rPr>
        <w:t>⑤商务履约验收内容：按照本项目采购文件中“商务要求”及服务供应商响应文件进行验收。</w:t>
      </w:r>
    </w:p>
    <w:p w14:paraId="34824757">
      <w:pPr>
        <w:pStyle w:val="9"/>
        <w:spacing w:before="150" w:line="360" w:lineRule="auto"/>
        <w:ind w:left="123" w:right="143" w:firstLine="422"/>
        <w:rPr>
          <w:rFonts w:ascii="Times New Roman" w:hAnsi="Times New Roman"/>
          <w:lang w:eastAsia="zh-CN"/>
        </w:rPr>
      </w:pPr>
      <w:r>
        <w:rPr>
          <w:rFonts w:hint="eastAsia" w:ascii="Times New Roman" w:hAnsi="Times New Roman"/>
          <w:lang w:eastAsia="zh-CN"/>
        </w:rPr>
        <w:t>⑥履约验收标准：严格按照《财政部关于进一步加强政府采购需求和履约验收管 理的知道意见》（财库〔2016〕205号）相关规定执行。</w:t>
      </w:r>
    </w:p>
    <w:p w14:paraId="04F79D24">
      <w:pPr>
        <w:overflowPunct w:val="0"/>
        <w:topLinePunct/>
        <w:snapToGrid w:val="0"/>
        <w:spacing w:line="360" w:lineRule="auto"/>
        <w:ind w:firstLine="480" w:firstLineChars="200"/>
        <w:rPr>
          <w:rFonts w:cs="宋体"/>
          <w:sz w:val="24"/>
        </w:rPr>
      </w:pPr>
    </w:p>
    <w:p w14:paraId="2A541AF6">
      <w:pPr>
        <w:pStyle w:val="10"/>
        <w:adjustRightInd w:val="0"/>
        <w:snapToGrid w:val="0"/>
        <w:spacing w:line="360" w:lineRule="auto"/>
        <w:ind w:firstLine="482" w:firstLineChars="200"/>
        <w:jc w:val="both"/>
        <w:rPr>
          <w:rFonts w:hint="eastAsia" w:ascii="宋体" w:hAnsi="宋体"/>
          <w:b/>
          <w:bCs/>
        </w:rPr>
      </w:pPr>
    </w:p>
    <w:p w14:paraId="779B21A3">
      <w:pPr>
        <w:pStyle w:val="10"/>
        <w:adjustRightInd w:val="0"/>
        <w:snapToGrid w:val="0"/>
        <w:spacing w:line="360" w:lineRule="auto"/>
        <w:ind w:firstLine="482" w:firstLineChars="200"/>
        <w:jc w:val="both"/>
        <w:rPr>
          <w:rFonts w:hint="eastAsia" w:ascii="宋体" w:hAnsi="宋体"/>
          <w:b/>
          <w:color w:val="auto"/>
          <w:kern w:val="2"/>
        </w:rPr>
      </w:pPr>
      <w:r>
        <w:rPr>
          <w:rFonts w:hint="eastAsia" w:ascii="宋体" w:hAnsi="宋体"/>
          <w:b/>
          <w:bCs/>
        </w:rPr>
        <w:t>注：带★的要求为本项目实质性要求，不允许有负偏离。</w:t>
      </w:r>
      <w:r>
        <w:rPr>
          <w:rFonts w:hint="eastAsia" w:ascii="宋体" w:hAnsi="宋体"/>
          <w:b/>
          <w:color w:val="auto"/>
          <w:kern w:val="2"/>
        </w:rPr>
        <w:t xml:space="preserve">  </w:t>
      </w:r>
    </w:p>
    <w:bookmarkEnd w:id="1"/>
    <w:bookmarkEnd w:id="2"/>
    <w:bookmarkEnd w:id="3"/>
    <w:bookmarkEnd w:id="4"/>
    <w:bookmarkEnd w:id="5"/>
    <w:p w14:paraId="1A27606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
    <w:altName w:val="宋体"/>
    <w:panose1 w:val="00000000000000000000"/>
    <w:charset w:val="86"/>
    <w:family w:val="roma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0F873C"/>
    <w:multiLevelType w:val="singleLevel"/>
    <w:tmpl w:val="D40F873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572544"/>
    <w:rsid w:val="2E5725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Body Text"/>
    <w:basedOn w:val="1"/>
    <w:next w:val="1"/>
    <w:qFormat/>
    <w:uiPriority w:val="0"/>
    <w:pPr>
      <w:spacing w:after="120"/>
    </w:pPr>
  </w:style>
  <w:style w:type="table" w:styleId="5">
    <w:name w:val="Table Grid"/>
    <w:basedOn w:val="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nt91"/>
    <w:basedOn w:val="6"/>
    <w:qFormat/>
    <w:uiPriority w:val="0"/>
    <w:rPr>
      <w:rFonts w:hint="eastAsia" w:ascii="宋体" w:hAnsi="宋体" w:eastAsia="宋体" w:cs="宋体"/>
      <w:color w:val="000000"/>
      <w:sz w:val="22"/>
      <w:szCs w:val="22"/>
      <w:u w:val="none"/>
    </w:rPr>
  </w:style>
  <w:style w:type="character" w:customStyle="1" w:styleId="8">
    <w:name w:val="font161"/>
    <w:basedOn w:val="6"/>
    <w:qFormat/>
    <w:uiPriority w:val="0"/>
    <w:rPr>
      <w:rFonts w:hint="eastAsia" w:ascii="宋体" w:hAnsi="宋体" w:eastAsia="宋体" w:cs="宋体"/>
      <w:color w:val="FF0000"/>
      <w:sz w:val="22"/>
      <w:szCs w:val="22"/>
      <w:u w:val="none"/>
    </w:rPr>
  </w:style>
  <w:style w:type="paragraph" w:customStyle="1" w:styleId="9">
    <w:name w:val="Table Text"/>
    <w:basedOn w:val="1"/>
    <w:semiHidden/>
    <w:qFormat/>
    <w:uiPriority w:val="0"/>
    <w:rPr>
      <w:rFonts w:ascii="宋体" w:hAnsi="宋体" w:cs="宋体"/>
      <w:sz w:val="24"/>
      <w:lang w:eastAsia="en-US"/>
    </w:rPr>
  </w:style>
  <w:style w:type="paragraph" w:customStyle="1" w:styleId="10">
    <w:name w:val="Default"/>
    <w:next w:val="11"/>
    <w:qFormat/>
    <w:uiPriority w:val="0"/>
    <w:pPr>
      <w:widowControl w:val="0"/>
    </w:pPr>
    <w:rPr>
      <w:rFonts w:ascii="......." w:hAnsi="......." w:eastAsia="宋体" w:cs="宋体"/>
      <w:color w:val="000000"/>
      <w:sz w:val="24"/>
      <w:szCs w:val="24"/>
      <w:lang w:val="en-US" w:eastAsia="zh-CN" w:bidi="ar-SA"/>
    </w:rPr>
  </w:style>
  <w:style w:type="paragraph" w:customStyle="1" w:styleId="11">
    <w:name w:val="正文 A"/>
    <w:next w:val="12"/>
    <w:qFormat/>
    <w:uiPriority w:val="0"/>
    <w:pPr>
      <w:framePr w:wrap="around" w:vAnchor="margin" w:hAnchor="text" w:y="1"/>
      <w:widowControl w:val="0"/>
      <w:spacing w:after="160" w:line="259" w:lineRule="auto"/>
      <w:jc w:val="both"/>
    </w:pPr>
    <w:rPr>
      <w:rFonts w:ascii="宋体" w:hAnsi="宋体" w:eastAsia="宋体" w:cs="宋体"/>
      <w:color w:val="000000"/>
      <w:sz w:val="34"/>
      <w:szCs w:val="34"/>
      <w:lang w:val="en-US" w:eastAsia="zh-CN" w:bidi="ar-SA"/>
    </w:rPr>
  </w:style>
  <w:style w:type="paragraph" w:customStyle="1" w:styleId="12">
    <w:name w:val="正文文本1"/>
    <w:next w:val="11"/>
    <w:qFormat/>
    <w:uiPriority w:val="0"/>
    <w:pPr>
      <w:framePr w:wrap="around" w:vAnchor="margin" w:hAnchor="text" w:y="1"/>
      <w:widowControl w:val="0"/>
      <w:spacing w:after="120" w:line="259" w:lineRule="auto"/>
      <w:jc w:val="both"/>
    </w:pPr>
    <w:rPr>
      <w:rFonts w:ascii="宋体" w:hAnsi="宋体" w:eastAsia="宋体" w:cs="宋体"/>
      <w:color w:val="000000"/>
      <w:sz w:val="34"/>
      <w:szCs w:val="3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2025-04-30T06:53:00Z</dcterms:created>
  <dc:creator>赵。</dc:creator>
  <cp:lastModifiedBy>赵。</cp:lastModifiedBy>
  <dcterms:modified xsi:type="dcterms:W3CDTF">2025-04-30T06:54:17Z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7884C0EF0352469CA99712F180495EF9_11</vt:lpwstr>
  </property>
  <property fmtid="{D5CDD505-2E9C-101B-9397-08002B2CF9AE}" pid="4" name="KSOTemplateDocerSaveRecord">
    <vt:lpwstr>eyJoZGlkIjoiNWM5NmFjZDkxNjVlODRhMThmODE4ZjFkYmE1YjI5MjIiLCJ1c2VySWQiOiIyNDc3MTYzNzMifQ==</vt:lpwstr>
  </property>
</Properties>
</file>