
<file path=[Content_Types].xml><?xml version="1.0" encoding="utf-8"?>
<Types xmlns="http://schemas.openxmlformats.org/package/2006/content-types">
  <Default Extension="xml" ContentType="application/xml"/>
  <Default Extension="gif" ContentType="image/gi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
        <w:keepNext w:val="0"/>
        <w:keepLines w:val="0"/>
        <w:pageBreakBefore w:val="0"/>
        <w:widowControl w:val="0"/>
        <w:kinsoku/>
        <w:wordWrap w:val="0"/>
        <w:overflowPunct/>
        <w:topLinePunct/>
        <w:autoSpaceDE/>
        <w:autoSpaceDN/>
        <w:bidi w:val="0"/>
        <w:adjustRightInd w:val="0"/>
        <w:snapToGrid w:val="0"/>
        <w:jc w:val="both"/>
        <w:textAlignment w:val="auto"/>
        <w:outlineLvl w:val="2"/>
        <w:rPr>
          <w:rFonts w:hint="eastAsia" w:cs="宋体"/>
          <w:b/>
          <w:bCs/>
          <w:sz w:val="24"/>
          <w:szCs w:val="24"/>
          <w:lang w:val="en-US" w:eastAsia="zh-CN"/>
        </w:rPr>
      </w:pPr>
      <w:bookmarkStart w:id="0" w:name="_Toc31917"/>
      <w:bookmarkStart w:id="1" w:name="_Toc6520"/>
      <w:r>
        <w:rPr>
          <w:rFonts w:hint="eastAsia" w:ascii="宋体" w:hAnsi="宋体" w:eastAsia="宋体" w:cs="宋体"/>
          <w:b/>
          <w:bCs/>
          <w:sz w:val="24"/>
          <w:szCs w:val="24"/>
          <w:lang w:val="en-US" w:eastAsia="zh-CN"/>
        </w:rPr>
        <w:t>附件</w:t>
      </w:r>
      <w:r>
        <w:rPr>
          <w:rFonts w:hint="eastAsia" w:cs="宋体"/>
          <w:b/>
          <w:bCs/>
          <w:sz w:val="24"/>
          <w:szCs w:val="24"/>
          <w:lang w:val="en-US" w:eastAsia="zh-CN"/>
        </w:rPr>
        <w:t>一： 统计上大中小微型企业划分标准</w:t>
      </w:r>
      <w:bookmarkEnd w:id="0"/>
      <w:bookmarkEnd w:id="1"/>
    </w:p>
    <w:p>
      <w:pPr>
        <w:widowControl/>
        <w:spacing w:line="330" w:lineRule="atLeast"/>
        <w:jc w:val="center"/>
        <w:rPr>
          <w:rFonts w:hint="eastAsia" w:ascii="宋体" w:hAnsi="宋体" w:eastAsia="宋体" w:cs="宋体"/>
          <w:color w:val="000000"/>
          <w:kern w:val="0"/>
          <w:sz w:val="32"/>
          <w:szCs w:val="32"/>
        </w:rPr>
      </w:pPr>
    </w:p>
    <w:p>
      <w:pPr>
        <w:widowControl/>
        <w:spacing w:line="330" w:lineRule="atLeast"/>
        <w:jc w:val="center"/>
        <w:rPr>
          <w:rFonts w:hint="eastAsia" w:ascii="宋体" w:hAnsi="宋体" w:eastAsia="宋体" w:cs="宋体"/>
          <w:color w:val="000000"/>
          <w:kern w:val="0"/>
          <w:sz w:val="28"/>
          <w:szCs w:val="28"/>
        </w:rPr>
      </w:pPr>
      <w:r>
        <w:rPr>
          <w:rFonts w:hint="eastAsia" w:ascii="宋体" w:hAnsi="宋体" w:eastAsia="宋体" w:cs="宋体"/>
          <w:color w:val="000000"/>
          <w:kern w:val="0"/>
          <w:sz w:val="28"/>
          <w:szCs w:val="28"/>
        </w:rPr>
        <w:t>统计上大中小微型企业划分标准</w:t>
      </w:r>
    </w:p>
    <w:tbl>
      <w:tblPr>
        <w:tblStyle w:val="9"/>
        <w:tblW w:w="500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0"/>
        <w:gridCol w:w="1513"/>
        <w:gridCol w:w="910"/>
        <w:gridCol w:w="1188"/>
        <w:gridCol w:w="1799"/>
        <w:gridCol w:w="1507"/>
        <w:gridCol w:w="10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jc w:val="center"/>
        </w:trPr>
        <w:tc>
          <w:tcPr>
            <w:tcW w:w="1007"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行业名称</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指标名称</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计量</w:t>
            </w:r>
            <w:r>
              <w:rPr>
                <w:rFonts w:hint="eastAsia" w:ascii="宋体" w:hAnsi="宋体" w:eastAsia="宋体" w:cs="宋体"/>
                <w:b/>
                <w:bCs/>
                <w:color w:val="000000"/>
                <w:kern w:val="0"/>
                <w:sz w:val="18"/>
                <w:szCs w:val="18"/>
              </w:rPr>
              <w:br w:type="textWrapping"/>
            </w:r>
            <w:r>
              <w:rPr>
                <w:rFonts w:hint="eastAsia" w:ascii="宋体" w:hAnsi="宋体" w:eastAsia="宋体" w:cs="宋体"/>
                <w:b/>
                <w:bCs/>
                <w:color w:val="000000"/>
                <w:kern w:val="0"/>
                <w:sz w:val="18"/>
                <w:szCs w:val="18"/>
              </w:rPr>
              <w:t>单位</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大型</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中型</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小型</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微型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农、林、牧、渔业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Y≥20000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500≤Y＜20000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50≤Y＜500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工业 *</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300≤X＜1000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20≤X＜300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Y≥40000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2000≤Y＜40000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300≤Y＜2000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建筑业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Y≥80000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6000≤Y＜80000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300≤Y＜6000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资产总额(Z)</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Z≥80000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5000≤Z＜80000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300≤Z＜5000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Z＜300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批发业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X≥200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20≤X＜200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5≤X＜20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Y≥40000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5000≤Y＜40000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hanging="1"/>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1000≤Y＜5000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零售业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50≤X＜300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hanging="1"/>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10≤X＜50 </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Y≥20000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500≤Y＜20000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hanging="1"/>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100≤Y＜500 </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交通运输业 *</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300≤X＜1000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20≤X＜300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Y≥30000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3000≤Y＜30000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200≤Y＜3000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仓储业*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X≥200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100≤X＜200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20≤X＜100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Y≥30000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1000≤Y＜30000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邮政业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300≤X＜1000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20≤X＜300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Y≥30000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2000≤Y＜30000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100≤Y＜2000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住宿业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2000≤Y＜10000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100≤Y＜2000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餐饮业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2000≤Y＜10000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100≤Y＜2000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信息传输业 *</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X≥2000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100≤X＜2000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1000≤Y＜100000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spacing w:val="-12"/>
                <w:kern w:val="0"/>
                <w:sz w:val="18"/>
                <w:szCs w:val="18"/>
              </w:rPr>
            </w:pPr>
            <w:r>
              <w:rPr>
                <w:rFonts w:hint="eastAsia" w:ascii="宋体" w:hAnsi="宋体" w:eastAsia="宋体" w:cs="宋体"/>
                <w:color w:val="000000"/>
                <w:spacing w:val="-12"/>
                <w:kern w:val="0"/>
                <w:sz w:val="18"/>
                <w:szCs w:val="18"/>
              </w:rPr>
              <w:t>软件和信息技术服</w:t>
            </w:r>
            <w:r>
              <w:rPr>
                <w:rFonts w:hint="eastAsia" w:ascii="宋体" w:hAnsi="宋体" w:eastAsia="宋体" w:cs="宋体"/>
                <w:color w:val="000000"/>
                <w:kern w:val="0"/>
                <w:sz w:val="18"/>
                <w:szCs w:val="18"/>
              </w:rPr>
              <w:t>务业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spacing w:val="-12"/>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1000≤Y＜10000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50≤Y＜1000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房地产开发经营</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Y≥200000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1000≤Y＜200000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资产总额(Z)</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Z≥10000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5000≤Z＜10000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2000≤Z＜5000 </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Z＜2000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物业管理</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300≤X＜1000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100≤X＜300 </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Y≥5000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1000≤Y＜5000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500≤Y＜1000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Y＜500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租赁和商务服务业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资产总额(Z)</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Z≥120000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8000≤Z＜120000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100≤Z＜8000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Z＜100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jc w:val="center"/>
        </w:trPr>
        <w:tc>
          <w:tcPr>
            <w:tcW w:w="1007"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其他未列明行业 *</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X＜10</w:t>
            </w:r>
          </w:p>
        </w:tc>
      </w:tr>
    </w:tbl>
    <w:p>
      <w:pPr>
        <w:keepNext w:val="0"/>
        <w:keepLines w:val="0"/>
        <w:pageBreakBefore w:val="0"/>
        <w:widowControl/>
        <w:kinsoku/>
        <w:wordWrap/>
        <w:overflowPunct/>
        <w:topLinePunct w:val="0"/>
        <w:autoSpaceDE/>
        <w:autoSpaceDN/>
        <w:bidi w:val="0"/>
        <w:adjustRightInd/>
        <w:snapToGrid/>
        <w:spacing w:line="440" w:lineRule="exact"/>
        <w:ind w:left="0" w:firstLine="512" w:firstLineChars="200"/>
        <w:textAlignment w:val="auto"/>
        <w:rPr>
          <w:rFonts w:hint="eastAsia" w:ascii="宋体" w:hAnsi="宋体" w:eastAsia="宋体" w:cs="宋体"/>
          <w:color w:val="000000"/>
          <w:spacing w:val="8"/>
          <w:kern w:val="0"/>
          <w:sz w:val="24"/>
          <w:szCs w:val="24"/>
        </w:rPr>
      </w:pPr>
      <w:r>
        <w:rPr>
          <w:rFonts w:hint="eastAsia" w:ascii="宋体" w:hAnsi="宋体" w:eastAsia="宋体" w:cs="宋体"/>
          <w:color w:val="000000"/>
          <w:spacing w:val="8"/>
          <w:kern w:val="0"/>
          <w:sz w:val="24"/>
          <w:szCs w:val="24"/>
        </w:rPr>
        <w:t>说明：</w:t>
      </w:r>
    </w:p>
    <w:p>
      <w:pPr>
        <w:keepNext w:val="0"/>
        <w:keepLines w:val="0"/>
        <w:pageBreakBefore w:val="0"/>
        <w:kinsoku/>
        <w:wordWrap/>
        <w:overflowPunct/>
        <w:topLinePunct w:val="0"/>
        <w:autoSpaceDE/>
        <w:autoSpaceDN/>
        <w:bidi w:val="0"/>
        <w:adjustRightInd/>
        <w:snapToGrid/>
        <w:spacing w:line="440" w:lineRule="exact"/>
        <w:ind w:left="0" w:firstLine="512" w:firstLineChars="200"/>
        <w:textAlignment w:val="auto"/>
        <w:rPr>
          <w:rFonts w:hint="eastAsia" w:ascii="宋体" w:hAnsi="宋体" w:eastAsia="宋体" w:cs="宋体"/>
          <w:color w:val="000000"/>
          <w:spacing w:val="8"/>
          <w:kern w:val="0"/>
          <w:sz w:val="24"/>
          <w:szCs w:val="24"/>
        </w:rPr>
      </w:pPr>
      <w:r>
        <w:rPr>
          <w:rFonts w:hint="eastAsia" w:ascii="宋体" w:hAnsi="宋体" w:eastAsia="宋体" w:cs="宋体"/>
          <w:color w:val="000000"/>
          <w:spacing w:val="8"/>
          <w:kern w:val="0"/>
          <w:sz w:val="24"/>
          <w:szCs w:val="24"/>
        </w:rPr>
        <w:t>1.大型、中型和小型企业须同时满足所列指标的下限，否则下划一档；微型企业只须满足所列指标中的一项即可。</w:t>
      </w:r>
    </w:p>
    <w:p>
      <w:pPr>
        <w:keepNext w:val="0"/>
        <w:keepLines w:val="0"/>
        <w:pageBreakBefore w:val="0"/>
        <w:kinsoku/>
        <w:wordWrap/>
        <w:overflowPunct/>
        <w:topLinePunct w:val="0"/>
        <w:autoSpaceDE/>
        <w:autoSpaceDN/>
        <w:bidi w:val="0"/>
        <w:adjustRightInd/>
        <w:snapToGrid/>
        <w:spacing w:line="440" w:lineRule="exact"/>
        <w:ind w:left="0" w:firstLine="512" w:firstLineChars="200"/>
        <w:textAlignment w:val="auto"/>
        <w:rPr>
          <w:rFonts w:hint="eastAsia" w:ascii="宋体" w:hAnsi="宋体" w:eastAsia="宋体" w:cs="宋体"/>
          <w:color w:val="000000"/>
          <w:spacing w:val="8"/>
          <w:kern w:val="0"/>
          <w:sz w:val="24"/>
          <w:szCs w:val="24"/>
        </w:rPr>
      </w:pPr>
      <w:r>
        <w:rPr>
          <w:rFonts w:hint="eastAsia" w:ascii="宋体" w:hAnsi="宋体" w:eastAsia="宋体" w:cs="宋体"/>
          <w:color w:val="000000"/>
          <w:spacing w:val="8"/>
          <w:kern w:val="0"/>
          <w:sz w:val="24"/>
          <w:szCs w:val="24"/>
        </w:rPr>
        <w:t>2.附表中各行业的范围以《国民经济行业分类》</w:t>
      </w:r>
      <w:r>
        <w:rPr>
          <w:rFonts w:hint="eastAsia" w:cs="宋体"/>
          <w:color w:val="000000"/>
          <w:spacing w:val="8"/>
          <w:kern w:val="0"/>
          <w:sz w:val="24"/>
          <w:szCs w:val="24"/>
          <w:lang w:eastAsia="zh-CN"/>
        </w:rPr>
        <w:t>(</w:t>
      </w:r>
      <w:r>
        <w:rPr>
          <w:rFonts w:hint="eastAsia" w:ascii="宋体" w:hAnsi="宋体" w:eastAsia="宋体" w:cs="宋体"/>
          <w:color w:val="000000"/>
          <w:spacing w:val="8"/>
          <w:kern w:val="0"/>
          <w:sz w:val="24"/>
          <w:szCs w:val="24"/>
        </w:rPr>
        <w:t>GB/T4754-2017</w:t>
      </w:r>
      <w:r>
        <w:rPr>
          <w:rFonts w:hint="eastAsia" w:cs="宋体"/>
          <w:color w:val="000000"/>
          <w:spacing w:val="8"/>
          <w:kern w:val="0"/>
          <w:sz w:val="24"/>
          <w:szCs w:val="24"/>
          <w:lang w:eastAsia="zh-CN"/>
        </w:rPr>
        <w:t>)</w:t>
      </w:r>
      <w:r>
        <w:rPr>
          <w:rFonts w:hint="eastAsia" w:ascii="宋体" w:hAnsi="宋体" w:eastAsia="宋体" w:cs="宋体"/>
          <w:color w:val="000000"/>
          <w:spacing w:val="8"/>
          <w:kern w:val="0"/>
          <w:sz w:val="24"/>
          <w:szCs w:val="24"/>
        </w:rPr>
        <w:t>为准。带*的项为行业组合类别，其中，工业包括采矿业，制造业，电力、热力、燃气及水生产和供应业；交通运输业包括道路运输业，水上运输业，航空运输业，管道运输业，多式联运和运输代理业、装卸搬运，不包括铁路运输业；仓储业包括通用仓储，低温仓储，危险品仓储，谷物、棉花等农产品仓储，中药材仓储和其他仓储业;信息传输业包括电信、广播电视和卫星传输服务，互联网和相关服务；其他未列明行业包括科学研究和技术服务业，水利、环境和公共设施管理业，居民服务、修理和其他服务业，社会工作，文化、体育和娱乐业，以及房地产中介服务，其他房地产业等，不包括自有房地产经营活动。</w:t>
      </w:r>
    </w:p>
    <w:p>
      <w:pPr>
        <w:keepNext w:val="0"/>
        <w:keepLines w:val="0"/>
        <w:pageBreakBefore w:val="0"/>
        <w:kinsoku/>
        <w:wordWrap/>
        <w:overflowPunct/>
        <w:topLinePunct w:val="0"/>
        <w:autoSpaceDE/>
        <w:autoSpaceDN/>
        <w:bidi w:val="0"/>
        <w:ind w:left="0" w:firstLine="512" w:firstLineChars="200"/>
        <w:textAlignment w:val="auto"/>
        <w:rPr>
          <w:rFonts w:hint="eastAsia" w:ascii="宋体" w:hAnsi="宋体" w:eastAsia="宋体" w:cs="宋体"/>
          <w:b/>
          <w:bCs/>
          <w:sz w:val="24"/>
          <w:szCs w:val="24"/>
          <w:lang w:val="en-US" w:eastAsia="zh-CN"/>
        </w:rPr>
      </w:pPr>
      <w:r>
        <w:rPr>
          <w:rFonts w:hint="eastAsia" w:ascii="宋体" w:hAnsi="宋体" w:eastAsia="宋体" w:cs="宋体"/>
          <w:color w:val="000000"/>
          <w:spacing w:val="8"/>
          <w:kern w:val="0"/>
          <w:sz w:val="24"/>
          <w:szCs w:val="24"/>
        </w:rPr>
        <w:t>3.企业划分指标以现行统计制度为准。</w:t>
      </w:r>
      <w:r>
        <w:rPr>
          <w:rFonts w:hint="eastAsia" w:cs="宋体"/>
          <w:color w:val="000000"/>
          <w:spacing w:val="8"/>
          <w:kern w:val="0"/>
          <w:sz w:val="24"/>
          <w:szCs w:val="24"/>
          <w:lang w:eastAsia="zh-CN"/>
        </w:rPr>
        <w:t>(</w:t>
      </w:r>
      <w:r>
        <w:rPr>
          <w:rFonts w:hint="eastAsia" w:ascii="宋体" w:hAnsi="宋体" w:eastAsia="宋体" w:cs="宋体"/>
          <w:color w:val="000000"/>
          <w:spacing w:val="8"/>
          <w:kern w:val="0"/>
          <w:sz w:val="24"/>
          <w:szCs w:val="24"/>
        </w:rPr>
        <w:t>1</w:t>
      </w:r>
      <w:r>
        <w:rPr>
          <w:rFonts w:hint="eastAsia" w:cs="宋体"/>
          <w:color w:val="000000"/>
          <w:spacing w:val="8"/>
          <w:kern w:val="0"/>
          <w:sz w:val="24"/>
          <w:szCs w:val="24"/>
          <w:lang w:eastAsia="zh-CN"/>
        </w:rPr>
        <w:t>)</w:t>
      </w:r>
      <w:r>
        <w:rPr>
          <w:rFonts w:hint="eastAsia" w:ascii="宋体" w:hAnsi="宋体" w:eastAsia="宋体" w:cs="宋体"/>
          <w:color w:val="000000"/>
          <w:spacing w:val="8"/>
          <w:kern w:val="0"/>
          <w:sz w:val="24"/>
          <w:szCs w:val="24"/>
        </w:rPr>
        <w:t>从业人员，是指期末从业人员数，没有期末从业人员数的，采用全年平均人员数代替。</w:t>
      </w:r>
      <w:r>
        <w:rPr>
          <w:rFonts w:hint="eastAsia" w:cs="宋体"/>
          <w:color w:val="000000"/>
          <w:spacing w:val="8"/>
          <w:kern w:val="0"/>
          <w:sz w:val="24"/>
          <w:szCs w:val="24"/>
          <w:lang w:eastAsia="zh-CN"/>
        </w:rPr>
        <w:t>(</w:t>
      </w:r>
      <w:r>
        <w:rPr>
          <w:rFonts w:hint="eastAsia" w:ascii="宋体" w:hAnsi="宋体" w:eastAsia="宋体" w:cs="宋体"/>
          <w:color w:val="000000"/>
          <w:spacing w:val="8"/>
          <w:kern w:val="0"/>
          <w:sz w:val="24"/>
          <w:szCs w:val="24"/>
        </w:rPr>
        <w:t>2</w:t>
      </w:r>
      <w:r>
        <w:rPr>
          <w:rFonts w:hint="eastAsia" w:cs="宋体"/>
          <w:color w:val="000000"/>
          <w:spacing w:val="8"/>
          <w:kern w:val="0"/>
          <w:sz w:val="24"/>
          <w:szCs w:val="24"/>
          <w:lang w:eastAsia="zh-CN"/>
        </w:rPr>
        <w:t>)</w:t>
      </w:r>
      <w:r>
        <w:rPr>
          <w:rFonts w:hint="eastAsia" w:ascii="宋体" w:hAnsi="宋体" w:eastAsia="宋体" w:cs="宋体"/>
          <w:color w:val="000000"/>
          <w:spacing w:val="8"/>
          <w:kern w:val="0"/>
          <w:sz w:val="24"/>
          <w:szCs w:val="24"/>
        </w:rPr>
        <w:t>营业收入，工业、建筑业、限额以上批发和零售业、限额以上住宿和餐饮业以及其他设置主营业务收入指标的行业，采用主营业务收入；限额以下批发与零售业企业采用商品销售额代替；限额以下住宿与餐饮业企业采用营业额代替；农、林、牧、渔业企业采用营业总收入代替；其他未设置主营业务收入的行业，采用营业收入指标。</w:t>
      </w:r>
      <w:r>
        <w:rPr>
          <w:rFonts w:hint="eastAsia" w:cs="宋体"/>
          <w:color w:val="000000"/>
          <w:spacing w:val="8"/>
          <w:kern w:val="0"/>
          <w:sz w:val="24"/>
          <w:szCs w:val="24"/>
          <w:lang w:eastAsia="zh-CN"/>
        </w:rPr>
        <w:t>(</w:t>
      </w:r>
      <w:r>
        <w:rPr>
          <w:rFonts w:hint="eastAsia" w:ascii="宋体" w:hAnsi="宋体" w:eastAsia="宋体" w:cs="宋体"/>
          <w:color w:val="000000"/>
          <w:spacing w:val="8"/>
          <w:kern w:val="0"/>
          <w:sz w:val="24"/>
          <w:szCs w:val="24"/>
        </w:rPr>
        <w:t>3</w:t>
      </w:r>
      <w:r>
        <w:rPr>
          <w:rFonts w:hint="eastAsia" w:cs="宋体"/>
          <w:color w:val="000000"/>
          <w:spacing w:val="8"/>
          <w:kern w:val="0"/>
          <w:sz w:val="24"/>
          <w:szCs w:val="24"/>
          <w:lang w:eastAsia="zh-CN"/>
        </w:rPr>
        <w:t>)</w:t>
      </w:r>
      <w:r>
        <w:rPr>
          <w:rFonts w:hint="eastAsia" w:ascii="宋体" w:hAnsi="宋体" w:eastAsia="宋体" w:cs="宋体"/>
          <w:color w:val="000000"/>
          <w:spacing w:val="8"/>
          <w:kern w:val="0"/>
          <w:sz w:val="24"/>
          <w:szCs w:val="24"/>
        </w:rPr>
        <w:t>资产总额，采用资产总计代替。</w:t>
      </w:r>
      <w:r>
        <w:rPr>
          <w:rFonts w:hint="eastAsia" w:ascii="宋体" w:hAnsi="宋体" w:eastAsia="宋体" w:cs="宋体"/>
          <w:b/>
          <w:bCs/>
          <w:sz w:val="24"/>
          <w:szCs w:val="24"/>
          <w:lang w:val="en-US" w:eastAsia="zh-CN"/>
        </w:rPr>
        <w:br w:type="page"/>
      </w:r>
    </w:p>
    <w:p>
      <w:pPr>
        <w:keepNext w:val="0"/>
        <w:keepLines w:val="0"/>
        <w:pageBreakBefore w:val="0"/>
        <w:widowControl/>
        <w:kinsoku/>
        <w:wordWrap/>
        <w:overflowPunct/>
        <w:topLinePunct w:val="0"/>
        <w:autoSpaceDE/>
        <w:autoSpaceDN/>
        <w:bidi w:val="0"/>
        <w:adjustRightInd/>
        <w:snapToGrid/>
        <w:spacing w:line="440" w:lineRule="exact"/>
        <w:textAlignment w:val="auto"/>
        <w:outlineLvl w:val="2"/>
        <w:rPr>
          <w:rFonts w:hint="eastAsia"/>
          <w:b/>
          <w:bCs/>
          <w:lang w:val="en-US" w:eastAsia="zh-CN"/>
        </w:rPr>
      </w:pPr>
      <w:bookmarkStart w:id="2" w:name="_Toc14513"/>
      <w:bookmarkStart w:id="3" w:name="_Toc29345"/>
      <w:r>
        <w:rPr>
          <w:rFonts w:hint="eastAsia" w:ascii="宋体" w:hAnsi="宋体" w:eastAsia="宋体" w:cs="宋体"/>
          <w:b/>
          <w:bCs/>
          <w:sz w:val="24"/>
          <w:szCs w:val="24"/>
          <w:lang w:val="en-US" w:eastAsia="zh-CN"/>
        </w:rPr>
        <w:t>附件</w:t>
      </w:r>
      <w:r>
        <w:rPr>
          <w:rFonts w:hint="eastAsia" w:cs="宋体"/>
          <w:b/>
          <w:bCs/>
          <w:sz w:val="24"/>
          <w:szCs w:val="24"/>
          <w:lang w:val="en-US" w:eastAsia="zh-CN"/>
        </w:rPr>
        <w:t>二</w:t>
      </w:r>
      <w:r>
        <w:rPr>
          <w:rFonts w:hint="eastAsia" w:ascii="宋体" w:hAnsi="宋体" w:eastAsia="宋体" w:cs="宋体"/>
          <w:b/>
          <w:bCs/>
          <w:sz w:val="24"/>
          <w:szCs w:val="24"/>
          <w:lang w:val="en-US" w:eastAsia="zh-CN"/>
        </w:rPr>
        <w:t>：</w:t>
      </w:r>
      <w:r>
        <w:rPr>
          <w:rFonts w:hint="eastAsia"/>
          <w:b/>
          <w:bCs/>
          <w:lang w:val="en-US" w:eastAsia="zh-CN"/>
        </w:rPr>
        <w:t>《四川省财政厅关于推进四川省政府采购供应商信用融资工作的通知》(川财采〔2018〕123号文)</w:t>
      </w:r>
      <w:bookmarkEnd w:id="2"/>
      <w:bookmarkEnd w:id="3"/>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440" w:lineRule="exact"/>
        <w:ind w:right="0"/>
        <w:jc w:val="left"/>
        <w:textAlignment w:val="auto"/>
        <w:rPr>
          <w:rFonts w:hint="default" w:ascii="宋体" w:hAnsi="宋体" w:eastAsia="宋体" w:cs="宋体"/>
          <w:b/>
          <w:bCs/>
          <w:i w:val="0"/>
          <w:caps w:val="0"/>
          <w:color w:val="auto"/>
          <w:spacing w:val="0"/>
          <w:sz w:val="24"/>
          <w:szCs w:val="24"/>
          <w:lang w:val="en-US" w:eastAsia="zh-CN"/>
        </w:rPr>
      </w:pPr>
      <w:r>
        <w:rPr>
          <w:rFonts w:hint="eastAsia"/>
          <w:b/>
          <w:bCs/>
          <w:color w:val="auto"/>
          <w:lang w:val="en-US" w:eastAsia="zh-CN"/>
        </w:rPr>
        <w:t>查询链接：</w:t>
      </w:r>
      <w:r>
        <w:rPr>
          <w:rFonts w:hint="eastAsia" w:ascii="宋体" w:hAnsi="宋体" w:eastAsia="宋体" w:cs="宋体"/>
          <w:b/>
          <w:bCs/>
          <w:i w:val="0"/>
          <w:caps w:val="0"/>
          <w:color w:val="auto"/>
          <w:spacing w:val="0"/>
          <w:sz w:val="24"/>
          <w:szCs w:val="24"/>
          <w:lang w:val="en-US" w:eastAsia="zh-CN"/>
        </w:rPr>
        <w:t>http</w:t>
      </w:r>
      <w:r>
        <w:rPr>
          <w:rFonts w:hint="eastAsia" w:cs="宋体"/>
          <w:b/>
          <w:bCs/>
          <w:i w:val="0"/>
          <w:caps w:val="0"/>
          <w:color w:val="auto"/>
          <w:spacing w:val="0"/>
          <w:sz w:val="24"/>
          <w:szCs w:val="24"/>
          <w:lang w:val="en-US" w:eastAsia="zh-CN"/>
        </w:rPr>
        <w:t>：</w:t>
      </w:r>
      <w:r>
        <w:rPr>
          <w:rFonts w:hint="eastAsia" w:ascii="宋体" w:hAnsi="宋体" w:eastAsia="宋体" w:cs="宋体"/>
          <w:b/>
          <w:bCs/>
          <w:i w:val="0"/>
          <w:caps w:val="0"/>
          <w:color w:val="auto"/>
          <w:spacing w:val="0"/>
          <w:sz w:val="24"/>
          <w:szCs w:val="24"/>
          <w:lang w:val="en-US" w:eastAsia="zh-CN"/>
        </w:rPr>
        <w:t>//www.ccgp-sichuan.gov.cn/view/staticpags/sjzcfg/40288687657ff75501672fd954532414.html</w:t>
      </w:r>
    </w:p>
    <w:p>
      <w:pPr>
        <w:keepNext w:val="0"/>
        <w:keepLines w:val="0"/>
        <w:pageBreakBefore w:val="0"/>
        <w:widowControl/>
        <w:kinsoku/>
        <w:wordWrap/>
        <w:overflowPunct/>
        <w:topLinePunct w:val="0"/>
        <w:autoSpaceDE/>
        <w:autoSpaceDN/>
        <w:bidi w:val="0"/>
        <w:adjustRightInd/>
        <w:snapToGrid/>
        <w:spacing w:line="440" w:lineRule="exac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napToGrid/>
        <w:spacing w:line="240" w:lineRule="auto"/>
        <w:ind w:left="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302250" cy="1859915"/>
            <wp:effectExtent l="0" t="0" r="3175" b="6985"/>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6"/>
                    <pic:cNvPicPr>
                      <a:picLocks noChangeAspect="1"/>
                    </pic:cNvPicPr>
                  </pic:nvPicPr>
                  <pic:blipFill>
                    <a:blip r:embed="rId10"/>
                    <a:stretch>
                      <a:fillRect/>
                    </a:stretch>
                  </pic:blipFill>
                  <pic:spPr>
                    <a:xfrm>
                      <a:off x="0" y="0"/>
                      <a:ext cx="5302250" cy="1859915"/>
                    </a:xfrm>
                    <a:prstGeom prst="rect">
                      <a:avLst/>
                    </a:prstGeom>
                    <a:noFill/>
                    <a:ln w="9525">
                      <a:noFill/>
                    </a:ln>
                  </pic:spPr>
                </pic:pic>
              </a:graphicData>
            </a:graphic>
          </wp:inline>
        </w:drawing>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各市</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州</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、扩权县</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市</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财政局，各省直机关、事业单位、团体组织，各金融机构，各采购代理机构，各政府采购供应商：</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为贯彻落实党的十九大精神、国务院“放管服”改革决策部署、省委十一届三次全会“大力推进创新驱动发展战略”精神，助力解决政府采购中标、成交供应商资金不足、融资难、融资贵的困难，促进供应商依法诚信参加政府采购活动，根据《中华人民共和国政府采购法》、《四川省人民政府关于印发进一步规范政府采购监管和执行若干规定的通知》</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川府发〔2018〕14号</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等有关规定，现就推进四川省政府采购供应商信用融资工作有关事项通知如下。</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一、融资概念</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政府采购供应商信用融资</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以下简称“政采贷”</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，是指银行以政府采购供应商信用审查和政府采购信誉为基础，依托政府采购合同，按优于一般企业的贷款程序和利率，直接向申请贷款的供应商发放无财产抵押贷款的一种融资模式。</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二、基本原则</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一</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财政引导，市场运行</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财政部门推进“政采贷”，银行和供应商按照自愿原则参与。供应商自愿选择是否申请“政采贷”，银行依据其内部审查制度和决策程序决定是否为供应商提供融资，自担风险。</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二</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建立机制，服务银企</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财政部门与银行建立“政采贷”工作机制，推动政府采购政策功能和金融资源的有机结合，拓宽银行的融资业务，助力解决政府采购中标、成交供应商资金不足、融资难、融资贵的困难，促进企业健康发展。</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三</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优质优惠，加强扶持</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银行按优于同期一般企业的贷款利率，向政府采购供应商提供信用贷款，贷款额度由银行根据政府采购合同的具体情况确定，不要求申请融资的供应商提供财产抵押或第三方担保，不收取融资利息之外的额外费用。</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三、基本条件</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一</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银行暨“政采贷”金融产品</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ascii="宋体" w:hAnsi="宋体" w:eastAsia="宋体" w:cs="宋体"/>
          <w:b/>
          <w:i w:val="0"/>
          <w:caps w:val="0"/>
          <w:color w:val="auto"/>
          <w:spacing w:val="0"/>
          <w:sz w:val="24"/>
          <w:szCs w:val="24"/>
        </w:rPr>
        <w:t>1、征集。</w:t>
      </w:r>
      <w:r>
        <w:rPr>
          <w:rFonts w:hint="eastAsia" w:ascii="宋体" w:hAnsi="宋体" w:eastAsia="宋体" w:cs="宋体"/>
          <w:b w:val="0"/>
          <w:i w:val="0"/>
          <w:caps w:val="0"/>
          <w:color w:val="auto"/>
          <w:spacing w:val="0"/>
          <w:sz w:val="24"/>
          <w:szCs w:val="24"/>
        </w:rPr>
        <w:t>在四川省行政区域内，有意向开展“政采贷”工作的银行，可以于2018年12月21日前，直接向四川省财政厅</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政府采购监督管理处</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提交书面申请。四川省财政厅可以根据情况每年征集一次有意向开展“政采贷”工作的银行。</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申请材料应当包括银行基本情况、“政采贷”产品名称、申请贷款条件、申请贷款方式、申请贷款程序、贷款审查流程、贷款额度、发放贷款时间、收款方式及其他优质服务和优惠承诺等。</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银行提供的“政采贷”产品应当满足“无抵押担保、程序简便、利率优惠、放款及时”的基本条件以及本通知其他相关规定。</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银行申请材料中应当载明其自愿提供“政采贷”产品，自担风险，不得要求或者变相要求财政部门和采购人为其提供风险担保、承诺。</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ascii="宋体" w:hAnsi="宋体" w:eastAsia="宋体" w:cs="宋体"/>
          <w:b/>
          <w:i w:val="0"/>
          <w:caps w:val="0"/>
          <w:color w:val="auto"/>
          <w:spacing w:val="0"/>
          <w:sz w:val="24"/>
          <w:szCs w:val="24"/>
        </w:rPr>
        <w:t>2、公示。</w:t>
      </w:r>
      <w:r>
        <w:rPr>
          <w:rFonts w:hint="eastAsia" w:ascii="宋体" w:hAnsi="宋体" w:eastAsia="宋体" w:cs="宋体"/>
          <w:b w:val="0"/>
          <w:i w:val="0"/>
          <w:caps w:val="0"/>
          <w:color w:val="auto"/>
          <w:spacing w:val="0"/>
          <w:sz w:val="24"/>
          <w:szCs w:val="24"/>
        </w:rPr>
        <w:t>四川省财政厅收到银行提交的书面申请后，对满足本通知要求的银行及其“政采贷”产品具体信息，及时在</w:t>
      </w:r>
      <w:r>
        <w:rPr>
          <w:rFonts w:hint="eastAsia" w:cs="宋体"/>
          <w:b w:val="0"/>
          <w:i w:val="0"/>
          <w:caps w:val="0"/>
          <w:color w:val="auto"/>
          <w:spacing w:val="0"/>
          <w:sz w:val="24"/>
          <w:szCs w:val="24"/>
          <w:lang w:eastAsia="zh-CN"/>
        </w:rPr>
        <w:t>“四川政府采购网”</w:t>
      </w:r>
      <w:r>
        <w:rPr>
          <w:rFonts w:hint="eastAsia" w:ascii="宋体" w:hAnsi="宋体" w:eastAsia="宋体" w:cs="宋体"/>
          <w:b w:val="0"/>
          <w:i w:val="0"/>
          <w:caps w:val="0"/>
          <w:color w:val="auto"/>
          <w:spacing w:val="0"/>
          <w:sz w:val="24"/>
          <w:szCs w:val="24"/>
        </w:rPr>
        <w:t>向社会公示。银行申请材料中提供的“政采贷”产品不满足本通知要求的，四川省财政厅将退回申请，并告知理由。</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二</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供应商</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政府采购供应商向银行申请“政采贷”，应当满足下列基本条件：</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ascii="宋体" w:hAnsi="宋体" w:eastAsia="宋体" w:cs="宋体"/>
          <w:b/>
          <w:i w:val="0"/>
          <w:caps w:val="0"/>
          <w:color w:val="auto"/>
          <w:spacing w:val="0"/>
          <w:sz w:val="24"/>
          <w:szCs w:val="24"/>
        </w:rPr>
        <w:t>1、</w:t>
      </w:r>
      <w:r>
        <w:rPr>
          <w:rFonts w:hint="eastAsia" w:ascii="宋体" w:hAnsi="宋体" w:eastAsia="宋体" w:cs="宋体"/>
          <w:b w:val="0"/>
          <w:i w:val="0"/>
          <w:caps w:val="0"/>
          <w:color w:val="auto"/>
          <w:spacing w:val="0"/>
          <w:sz w:val="24"/>
          <w:szCs w:val="24"/>
        </w:rPr>
        <w:t>具有依法承担民事责任的能力；</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ascii="宋体" w:hAnsi="宋体" w:eastAsia="宋体" w:cs="宋体"/>
          <w:b/>
          <w:i w:val="0"/>
          <w:caps w:val="0"/>
          <w:color w:val="auto"/>
          <w:spacing w:val="0"/>
          <w:sz w:val="24"/>
          <w:szCs w:val="24"/>
        </w:rPr>
        <w:t>2、</w:t>
      </w:r>
      <w:r>
        <w:rPr>
          <w:rFonts w:hint="eastAsia" w:ascii="宋体" w:hAnsi="宋体" w:eastAsia="宋体" w:cs="宋体"/>
          <w:b w:val="0"/>
          <w:i w:val="0"/>
          <w:caps w:val="0"/>
          <w:color w:val="auto"/>
          <w:spacing w:val="0"/>
          <w:sz w:val="24"/>
          <w:szCs w:val="24"/>
        </w:rPr>
        <w:t>具有依法履行政府采购合同的能力；</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ascii="宋体" w:hAnsi="宋体" w:eastAsia="宋体" w:cs="宋体"/>
          <w:b/>
          <w:i w:val="0"/>
          <w:caps w:val="0"/>
          <w:color w:val="auto"/>
          <w:spacing w:val="0"/>
          <w:sz w:val="24"/>
          <w:szCs w:val="24"/>
        </w:rPr>
        <w:t>3、</w:t>
      </w:r>
      <w:r>
        <w:rPr>
          <w:rFonts w:hint="eastAsia" w:ascii="宋体" w:hAnsi="宋体" w:eastAsia="宋体" w:cs="宋体"/>
          <w:b w:val="0"/>
          <w:i w:val="0"/>
          <w:caps w:val="0"/>
          <w:color w:val="auto"/>
          <w:spacing w:val="0"/>
          <w:sz w:val="24"/>
          <w:szCs w:val="24"/>
        </w:rPr>
        <w:t>参加的政府采购活动未被财政部门依法暂停、责令重新开展或者认定中标、成交无效；</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ascii="宋体" w:hAnsi="宋体" w:eastAsia="宋体" w:cs="宋体"/>
          <w:b/>
          <w:i w:val="0"/>
          <w:caps w:val="0"/>
          <w:color w:val="auto"/>
          <w:spacing w:val="0"/>
          <w:sz w:val="24"/>
          <w:szCs w:val="24"/>
        </w:rPr>
        <w:t>4、</w:t>
      </w:r>
      <w:r>
        <w:rPr>
          <w:rFonts w:hint="eastAsia" w:ascii="宋体" w:hAnsi="宋体" w:eastAsia="宋体" w:cs="宋体"/>
          <w:b w:val="0"/>
          <w:i w:val="0"/>
          <w:caps w:val="0"/>
          <w:color w:val="auto"/>
          <w:spacing w:val="0"/>
          <w:sz w:val="24"/>
          <w:szCs w:val="24"/>
        </w:rPr>
        <w:t>无《政府采购法》第二十二条第一款第</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五</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项所称的重大违法记录；</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ascii="宋体" w:hAnsi="宋体" w:eastAsia="宋体" w:cs="宋体"/>
          <w:b/>
          <w:i w:val="0"/>
          <w:caps w:val="0"/>
          <w:color w:val="auto"/>
          <w:spacing w:val="0"/>
          <w:sz w:val="24"/>
          <w:szCs w:val="24"/>
        </w:rPr>
        <w:t>5、</w:t>
      </w:r>
      <w:r>
        <w:rPr>
          <w:rFonts w:hint="eastAsia" w:ascii="宋体" w:hAnsi="宋体" w:eastAsia="宋体" w:cs="宋体"/>
          <w:b w:val="0"/>
          <w:i w:val="0"/>
          <w:caps w:val="0"/>
          <w:color w:val="auto"/>
          <w:spacing w:val="0"/>
          <w:sz w:val="24"/>
          <w:szCs w:val="24"/>
        </w:rPr>
        <w:t>未被法院、市场监管、税务、银行等部门单位纳入失信名单且在有效期内；</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ascii="宋体" w:hAnsi="宋体" w:eastAsia="宋体" w:cs="宋体"/>
          <w:b/>
          <w:i w:val="0"/>
          <w:caps w:val="0"/>
          <w:color w:val="auto"/>
          <w:spacing w:val="0"/>
          <w:sz w:val="24"/>
          <w:szCs w:val="24"/>
        </w:rPr>
        <w:t>6、</w:t>
      </w:r>
      <w:r>
        <w:rPr>
          <w:rFonts w:hint="eastAsia" w:ascii="宋体" w:hAnsi="宋体" w:eastAsia="宋体" w:cs="宋体"/>
          <w:b w:val="0"/>
          <w:i w:val="0"/>
          <w:caps w:val="0"/>
          <w:color w:val="auto"/>
          <w:spacing w:val="0"/>
          <w:sz w:val="24"/>
          <w:szCs w:val="24"/>
        </w:rPr>
        <w:t>在一定期限内的</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银行可以具体确定</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政府采购合同履约过程中或者其他经营活动履约过程中，无不依法履约被有关行政部门行政处罚的或者产生法律纠纷被法院、仲裁机构判决、裁决败诉的；</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ascii="宋体" w:hAnsi="宋体" w:eastAsia="宋体" w:cs="宋体"/>
          <w:b/>
          <w:i w:val="0"/>
          <w:caps w:val="0"/>
          <w:color w:val="auto"/>
          <w:spacing w:val="0"/>
          <w:sz w:val="24"/>
          <w:szCs w:val="24"/>
        </w:rPr>
        <w:t>7、</w:t>
      </w:r>
      <w:r>
        <w:rPr>
          <w:rFonts w:hint="eastAsia" w:ascii="宋体" w:hAnsi="宋体" w:eastAsia="宋体" w:cs="宋体"/>
          <w:b w:val="0"/>
          <w:i w:val="0"/>
          <w:caps w:val="0"/>
          <w:color w:val="auto"/>
          <w:spacing w:val="0"/>
          <w:sz w:val="24"/>
          <w:szCs w:val="24"/>
        </w:rPr>
        <w:t>其他银行要求的不属于提供财产抵押或第三方担保的条件。</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四、构建平台</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四川省财政厅将在</w:t>
      </w:r>
      <w:r>
        <w:rPr>
          <w:rFonts w:hint="eastAsia" w:cs="宋体"/>
          <w:b w:val="0"/>
          <w:i w:val="0"/>
          <w:caps w:val="0"/>
          <w:color w:val="auto"/>
          <w:spacing w:val="0"/>
          <w:sz w:val="24"/>
          <w:szCs w:val="24"/>
          <w:lang w:eastAsia="zh-CN"/>
        </w:rPr>
        <w:t>“四川政府采购网”</w:t>
      </w:r>
      <w:r>
        <w:rPr>
          <w:rFonts w:hint="eastAsia" w:ascii="宋体" w:hAnsi="宋体" w:eastAsia="宋体" w:cs="宋体"/>
          <w:b w:val="0"/>
          <w:i w:val="0"/>
          <w:caps w:val="0"/>
          <w:color w:val="auto"/>
          <w:spacing w:val="0"/>
          <w:sz w:val="24"/>
          <w:szCs w:val="24"/>
        </w:rPr>
        <w:t>统一构建四川省“政采贷”信息化服务平台，推进四川省“政采贷”工作信息化建设。</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五、财金互动</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各级财政部门应当按照《四川省政府采购促进中小企业发展的若干规定》</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川财采[2016]35号</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等有关规定，对金融机构向小微企业提供“政采贷”贷款产生的损失，纳入财政金融互动政策范围给予风险补贴。</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六、基本流程</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一</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意向申请</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b w:val="0"/>
          <w:i w:val="0"/>
          <w:caps w:val="0"/>
          <w:color w:val="auto"/>
          <w:spacing w:val="0"/>
          <w:sz w:val="24"/>
          <w:szCs w:val="24"/>
        </w:rPr>
      </w:pPr>
      <w:r>
        <w:rPr>
          <w:rFonts w:hint="eastAsia" w:ascii="宋体" w:hAnsi="宋体" w:eastAsia="宋体" w:cs="宋体"/>
          <w:b w:val="0"/>
          <w:i w:val="0"/>
          <w:caps w:val="0"/>
          <w:color w:val="auto"/>
          <w:spacing w:val="0"/>
          <w:sz w:val="24"/>
          <w:szCs w:val="24"/>
        </w:rPr>
        <w:t>有融资需求的供应商可根据</w:t>
      </w:r>
      <w:r>
        <w:rPr>
          <w:rFonts w:hint="eastAsia" w:cs="宋体"/>
          <w:b w:val="0"/>
          <w:i w:val="0"/>
          <w:caps w:val="0"/>
          <w:color w:val="auto"/>
          <w:spacing w:val="0"/>
          <w:sz w:val="24"/>
          <w:szCs w:val="24"/>
          <w:lang w:eastAsia="zh-CN"/>
        </w:rPr>
        <w:t>“四川政府采购网”</w:t>
      </w:r>
      <w:r>
        <w:rPr>
          <w:rFonts w:hint="eastAsia" w:ascii="宋体" w:hAnsi="宋体" w:eastAsia="宋体" w:cs="宋体"/>
          <w:b w:val="0"/>
          <w:i w:val="0"/>
          <w:caps w:val="0"/>
          <w:color w:val="auto"/>
          <w:spacing w:val="0"/>
          <w:sz w:val="24"/>
          <w:szCs w:val="24"/>
        </w:rPr>
        <w:t>公示的银行及其“政采贷”产品，自行选择符合自身情况的“政采贷”银行及其产品，凭中标</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成交</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通知书向银行提出贷款意向申请。银行应及时按照有关规定完成对供应商的信用审查以及开设账户等相关工作。</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b/>
          <w:i w:val="0"/>
          <w:caps w:val="0"/>
          <w:color w:val="auto"/>
          <w:spacing w:val="0"/>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二</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正式申请</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供应商与采购人在法定时间依法签订政府采购合同</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政府采购合同签订后，应当依法在7个工作日内向同级财政部门备案，2个工作日内在</w:t>
      </w:r>
      <w:r>
        <w:rPr>
          <w:rFonts w:hint="eastAsia" w:cs="宋体"/>
          <w:b w:val="0"/>
          <w:i w:val="0"/>
          <w:caps w:val="0"/>
          <w:color w:val="auto"/>
          <w:spacing w:val="0"/>
          <w:sz w:val="24"/>
          <w:szCs w:val="24"/>
          <w:lang w:eastAsia="zh-CN"/>
        </w:rPr>
        <w:t>“四川政府采购网”</w:t>
      </w:r>
      <w:r>
        <w:rPr>
          <w:rFonts w:hint="eastAsia" w:ascii="宋体" w:hAnsi="宋体" w:eastAsia="宋体" w:cs="宋体"/>
          <w:b w:val="0"/>
          <w:i w:val="0"/>
          <w:caps w:val="0"/>
          <w:color w:val="auto"/>
          <w:spacing w:val="0"/>
          <w:sz w:val="24"/>
          <w:szCs w:val="24"/>
        </w:rPr>
        <w:t>公告</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后，可凭政府采购合同向银行提出“政采贷”正式申请。</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对拟用于“政采贷”的政府采购合同，应在合同中注明贷款银行名称及账号，作为供应商本次采购的唯一收款账号。因发生特殊情况需要在还款前变更收款账号的，供应商应当事前书面告知采购人和放款银行，并获得采购人和放款银行同意。采购人和放款银行同意后，采购人与供应商应当就该条款重新签订政府采购合同或者签订补充协议作为原政府采购合同的一部分，并在签订后依法在7个工作日内向同级财政部门备案，2个工作日内在</w:t>
      </w:r>
      <w:r>
        <w:rPr>
          <w:rFonts w:hint="eastAsia" w:cs="宋体"/>
          <w:b w:val="0"/>
          <w:i w:val="0"/>
          <w:caps w:val="0"/>
          <w:color w:val="auto"/>
          <w:spacing w:val="0"/>
          <w:sz w:val="24"/>
          <w:szCs w:val="24"/>
          <w:lang w:eastAsia="zh-CN"/>
        </w:rPr>
        <w:t>“四川政府采购网”</w:t>
      </w:r>
      <w:r>
        <w:rPr>
          <w:rFonts w:hint="eastAsia" w:ascii="宋体" w:hAnsi="宋体" w:eastAsia="宋体" w:cs="宋体"/>
          <w:b w:val="0"/>
          <w:i w:val="0"/>
          <w:caps w:val="0"/>
          <w:color w:val="auto"/>
          <w:spacing w:val="0"/>
          <w:sz w:val="24"/>
          <w:szCs w:val="24"/>
        </w:rPr>
        <w:t>公告。</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三</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贷款审查</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银行按规定对申请“政采贷”的供应商及其提供的政府采购合同等信息进行审查。审查过程中，银行认为有必要的，可以到采购人、采购代理机构或者财政部门对该政府采购合同的书面信息与备案信息进行核实，有关单位应当配合。银行审查通过后，应当按照其在</w:t>
      </w:r>
      <w:r>
        <w:rPr>
          <w:rFonts w:hint="eastAsia" w:cs="宋体"/>
          <w:b w:val="0"/>
          <w:i w:val="0"/>
          <w:caps w:val="0"/>
          <w:color w:val="auto"/>
          <w:spacing w:val="0"/>
          <w:sz w:val="24"/>
          <w:szCs w:val="24"/>
          <w:lang w:eastAsia="zh-CN"/>
        </w:rPr>
        <w:t>“四川政府采购网”</w:t>
      </w:r>
      <w:r>
        <w:rPr>
          <w:rFonts w:hint="eastAsia" w:ascii="宋体" w:hAnsi="宋体" w:eastAsia="宋体" w:cs="宋体"/>
          <w:b w:val="0"/>
          <w:i w:val="0"/>
          <w:caps w:val="0"/>
          <w:color w:val="auto"/>
          <w:spacing w:val="0"/>
          <w:sz w:val="24"/>
          <w:szCs w:val="24"/>
        </w:rPr>
        <w:t>公示的“政采贷”产品服务承诺事项及时放款。</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四</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信息报送</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银行完成放款后，应当通过四川省“政采贷”信息化服务平台，填写《四川省“政采贷”信息统计表》</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详见附件</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，每季度终了5个工作日内，向四川省财政厅</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政府采购监督管理处</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报送，以便相关部门及时掌握和分析“政采贷”信息，不断推进“政采贷”工作。</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五</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资金支付</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政府采购资金支付时，采购人必须将采购资金支付到政府采购合同中注明的贷款银行名称及账号，以保障贷款资金的安全回收。采购人不得将采购资金支付在政府采购合同约定以外的收款账号。</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政府采购资金支付过程中，银行需要查询采购资金支付进程有关信息的，财政部门和采购人应当支持。</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七、职责要求</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一</w:t>
      </w:r>
      <w:r>
        <w:rPr>
          <w:rFonts w:hint="eastAsia" w:cs="宋体"/>
          <w:b/>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各级财政部门应当高度重视“政采贷”工作，提高认识，充分发挥自身职能作用。不断完善政策措施，加强对“政采贷”采购项目的跟踪监督，对于银行向采购人、采购代理机构核实或者获取合法范围内的相关政府采购信息有困难的，可以积极进行协调。财政部门不得为“政采贷”提供任何形式的担保和承诺。</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二</w:t>
      </w:r>
      <w:r>
        <w:rPr>
          <w:rFonts w:hint="eastAsia" w:cs="宋体"/>
          <w:b/>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银行应当切实转变注重抵押担保的传统信贷理念，积极服务经济社会发展的大局，不断完善“政采贷”产品，优化贷款审查流程，简化贷款审查手续，提供更多优质服务，同时做好风险防控工作。银行对于供应商是否如期还款情况及未如期还款的主要原因等信息，应当及时向财政部门反馈。</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三</w:t>
      </w:r>
      <w:r>
        <w:rPr>
          <w:rFonts w:hint="eastAsia" w:cs="宋体"/>
          <w:b/>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采购人应当积极支持“政采贷”工作，对于银行、供应商提出的合理需求，应当支持。对于已融资采购项目，供应商履约完成后，要及时开展履约验收工作，及时支付采购资金，不得无故拖延和拒付采购资金。</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四</w:t>
      </w:r>
      <w:r>
        <w:rPr>
          <w:rFonts w:hint="eastAsia" w:cs="宋体"/>
          <w:b/>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采购代理机构在组织实施政府采购活动中，应当采取有效方式，向供应商宣传“政采贷”政策。银行需要借用采购代理机构的场所直接向供应商介绍其“政采贷”产品的，采购代理机构应当支持。</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五</w:t>
      </w:r>
      <w:r>
        <w:rPr>
          <w:rFonts w:hint="eastAsia" w:cs="宋体"/>
          <w:b/>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供应商应当依法参加政府采购活动，公平竞争，诚实守信，严格按照政府采购合同履约，严格按照借款合同偿还债务。</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六</w:t>
      </w:r>
      <w:r>
        <w:rPr>
          <w:rFonts w:hint="eastAsia" w:cs="宋体"/>
          <w:b/>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财政部门、采购人、采购代理机构及其他有关单位和个人不得违规干预供应商选择“政采贷”银行及其产品，也不得违规干预银行向供应商进行贷款。</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七</w:t>
      </w:r>
      <w:r>
        <w:rPr>
          <w:rFonts w:hint="eastAsia" w:cs="宋体"/>
          <w:b/>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相关单位和个人在开展“政采贷”工作过程中，发现新问题、新情况或者有意见建议的，请及时向四川省财政厅反馈。</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八、违规处理</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一</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银行违规处理</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银行不按照其在</w:t>
      </w:r>
      <w:r>
        <w:rPr>
          <w:rFonts w:hint="eastAsia" w:cs="宋体"/>
          <w:b w:val="0"/>
          <w:i w:val="0"/>
          <w:caps w:val="0"/>
          <w:color w:val="auto"/>
          <w:spacing w:val="0"/>
          <w:sz w:val="24"/>
          <w:szCs w:val="24"/>
          <w:lang w:eastAsia="zh-CN"/>
        </w:rPr>
        <w:t>“四川政府采购网”</w:t>
      </w:r>
      <w:r>
        <w:rPr>
          <w:rFonts w:hint="eastAsia" w:ascii="宋体" w:hAnsi="宋体" w:eastAsia="宋体" w:cs="宋体"/>
          <w:b w:val="0"/>
          <w:i w:val="0"/>
          <w:caps w:val="0"/>
          <w:color w:val="auto"/>
          <w:spacing w:val="0"/>
          <w:sz w:val="24"/>
          <w:szCs w:val="24"/>
        </w:rPr>
        <w:t>公示的“政采贷”产品服务承诺事项办理供应商信用融资贷款申请的，由四川省财政厅进行约谈，责令限期整改；拒不整改或者变相拒不整改的，撤销其在</w:t>
      </w:r>
      <w:r>
        <w:rPr>
          <w:rFonts w:hint="eastAsia" w:cs="宋体"/>
          <w:b w:val="0"/>
          <w:i w:val="0"/>
          <w:caps w:val="0"/>
          <w:color w:val="auto"/>
          <w:spacing w:val="0"/>
          <w:sz w:val="24"/>
          <w:szCs w:val="24"/>
          <w:lang w:eastAsia="zh-CN"/>
        </w:rPr>
        <w:t>“四川政府采购网”</w:t>
      </w:r>
      <w:r>
        <w:rPr>
          <w:rFonts w:hint="eastAsia" w:ascii="宋体" w:hAnsi="宋体" w:eastAsia="宋体" w:cs="宋体"/>
          <w:b w:val="0"/>
          <w:i w:val="0"/>
          <w:caps w:val="0"/>
          <w:color w:val="auto"/>
          <w:spacing w:val="0"/>
          <w:sz w:val="24"/>
          <w:szCs w:val="24"/>
        </w:rPr>
        <w:t>的公示信息，取消其资格，并在1-3年内拒绝接收其再次申请。</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二</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供应商违规处理</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供应商以政府采购合同造假或者其他造假方式违规申请信用融资的，或者违反有关规定或者约定，导致无法偿还信用融资贷款的，或者拒绝或无故拖延还款付息的，由有关部门单位依法处理，纳入“不具备《中华人民共和国政府采购法》第二十二条第一款第</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二</w:t>
      </w:r>
      <w:r>
        <w:rPr>
          <w:rFonts w:hint="eastAsia" w:cs="宋体"/>
          <w:b w:val="0"/>
          <w:i w:val="0"/>
          <w:caps w:val="0"/>
          <w:color w:val="auto"/>
          <w:spacing w:val="0"/>
          <w:sz w:val="24"/>
          <w:szCs w:val="24"/>
          <w:lang w:eastAsia="zh-CN"/>
        </w:rPr>
        <w:t>)</w:t>
      </w:r>
      <w:r>
        <w:rPr>
          <w:rFonts w:hint="eastAsia" w:ascii="宋体" w:hAnsi="宋体" w:eastAsia="宋体" w:cs="宋体"/>
          <w:b w:val="0"/>
          <w:i w:val="0"/>
          <w:caps w:val="0"/>
          <w:color w:val="auto"/>
          <w:spacing w:val="0"/>
          <w:sz w:val="24"/>
          <w:szCs w:val="24"/>
        </w:rPr>
        <w:t>项规定的具有良好的商业信誉条件”名单，并在</w:t>
      </w:r>
      <w:r>
        <w:rPr>
          <w:rFonts w:hint="eastAsia" w:cs="宋体"/>
          <w:b w:val="0"/>
          <w:i w:val="0"/>
          <w:caps w:val="0"/>
          <w:color w:val="auto"/>
          <w:spacing w:val="0"/>
          <w:sz w:val="24"/>
          <w:szCs w:val="24"/>
          <w:lang w:eastAsia="zh-CN"/>
        </w:rPr>
        <w:t>“四川政府采购网”</w:t>
      </w:r>
      <w:r>
        <w:rPr>
          <w:rFonts w:hint="eastAsia" w:ascii="宋体" w:hAnsi="宋体" w:eastAsia="宋体" w:cs="宋体"/>
          <w:b w:val="0"/>
          <w:i w:val="0"/>
          <w:caps w:val="0"/>
          <w:color w:val="auto"/>
          <w:spacing w:val="0"/>
          <w:sz w:val="24"/>
          <w:szCs w:val="24"/>
        </w:rPr>
        <w:t>公示。</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宋体" w:hAnsi="宋体" w:eastAsia="宋体" w:cs="宋体"/>
          <w:color w:val="auto"/>
          <w:sz w:val="24"/>
          <w:szCs w:val="24"/>
        </w:rPr>
      </w:pP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三</w:t>
      </w:r>
      <w:r>
        <w:rPr>
          <w:rFonts w:hint="eastAsia" w:cs="宋体"/>
          <w:b/>
          <w:i w:val="0"/>
          <w:caps w:val="0"/>
          <w:color w:val="auto"/>
          <w:spacing w:val="0"/>
          <w:sz w:val="24"/>
          <w:szCs w:val="24"/>
          <w:lang w:eastAsia="zh-CN"/>
        </w:rPr>
        <w:t>)</w:t>
      </w:r>
      <w:r>
        <w:rPr>
          <w:rFonts w:hint="eastAsia" w:ascii="宋体" w:hAnsi="宋体" w:eastAsia="宋体" w:cs="宋体"/>
          <w:b/>
          <w:i w:val="0"/>
          <w:caps w:val="0"/>
          <w:color w:val="auto"/>
          <w:spacing w:val="0"/>
          <w:sz w:val="24"/>
          <w:szCs w:val="24"/>
        </w:rPr>
        <w:t>其他违规处理</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b w:val="0"/>
          <w:i w:val="0"/>
          <w:caps w:val="0"/>
          <w:color w:val="auto"/>
          <w:spacing w:val="0"/>
          <w:sz w:val="24"/>
          <w:szCs w:val="24"/>
        </w:rPr>
        <w:t>采购人无正当理由拖延和拒付采购资金的，或者采购代理机构拒绝支持银行借用场所向供应商介绍其“政采贷”产品的，或者有关单位或个人违规干预供应商选择“政采贷”银行及其产品的，或者有关单位或个人违规干预银行向供应商进行贷款的，由采购项目同级财政部门进行约谈，责令限期整改；拒不整改或者变相拒不整改的，按照有关规定依法处理。</w:t>
      </w:r>
    </w:p>
    <w:p>
      <w:pPr>
        <w:pStyle w:val="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宋体" w:hAnsi="宋体" w:eastAsia="宋体" w:cs="宋体"/>
          <w:b w:val="0"/>
          <w:i w:val="0"/>
          <w:caps w:val="0"/>
          <w:color w:val="auto"/>
          <w:spacing w:val="0"/>
          <w:sz w:val="24"/>
          <w:szCs w:val="24"/>
        </w:rPr>
      </w:pPr>
      <w:r>
        <w:rPr>
          <w:rFonts w:hint="eastAsia" w:ascii="宋体" w:hAnsi="宋体" w:eastAsia="宋体" w:cs="宋体"/>
          <w:kern w:val="0"/>
          <w:sz w:val="24"/>
          <w:szCs w:val="24"/>
          <w:lang w:val="en-US" w:eastAsia="zh-CN" w:bidi="ar"/>
        </w:rPr>
        <w:drawing>
          <wp:anchor distT="0" distB="0" distL="114300" distR="114300" simplePos="0" relativeHeight="251659264" behindDoc="0" locked="0" layoutInCell="1" allowOverlap="1">
            <wp:simplePos x="0" y="0"/>
            <wp:positionH relativeFrom="column">
              <wp:posOffset>3467100</wp:posOffset>
            </wp:positionH>
            <wp:positionV relativeFrom="paragraph">
              <wp:posOffset>143510</wp:posOffset>
            </wp:positionV>
            <wp:extent cx="1771650" cy="1781175"/>
            <wp:effectExtent l="0" t="0" r="0" b="0"/>
            <wp:wrapSquare wrapText="bothSides"/>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11"/>
                    <a:stretch>
                      <a:fillRect/>
                    </a:stretch>
                  </pic:blipFill>
                  <pic:spPr>
                    <a:xfrm>
                      <a:off x="0" y="0"/>
                      <a:ext cx="1771650" cy="1781175"/>
                    </a:xfrm>
                    <a:prstGeom prst="rect">
                      <a:avLst/>
                    </a:prstGeom>
                    <a:noFill/>
                    <a:ln w="9525">
                      <a:noFill/>
                    </a:ln>
                  </pic:spPr>
                </pic:pic>
              </a:graphicData>
            </a:graphic>
          </wp:anchor>
        </w:drawing>
      </w:r>
      <w:r>
        <w:rPr>
          <w:rFonts w:hint="eastAsia" w:ascii="宋体" w:hAnsi="宋体" w:eastAsia="宋体" w:cs="宋体"/>
          <w:b w:val="0"/>
          <w:i w:val="0"/>
          <w:caps w:val="0"/>
          <w:color w:val="auto"/>
          <w:spacing w:val="0"/>
          <w:sz w:val="24"/>
          <w:szCs w:val="24"/>
        </w:rPr>
        <w:t> </w:t>
      </w:r>
    </w:p>
    <w:p>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br w:type="page"/>
      </w:r>
    </w:p>
    <w:p>
      <w:pPr>
        <w:keepNext w:val="0"/>
        <w:keepLines w:val="0"/>
        <w:pageBreakBefore w:val="0"/>
        <w:widowControl w:val="0"/>
        <w:kinsoku/>
        <w:wordWrap w:val="0"/>
        <w:overflowPunct/>
        <w:topLinePunct/>
        <w:autoSpaceDE/>
        <w:autoSpaceDN/>
        <w:bidi w:val="0"/>
        <w:adjustRightInd/>
        <w:snapToGrid/>
        <w:spacing w:line="440" w:lineRule="exact"/>
        <w:ind w:firstLine="0" w:firstLineChars="0"/>
        <w:textAlignment w:val="auto"/>
        <w:outlineLvl w:val="2"/>
        <w:rPr>
          <w:rFonts w:hint="eastAsia" w:ascii="宋体" w:hAnsi="宋体" w:eastAsia="宋体" w:cs="宋体"/>
          <w:b/>
          <w:bCs/>
          <w:color w:val="auto"/>
          <w:sz w:val="24"/>
          <w:szCs w:val="24"/>
          <w:lang w:val="en-US" w:eastAsia="zh-CN"/>
        </w:rPr>
      </w:pPr>
      <w:bookmarkStart w:id="4" w:name="_Toc8783"/>
      <w:bookmarkStart w:id="5" w:name="_Toc3034"/>
      <w:r>
        <w:rPr>
          <w:rFonts w:hint="eastAsia" w:ascii="宋体" w:hAnsi="宋体" w:eastAsia="宋体" w:cs="宋体"/>
          <w:b/>
          <w:bCs/>
          <w:color w:val="auto"/>
          <w:sz w:val="24"/>
          <w:szCs w:val="24"/>
          <w:lang w:val="en-US" w:eastAsia="zh-CN"/>
        </w:rPr>
        <w:t>附件</w:t>
      </w:r>
      <w:r>
        <w:rPr>
          <w:rFonts w:hint="eastAsia" w:cs="宋体"/>
          <w:b/>
          <w:bCs/>
          <w:color w:val="auto"/>
          <w:sz w:val="24"/>
          <w:szCs w:val="24"/>
          <w:lang w:val="en-US" w:eastAsia="zh-CN"/>
        </w:rPr>
        <w:t>三</w:t>
      </w:r>
      <w:r>
        <w:rPr>
          <w:rFonts w:hint="eastAsia" w:ascii="宋体" w:hAnsi="宋体" w:eastAsia="宋体" w:cs="宋体"/>
          <w:b/>
          <w:bCs/>
          <w:color w:val="auto"/>
          <w:sz w:val="24"/>
          <w:szCs w:val="24"/>
          <w:lang w:val="en-US" w:eastAsia="zh-CN"/>
        </w:rPr>
        <w:t>：成都市财政局  中国人民银行成都分行营业管理部关于印发《成都市中小企业政府采购信用融资暂行办法》和《成都市级支持中小企业政府采购信用融资实施方案》的通知</w:t>
      </w:r>
      <w:r>
        <w:rPr>
          <w:rFonts w:hint="eastAsia" w:cs="宋体"/>
          <w:b/>
          <w:bCs/>
          <w:color w:val="auto"/>
          <w:sz w:val="24"/>
          <w:szCs w:val="24"/>
          <w:lang w:val="en-US" w:eastAsia="zh-CN"/>
        </w:rPr>
        <w:t>(</w:t>
      </w:r>
      <w:r>
        <w:rPr>
          <w:rFonts w:hint="eastAsia" w:ascii="宋体" w:hAnsi="宋体" w:eastAsia="宋体" w:cs="宋体"/>
          <w:b/>
          <w:bCs/>
          <w:color w:val="auto"/>
          <w:sz w:val="24"/>
          <w:szCs w:val="24"/>
          <w:lang w:val="en-US" w:eastAsia="zh-CN"/>
        </w:rPr>
        <w:t>成财采〔2019〕17号</w:t>
      </w:r>
      <w:r>
        <w:rPr>
          <w:rFonts w:hint="eastAsia" w:cs="宋体"/>
          <w:b/>
          <w:bCs/>
          <w:color w:val="auto"/>
          <w:sz w:val="24"/>
          <w:szCs w:val="24"/>
          <w:lang w:val="en-US" w:eastAsia="zh-CN"/>
        </w:rPr>
        <w:t>)</w:t>
      </w:r>
      <w:bookmarkEnd w:id="4"/>
      <w:bookmarkEnd w:id="5"/>
    </w:p>
    <w:p>
      <w:pPr>
        <w:keepNext w:val="0"/>
        <w:keepLines w:val="0"/>
        <w:pageBreakBefore w:val="0"/>
        <w:widowControl/>
        <w:kinsoku/>
        <w:wordWrap w:val="0"/>
        <w:overflowPunct/>
        <w:topLinePunct w:val="0"/>
        <w:autoSpaceDE/>
        <w:autoSpaceDN/>
        <w:bidi w:val="0"/>
        <w:adjustRightInd/>
        <w:snapToGrid/>
        <w:spacing w:line="440" w:lineRule="exact"/>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查询链接：</w:t>
      </w:r>
      <w:r>
        <w:rPr>
          <w:rFonts w:hint="eastAsia" w:ascii="宋体" w:hAnsi="宋体" w:eastAsia="宋体" w:cs="宋体"/>
          <w:b/>
          <w:bCs/>
          <w:sz w:val="24"/>
          <w:szCs w:val="24"/>
          <w:lang w:val="en-US" w:eastAsia="zh-CN"/>
        </w:rPr>
        <w:fldChar w:fldCharType="begin"/>
      </w:r>
      <w:r>
        <w:rPr>
          <w:rFonts w:hint="eastAsia" w:ascii="宋体" w:hAnsi="宋体" w:eastAsia="宋体" w:cs="宋体"/>
          <w:b/>
          <w:bCs/>
          <w:sz w:val="24"/>
          <w:szCs w:val="24"/>
          <w:lang w:val="en-US" w:eastAsia="zh-CN"/>
        </w:rPr>
        <w:instrText xml:space="preserve"> HYPERLINK "http://cdcz.chengdu.gov.cn/cdsczj/c116726/2019-03/13/content_7d81ae9c2a1e48968c7839a9c5b88ccd.shtml" </w:instrText>
      </w:r>
      <w:r>
        <w:rPr>
          <w:rFonts w:hint="eastAsia" w:ascii="宋体" w:hAnsi="宋体" w:eastAsia="宋体" w:cs="宋体"/>
          <w:b/>
          <w:bCs/>
          <w:sz w:val="24"/>
          <w:szCs w:val="24"/>
          <w:lang w:val="en-US" w:eastAsia="zh-CN"/>
        </w:rPr>
        <w:fldChar w:fldCharType="separate"/>
      </w:r>
      <w:r>
        <w:rPr>
          <w:rStyle w:val="11"/>
          <w:rFonts w:hint="eastAsia" w:ascii="宋体" w:hAnsi="宋体" w:eastAsia="宋体" w:cs="宋体"/>
          <w:b/>
          <w:bCs/>
          <w:sz w:val="24"/>
          <w:szCs w:val="24"/>
          <w:lang w:val="en-US" w:eastAsia="zh-CN"/>
        </w:rPr>
        <w:t>http</w:t>
      </w:r>
      <w:r>
        <w:rPr>
          <w:rStyle w:val="11"/>
          <w:rFonts w:hint="eastAsia" w:cs="宋体"/>
          <w:b/>
          <w:bCs/>
          <w:sz w:val="24"/>
          <w:szCs w:val="24"/>
          <w:lang w:val="en-US" w:eastAsia="zh-CN"/>
        </w:rPr>
        <w:t>：</w:t>
      </w:r>
      <w:r>
        <w:rPr>
          <w:rStyle w:val="11"/>
          <w:rFonts w:hint="eastAsia" w:ascii="宋体" w:hAnsi="宋体" w:eastAsia="宋体" w:cs="宋体"/>
          <w:b/>
          <w:bCs/>
          <w:sz w:val="24"/>
          <w:szCs w:val="24"/>
          <w:lang w:val="en-US" w:eastAsia="zh-CN"/>
        </w:rPr>
        <w:t>//cdcz.chengdu.gov.cn/cdsczj/c116726/2019-03/13/content_7d81ae9c2a1e48968c7839a9c5b88ccd.shtml</w:t>
      </w:r>
      <w:r>
        <w:rPr>
          <w:rFonts w:hint="eastAsia" w:ascii="宋体" w:hAnsi="宋体" w:eastAsia="宋体" w:cs="宋体"/>
          <w:b/>
          <w:bCs/>
          <w:sz w:val="24"/>
          <w:szCs w:val="24"/>
          <w:lang w:val="en-US" w:eastAsia="zh-CN"/>
        </w:rPr>
        <w:fldChar w:fldCharType="end"/>
      </w:r>
    </w:p>
    <w:p>
      <w:pPr>
        <w:keepNext w:val="0"/>
        <w:keepLines w:val="0"/>
        <w:pageBreakBefore w:val="0"/>
        <w:widowControl/>
        <w:kinsoku/>
        <w:wordWrap w:val="0"/>
        <w:overflowPunct/>
        <w:topLinePunct w:val="0"/>
        <w:autoSpaceDE/>
        <w:autoSpaceDN/>
        <w:bidi w:val="0"/>
        <w:adjustRightInd/>
        <w:snapToGrid/>
        <w:spacing w:line="440" w:lineRule="exact"/>
        <w:textAlignment w:val="auto"/>
        <w:rPr>
          <w:rFonts w:hint="eastAsia" w:ascii="宋体" w:hAnsi="宋体" w:eastAsia="宋体" w:cs="宋体"/>
          <w:b/>
          <w:bCs/>
          <w:sz w:val="24"/>
          <w:szCs w:val="24"/>
          <w:lang w:val="en-US" w:eastAsia="zh-CN"/>
        </w:rPr>
      </w:pPr>
    </w:p>
    <w:tbl>
      <w:tblPr>
        <w:tblStyle w:val="9"/>
        <w:tblW w:w="9062" w:type="dxa"/>
        <w:jc w:val="center"/>
        <w:tblLayout w:type="fixed"/>
        <w:tblCellMar>
          <w:top w:w="0" w:type="dxa"/>
          <w:left w:w="108" w:type="dxa"/>
          <w:bottom w:w="0" w:type="dxa"/>
          <w:right w:w="108" w:type="dxa"/>
        </w:tblCellMar>
      </w:tblPr>
      <w:tblGrid>
        <w:gridCol w:w="7482"/>
        <w:gridCol w:w="1580"/>
      </w:tblGrid>
      <w:tr>
        <w:tblPrEx>
          <w:tblCellMar>
            <w:top w:w="0" w:type="dxa"/>
            <w:left w:w="108" w:type="dxa"/>
            <w:bottom w:w="0" w:type="dxa"/>
            <w:right w:w="108" w:type="dxa"/>
          </w:tblCellMar>
        </w:tblPrEx>
        <w:trPr>
          <w:cantSplit/>
          <w:trHeight w:val="1156" w:hRule="atLeast"/>
          <w:jc w:val="center"/>
        </w:trPr>
        <w:tc>
          <w:tcPr>
            <w:tcW w:w="7482"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distribute"/>
              <w:textAlignment w:val="auto"/>
              <w:rPr>
                <w:rFonts w:hint="eastAsia" w:eastAsia="方正小标宋简体"/>
                <w:color w:val="FF0000"/>
                <w:sz w:val="66"/>
                <w:szCs w:val="66"/>
              </w:rPr>
            </w:pPr>
            <w:r>
              <w:rPr>
                <w:rFonts w:hint="eastAsia" w:eastAsia="方正小标宋简体"/>
                <w:color w:val="FF0000"/>
                <w:sz w:val="66"/>
                <w:szCs w:val="66"/>
              </w:rPr>
              <w:t>成都市财政局</w:t>
            </w:r>
          </w:p>
        </w:tc>
        <w:tc>
          <w:tcPr>
            <w:tcW w:w="1580" w:type="dxa"/>
            <w:vMerge w:val="restar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方正小标宋简体"/>
                <w:color w:val="FF0000"/>
                <w:sz w:val="66"/>
                <w:szCs w:val="66"/>
              </w:rPr>
            </w:pPr>
            <w:r>
              <w:rPr>
                <w:rFonts w:hint="eastAsia" w:eastAsia="方正小标宋简体"/>
                <w:color w:val="FF0000"/>
                <w:sz w:val="66"/>
                <w:szCs w:val="66"/>
              </w:rPr>
              <w:t>文件</w:t>
            </w:r>
          </w:p>
        </w:tc>
      </w:tr>
      <w:tr>
        <w:tblPrEx>
          <w:tblCellMar>
            <w:top w:w="0" w:type="dxa"/>
            <w:left w:w="108" w:type="dxa"/>
            <w:bottom w:w="0" w:type="dxa"/>
            <w:right w:w="108" w:type="dxa"/>
          </w:tblCellMar>
        </w:tblPrEx>
        <w:trPr>
          <w:cantSplit/>
          <w:trHeight w:val="1335" w:hRule="atLeast"/>
          <w:jc w:val="center"/>
        </w:trPr>
        <w:tc>
          <w:tcPr>
            <w:tcW w:w="7482"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distribute"/>
              <w:textAlignment w:val="auto"/>
              <w:rPr>
                <w:rFonts w:hint="eastAsia" w:eastAsia="方正小标宋简体"/>
                <w:color w:val="FF0000"/>
                <w:spacing w:val="-20"/>
                <w:w w:val="82"/>
                <w:sz w:val="62"/>
                <w:szCs w:val="62"/>
              </w:rPr>
            </w:pPr>
            <w:r>
              <w:rPr>
                <w:rFonts w:hint="eastAsia" w:eastAsia="方正小标宋简体"/>
                <w:color w:val="FF0000"/>
                <w:spacing w:val="-20"/>
                <w:w w:val="82"/>
                <w:sz w:val="62"/>
                <w:szCs w:val="62"/>
              </w:rPr>
              <w:t>中国人民银行成都分行营业管理部</w:t>
            </w:r>
          </w:p>
        </w:tc>
        <w:tc>
          <w:tcPr>
            <w:tcW w:w="1580" w:type="dxa"/>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方正小标宋简体"/>
                <w:color w:val="FF0000"/>
                <w:sz w:val="66"/>
                <w:szCs w:val="66"/>
              </w:rPr>
            </w:pPr>
          </w:p>
        </w:tc>
      </w:tr>
    </w:tbl>
    <w:p>
      <w:pPr>
        <w:jc w:val="center"/>
        <w:rPr>
          <w:rFonts w:eastAsia="方正仿宋_GBK"/>
          <w:color w:val="000000"/>
        </w:rPr>
      </w:pPr>
      <w:r>
        <w:rPr>
          <w:rFonts w:eastAsia="方正仿宋_GBK"/>
          <w:color w:val="FF0000"/>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320675</wp:posOffset>
                </wp:positionV>
                <wp:extent cx="5618480" cy="0"/>
                <wp:effectExtent l="0" t="9525" r="1270" b="9525"/>
                <wp:wrapNone/>
                <wp:docPr id="9" name="直接连接符 9"/>
                <wp:cNvGraphicFramePr/>
                <a:graphic xmlns:a="http://schemas.openxmlformats.org/drawingml/2006/main">
                  <a:graphicData uri="http://schemas.microsoft.com/office/word/2010/wordprocessingShape">
                    <wps:wsp>
                      <wps:cNvCnPr/>
                      <wps:spPr>
                        <a:xfrm>
                          <a:off x="0" y="0"/>
                          <a:ext cx="5618480" cy="0"/>
                        </a:xfrm>
                        <a:prstGeom prst="line">
                          <a:avLst/>
                        </a:prstGeom>
                        <a:ln w="19050" cap="flat" cmpd="sng">
                          <a:solidFill>
                            <a:srgbClr val="FF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25.25pt;height:0pt;width:442.4pt;z-index:251660288;mso-width-relative:page;mso-height-relative:page;" filled="f" stroked="t" coordsize="21600,21600" o:gfxdata="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O/uPvWAAAABgEAAA8AAAAAAAAAAQAgAAAAIgAAAGRycy9kb3ducmV2LnhtbFBL&#10;AQIUABQAAAAIAIdO4kD5Dvo0+AEAAOUDAAAOAAAAAAAAAAEAIAAAACUBAABkcnMvZTJvRG9jLnht&#10;bFBLBQYAAAAABgAGAFkBAACPBQAAAAA=&#10;">
                <v:fill on="f" focussize="0,0"/>
                <v:stroke weight="1.5pt" color="#FF0000" joinstyle="round"/>
                <v:imagedata o:title=""/>
                <o:lock v:ext="edit" aspectratio="f"/>
              </v:line>
            </w:pict>
          </mc:Fallback>
        </mc:AlternateContent>
      </w:r>
      <w:r>
        <w:rPr>
          <w:rFonts w:eastAsia="方正仿宋_GBK"/>
        </w:rPr>
        <w:t>成财</w:t>
      </w:r>
      <w:r>
        <w:rPr>
          <w:rFonts w:hint="eastAsia" w:eastAsia="方正仿宋_GBK"/>
        </w:rPr>
        <w:t>采</w:t>
      </w:r>
      <w:r>
        <w:rPr>
          <w:rFonts w:eastAsia="方正仿宋_GBK"/>
        </w:rPr>
        <w:t>〔201</w:t>
      </w:r>
      <w:r>
        <w:rPr>
          <w:rFonts w:hint="eastAsia" w:eastAsia="方正仿宋_GBK"/>
        </w:rPr>
        <w:t>9</w:t>
      </w:r>
      <w:r>
        <w:rPr>
          <w:rFonts w:eastAsia="方正仿宋_GBK"/>
        </w:rPr>
        <w:t>〕</w:t>
      </w:r>
      <w:r>
        <w:rPr>
          <w:rFonts w:hint="eastAsia" w:eastAsia="方正仿宋_GBK"/>
        </w:rPr>
        <w:t>17</w:t>
      </w:r>
      <w:r>
        <w:rPr>
          <w:rFonts w:eastAsia="方正仿宋_GBK"/>
        </w:rPr>
        <w:t>号</w:t>
      </w:r>
    </w:p>
    <w:p>
      <w:pPr>
        <w:topLinePunct/>
        <w:jc w:val="center"/>
        <w:rPr>
          <w:rFonts w:hint="eastAsia" w:ascii="方正小标宋_GBK" w:hAnsi="方正小标宋_GBK" w:eastAsia="方正小标宋_GBK"/>
        </w:rPr>
      </w:pPr>
    </w:p>
    <w:p>
      <w:pPr>
        <w:keepNext w:val="0"/>
        <w:keepLines w:val="0"/>
        <w:pageBreakBefore w:val="0"/>
        <w:widowControl w:val="0"/>
        <w:kinsoku/>
        <w:wordWrap/>
        <w:overflowPunct/>
        <w:topLinePunct/>
        <w:autoSpaceDE/>
        <w:autoSpaceDN/>
        <w:bidi w:val="0"/>
        <w:adjustRightInd w:val="0"/>
        <w:snapToGrid w:val="0"/>
        <w:spacing w:line="600" w:lineRule="exact"/>
        <w:jc w:val="center"/>
        <w:textAlignment w:val="auto"/>
        <w:rPr>
          <w:rFonts w:hint="eastAsia" w:asciiTheme="majorEastAsia" w:hAnsiTheme="majorEastAsia" w:eastAsiaTheme="majorEastAsia" w:cstheme="majorEastAsia"/>
          <w:b/>
          <w:bCs/>
          <w:spacing w:val="-18"/>
          <w:sz w:val="36"/>
          <w:szCs w:val="36"/>
        </w:rPr>
      </w:pPr>
      <w:r>
        <w:rPr>
          <w:rFonts w:hint="eastAsia" w:asciiTheme="majorEastAsia" w:hAnsiTheme="majorEastAsia" w:eastAsiaTheme="majorEastAsia" w:cstheme="majorEastAsia"/>
          <w:b/>
          <w:bCs/>
          <w:spacing w:val="-18"/>
          <w:sz w:val="36"/>
          <w:szCs w:val="36"/>
        </w:rPr>
        <w:t>成都市财政局  中国人民银行成都分行营业管理部</w:t>
      </w:r>
    </w:p>
    <w:p>
      <w:pPr>
        <w:keepNext w:val="0"/>
        <w:keepLines w:val="0"/>
        <w:pageBreakBefore w:val="0"/>
        <w:widowControl w:val="0"/>
        <w:kinsoku/>
        <w:wordWrap/>
        <w:overflowPunct/>
        <w:topLinePunct/>
        <w:autoSpaceDE/>
        <w:autoSpaceDN/>
        <w:bidi w:val="0"/>
        <w:adjustRightInd w:val="0"/>
        <w:snapToGrid w:val="0"/>
        <w:spacing w:line="600" w:lineRule="exact"/>
        <w:jc w:val="center"/>
        <w:textAlignment w:val="auto"/>
        <w:rPr>
          <w:rFonts w:hint="eastAsia" w:asciiTheme="majorEastAsia" w:hAnsiTheme="majorEastAsia" w:eastAsiaTheme="majorEastAsia" w:cstheme="majorEastAsia"/>
          <w:b/>
          <w:bCs/>
          <w:sz w:val="36"/>
          <w:szCs w:val="36"/>
        </w:rPr>
      </w:pPr>
      <w:r>
        <w:rPr>
          <w:rFonts w:hint="eastAsia" w:asciiTheme="majorEastAsia" w:hAnsiTheme="majorEastAsia" w:eastAsiaTheme="majorEastAsia" w:cstheme="majorEastAsia"/>
          <w:b/>
          <w:bCs/>
          <w:sz w:val="36"/>
          <w:szCs w:val="36"/>
        </w:rPr>
        <w:t>关于印发《成都市中小企业政府采购信用融资</w:t>
      </w:r>
    </w:p>
    <w:p>
      <w:pPr>
        <w:keepNext w:val="0"/>
        <w:keepLines w:val="0"/>
        <w:pageBreakBefore w:val="0"/>
        <w:widowControl w:val="0"/>
        <w:kinsoku/>
        <w:wordWrap/>
        <w:overflowPunct/>
        <w:topLinePunct/>
        <w:autoSpaceDE/>
        <w:autoSpaceDN/>
        <w:bidi w:val="0"/>
        <w:adjustRightInd w:val="0"/>
        <w:snapToGrid w:val="0"/>
        <w:spacing w:line="600" w:lineRule="exact"/>
        <w:jc w:val="center"/>
        <w:textAlignment w:val="auto"/>
        <w:rPr>
          <w:rFonts w:hint="eastAsia" w:asciiTheme="majorEastAsia" w:hAnsiTheme="majorEastAsia" w:eastAsiaTheme="majorEastAsia" w:cstheme="majorEastAsia"/>
          <w:b/>
          <w:bCs/>
          <w:sz w:val="36"/>
          <w:szCs w:val="36"/>
        </w:rPr>
      </w:pPr>
      <w:r>
        <w:rPr>
          <w:rFonts w:hint="eastAsia" w:asciiTheme="majorEastAsia" w:hAnsiTheme="majorEastAsia" w:eastAsiaTheme="majorEastAsia" w:cstheme="majorEastAsia"/>
          <w:b/>
          <w:bCs/>
          <w:sz w:val="36"/>
          <w:szCs w:val="36"/>
        </w:rPr>
        <w:t>暂行办法》和《成都市级支持中小企业</w:t>
      </w:r>
    </w:p>
    <w:p>
      <w:pPr>
        <w:keepNext w:val="0"/>
        <w:keepLines w:val="0"/>
        <w:pageBreakBefore w:val="0"/>
        <w:widowControl w:val="0"/>
        <w:kinsoku/>
        <w:wordWrap/>
        <w:overflowPunct/>
        <w:topLinePunct/>
        <w:autoSpaceDE/>
        <w:autoSpaceDN/>
        <w:bidi w:val="0"/>
        <w:adjustRightInd w:val="0"/>
        <w:snapToGrid w:val="0"/>
        <w:spacing w:line="600" w:lineRule="exact"/>
        <w:jc w:val="center"/>
        <w:textAlignment w:val="auto"/>
        <w:rPr>
          <w:rFonts w:hint="eastAsia" w:ascii="方正小标宋简体" w:hAnsi="方正小标宋简体" w:eastAsia="方正小标宋简体" w:cs="方正小标宋简体"/>
          <w:sz w:val="44"/>
          <w:szCs w:val="44"/>
        </w:rPr>
      </w:pPr>
      <w:r>
        <w:rPr>
          <w:rFonts w:hint="eastAsia" w:asciiTheme="majorEastAsia" w:hAnsiTheme="majorEastAsia" w:eastAsiaTheme="majorEastAsia" w:cstheme="majorEastAsia"/>
          <w:b/>
          <w:bCs/>
          <w:sz w:val="36"/>
          <w:szCs w:val="36"/>
        </w:rPr>
        <w:t>政府采购信用融资实施方案》的通知</w:t>
      </w:r>
    </w:p>
    <w:p>
      <w:pPr>
        <w:jc w:val="center"/>
        <w:rPr>
          <w:rFonts w:hint="eastAsia" w:eastAsia="方正仿宋_GBK"/>
        </w:rPr>
      </w:pP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成都天府新区、高新区财政金融局，各区</w:t>
      </w:r>
      <w:r>
        <w:rPr>
          <w:rFonts w:hint="eastAsia" w:cs="宋体"/>
          <w:sz w:val="24"/>
          <w:szCs w:val="24"/>
          <w:lang w:eastAsia="zh-CN"/>
        </w:rPr>
        <w:t>(</w:t>
      </w:r>
      <w:r>
        <w:rPr>
          <w:rFonts w:hint="eastAsia" w:ascii="宋体" w:hAnsi="宋体" w:eastAsia="宋体" w:cs="宋体"/>
          <w:sz w:val="24"/>
          <w:szCs w:val="24"/>
        </w:rPr>
        <w:t>市</w:t>
      </w:r>
      <w:r>
        <w:rPr>
          <w:rFonts w:hint="eastAsia" w:cs="宋体"/>
          <w:sz w:val="24"/>
          <w:szCs w:val="24"/>
          <w:lang w:eastAsia="zh-CN"/>
        </w:rPr>
        <w:t>)</w:t>
      </w:r>
      <w:r>
        <w:rPr>
          <w:rFonts w:hint="eastAsia" w:ascii="宋体" w:hAnsi="宋体" w:eastAsia="宋体" w:cs="宋体"/>
          <w:sz w:val="24"/>
          <w:szCs w:val="24"/>
        </w:rPr>
        <w:t>县财政局，市级各部门、单位，各银行业金融机构：</w:t>
      </w: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深入贯彻落实中央、省、市关于支持民营经济健康发展有关精神，进一步发挥政府采购在促进中小企业发展中的政策引导作用，有效缓解中小企业融资难、融资贵问题，市财政局、中国人民银行成都分行营业管理部制定了《成都市中小企业政府采购信用融资暂行办法》和《成都市级支持中小企业政府采购信用融资实施方案》</w:t>
      </w:r>
      <w:r>
        <w:rPr>
          <w:rFonts w:hint="eastAsia" w:cs="宋体"/>
          <w:sz w:val="24"/>
          <w:szCs w:val="24"/>
          <w:lang w:eastAsia="zh-CN"/>
        </w:rPr>
        <w:t>(</w:t>
      </w:r>
      <w:r>
        <w:rPr>
          <w:rFonts w:hint="eastAsia" w:ascii="宋体" w:hAnsi="宋体" w:eastAsia="宋体" w:cs="宋体"/>
          <w:sz w:val="24"/>
          <w:szCs w:val="24"/>
        </w:rPr>
        <w:t>以下简称《暂行办法》和《实施方案》</w:t>
      </w:r>
      <w:r>
        <w:rPr>
          <w:rFonts w:hint="eastAsia" w:cs="宋体"/>
          <w:sz w:val="24"/>
          <w:szCs w:val="24"/>
          <w:lang w:eastAsia="zh-CN"/>
        </w:rPr>
        <w:t>)</w:t>
      </w:r>
      <w:r>
        <w:rPr>
          <w:rFonts w:hint="eastAsia" w:ascii="宋体" w:hAnsi="宋体" w:eastAsia="宋体" w:cs="宋体"/>
          <w:sz w:val="24"/>
          <w:szCs w:val="24"/>
        </w:rPr>
        <w:t>，现印发给你们，请按要求贯彻执行。</w:t>
      </w: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一、高度重视、迅速行动</w:t>
      </w: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政府采购信用融资是缓解中小企业资金短缺压力，优化中小企业发展环境，促进经济发展的重要举措，各相关单位要统一思想，充分认识政府采购信用融资工作的重要意义，结合政府采购工作实际精心组织、周密部署，赓即推进政府采购信用融资工作，支持有融资需求、符合条件的中小微企业实现高效融资。</w:t>
      </w: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二、明确责任、压茬推进</w:t>
      </w: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市级各部门、单位即日起严格按照《暂行办法》和《实施方案》相关规定和工作要求，结合职能职责认真抓好贯彻执行。各区</w:t>
      </w:r>
      <w:r>
        <w:rPr>
          <w:rFonts w:hint="eastAsia" w:cs="宋体"/>
          <w:sz w:val="24"/>
          <w:szCs w:val="24"/>
          <w:lang w:eastAsia="zh-CN"/>
        </w:rPr>
        <w:t>(</w:t>
      </w:r>
      <w:r>
        <w:rPr>
          <w:rFonts w:hint="eastAsia" w:ascii="宋体" w:hAnsi="宋体" w:eastAsia="宋体" w:cs="宋体"/>
          <w:sz w:val="24"/>
          <w:szCs w:val="24"/>
        </w:rPr>
        <w:t>市</w:t>
      </w:r>
      <w:r>
        <w:rPr>
          <w:rFonts w:hint="eastAsia" w:cs="宋体"/>
          <w:sz w:val="24"/>
          <w:szCs w:val="24"/>
          <w:lang w:eastAsia="zh-CN"/>
        </w:rPr>
        <w:t>)</w:t>
      </w:r>
      <w:r>
        <w:rPr>
          <w:rFonts w:hint="eastAsia" w:ascii="宋体" w:hAnsi="宋体" w:eastAsia="宋体" w:cs="宋体"/>
          <w:sz w:val="24"/>
          <w:szCs w:val="24"/>
        </w:rPr>
        <w:t>县财政部门要根据《暂行办法》，结合本地实际制定具体实施方案，在涵盖市级确定的融资机构基础上明确融资机构名单，并于2019年6月30日前全面推进政府采购信用融资工作。</w:t>
      </w: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三、优化服务、营造氛围</w:t>
      </w: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各相关单位要充分发挥市场在资源配置中的决定性作用，强化宣传引导、优化工作机制、加强跟踪问效，积极创造条件主动服务，为融资双方提供优质高效的服务，让政府采购信用融资政策惠及更多中小微企业，并将工作落实的经验做法及时形成信息反馈市财政局，为推动中小微企业高质量发展营造法治化、国际化、便利化的营商环境。</w:t>
      </w: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附件：1．成都市中小企业政府采购信用融资暂行办法 </w:t>
      </w:r>
    </w:p>
    <w:p>
      <w:pPr>
        <w:keepNext w:val="0"/>
        <w:keepLines w:val="0"/>
        <w:pageBreakBefore w:val="0"/>
        <w:widowControl/>
        <w:kinsoku/>
        <w:wordWrap/>
        <w:overflow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2．成都市级支持中小企业政府采购信用融资实施方案</w:t>
      </w:r>
    </w:p>
    <w:p>
      <w:pPr>
        <w:pStyle w:val="5"/>
        <w:keepNext w:val="0"/>
        <w:keepLines w:val="0"/>
        <w:pageBreakBefore w:val="0"/>
        <w:widowControl/>
        <w:kinsoku/>
        <w:wordWrap/>
        <w:overflowPunct/>
        <w:topLine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p>
    <w:p>
      <w:pPr>
        <w:pStyle w:val="5"/>
        <w:keepNext w:val="0"/>
        <w:keepLines w:val="0"/>
        <w:pageBreakBefore w:val="0"/>
        <w:widowControl/>
        <w:kinsoku/>
        <w:wordWrap/>
        <w:overflowPunct/>
        <w:topLine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p>
    <w:p>
      <w:pPr>
        <w:pStyle w:val="5"/>
        <w:keepNext w:val="0"/>
        <w:keepLines w:val="0"/>
        <w:pageBreakBefore w:val="0"/>
        <w:widowControl/>
        <w:kinsoku/>
        <w:wordWrap/>
        <w:overflowPunct/>
        <w:topLinePunct/>
        <w:autoSpaceDE/>
        <w:autoSpaceDN/>
        <w:bidi w:val="0"/>
        <w:adjustRightInd/>
        <w:snapToGrid/>
        <w:spacing w:line="440" w:lineRule="exact"/>
        <w:ind w:left="0" w:right="0" w:firstLine="480" w:firstLineChars="200"/>
        <w:textAlignment w:val="auto"/>
        <w:rPr>
          <w:rFonts w:hint="eastAsia" w:ascii="宋体" w:hAnsi="宋体" w:eastAsia="宋体" w:cs="宋体"/>
          <w:sz w:val="24"/>
          <w:szCs w:val="24"/>
        </w:rPr>
      </w:pPr>
    </w:p>
    <w:p>
      <w:pPr>
        <w:keepNext w:val="0"/>
        <w:keepLines w:val="0"/>
        <w:pageBreakBefore w:val="0"/>
        <w:widowControl/>
        <w:tabs>
          <w:tab w:val="left" w:pos="7584"/>
          <w:tab w:val="clear" w:pos="0"/>
        </w:tabs>
        <w:kinsoku/>
        <w:wordWrap/>
        <w:overflowPunct/>
        <w:topLinePunct/>
        <w:autoSpaceDE/>
        <w:autoSpaceDN/>
        <w:bidi w:val="0"/>
        <w:adjustRightInd/>
        <w:snapToGrid/>
        <w:spacing w:line="440" w:lineRule="exact"/>
        <w:ind w:left="0" w:right="0" w:firstLine="480" w:firstLineChars="200"/>
        <w:jc w:val="right"/>
        <w:textAlignment w:val="auto"/>
        <w:rPr>
          <w:rFonts w:hint="eastAsia" w:ascii="宋体" w:hAnsi="宋体" w:eastAsia="宋体" w:cs="宋体"/>
          <w:sz w:val="24"/>
          <w:szCs w:val="24"/>
        </w:rPr>
      </w:pPr>
      <w:r>
        <w:rPr>
          <w:rFonts w:hint="eastAsia" w:ascii="宋体" w:hAnsi="宋体" w:eastAsia="宋体" w:cs="宋体"/>
          <w:sz w:val="24"/>
          <w:szCs w:val="24"/>
        </w:rPr>
        <w:t>成都市财政局         中国人民银行成都分行营业管理部</w:t>
      </w:r>
    </w:p>
    <w:p>
      <w:pPr>
        <w:keepNext w:val="0"/>
        <w:keepLines w:val="0"/>
        <w:pageBreakBefore w:val="0"/>
        <w:widowControl/>
        <w:tabs>
          <w:tab w:val="left" w:pos="7584"/>
          <w:tab w:val="clear" w:pos="0"/>
        </w:tabs>
        <w:kinsoku/>
        <w:wordWrap/>
        <w:overflowPunct/>
        <w:topLinePunct/>
        <w:autoSpaceDE/>
        <w:autoSpaceDN/>
        <w:bidi w:val="0"/>
        <w:adjustRightInd/>
        <w:snapToGrid/>
        <w:spacing w:line="440" w:lineRule="exact"/>
        <w:ind w:left="0" w:right="0" w:firstLine="480" w:firstLineChars="200"/>
        <w:jc w:val="right"/>
        <w:textAlignment w:val="auto"/>
        <w:rPr>
          <w:rFonts w:hint="eastAsia" w:ascii="宋体" w:hAnsi="宋体" w:eastAsia="宋体" w:cs="宋体"/>
          <w:sz w:val="24"/>
          <w:szCs w:val="24"/>
        </w:rPr>
      </w:pPr>
      <w:r>
        <w:rPr>
          <w:rFonts w:hint="eastAsia" w:ascii="宋体" w:hAnsi="宋体" w:eastAsia="宋体" w:cs="宋体"/>
          <w:sz w:val="24"/>
          <w:szCs w:val="24"/>
        </w:rPr>
        <w:t>2019年2月26日</w:t>
      </w:r>
    </w:p>
    <w:p>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br w:type="page"/>
      </w:r>
    </w:p>
    <w:p>
      <w:pPr>
        <w:keepNext w:val="0"/>
        <w:keepLines w:val="0"/>
        <w:pageBreakBefore w:val="0"/>
        <w:widowControl w:val="0"/>
        <w:kinsoku/>
        <w:wordWrap/>
        <w:overflowPunct/>
        <w:topLinePunct/>
        <w:autoSpaceDE/>
        <w:autoSpaceDN/>
        <w:bidi w:val="0"/>
        <w:adjustRightInd/>
        <w:spacing w:line="440" w:lineRule="exact"/>
        <w:textAlignment w:val="auto"/>
        <w:rPr>
          <w:rFonts w:hint="eastAsia" w:ascii="宋体" w:hAnsi="宋体" w:eastAsia="宋体" w:cs="宋体"/>
          <w:sz w:val="24"/>
          <w:szCs w:val="24"/>
        </w:rPr>
      </w:pPr>
      <w:r>
        <w:rPr>
          <w:rFonts w:hint="eastAsia" w:ascii="宋体" w:hAnsi="宋体" w:eastAsia="宋体" w:cs="宋体"/>
          <w:sz w:val="24"/>
          <w:szCs w:val="24"/>
        </w:rPr>
        <w:t>附件1</w:t>
      </w:r>
    </w:p>
    <w:p>
      <w:pPr>
        <w:keepNext w:val="0"/>
        <w:keepLines w:val="0"/>
        <w:pageBreakBefore w:val="0"/>
        <w:widowControl w:val="0"/>
        <w:kinsoku/>
        <w:wordWrap/>
        <w:overflowPunct/>
        <w:topLinePunct/>
        <w:autoSpaceDE/>
        <w:autoSpaceDN/>
        <w:bidi w:val="0"/>
        <w:adjustRightInd/>
        <w:spacing w:line="440" w:lineRule="exact"/>
        <w:ind w:firstLine="0" w:firstLineChars="0"/>
        <w:textAlignment w:val="auto"/>
        <w:rPr>
          <w:rFonts w:hint="eastAsia" w:ascii="宋体" w:hAnsi="宋体" w:eastAsia="宋体" w:cs="宋体"/>
          <w:sz w:val="24"/>
          <w:szCs w:val="24"/>
        </w:rPr>
      </w:pPr>
    </w:p>
    <w:p>
      <w:pPr>
        <w:keepNext w:val="0"/>
        <w:keepLines w:val="0"/>
        <w:pageBreakBefore w:val="0"/>
        <w:widowControl w:val="0"/>
        <w:kinsoku/>
        <w:wordWrap/>
        <w:overflowPunct/>
        <w:topLinePunct/>
        <w:autoSpaceDE/>
        <w:autoSpaceDN/>
        <w:bidi w:val="0"/>
        <w:adjustRightInd/>
        <w:snapToGrid w:val="0"/>
        <w:spacing w:line="440" w:lineRule="exact"/>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成都市中小企业</w:t>
      </w:r>
      <w:r>
        <w:rPr>
          <w:rFonts w:hint="eastAsia" w:ascii="宋体" w:hAnsi="宋体" w:eastAsia="宋体" w:cs="宋体"/>
          <w:color w:val="000000"/>
          <w:sz w:val="24"/>
          <w:szCs w:val="24"/>
        </w:rPr>
        <w:t>政府采购信用融资暂行</w:t>
      </w:r>
      <w:r>
        <w:rPr>
          <w:rFonts w:hint="eastAsia" w:ascii="宋体" w:hAnsi="宋体" w:eastAsia="宋体" w:cs="宋体"/>
          <w:sz w:val="24"/>
          <w:szCs w:val="24"/>
        </w:rPr>
        <w:t>办法</w:t>
      </w:r>
    </w:p>
    <w:p>
      <w:pPr>
        <w:keepNext w:val="0"/>
        <w:keepLines w:val="0"/>
        <w:pageBreakBefore w:val="0"/>
        <w:widowControl w:val="0"/>
        <w:kinsoku/>
        <w:wordWrap/>
        <w:overflowPunct/>
        <w:topLinePunct/>
        <w:autoSpaceDE/>
        <w:autoSpaceDN/>
        <w:bidi w:val="0"/>
        <w:adjustRightInd/>
        <w:spacing w:line="440" w:lineRule="exact"/>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第一章  总  则</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第一条</w:t>
      </w:r>
      <w:r>
        <w:rPr>
          <w:rFonts w:hint="eastAsia" w:cs="宋体"/>
          <w:sz w:val="24"/>
          <w:szCs w:val="24"/>
          <w:lang w:eastAsia="zh-CN"/>
        </w:rPr>
        <w:t>(</w:t>
      </w:r>
      <w:r>
        <w:rPr>
          <w:rFonts w:hint="eastAsia" w:ascii="宋体" w:hAnsi="宋体" w:eastAsia="宋体" w:cs="宋体"/>
          <w:sz w:val="24"/>
          <w:szCs w:val="24"/>
        </w:rPr>
        <w:t>政策依据</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进一步贯彻落实国务院、四川省、成都市关于支持和促进中小企业发展的政策措施，充分发挥政府采购政策导向作用，有效缓解中小企业融资难、融资贵问题，支持中小企业参与政府采购活动，根据《政府采购法》《四川省政府采购促进中小企业发展的若干规定》</w:t>
      </w:r>
      <w:r>
        <w:rPr>
          <w:rFonts w:hint="eastAsia" w:cs="宋体"/>
          <w:sz w:val="24"/>
          <w:szCs w:val="24"/>
          <w:lang w:eastAsia="zh-CN"/>
        </w:rPr>
        <w:t>(</w:t>
      </w:r>
      <w:r>
        <w:rPr>
          <w:rFonts w:hint="eastAsia" w:ascii="宋体" w:hAnsi="宋体" w:eastAsia="宋体" w:cs="宋体"/>
          <w:sz w:val="24"/>
          <w:szCs w:val="24"/>
        </w:rPr>
        <w:t>川财采〔2016〕35号</w:t>
      </w:r>
      <w:r>
        <w:rPr>
          <w:rFonts w:hint="eastAsia" w:cs="宋体"/>
          <w:sz w:val="24"/>
          <w:szCs w:val="24"/>
          <w:lang w:eastAsia="zh-CN"/>
        </w:rPr>
        <w:t>)</w:t>
      </w:r>
      <w:r>
        <w:rPr>
          <w:rFonts w:hint="eastAsia" w:ascii="宋体" w:hAnsi="宋体" w:eastAsia="宋体" w:cs="宋体"/>
          <w:sz w:val="24"/>
          <w:szCs w:val="24"/>
        </w:rPr>
        <w:t>和《四川省财政厅关于推进四川省政府采购供应商信用融资工作的通知》</w:t>
      </w:r>
      <w:r>
        <w:rPr>
          <w:rFonts w:hint="eastAsia" w:cs="宋体"/>
          <w:sz w:val="24"/>
          <w:szCs w:val="24"/>
          <w:lang w:eastAsia="zh-CN"/>
        </w:rPr>
        <w:t>(</w:t>
      </w:r>
      <w:r>
        <w:rPr>
          <w:rFonts w:hint="eastAsia" w:ascii="宋体" w:hAnsi="宋体" w:eastAsia="宋体" w:cs="宋体"/>
          <w:sz w:val="24"/>
          <w:szCs w:val="24"/>
        </w:rPr>
        <w:t>川财采〔2018〕123号</w:t>
      </w:r>
      <w:r>
        <w:rPr>
          <w:rFonts w:hint="eastAsia" w:cs="宋体"/>
          <w:sz w:val="24"/>
          <w:szCs w:val="24"/>
          <w:lang w:eastAsia="zh-CN"/>
        </w:rPr>
        <w:t>)</w:t>
      </w:r>
      <w:r>
        <w:rPr>
          <w:rFonts w:hint="eastAsia" w:ascii="宋体" w:hAnsi="宋体" w:eastAsia="宋体" w:cs="宋体"/>
          <w:sz w:val="24"/>
          <w:szCs w:val="24"/>
        </w:rPr>
        <w:t>有关精神，结合我市实际，制定本办法。</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第二条</w:t>
      </w:r>
      <w:r>
        <w:rPr>
          <w:rFonts w:hint="eastAsia" w:cs="宋体"/>
          <w:sz w:val="24"/>
          <w:szCs w:val="24"/>
          <w:lang w:eastAsia="zh-CN"/>
        </w:rPr>
        <w:t>(</w:t>
      </w:r>
      <w:r>
        <w:rPr>
          <w:rFonts w:hint="eastAsia" w:ascii="宋体" w:hAnsi="宋体" w:eastAsia="宋体" w:cs="宋体"/>
          <w:sz w:val="24"/>
          <w:szCs w:val="24"/>
        </w:rPr>
        <w:t>适用范围</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成都市行政区域内政府采购信用融资适用本办法。</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第三条</w:t>
      </w:r>
      <w:r>
        <w:rPr>
          <w:rFonts w:hint="eastAsia" w:cs="宋体"/>
          <w:sz w:val="24"/>
          <w:szCs w:val="24"/>
          <w:lang w:eastAsia="zh-CN"/>
        </w:rPr>
        <w:t>(</w:t>
      </w:r>
      <w:r>
        <w:rPr>
          <w:rFonts w:hint="eastAsia" w:ascii="宋体" w:hAnsi="宋体" w:eastAsia="宋体" w:cs="宋体"/>
          <w:sz w:val="24"/>
          <w:szCs w:val="24"/>
        </w:rPr>
        <w:t>术语定义</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本办法所称政府采购信用融资，是指融资机构以信用审查为基础，依据政府采购合同，按相应的优惠政策向申请融资的中小企业</w:t>
      </w:r>
      <w:r>
        <w:rPr>
          <w:rFonts w:hint="eastAsia" w:cs="宋体"/>
          <w:sz w:val="24"/>
          <w:szCs w:val="24"/>
          <w:lang w:eastAsia="zh-CN"/>
        </w:rPr>
        <w:t>(</w:t>
      </w:r>
      <w:r>
        <w:rPr>
          <w:rFonts w:hint="eastAsia" w:ascii="宋体" w:hAnsi="宋体" w:eastAsia="宋体" w:cs="宋体"/>
          <w:sz w:val="24"/>
          <w:szCs w:val="24"/>
        </w:rPr>
        <w:t>以下简称供应商</w:t>
      </w:r>
      <w:r>
        <w:rPr>
          <w:rFonts w:hint="eastAsia" w:cs="宋体"/>
          <w:sz w:val="24"/>
          <w:szCs w:val="24"/>
          <w:lang w:eastAsia="zh-CN"/>
        </w:rPr>
        <w:t>)</w:t>
      </w:r>
      <w:r>
        <w:rPr>
          <w:rFonts w:hint="eastAsia" w:ascii="宋体" w:hAnsi="宋体" w:eastAsia="宋体" w:cs="宋体"/>
          <w:sz w:val="24"/>
          <w:szCs w:val="24"/>
        </w:rPr>
        <w:t>提供资金支持的融资模式。</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本办法所称融资机构，是指在成都市属地注册或设立分支机构，有意向按照本办法开展政府采购信用融资业务，经同级财政部门确定的银行机构。</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本办法所称中小企业，包括中型、小型及微型企业，其划型标准按照国家相关规定执行。</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第四条</w:t>
      </w:r>
      <w:r>
        <w:rPr>
          <w:rFonts w:hint="eastAsia" w:cs="宋体"/>
          <w:sz w:val="24"/>
          <w:szCs w:val="24"/>
          <w:lang w:eastAsia="zh-CN"/>
        </w:rPr>
        <w:t>(</w:t>
      </w:r>
      <w:r>
        <w:rPr>
          <w:rFonts w:hint="eastAsia" w:ascii="宋体" w:hAnsi="宋体" w:eastAsia="宋体" w:cs="宋体"/>
          <w:sz w:val="24"/>
          <w:szCs w:val="24"/>
        </w:rPr>
        <w:t>基本原则</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政府采购信用融资工作坚持政府引导、市场主导，自愿选择、自担风险，诚实信用、互惠共赢的原则，切实发挥市场在资源配置中的决定性作用。</w:t>
      </w:r>
    </w:p>
    <w:p>
      <w:pPr>
        <w:keepNext w:val="0"/>
        <w:keepLines w:val="0"/>
        <w:pageBreakBefore w:val="0"/>
        <w:widowControl w:val="0"/>
        <w:kinsoku/>
        <w:wordWrap/>
        <w:overflowPunct/>
        <w:topLinePunct/>
        <w:autoSpaceDE/>
        <w:autoSpaceDN/>
        <w:bidi w:val="0"/>
        <w:adjustRightInd/>
        <w:spacing w:line="440" w:lineRule="exact"/>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第二章  融资优惠</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第五条</w:t>
      </w:r>
      <w:r>
        <w:rPr>
          <w:rFonts w:hint="eastAsia" w:cs="宋体"/>
          <w:sz w:val="24"/>
          <w:szCs w:val="24"/>
          <w:lang w:eastAsia="zh-CN"/>
        </w:rPr>
        <w:t>(</w:t>
      </w:r>
      <w:r>
        <w:rPr>
          <w:rFonts w:hint="eastAsia" w:ascii="宋体" w:hAnsi="宋体" w:eastAsia="宋体" w:cs="宋体"/>
          <w:sz w:val="24"/>
          <w:szCs w:val="24"/>
        </w:rPr>
        <w:t>融资方式</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供应商无需提供财产抵押或第三方担保，凭借政府采购合同向融资机构申请融资，融资机构根据其授信政策为供应商提供信用贷款。</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第六条</w:t>
      </w:r>
      <w:r>
        <w:rPr>
          <w:rFonts w:hint="eastAsia" w:cs="宋体"/>
          <w:sz w:val="24"/>
          <w:szCs w:val="24"/>
          <w:lang w:eastAsia="zh-CN"/>
        </w:rPr>
        <w:t>(</w:t>
      </w:r>
      <w:r>
        <w:rPr>
          <w:rFonts w:hint="eastAsia" w:ascii="宋体" w:hAnsi="宋体" w:eastAsia="宋体" w:cs="宋体"/>
          <w:sz w:val="24"/>
          <w:szCs w:val="24"/>
        </w:rPr>
        <w:t>融资额度</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融资额度原则上不超过政府采购合同金额。</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第七条</w:t>
      </w:r>
      <w:r>
        <w:rPr>
          <w:rFonts w:hint="eastAsia" w:cs="宋体"/>
          <w:sz w:val="24"/>
          <w:szCs w:val="24"/>
          <w:lang w:eastAsia="zh-CN"/>
        </w:rPr>
        <w:t>(</w:t>
      </w:r>
      <w:r>
        <w:rPr>
          <w:rFonts w:hint="eastAsia" w:ascii="宋体" w:hAnsi="宋体" w:eastAsia="宋体" w:cs="宋体"/>
          <w:sz w:val="24"/>
          <w:szCs w:val="24"/>
        </w:rPr>
        <w:t>融资利率</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融资机构向供应商提供融资的利率应低于同期一般中小企业的贷款利率。融资利率上浮比例原则上不超过中国人民银行公布的同期贷款基准利率的30%。</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第八条</w:t>
      </w:r>
      <w:r>
        <w:rPr>
          <w:rFonts w:hint="eastAsia" w:cs="宋体"/>
          <w:sz w:val="24"/>
          <w:szCs w:val="24"/>
          <w:lang w:eastAsia="zh-CN"/>
        </w:rPr>
        <w:t>(</w:t>
      </w:r>
      <w:r>
        <w:rPr>
          <w:rFonts w:hint="eastAsia" w:ascii="宋体" w:hAnsi="宋体" w:eastAsia="宋体" w:cs="宋体"/>
          <w:sz w:val="24"/>
          <w:szCs w:val="24"/>
        </w:rPr>
        <w:t>融资期限</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融资期限原则上与政府采购合同履行期限一致。</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第九条</w:t>
      </w:r>
      <w:r>
        <w:rPr>
          <w:rFonts w:hint="eastAsia" w:cs="宋体"/>
          <w:sz w:val="24"/>
          <w:szCs w:val="24"/>
          <w:lang w:eastAsia="zh-CN"/>
        </w:rPr>
        <w:t>(</w:t>
      </w:r>
      <w:r>
        <w:rPr>
          <w:rFonts w:hint="eastAsia" w:ascii="宋体" w:hAnsi="宋体" w:eastAsia="宋体" w:cs="宋体"/>
          <w:sz w:val="24"/>
          <w:szCs w:val="24"/>
        </w:rPr>
        <w:t>融资效率</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融资机构应当建立政府采购信用融资绿色通道，配备专业人员定向服务，简化融资审批程序。对申报材料齐全完备的供应商，原则上应在5个工作日内完成审批，对审批通过且具备放款条件的供应商，原则上应在5个工作日内完成放款。</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第十条</w:t>
      </w:r>
      <w:r>
        <w:rPr>
          <w:rFonts w:hint="eastAsia" w:cs="宋体"/>
          <w:sz w:val="24"/>
          <w:szCs w:val="24"/>
          <w:lang w:eastAsia="zh-CN"/>
        </w:rPr>
        <w:t>(</w:t>
      </w:r>
      <w:r>
        <w:rPr>
          <w:rFonts w:hint="eastAsia" w:ascii="宋体" w:hAnsi="宋体" w:eastAsia="宋体" w:cs="宋体"/>
          <w:sz w:val="24"/>
          <w:szCs w:val="24"/>
        </w:rPr>
        <w:t>融资业务升级</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对履约记录良好、诚信资质高的供应商，融资机构应当在授信额度、融资审查、融资利率等方面给予更大支持，促进供应商依法诚信经营。</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第十一条</w:t>
      </w:r>
      <w:r>
        <w:rPr>
          <w:rFonts w:hint="eastAsia" w:cs="宋体"/>
          <w:sz w:val="24"/>
          <w:szCs w:val="24"/>
          <w:lang w:eastAsia="zh-CN"/>
        </w:rPr>
        <w:t>(</w:t>
      </w:r>
      <w:r>
        <w:rPr>
          <w:rFonts w:hint="eastAsia" w:ascii="宋体" w:hAnsi="宋体" w:eastAsia="宋体" w:cs="宋体"/>
          <w:sz w:val="24"/>
          <w:szCs w:val="24"/>
        </w:rPr>
        <w:t>贷款风险补贴</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对银行业金融机构向小微企业发放的贷款</w:t>
      </w:r>
      <w:r>
        <w:rPr>
          <w:rFonts w:hint="eastAsia" w:cs="宋体"/>
          <w:sz w:val="24"/>
          <w:szCs w:val="24"/>
          <w:lang w:eastAsia="zh-CN"/>
        </w:rPr>
        <w:t>(</w:t>
      </w:r>
      <w:r>
        <w:rPr>
          <w:rFonts w:hint="eastAsia" w:ascii="宋体" w:hAnsi="宋体" w:eastAsia="宋体" w:cs="宋体"/>
          <w:sz w:val="24"/>
          <w:szCs w:val="24"/>
        </w:rPr>
        <w:t>无需抵押、质押或担保的贷款</w:t>
      </w:r>
      <w:r>
        <w:rPr>
          <w:rFonts w:hint="eastAsia" w:cs="宋体"/>
          <w:sz w:val="24"/>
          <w:szCs w:val="24"/>
          <w:lang w:eastAsia="zh-CN"/>
        </w:rPr>
        <w:t>)</w:t>
      </w:r>
      <w:r>
        <w:rPr>
          <w:rFonts w:hint="eastAsia" w:ascii="宋体" w:hAnsi="宋体" w:eastAsia="宋体" w:cs="宋体"/>
          <w:sz w:val="24"/>
          <w:szCs w:val="24"/>
        </w:rPr>
        <w:t>损失，财政部门按最高不超过年度新增损失类贷款额的60%予以风险补贴，具体分担比例由各地根据金融机构小微企业贷款发放总量、损失情况、财力状况等因素综合确定。</w:t>
      </w:r>
    </w:p>
    <w:p>
      <w:pPr>
        <w:keepNext w:val="0"/>
        <w:keepLines w:val="0"/>
        <w:pageBreakBefore w:val="0"/>
        <w:widowControl w:val="0"/>
        <w:kinsoku/>
        <w:wordWrap/>
        <w:overflowPunct/>
        <w:topLinePunct/>
        <w:autoSpaceDE/>
        <w:autoSpaceDN/>
        <w:bidi w:val="0"/>
        <w:adjustRightInd/>
        <w:spacing w:line="440" w:lineRule="exact"/>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第三章  融资流程</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第十二条</w:t>
      </w:r>
      <w:r>
        <w:rPr>
          <w:rFonts w:hint="eastAsia" w:cs="宋体"/>
          <w:sz w:val="24"/>
          <w:szCs w:val="24"/>
          <w:lang w:eastAsia="zh-CN"/>
        </w:rPr>
        <w:t>(</w:t>
      </w:r>
      <w:r>
        <w:rPr>
          <w:rFonts w:hint="eastAsia" w:ascii="宋体" w:hAnsi="宋体" w:eastAsia="宋体" w:cs="宋体"/>
          <w:sz w:val="24"/>
          <w:szCs w:val="24"/>
        </w:rPr>
        <w:t>融资流程</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一</w:t>
      </w:r>
      <w:r>
        <w:rPr>
          <w:rFonts w:hint="eastAsia" w:cs="宋体"/>
          <w:sz w:val="24"/>
          <w:szCs w:val="24"/>
          <w:lang w:eastAsia="zh-CN"/>
        </w:rPr>
        <w:t>)</w:t>
      </w:r>
      <w:r>
        <w:rPr>
          <w:rFonts w:hint="eastAsia" w:ascii="宋体" w:hAnsi="宋体" w:eastAsia="宋体" w:cs="宋体"/>
          <w:sz w:val="24"/>
          <w:szCs w:val="24"/>
        </w:rPr>
        <w:t>信息发布。采购人应当在发布的采购公告和采购文件中载明采购项目可提供信用融资的信息。</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二</w:t>
      </w:r>
      <w:r>
        <w:rPr>
          <w:rFonts w:hint="eastAsia" w:cs="宋体"/>
          <w:sz w:val="24"/>
          <w:szCs w:val="24"/>
          <w:lang w:eastAsia="zh-CN"/>
        </w:rPr>
        <w:t>)</w:t>
      </w:r>
      <w:r>
        <w:rPr>
          <w:rFonts w:hint="eastAsia" w:ascii="宋体" w:hAnsi="宋体" w:eastAsia="宋体" w:cs="宋体"/>
          <w:sz w:val="24"/>
          <w:szCs w:val="24"/>
        </w:rPr>
        <w:t>融资申请。有融资需求的供应商自主选择提供政府采购信用融资服务的融资机构及产品，并按要求提供申请资料。</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三</w:t>
      </w:r>
      <w:r>
        <w:rPr>
          <w:rFonts w:hint="eastAsia" w:cs="宋体"/>
          <w:sz w:val="24"/>
          <w:szCs w:val="24"/>
          <w:lang w:eastAsia="zh-CN"/>
        </w:rPr>
        <w:t>)</w:t>
      </w:r>
      <w:r>
        <w:rPr>
          <w:rFonts w:hint="eastAsia" w:ascii="宋体" w:hAnsi="宋体" w:eastAsia="宋体" w:cs="宋体"/>
          <w:sz w:val="24"/>
          <w:szCs w:val="24"/>
        </w:rPr>
        <w:t>融资审查。融资机构对供应商的融资申请进行审查，并向供应商反馈审查及融资额度等情况。</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四</w:t>
      </w:r>
      <w:r>
        <w:rPr>
          <w:rFonts w:hint="eastAsia" w:cs="宋体"/>
          <w:sz w:val="24"/>
          <w:szCs w:val="24"/>
          <w:lang w:eastAsia="zh-CN"/>
        </w:rPr>
        <w:t>)</w:t>
      </w:r>
      <w:r>
        <w:rPr>
          <w:rFonts w:hint="eastAsia" w:ascii="宋体" w:hAnsi="宋体" w:eastAsia="宋体" w:cs="宋体"/>
          <w:sz w:val="24"/>
          <w:szCs w:val="24"/>
        </w:rPr>
        <w:t>账户确认。供应商须在合作融资机构开立结算账户，并与采购人在政府采购合同中或通过签订补充协议的方式约定唯一收款账户，融资机构对唯一收款账户进行确认和锁定。</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五</w:t>
      </w:r>
      <w:r>
        <w:rPr>
          <w:rFonts w:hint="eastAsia" w:cs="宋体"/>
          <w:sz w:val="24"/>
          <w:szCs w:val="24"/>
          <w:lang w:eastAsia="zh-CN"/>
        </w:rPr>
        <w:t>)</w:t>
      </w:r>
      <w:r>
        <w:rPr>
          <w:rFonts w:hint="eastAsia" w:ascii="宋体" w:hAnsi="宋体" w:eastAsia="宋体" w:cs="宋体"/>
          <w:sz w:val="24"/>
          <w:szCs w:val="24"/>
        </w:rPr>
        <w:t>放款。融资机构对政府采购合同及融资相关信息进行确认，并向供应商提供相应的融资产品。</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六</w:t>
      </w:r>
      <w:r>
        <w:rPr>
          <w:rFonts w:hint="eastAsia" w:cs="宋体"/>
          <w:sz w:val="24"/>
          <w:szCs w:val="24"/>
          <w:lang w:eastAsia="zh-CN"/>
        </w:rPr>
        <w:t>)</w:t>
      </w:r>
      <w:r>
        <w:rPr>
          <w:rFonts w:hint="eastAsia" w:ascii="宋体" w:hAnsi="宋体" w:eastAsia="宋体" w:cs="宋体"/>
          <w:sz w:val="24"/>
          <w:szCs w:val="24"/>
        </w:rPr>
        <w:t>贷款归还。采购人按相关规定和合同约定将合同资金支付至约定的唯一收款账户。</w:t>
      </w:r>
    </w:p>
    <w:p>
      <w:pPr>
        <w:keepNext w:val="0"/>
        <w:keepLines w:val="0"/>
        <w:pageBreakBefore w:val="0"/>
        <w:widowControl w:val="0"/>
        <w:kinsoku/>
        <w:wordWrap/>
        <w:overflowPunct/>
        <w:topLinePunct/>
        <w:autoSpaceDE/>
        <w:autoSpaceDN/>
        <w:bidi w:val="0"/>
        <w:adjustRightInd/>
        <w:spacing w:line="440" w:lineRule="exact"/>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第四章  职责分工</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第十三条</w:t>
      </w:r>
      <w:r>
        <w:rPr>
          <w:rFonts w:hint="eastAsia" w:cs="宋体"/>
          <w:sz w:val="24"/>
          <w:szCs w:val="24"/>
          <w:lang w:eastAsia="zh-CN"/>
        </w:rPr>
        <w:t>(</w:t>
      </w:r>
      <w:r>
        <w:rPr>
          <w:rFonts w:hint="eastAsia" w:ascii="宋体" w:hAnsi="宋体" w:eastAsia="宋体" w:cs="宋体"/>
          <w:sz w:val="24"/>
          <w:szCs w:val="24"/>
        </w:rPr>
        <w:t>财政部门职责</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牵头政府采购信用融资工作，做好政策引导和支持协调，为开展政府采购信用融资提供便利。向融资机构提供相关必要信息，推进政府采购中标</w:t>
      </w:r>
      <w:r>
        <w:rPr>
          <w:rFonts w:hint="eastAsia" w:cs="宋体"/>
          <w:sz w:val="24"/>
          <w:szCs w:val="24"/>
          <w:lang w:eastAsia="zh-CN"/>
        </w:rPr>
        <w:t>(</w:t>
      </w:r>
      <w:r>
        <w:rPr>
          <w:rFonts w:hint="eastAsia" w:ascii="宋体" w:hAnsi="宋体" w:eastAsia="宋体" w:cs="宋体"/>
          <w:sz w:val="24"/>
          <w:szCs w:val="24"/>
        </w:rPr>
        <w:t>成交</w:t>
      </w:r>
      <w:r>
        <w:rPr>
          <w:rFonts w:hint="eastAsia" w:cs="宋体"/>
          <w:sz w:val="24"/>
          <w:szCs w:val="24"/>
          <w:lang w:eastAsia="zh-CN"/>
        </w:rPr>
        <w:t>)</w:t>
      </w:r>
      <w:r>
        <w:rPr>
          <w:rFonts w:hint="eastAsia" w:ascii="宋体" w:hAnsi="宋体" w:eastAsia="宋体" w:cs="宋体"/>
          <w:sz w:val="24"/>
          <w:szCs w:val="24"/>
        </w:rPr>
        <w:t>信息、合同信息、融资信息和信用信息等信息资源共享。适时调整开展政府采购信用融资业务的融资机构名单。但在政府采购信用融资工作中，财政部门不得提供任何形式的担保和承诺。</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第十四条</w:t>
      </w:r>
      <w:r>
        <w:rPr>
          <w:rFonts w:hint="eastAsia" w:cs="宋体"/>
          <w:sz w:val="24"/>
          <w:szCs w:val="24"/>
          <w:lang w:eastAsia="zh-CN"/>
        </w:rPr>
        <w:t>(</w:t>
      </w:r>
      <w:r>
        <w:rPr>
          <w:rFonts w:hint="eastAsia" w:ascii="宋体" w:hAnsi="宋体" w:eastAsia="宋体" w:cs="宋体"/>
          <w:sz w:val="24"/>
          <w:szCs w:val="24"/>
        </w:rPr>
        <w:t>融资机构主管部门职责</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引导融资机构依法依规开展政府采购信用融资。推动成都市政府采购监督管理系统与中征应收账款融资服务平台直联，实现政府采购信用融资线上办理，加强与财政部门的信息共享。</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第十五条</w:t>
      </w:r>
      <w:r>
        <w:rPr>
          <w:rFonts w:hint="eastAsia" w:cs="宋体"/>
          <w:sz w:val="24"/>
          <w:szCs w:val="24"/>
          <w:lang w:eastAsia="zh-CN"/>
        </w:rPr>
        <w:t>(</w:t>
      </w:r>
      <w:r>
        <w:rPr>
          <w:rFonts w:hint="eastAsia" w:ascii="宋体" w:hAnsi="宋体" w:eastAsia="宋体" w:cs="宋体"/>
          <w:sz w:val="24"/>
          <w:szCs w:val="24"/>
        </w:rPr>
        <w:t>采购人职责</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执行并宣传政府采购信用融资政策，在采购公告和采购文件中载明政府采购信用融资政策。在采购代理机构委托协议中明确政府采购信用融资工作相关要求。畅通银企对接渠道，支持供应商开展政府采购信用融资。依法及时公开政府采购合同信息，协助融资机构确认或更改合同支付信息。及时开展履约验收和资金支付工作，不得无故拖延和拒付采购资金。</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第十六条</w:t>
      </w:r>
      <w:r>
        <w:rPr>
          <w:rFonts w:hint="eastAsia" w:cs="宋体"/>
          <w:sz w:val="24"/>
          <w:szCs w:val="24"/>
          <w:lang w:eastAsia="zh-CN"/>
        </w:rPr>
        <w:t>(</w:t>
      </w:r>
      <w:r>
        <w:rPr>
          <w:rFonts w:hint="eastAsia" w:ascii="宋体" w:hAnsi="宋体" w:eastAsia="宋体" w:cs="宋体"/>
          <w:sz w:val="24"/>
          <w:szCs w:val="24"/>
        </w:rPr>
        <w:t>融资机构职责</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宣传和推广政府采购信用融资政策，开发符合政府采购信用融资政策的产品。在做好授信调查的基础上合理确定授信额度。做好融资业务与政府采购业务的系统对接。制定业务管理规范，做好相关风险防控工作。定期向同级财政部门反馈业务开展情况。</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第十七条</w:t>
      </w:r>
      <w:r>
        <w:rPr>
          <w:rFonts w:hint="eastAsia" w:cs="宋体"/>
          <w:sz w:val="24"/>
          <w:szCs w:val="24"/>
          <w:lang w:eastAsia="zh-CN"/>
        </w:rPr>
        <w:t>(</w:t>
      </w:r>
      <w:r>
        <w:rPr>
          <w:rFonts w:hint="eastAsia" w:ascii="宋体" w:hAnsi="宋体" w:eastAsia="宋体" w:cs="宋体"/>
          <w:sz w:val="24"/>
          <w:szCs w:val="24"/>
        </w:rPr>
        <w:t>供应商职责</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依法诚信参与政府采购活动，严格遵守国家法律、法规和政府采购合同约定，对投标</w:t>
      </w:r>
      <w:r>
        <w:rPr>
          <w:rFonts w:hint="eastAsia" w:cs="宋体"/>
          <w:sz w:val="24"/>
          <w:szCs w:val="24"/>
          <w:lang w:eastAsia="zh-CN"/>
        </w:rPr>
        <w:t>(</w:t>
      </w:r>
      <w:r>
        <w:rPr>
          <w:rFonts w:hint="eastAsia" w:ascii="宋体" w:hAnsi="宋体" w:eastAsia="宋体" w:cs="宋体"/>
          <w:sz w:val="24"/>
          <w:szCs w:val="24"/>
        </w:rPr>
        <w:t>响应</w:t>
      </w:r>
      <w:r>
        <w:rPr>
          <w:rFonts w:hint="eastAsia" w:cs="宋体"/>
          <w:sz w:val="24"/>
          <w:szCs w:val="24"/>
          <w:lang w:eastAsia="zh-CN"/>
        </w:rPr>
        <w:t>)</w:t>
      </w:r>
      <w:r>
        <w:rPr>
          <w:rFonts w:hint="eastAsia" w:ascii="宋体" w:hAnsi="宋体" w:eastAsia="宋体" w:cs="宋体"/>
          <w:sz w:val="24"/>
          <w:szCs w:val="24"/>
        </w:rPr>
        <w:t>文件的真实性和相关承诺承担法律责任。真实、完整、准确地向融资机构提供信用融资审查所需相关资料。遵照融资约定及时还本付息。</w:t>
      </w:r>
    </w:p>
    <w:p>
      <w:pPr>
        <w:keepNext w:val="0"/>
        <w:keepLines w:val="0"/>
        <w:pageBreakBefore w:val="0"/>
        <w:widowControl w:val="0"/>
        <w:kinsoku/>
        <w:wordWrap/>
        <w:overflowPunct/>
        <w:topLinePunct/>
        <w:autoSpaceDE/>
        <w:autoSpaceDN/>
        <w:bidi w:val="0"/>
        <w:adjustRightInd/>
        <w:spacing w:line="440" w:lineRule="exact"/>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第五章 监督管理</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第十八条</w:t>
      </w:r>
      <w:r>
        <w:rPr>
          <w:rFonts w:hint="eastAsia" w:cs="宋体"/>
          <w:sz w:val="24"/>
          <w:szCs w:val="24"/>
          <w:lang w:eastAsia="zh-CN"/>
        </w:rPr>
        <w:t>(</w:t>
      </w:r>
      <w:r>
        <w:rPr>
          <w:rFonts w:hint="eastAsia" w:ascii="宋体" w:hAnsi="宋体" w:eastAsia="宋体" w:cs="宋体"/>
          <w:sz w:val="24"/>
          <w:szCs w:val="24"/>
        </w:rPr>
        <w:t>采购人监管</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采购人不执行政府采购信用融资政策，或不正当干预供应商选择合作融资机构，或无故拖延和拒付采购资金的，财政部门视情节进行约谈、通报直至暂停拨付财政资金。</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第十九条</w:t>
      </w:r>
      <w:r>
        <w:rPr>
          <w:rFonts w:hint="eastAsia" w:cs="宋体"/>
          <w:sz w:val="24"/>
          <w:szCs w:val="24"/>
          <w:lang w:eastAsia="zh-CN"/>
        </w:rPr>
        <w:t>(</w:t>
      </w:r>
      <w:r>
        <w:rPr>
          <w:rFonts w:hint="eastAsia" w:ascii="宋体" w:hAnsi="宋体" w:eastAsia="宋体" w:cs="宋体"/>
          <w:sz w:val="24"/>
          <w:szCs w:val="24"/>
        </w:rPr>
        <w:t>融资机构监管</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融资机构违反规定开展政府采购信用融资业务，对政府采购造成负面影响的，财政部门视情节取消其参与政府采购信用融资的业务权限。</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第二十条</w:t>
      </w:r>
      <w:r>
        <w:rPr>
          <w:rFonts w:hint="eastAsia" w:cs="宋体"/>
          <w:sz w:val="24"/>
          <w:szCs w:val="24"/>
          <w:lang w:eastAsia="zh-CN"/>
        </w:rPr>
        <w:t>(</w:t>
      </w:r>
      <w:r>
        <w:rPr>
          <w:rFonts w:hint="eastAsia" w:ascii="宋体" w:hAnsi="宋体" w:eastAsia="宋体" w:cs="宋体"/>
          <w:sz w:val="24"/>
          <w:szCs w:val="24"/>
        </w:rPr>
        <w:t>供应商监管</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供应商弄虚作假或以伪造政府采购合同等方式违规获取政府采购信用融资，或不按约定按时还款付息的，融资机构依法追究相关责任。财政部门将其纳入“不具备《政府采购法》第二十二条第一款第</w:t>
      </w:r>
      <w:r>
        <w:rPr>
          <w:rFonts w:hint="eastAsia" w:cs="宋体"/>
          <w:sz w:val="24"/>
          <w:szCs w:val="24"/>
          <w:lang w:eastAsia="zh-CN"/>
        </w:rPr>
        <w:t>(</w:t>
      </w:r>
      <w:r>
        <w:rPr>
          <w:rFonts w:hint="eastAsia" w:ascii="宋体" w:hAnsi="宋体" w:eastAsia="宋体" w:cs="宋体"/>
          <w:sz w:val="24"/>
          <w:szCs w:val="24"/>
        </w:rPr>
        <w:t>二</w:t>
      </w:r>
      <w:r>
        <w:rPr>
          <w:rFonts w:hint="eastAsia" w:cs="宋体"/>
          <w:sz w:val="24"/>
          <w:szCs w:val="24"/>
          <w:lang w:eastAsia="zh-CN"/>
        </w:rPr>
        <w:t>)</w:t>
      </w:r>
      <w:r>
        <w:rPr>
          <w:rFonts w:hint="eastAsia" w:ascii="宋体" w:hAnsi="宋体" w:eastAsia="宋体" w:cs="宋体"/>
          <w:sz w:val="24"/>
          <w:szCs w:val="24"/>
        </w:rPr>
        <w:t>项规定的具有良好的商业信誉条件”名单并予以公示。</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第二十一条</w:t>
      </w:r>
      <w:bookmarkStart w:id="6" w:name="BM24558847_25425864_3"/>
      <w:bookmarkEnd w:id="6"/>
      <w:r>
        <w:rPr>
          <w:rFonts w:hint="eastAsia" w:cs="宋体"/>
          <w:sz w:val="24"/>
          <w:szCs w:val="24"/>
          <w:lang w:eastAsia="zh-CN"/>
        </w:rPr>
        <w:t>(</w:t>
      </w:r>
      <w:r>
        <w:rPr>
          <w:rFonts w:hint="eastAsia" w:ascii="宋体" w:hAnsi="宋体" w:eastAsia="宋体" w:cs="宋体"/>
          <w:sz w:val="24"/>
          <w:szCs w:val="24"/>
        </w:rPr>
        <w:t>相关单位及工作人员监管</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各相关单位及其工作人员在履行职责中存在滥用职权、玩忽职守、徇私舞弊等违法违纪行为的，依照有关规定处理，涉嫌犯罪的，移送司法机关处理。</w:t>
      </w:r>
    </w:p>
    <w:p>
      <w:pPr>
        <w:keepNext w:val="0"/>
        <w:keepLines w:val="0"/>
        <w:pageBreakBefore w:val="0"/>
        <w:widowControl w:val="0"/>
        <w:kinsoku/>
        <w:wordWrap/>
        <w:overflowPunct/>
        <w:topLinePunct/>
        <w:autoSpaceDE/>
        <w:autoSpaceDN/>
        <w:bidi w:val="0"/>
        <w:adjustRightInd/>
        <w:spacing w:line="440" w:lineRule="exact"/>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第六章  附  则</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第二十二条</w:t>
      </w:r>
      <w:r>
        <w:rPr>
          <w:rFonts w:hint="eastAsia" w:cs="宋体"/>
          <w:sz w:val="24"/>
          <w:szCs w:val="24"/>
          <w:lang w:eastAsia="zh-CN"/>
        </w:rPr>
        <w:t>(</w:t>
      </w:r>
      <w:r>
        <w:rPr>
          <w:rFonts w:hint="eastAsia" w:ascii="宋体" w:hAnsi="宋体" w:eastAsia="宋体" w:cs="宋体"/>
          <w:sz w:val="24"/>
          <w:szCs w:val="24"/>
        </w:rPr>
        <w:t>解释相关</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本办法由市财政局会同中国人民银行成都分行营业管理部负责解释。</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第二十三条</w:t>
      </w:r>
      <w:r>
        <w:rPr>
          <w:rFonts w:hint="eastAsia" w:cs="宋体"/>
          <w:sz w:val="24"/>
          <w:szCs w:val="24"/>
          <w:lang w:eastAsia="zh-CN"/>
        </w:rPr>
        <w:t>(</w:t>
      </w:r>
      <w:r>
        <w:rPr>
          <w:rFonts w:hint="eastAsia" w:ascii="宋体" w:hAnsi="宋体" w:eastAsia="宋体" w:cs="宋体"/>
          <w:sz w:val="24"/>
          <w:szCs w:val="24"/>
        </w:rPr>
        <w:t>施行相关</w:t>
      </w:r>
      <w:r>
        <w:rPr>
          <w:rFonts w:hint="eastAsia" w:cs="宋体"/>
          <w:sz w:val="24"/>
          <w:szCs w:val="24"/>
          <w:lang w:eastAsia="zh-CN"/>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rPr>
      </w:pPr>
      <w:r>
        <w:rPr>
          <w:rFonts w:hint="eastAsia" w:ascii="宋体" w:hAnsi="宋体" w:eastAsia="宋体" w:cs="宋体"/>
          <w:sz w:val="24"/>
          <w:szCs w:val="24"/>
        </w:rPr>
        <w:t>本办法自印发之日起施行。市财政局、市金融办2013年12月9日印发的《关于开展中小企业政府采购信用担保及融资试点工作的通知》</w:t>
      </w:r>
      <w:r>
        <w:rPr>
          <w:rFonts w:hint="eastAsia" w:cs="宋体"/>
          <w:sz w:val="24"/>
          <w:szCs w:val="24"/>
          <w:lang w:eastAsia="zh-CN"/>
        </w:rPr>
        <w:t>(</w:t>
      </w:r>
      <w:r>
        <w:rPr>
          <w:rFonts w:hint="eastAsia" w:ascii="宋体" w:hAnsi="宋体" w:eastAsia="宋体" w:cs="宋体"/>
          <w:sz w:val="24"/>
          <w:szCs w:val="24"/>
        </w:rPr>
        <w:t>成财采〔2013〕200号</w:t>
      </w:r>
      <w:r>
        <w:rPr>
          <w:rFonts w:hint="eastAsia" w:cs="宋体"/>
          <w:sz w:val="24"/>
          <w:szCs w:val="24"/>
          <w:lang w:eastAsia="zh-CN"/>
        </w:rPr>
        <w:t>)</w:t>
      </w:r>
      <w:r>
        <w:rPr>
          <w:rFonts w:hint="eastAsia" w:ascii="宋体" w:hAnsi="宋体" w:eastAsia="宋体" w:cs="宋体"/>
          <w:sz w:val="24"/>
          <w:szCs w:val="24"/>
        </w:rPr>
        <w:t>同时废止。</w:t>
      </w:r>
    </w:p>
    <w:p>
      <w:pPr>
        <w:rPr>
          <w:rFonts w:hint="eastAsia" w:ascii="宋体" w:hAnsi="宋体" w:eastAsia="宋体" w:cs="宋体"/>
          <w:sz w:val="24"/>
          <w:szCs w:val="24"/>
        </w:rPr>
      </w:pPr>
      <w:r>
        <w:rPr>
          <w:rFonts w:hint="eastAsia" w:ascii="宋体" w:hAnsi="宋体" w:eastAsia="宋体" w:cs="宋体"/>
          <w:sz w:val="24"/>
          <w:szCs w:val="24"/>
        </w:rPr>
        <w:br w:type="page"/>
      </w:r>
    </w:p>
    <w:p>
      <w:pPr>
        <w:keepNext w:val="0"/>
        <w:keepLines w:val="0"/>
        <w:pageBreakBefore w:val="0"/>
        <w:widowControl w:val="0"/>
        <w:kinsoku/>
        <w:wordWrap/>
        <w:overflowPunct/>
        <w:topLinePunct/>
        <w:autoSpaceDE/>
        <w:autoSpaceDN/>
        <w:bidi w:val="0"/>
        <w:adjustRightInd/>
        <w:spacing w:line="440" w:lineRule="exact"/>
        <w:textAlignment w:val="auto"/>
        <w:rPr>
          <w:rFonts w:hint="eastAsia" w:ascii="宋体" w:hAnsi="宋体" w:eastAsia="宋体" w:cs="宋体"/>
          <w:sz w:val="24"/>
          <w:szCs w:val="24"/>
        </w:rPr>
      </w:pPr>
      <w:r>
        <w:rPr>
          <w:rFonts w:hint="eastAsia" w:ascii="宋体" w:hAnsi="宋体" w:eastAsia="宋体" w:cs="宋体"/>
          <w:sz w:val="24"/>
          <w:szCs w:val="24"/>
        </w:rPr>
        <w:t>附件2</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p>
    <w:p>
      <w:pPr>
        <w:keepNext w:val="0"/>
        <w:keepLines w:val="0"/>
        <w:pageBreakBefore w:val="0"/>
        <w:widowControl w:val="0"/>
        <w:kinsoku/>
        <w:wordWrap/>
        <w:overflowPunct/>
        <w:topLinePunct/>
        <w:autoSpaceDE/>
        <w:autoSpaceDN/>
        <w:bidi w:val="0"/>
        <w:adjustRightInd/>
        <w:snapToGrid w:val="0"/>
        <w:spacing w:line="440" w:lineRule="exact"/>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成都市级支持中小企业政府采购</w:t>
      </w:r>
    </w:p>
    <w:p>
      <w:pPr>
        <w:keepNext w:val="0"/>
        <w:keepLines w:val="0"/>
        <w:pageBreakBefore w:val="0"/>
        <w:widowControl w:val="0"/>
        <w:kinsoku/>
        <w:wordWrap/>
        <w:overflowPunct/>
        <w:topLinePunct/>
        <w:autoSpaceDE/>
        <w:autoSpaceDN/>
        <w:bidi w:val="0"/>
        <w:adjustRightInd/>
        <w:snapToGrid w:val="0"/>
        <w:spacing w:line="440" w:lineRule="exact"/>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信用融资实施方案</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贯彻落实中央、省、市关于支持民营经济健康发展相关精神和政府采购支持中小企业发展政策，有效缓解中小企业融资难、融资贵问题，支持中小企业参与政府采购活动，促进中小企业发展，根据《成都市中小企业政府采购信用融资暂行办法》</w:t>
      </w:r>
      <w:r>
        <w:rPr>
          <w:rFonts w:hint="eastAsia" w:cs="宋体"/>
          <w:sz w:val="24"/>
          <w:szCs w:val="24"/>
          <w:lang w:eastAsia="zh-CN"/>
        </w:rPr>
        <w:t>(</w:t>
      </w:r>
      <w:r>
        <w:rPr>
          <w:rFonts w:hint="eastAsia" w:ascii="宋体" w:hAnsi="宋体" w:eastAsia="宋体" w:cs="宋体"/>
          <w:sz w:val="24"/>
          <w:szCs w:val="24"/>
        </w:rPr>
        <w:t>以下简称《暂行办法》</w:t>
      </w:r>
      <w:r>
        <w:rPr>
          <w:rFonts w:hint="eastAsia" w:cs="宋体"/>
          <w:sz w:val="24"/>
          <w:szCs w:val="24"/>
          <w:lang w:eastAsia="zh-CN"/>
        </w:rPr>
        <w:t>)</w:t>
      </w:r>
      <w:r>
        <w:rPr>
          <w:rFonts w:hint="eastAsia" w:ascii="宋体" w:hAnsi="宋体" w:eastAsia="宋体" w:cs="宋体"/>
          <w:sz w:val="24"/>
          <w:szCs w:val="24"/>
        </w:rPr>
        <w:t>，制定本实施方案</w:t>
      </w:r>
      <w:r>
        <w:rPr>
          <w:rFonts w:hint="eastAsia" w:cs="宋体"/>
          <w:sz w:val="24"/>
          <w:szCs w:val="24"/>
          <w:lang w:eastAsia="zh-CN"/>
        </w:rPr>
        <w:t>(</w:t>
      </w:r>
      <w:r>
        <w:rPr>
          <w:rFonts w:hint="eastAsia" w:ascii="宋体" w:hAnsi="宋体" w:eastAsia="宋体" w:cs="宋体"/>
          <w:sz w:val="24"/>
          <w:szCs w:val="24"/>
        </w:rPr>
        <w:t>以下简称《实施方案》</w:t>
      </w:r>
      <w:r>
        <w:rPr>
          <w:rFonts w:hint="eastAsia" w:cs="宋体"/>
          <w:sz w:val="24"/>
          <w:szCs w:val="24"/>
          <w:lang w:eastAsia="zh-CN"/>
        </w:rPr>
        <w:t>)</w:t>
      </w:r>
      <w:r>
        <w:rPr>
          <w:rFonts w:hint="eastAsia" w:ascii="宋体" w:hAnsi="宋体" w:eastAsia="宋体" w:cs="宋体"/>
          <w:sz w:val="24"/>
          <w:szCs w:val="24"/>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一、目标任务</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全面贯彻落实国务院、四川省、成都市关于支持中小企业发展精神，充分发挥政府采购扶持中小企业发展的政策功能，持续推进和完善政府采购诚信体系建设，引导融资机构扩大对政府采购中标</w:t>
      </w:r>
      <w:r>
        <w:rPr>
          <w:rFonts w:hint="eastAsia" w:cs="宋体"/>
          <w:sz w:val="24"/>
          <w:szCs w:val="24"/>
          <w:lang w:eastAsia="zh-CN"/>
        </w:rPr>
        <w:t>(</w:t>
      </w:r>
      <w:r>
        <w:rPr>
          <w:rFonts w:hint="eastAsia" w:ascii="宋体" w:hAnsi="宋体" w:eastAsia="宋体" w:cs="宋体"/>
          <w:sz w:val="24"/>
          <w:szCs w:val="24"/>
        </w:rPr>
        <w:t>成交</w:t>
      </w:r>
      <w:r>
        <w:rPr>
          <w:rFonts w:hint="eastAsia" w:cs="宋体"/>
          <w:sz w:val="24"/>
          <w:szCs w:val="24"/>
          <w:lang w:eastAsia="zh-CN"/>
        </w:rPr>
        <w:t>)</w:t>
      </w:r>
      <w:r>
        <w:rPr>
          <w:rFonts w:hint="eastAsia" w:ascii="宋体" w:hAnsi="宋体" w:eastAsia="宋体" w:cs="宋体"/>
          <w:sz w:val="24"/>
          <w:szCs w:val="24"/>
        </w:rPr>
        <w:t>中小企业供应商</w:t>
      </w:r>
      <w:r>
        <w:rPr>
          <w:rFonts w:hint="eastAsia" w:cs="宋体"/>
          <w:sz w:val="24"/>
          <w:szCs w:val="24"/>
          <w:lang w:eastAsia="zh-CN"/>
        </w:rPr>
        <w:t>(</w:t>
      </w:r>
      <w:r>
        <w:rPr>
          <w:rFonts w:hint="eastAsia" w:ascii="宋体" w:hAnsi="宋体" w:eastAsia="宋体" w:cs="宋体"/>
          <w:sz w:val="24"/>
          <w:szCs w:val="24"/>
        </w:rPr>
        <w:t>以下简称供应商</w:t>
      </w:r>
      <w:r>
        <w:rPr>
          <w:rFonts w:hint="eastAsia" w:cs="宋体"/>
          <w:sz w:val="24"/>
          <w:szCs w:val="24"/>
          <w:lang w:eastAsia="zh-CN"/>
        </w:rPr>
        <w:t>)</w:t>
      </w:r>
      <w:r>
        <w:rPr>
          <w:rFonts w:hint="eastAsia" w:ascii="宋体" w:hAnsi="宋体" w:eastAsia="宋体" w:cs="宋体"/>
          <w:sz w:val="24"/>
          <w:szCs w:val="24"/>
        </w:rPr>
        <w:t>的融资规模，积极营造良好的营商环境，促进中小企业高质量发展。</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二、适用范围</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本《实施方案》适用于成都市本级政府采购信用融资工作。</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三、基本原则 </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一</w:t>
      </w:r>
      <w:r>
        <w:rPr>
          <w:rFonts w:hint="eastAsia" w:cs="宋体"/>
          <w:sz w:val="24"/>
          <w:szCs w:val="24"/>
          <w:lang w:eastAsia="zh-CN"/>
        </w:rPr>
        <w:t>)</w:t>
      </w:r>
      <w:r>
        <w:rPr>
          <w:rFonts w:hint="eastAsia" w:ascii="宋体" w:hAnsi="宋体" w:eastAsia="宋体" w:cs="宋体"/>
          <w:sz w:val="24"/>
          <w:szCs w:val="24"/>
        </w:rPr>
        <w:t>政府引导、市场主导。坚持政采搭台、市场运作，市财政局、中国人民银行成都分行营业管理部牵头组织并指导市级政府采购信用融资工作，但不参与政府采购信用融资具体业务。融资机构和供应商通过市场化运作的方式开展政府采购信用融资工作。</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二</w:t>
      </w:r>
      <w:r>
        <w:rPr>
          <w:rFonts w:hint="eastAsia" w:cs="宋体"/>
          <w:sz w:val="24"/>
          <w:szCs w:val="24"/>
          <w:lang w:eastAsia="zh-CN"/>
        </w:rPr>
        <w:t>)</w:t>
      </w:r>
      <w:r>
        <w:rPr>
          <w:rFonts w:hint="eastAsia" w:ascii="宋体" w:hAnsi="宋体" w:eastAsia="宋体" w:cs="宋体"/>
          <w:sz w:val="24"/>
          <w:szCs w:val="24"/>
        </w:rPr>
        <w:t>自愿选择、自担风险。融资机构自愿选择是否开展政府采购信用融资业务。供应商自主决定是否享受政府采购信用融资政策，并自由选择信用融资合作方。融资机构与供应商自行承担政府采购信用融资的业务风险。</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三</w:t>
      </w:r>
      <w:r>
        <w:rPr>
          <w:rFonts w:hint="eastAsia" w:cs="宋体"/>
          <w:sz w:val="24"/>
          <w:szCs w:val="24"/>
          <w:lang w:eastAsia="zh-CN"/>
        </w:rPr>
        <w:t>)</w:t>
      </w:r>
      <w:r>
        <w:rPr>
          <w:rFonts w:hint="eastAsia" w:ascii="宋体" w:hAnsi="宋体" w:eastAsia="宋体" w:cs="宋体"/>
          <w:sz w:val="24"/>
          <w:szCs w:val="24"/>
        </w:rPr>
        <w:t>诚实信用、互惠共赢。引导供应商树立“诚信创造价值”的理念，通过政府采购信用融资支持供应商依法、诚信经营。利用信息化技术搭建信息互通平台，在诚实信用、互惠互利基础上，促进供应商与融资机构实现良性互动、合作共赢。</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四、组织实施</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一</w:t>
      </w:r>
      <w:r>
        <w:rPr>
          <w:rFonts w:hint="eastAsia" w:cs="宋体"/>
          <w:sz w:val="24"/>
          <w:szCs w:val="24"/>
          <w:lang w:eastAsia="zh-CN"/>
        </w:rPr>
        <w:t>)</w:t>
      </w:r>
      <w:r>
        <w:rPr>
          <w:rFonts w:hint="eastAsia" w:ascii="宋体" w:hAnsi="宋体" w:eastAsia="宋体" w:cs="宋体"/>
          <w:sz w:val="24"/>
          <w:szCs w:val="24"/>
        </w:rPr>
        <w:t>宣传动员</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相关部门和单位采取多种方式积极宣传《暂行办法》和《实</w:t>
      </w:r>
      <w:r>
        <w:rPr>
          <w:rFonts w:hint="eastAsia" w:ascii="宋体" w:hAnsi="宋体" w:eastAsia="宋体" w:cs="宋体"/>
          <w:color w:val="000000"/>
          <w:sz w:val="24"/>
          <w:szCs w:val="24"/>
        </w:rPr>
        <w:t>施方案》，落实财政部门、融资机构主管部门、采购人、融资机构等职责任务，明确各项工作目标任务，确保成都市级政府采购信用融资工作有序推进。</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二</w:t>
      </w:r>
      <w:r>
        <w:rPr>
          <w:rFonts w:hint="eastAsia" w:cs="宋体"/>
          <w:sz w:val="24"/>
          <w:szCs w:val="24"/>
          <w:lang w:eastAsia="zh-CN"/>
        </w:rPr>
        <w:t>)</w:t>
      </w:r>
      <w:r>
        <w:rPr>
          <w:rFonts w:hint="eastAsia" w:ascii="宋体" w:hAnsi="宋体" w:eastAsia="宋体" w:cs="宋体"/>
          <w:sz w:val="24"/>
          <w:szCs w:val="24"/>
        </w:rPr>
        <w:t>融资机构选择</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1．报名。有意向按照《暂行办法》和《实施方案》开展政府采购信用融资业务的融资机构，由其在蓉最高机构或在蓉最高机构指定的分支机构在市财政局政府采购监督管理处报名。报名需提供以下材料：</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color w:val="000000"/>
          <w:sz w:val="24"/>
          <w:szCs w:val="24"/>
        </w:rPr>
      </w:pPr>
      <w:r>
        <w:rPr>
          <w:rFonts w:hint="eastAsia" w:cs="宋体"/>
          <w:color w:val="000000"/>
          <w:sz w:val="24"/>
          <w:szCs w:val="24"/>
          <w:lang w:eastAsia="zh-CN"/>
        </w:rPr>
        <w:t>(</w:t>
      </w:r>
      <w:r>
        <w:rPr>
          <w:rFonts w:hint="eastAsia" w:ascii="宋体" w:hAnsi="宋体" w:eastAsia="宋体" w:cs="宋体"/>
          <w:color w:val="000000"/>
          <w:sz w:val="24"/>
          <w:szCs w:val="24"/>
        </w:rPr>
        <w:t>1</w:t>
      </w:r>
      <w:r>
        <w:rPr>
          <w:rFonts w:hint="eastAsia" w:cs="宋体"/>
          <w:color w:val="000000"/>
          <w:sz w:val="24"/>
          <w:szCs w:val="24"/>
          <w:lang w:eastAsia="zh-CN"/>
        </w:rPr>
        <w:t>)</w:t>
      </w:r>
      <w:r>
        <w:rPr>
          <w:rFonts w:hint="eastAsia" w:ascii="宋体" w:hAnsi="宋体" w:eastAsia="宋体" w:cs="宋体"/>
          <w:color w:val="000000"/>
          <w:sz w:val="24"/>
          <w:szCs w:val="24"/>
        </w:rPr>
        <w:t>融资机构基本情况；</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color w:val="000000"/>
          <w:sz w:val="24"/>
          <w:szCs w:val="24"/>
        </w:rPr>
      </w:pPr>
      <w:r>
        <w:rPr>
          <w:rFonts w:hint="eastAsia" w:cs="宋体"/>
          <w:color w:val="000000"/>
          <w:sz w:val="24"/>
          <w:szCs w:val="24"/>
          <w:lang w:eastAsia="zh-CN"/>
        </w:rPr>
        <w:t>(</w:t>
      </w:r>
      <w:r>
        <w:rPr>
          <w:rFonts w:hint="eastAsia" w:ascii="宋体" w:hAnsi="宋体" w:eastAsia="宋体" w:cs="宋体"/>
          <w:color w:val="000000"/>
          <w:sz w:val="24"/>
          <w:szCs w:val="24"/>
        </w:rPr>
        <w:t>2</w:t>
      </w:r>
      <w:r>
        <w:rPr>
          <w:rFonts w:hint="eastAsia" w:cs="宋体"/>
          <w:color w:val="000000"/>
          <w:sz w:val="24"/>
          <w:szCs w:val="24"/>
          <w:lang w:eastAsia="zh-CN"/>
        </w:rPr>
        <w:t>)</w:t>
      </w:r>
      <w:r>
        <w:rPr>
          <w:rFonts w:hint="eastAsia" w:ascii="宋体" w:hAnsi="宋体" w:eastAsia="宋体" w:cs="宋体"/>
          <w:color w:val="000000"/>
          <w:sz w:val="24"/>
          <w:szCs w:val="24"/>
        </w:rPr>
        <w:t>政府采购信用融资实施方案</w:t>
      </w:r>
      <w:r>
        <w:rPr>
          <w:rFonts w:hint="eastAsia" w:cs="宋体"/>
          <w:color w:val="000000"/>
          <w:sz w:val="24"/>
          <w:szCs w:val="24"/>
          <w:lang w:eastAsia="zh-CN"/>
        </w:rPr>
        <w:t>(</w:t>
      </w:r>
      <w:r>
        <w:rPr>
          <w:rFonts w:hint="eastAsia" w:ascii="宋体" w:hAnsi="宋体" w:eastAsia="宋体" w:cs="宋体"/>
          <w:color w:val="000000"/>
          <w:sz w:val="24"/>
          <w:szCs w:val="24"/>
        </w:rPr>
        <w:t>包括授信政策、融资产品、贷款利率及其它优惠措施、业务流程及各环节办结时间、联系方式等</w:t>
      </w:r>
      <w:r>
        <w:rPr>
          <w:rFonts w:hint="eastAsia" w:cs="宋体"/>
          <w:color w:val="000000"/>
          <w:sz w:val="24"/>
          <w:szCs w:val="24"/>
          <w:lang w:eastAsia="zh-CN"/>
        </w:rPr>
        <w:t>)</w:t>
      </w:r>
      <w:r>
        <w:rPr>
          <w:rFonts w:hint="eastAsia" w:ascii="宋体" w:hAnsi="宋体" w:eastAsia="宋体" w:cs="宋体"/>
          <w:color w:val="000000"/>
          <w:sz w:val="24"/>
          <w:szCs w:val="24"/>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color w:val="000000"/>
          <w:sz w:val="24"/>
          <w:szCs w:val="24"/>
        </w:rPr>
      </w:pPr>
      <w:r>
        <w:rPr>
          <w:rFonts w:hint="eastAsia" w:cs="宋体"/>
          <w:color w:val="000000"/>
          <w:sz w:val="24"/>
          <w:szCs w:val="24"/>
          <w:lang w:eastAsia="zh-CN"/>
        </w:rPr>
        <w:t>(</w:t>
      </w:r>
      <w:r>
        <w:rPr>
          <w:rFonts w:hint="eastAsia" w:ascii="宋体" w:hAnsi="宋体" w:eastAsia="宋体" w:cs="宋体"/>
          <w:color w:val="000000"/>
          <w:sz w:val="24"/>
          <w:szCs w:val="24"/>
        </w:rPr>
        <w:t>3</w:t>
      </w:r>
      <w:r>
        <w:rPr>
          <w:rFonts w:hint="eastAsia" w:cs="宋体"/>
          <w:color w:val="000000"/>
          <w:sz w:val="24"/>
          <w:szCs w:val="24"/>
          <w:lang w:eastAsia="zh-CN"/>
        </w:rPr>
        <w:t>)</w:t>
      </w:r>
      <w:r>
        <w:rPr>
          <w:rFonts w:hint="eastAsia" w:ascii="宋体" w:hAnsi="宋体" w:eastAsia="宋体" w:cs="宋体"/>
          <w:color w:val="000000"/>
          <w:sz w:val="24"/>
          <w:szCs w:val="24"/>
        </w:rPr>
        <w:t>关于遵照《暂行办法》和《实施方案》开展政府采购信用融资业务的承诺；</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color w:val="000000"/>
          <w:sz w:val="24"/>
          <w:szCs w:val="24"/>
        </w:rPr>
      </w:pPr>
      <w:r>
        <w:rPr>
          <w:rFonts w:hint="eastAsia" w:cs="宋体"/>
          <w:color w:val="000000"/>
          <w:sz w:val="24"/>
          <w:szCs w:val="24"/>
          <w:lang w:eastAsia="zh-CN"/>
        </w:rPr>
        <w:t>(</w:t>
      </w:r>
      <w:r>
        <w:rPr>
          <w:rFonts w:hint="eastAsia" w:ascii="宋体" w:hAnsi="宋体" w:eastAsia="宋体" w:cs="宋体"/>
          <w:color w:val="000000"/>
          <w:sz w:val="24"/>
          <w:szCs w:val="24"/>
        </w:rPr>
        <w:t>4</w:t>
      </w:r>
      <w:r>
        <w:rPr>
          <w:rFonts w:hint="eastAsia" w:cs="宋体"/>
          <w:color w:val="000000"/>
          <w:sz w:val="24"/>
          <w:szCs w:val="24"/>
          <w:lang w:eastAsia="zh-CN"/>
        </w:rPr>
        <w:t>)</w:t>
      </w:r>
      <w:r>
        <w:rPr>
          <w:rFonts w:hint="eastAsia" w:ascii="宋体" w:hAnsi="宋体" w:eastAsia="宋体" w:cs="宋体"/>
          <w:color w:val="000000"/>
          <w:sz w:val="24"/>
          <w:szCs w:val="24"/>
        </w:rPr>
        <w:t>关于政府采购信用融资业务风险及系统对接研发费用自行承担的承诺。</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2．系统对接。融资机构成功报名后，须按要求完成政府采购信用融资业务与成都市政府采购监督管理系统的技术对接。</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3．确定融资机构。市财政局将完成系统对接的融资机构确定为我市开展政府采购信用融资业务的融资机构，并在成都市政府采购监督管理系统集中展示，为供应商开展融资提供指引。</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三</w:t>
      </w:r>
      <w:r>
        <w:rPr>
          <w:rFonts w:hint="eastAsia" w:cs="宋体"/>
          <w:sz w:val="24"/>
          <w:szCs w:val="24"/>
          <w:lang w:eastAsia="zh-CN"/>
        </w:rPr>
        <w:t>)</w:t>
      </w:r>
      <w:r>
        <w:rPr>
          <w:rFonts w:hint="eastAsia" w:ascii="宋体" w:hAnsi="宋体" w:eastAsia="宋体" w:cs="宋体"/>
          <w:sz w:val="24"/>
          <w:szCs w:val="24"/>
        </w:rPr>
        <w:t>其他事项</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成都市级政府采购信用融资工作通过成都市政府采购监督管理系统实行全流程在线管理。成都市政府采购监督管理系统启用前或升级维护期间，市级政府采购信用融资业务按照《暂行办法》相关规定进行离线办理，并在系统正常运行后上传相关信息。</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五、相关要求</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一</w:t>
      </w:r>
      <w:r>
        <w:rPr>
          <w:rFonts w:hint="eastAsia" w:cs="宋体"/>
          <w:sz w:val="24"/>
          <w:szCs w:val="24"/>
          <w:lang w:eastAsia="zh-CN"/>
        </w:rPr>
        <w:t>)</w:t>
      </w:r>
      <w:r>
        <w:rPr>
          <w:rFonts w:hint="eastAsia" w:ascii="宋体" w:hAnsi="宋体" w:eastAsia="宋体" w:cs="宋体"/>
          <w:sz w:val="24"/>
          <w:szCs w:val="24"/>
        </w:rPr>
        <w:t>加强组织领导。</w:t>
      </w:r>
      <w:r>
        <w:rPr>
          <w:rFonts w:hint="eastAsia" w:ascii="宋体" w:hAnsi="宋体" w:eastAsia="宋体" w:cs="宋体"/>
          <w:color w:val="000000"/>
          <w:kern w:val="0"/>
          <w:sz w:val="24"/>
          <w:szCs w:val="24"/>
        </w:rPr>
        <w:t>政府采购信用融资是缓解中小企业资金短缺压力，优化中小企业发展环境，促进我市经济发展的重要举措。市级各部门、单位要统一思想，充分认识此项工作的重要意义，认真抓好政策落实，</w:t>
      </w:r>
      <w:r>
        <w:rPr>
          <w:rFonts w:hint="eastAsia" w:ascii="宋体" w:hAnsi="宋体" w:eastAsia="宋体" w:cs="宋体"/>
          <w:sz w:val="24"/>
          <w:szCs w:val="24"/>
        </w:rPr>
        <w:t>全面、有序、科学推进政府采购信用融资工作。</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二</w:t>
      </w:r>
      <w:r>
        <w:rPr>
          <w:rFonts w:hint="eastAsia" w:cs="宋体"/>
          <w:sz w:val="24"/>
          <w:szCs w:val="24"/>
          <w:lang w:eastAsia="zh-CN"/>
        </w:rPr>
        <w:t>)</w:t>
      </w:r>
      <w:r>
        <w:rPr>
          <w:rFonts w:hint="eastAsia" w:ascii="宋体" w:hAnsi="宋体" w:eastAsia="宋体" w:cs="宋体"/>
          <w:sz w:val="24"/>
          <w:szCs w:val="24"/>
        </w:rPr>
        <w:t>注重协调配合。</w:t>
      </w:r>
      <w:r>
        <w:rPr>
          <w:rFonts w:hint="eastAsia" w:ascii="宋体" w:hAnsi="宋体" w:eastAsia="宋体" w:cs="宋体"/>
          <w:color w:val="000000"/>
          <w:kern w:val="0"/>
          <w:sz w:val="24"/>
          <w:szCs w:val="24"/>
        </w:rPr>
        <w:t>市财政局、中国人民银行成都分行营业管理部及采购人</w:t>
      </w:r>
      <w:r>
        <w:rPr>
          <w:rFonts w:hint="eastAsia" w:ascii="宋体" w:hAnsi="宋体" w:eastAsia="宋体" w:cs="宋体"/>
          <w:sz w:val="24"/>
          <w:szCs w:val="24"/>
        </w:rPr>
        <w:t>等有关单位要根据职责任务，及时协调解决工作中遇到的困难和问题，积极</w:t>
      </w:r>
      <w:r>
        <w:rPr>
          <w:rFonts w:hint="eastAsia" w:ascii="宋体" w:hAnsi="宋体" w:eastAsia="宋体" w:cs="宋体"/>
          <w:color w:val="000000"/>
          <w:kern w:val="0"/>
          <w:sz w:val="24"/>
          <w:szCs w:val="24"/>
        </w:rPr>
        <w:t>创造条件主动服务，帮助有融资需求、符合条件的供应商实现政府采购信用融资，促进中小企业又好又快发展</w:t>
      </w:r>
      <w:r>
        <w:rPr>
          <w:rFonts w:hint="eastAsia" w:ascii="宋体" w:hAnsi="宋体" w:eastAsia="宋体" w:cs="宋体"/>
          <w:sz w:val="24"/>
          <w:szCs w:val="24"/>
        </w:rPr>
        <w:t>。</w:t>
      </w:r>
    </w:p>
    <w:p>
      <w:pPr>
        <w:keepNext w:val="0"/>
        <w:keepLines w:val="0"/>
        <w:pageBreakBefore w:val="0"/>
        <w:widowControl w:val="0"/>
        <w:kinsoku/>
        <w:wordWrap/>
        <w:overflowPunct/>
        <w:topLinePunct/>
        <w:autoSpaceDE/>
        <w:autoSpaceDN/>
        <w:bidi w:val="0"/>
        <w:adjustRightInd/>
        <w:spacing w:line="440" w:lineRule="exact"/>
        <w:ind w:firstLine="480" w:firstLineChars="200"/>
        <w:textAlignment w:val="auto"/>
        <w:rPr>
          <w:rFonts w:hint="eastAsia" w:ascii="宋体" w:hAnsi="宋体" w:eastAsia="宋体" w:cs="宋体"/>
          <w:sz w:val="24"/>
          <w:szCs w:val="24"/>
        </w:rPr>
      </w:pPr>
      <w:r>
        <w:rPr>
          <w:rFonts w:hint="eastAsia" w:cs="宋体"/>
          <w:sz w:val="24"/>
          <w:szCs w:val="24"/>
          <w:lang w:eastAsia="zh-CN"/>
        </w:rPr>
        <w:t>(</w:t>
      </w:r>
      <w:r>
        <w:rPr>
          <w:rFonts w:hint="eastAsia" w:ascii="宋体" w:hAnsi="宋体" w:eastAsia="宋体" w:cs="宋体"/>
          <w:sz w:val="24"/>
          <w:szCs w:val="24"/>
        </w:rPr>
        <w:t>三</w:t>
      </w:r>
      <w:r>
        <w:rPr>
          <w:rFonts w:hint="eastAsia" w:cs="宋体"/>
          <w:sz w:val="24"/>
          <w:szCs w:val="24"/>
          <w:lang w:eastAsia="zh-CN"/>
        </w:rPr>
        <w:t>)</w:t>
      </w:r>
      <w:r>
        <w:rPr>
          <w:rFonts w:hint="eastAsia" w:ascii="宋体" w:hAnsi="宋体" w:eastAsia="宋体" w:cs="宋体"/>
          <w:sz w:val="24"/>
          <w:szCs w:val="24"/>
        </w:rPr>
        <w:t>强化宣传引导。各相关部门、单位要不断优化工作机制，为中小企业供应商提供优质服务。强化宣传引导，不断扩大政府采购信用融资政策的知晓度。加强跟踪问效，让政府采购信用融资惠及更多中小企业，积极营造良好的营商环境。</w:t>
      </w:r>
    </w:p>
    <w:p>
      <w:pPr>
        <w:rPr>
          <w:rFonts w:hint="eastAsia"/>
          <w:lang w:val="en-US" w:eastAsia="zh-CN"/>
        </w:rPr>
      </w:pPr>
      <w:r>
        <w:rPr>
          <w:rFonts w:hint="eastAsia"/>
          <w:lang w:val="en-US" w:eastAsia="zh-CN"/>
        </w:rPr>
        <w:br w:type="page"/>
      </w:r>
    </w:p>
    <w:p>
      <w:pPr>
        <w:pStyle w:val="13"/>
        <w:keepNext w:val="0"/>
        <w:keepLines w:val="0"/>
        <w:pageBreakBefore w:val="0"/>
        <w:widowControl w:val="0"/>
        <w:kinsoku/>
        <w:wordWrap w:val="0"/>
        <w:overflowPunct/>
        <w:topLinePunct/>
        <w:autoSpaceDE/>
        <w:autoSpaceDN/>
        <w:bidi w:val="0"/>
        <w:adjustRightInd w:val="0"/>
        <w:snapToGrid w:val="0"/>
        <w:ind w:firstLine="0" w:firstLineChars="0"/>
        <w:textAlignment w:val="auto"/>
        <w:outlineLvl w:val="2"/>
        <w:rPr>
          <w:rFonts w:hint="eastAsia"/>
          <w:color w:val="auto"/>
          <w:highlight w:val="none"/>
          <w:lang w:val="en-US" w:eastAsia="zh-CN"/>
        </w:rPr>
      </w:pPr>
      <w:bookmarkStart w:id="7" w:name="_Toc29782"/>
      <w:bookmarkStart w:id="8" w:name="_Toc4431"/>
      <w:r>
        <w:rPr>
          <w:rFonts w:hint="eastAsia"/>
          <w:color w:val="auto"/>
          <w:highlight w:val="none"/>
          <w:lang w:val="en-US" w:eastAsia="zh-CN"/>
        </w:rPr>
        <w:t>附件四：《成都市财政局 中国人民银行成都分行营业管理部关于印发成都市政府采购应对新冠肺炎疫情促进中小企业发展实施细则的通知》成财制〔2020〕2号</w:t>
      </w:r>
      <w:bookmarkEnd w:id="7"/>
      <w:bookmarkEnd w:id="8"/>
    </w:p>
    <w:p>
      <w:pPr>
        <w:spacing w:line="250" w:lineRule="auto"/>
        <w:rPr>
          <w:rFonts w:ascii="Arial"/>
          <w:sz w:val="21"/>
        </w:rPr>
      </w:pP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lang w:val="en-US" w:eastAsia="zh-CN"/>
        </w:rPr>
      </w:pPr>
      <w:r>
        <w:drawing>
          <wp:inline distT="0" distB="0" distL="114300" distR="114300">
            <wp:extent cx="5209540" cy="7532370"/>
            <wp:effectExtent l="0" t="0" r="63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5209540" cy="7532370"/>
                    </a:xfrm>
                    <a:prstGeom prst="rect">
                      <a:avLst/>
                    </a:prstGeom>
                    <a:noFill/>
                    <a:ln>
                      <a:noFill/>
                    </a:ln>
                  </pic:spPr>
                </pic:pic>
              </a:graphicData>
            </a:graphic>
          </wp:inline>
        </w:drawing>
      </w:r>
      <w:r>
        <w:drawing>
          <wp:inline distT="0" distB="0" distL="114300" distR="114300">
            <wp:extent cx="5447665" cy="6513830"/>
            <wp:effectExtent l="0" t="0" r="635" b="127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3"/>
                    <a:stretch>
                      <a:fillRect/>
                    </a:stretch>
                  </pic:blipFill>
                  <pic:spPr>
                    <a:xfrm>
                      <a:off x="0" y="0"/>
                      <a:ext cx="5447665" cy="6513830"/>
                    </a:xfrm>
                    <a:prstGeom prst="rect">
                      <a:avLst/>
                    </a:prstGeom>
                    <a:noFill/>
                    <a:ln>
                      <a:noFill/>
                    </a:ln>
                  </pic:spPr>
                </pic:pic>
              </a:graphicData>
            </a:graphic>
          </wp:inline>
        </w:drawing>
      </w:r>
      <w:r>
        <w:drawing>
          <wp:inline distT="0" distB="0" distL="114300" distR="114300">
            <wp:extent cx="5513705" cy="7498080"/>
            <wp:effectExtent l="0" t="0" r="1270" b="762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4"/>
                    <a:stretch>
                      <a:fillRect/>
                    </a:stretch>
                  </pic:blipFill>
                  <pic:spPr>
                    <a:xfrm>
                      <a:off x="0" y="0"/>
                      <a:ext cx="5513705" cy="7498080"/>
                    </a:xfrm>
                    <a:prstGeom prst="rect">
                      <a:avLst/>
                    </a:prstGeom>
                    <a:noFill/>
                    <a:ln>
                      <a:noFill/>
                    </a:ln>
                  </pic:spPr>
                </pic:pic>
              </a:graphicData>
            </a:graphic>
          </wp:inline>
        </w:drawing>
      </w:r>
      <w:r>
        <w:drawing>
          <wp:inline distT="0" distB="0" distL="114300" distR="114300">
            <wp:extent cx="5607685" cy="7848600"/>
            <wp:effectExtent l="0" t="0" r="2540" b="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5"/>
                    <a:stretch>
                      <a:fillRect/>
                    </a:stretch>
                  </pic:blipFill>
                  <pic:spPr>
                    <a:xfrm>
                      <a:off x="0" y="0"/>
                      <a:ext cx="5607685" cy="7848600"/>
                    </a:xfrm>
                    <a:prstGeom prst="rect">
                      <a:avLst/>
                    </a:prstGeom>
                    <a:noFill/>
                    <a:ln>
                      <a:noFill/>
                    </a:ln>
                  </pic:spPr>
                </pic:pic>
              </a:graphicData>
            </a:graphic>
          </wp:inline>
        </w:drawing>
      </w:r>
      <w:r>
        <w:drawing>
          <wp:inline distT="0" distB="0" distL="114300" distR="114300">
            <wp:extent cx="5572125" cy="7629525"/>
            <wp:effectExtent l="0" t="0" r="0" b="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6"/>
                    <a:stretch>
                      <a:fillRect/>
                    </a:stretch>
                  </pic:blipFill>
                  <pic:spPr>
                    <a:xfrm>
                      <a:off x="0" y="0"/>
                      <a:ext cx="5572125" cy="7629525"/>
                    </a:xfrm>
                    <a:prstGeom prst="rect">
                      <a:avLst/>
                    </a:prstGeom>
                    <a:noFill/>
                    <a:ln>
                      <a:noFill/>
                    </a:ln>
                  </pic:spPr>
                </pic:pic>
              </a:graphicData>
            </a:graphic>
          </wp:inline>
        </w:drawing>
      </w:r>
      <w:r>
        <w:drawing>
          <wp:inline distT="0" distB="0" distL="114300" distR="114300">
            <wp:extent cx="5359400" cy="5872480"/>
            <wp:effectExtent l="0" t="0" r="3175"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7"/>
                    <a:stretch>
                      <a:fillRect/>
                    </a:stretch>
                  </pic:blipFill>
                  <pic:spPr>
                    <a:xfrm>
                      <a:off x="0" y="0"/>
                      <a:ext cx="5359400" cy="5872480"/>
                    </a:xfrm>
                    <a:prstGeom prst="rect">
                      <a:avLst/>
                    </a:prstGeom>
                    <a:noFill/>
                    <a:ln>
                      <a:noFill/>
                    </a:ln>
                  </pic:spPr>
                </pic:pic>
              </a:graphicData>
            </a:graphic>
          </wp:inline>
        </w:drawing>
      </w:r>
      <w:r>
        <w:drawing>
          <wp:inline distT="0" distB="0" distL="114300" distR="114300">
            <wp:extent cx="5219700" cy="6997700"/>
            <wp:effectExtent l="0" t="0" r="0" b="3175"/>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8"/>
                    <a:stretch>
                      <a:fillRect/>
                    </a:stretch>
                  </pic:blipFill>
                  <pic:spPr>
                    <a:xfrm>
                      <a:off x="0" y="0"/>
                      <a:ext cx="5219700" cy="6997700"/>
                    </a:xfrm>
                    <a:prstGeom prst="rect">
                      <a:avLst/>
                    </a:prstGeom>
                    <a:noFill/>
                    <a:ln>
                      <a:noFill/>
                    </a:ln>
                  </pic:spPr>
                </pic:pic>
              </a:graphicData>
            </a:graphic>
          </wp:inline>
        </w:drawing>
      </w:r>
      <w:r>
        <w:drawing>
          <wp:inline distT="0" distB="0" distL="114300" distR="114300">
            <wp:extent cx="4953000" cy="1495425"/>
            <wp:effectExtent l="0" t="0" r="0" b="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19"/>
                    <a:stretch>
                      <a:fillRect/>
                    </a:stretch>
                  </pic:blipFill>
                  <pic:spPr>
                    <a:xfrm>
                      <a:off x="0" y="0"/>
                      <a:ext cx="4953000" cy="1495425"/>
                    </a:xfrm>
                    <a:prstGeom prst="rect">
                      <a:avLst/>
                    </a:prstGeom>
                    <a:noFill/>
                    <a:ln>
                      <a:noFill/>
                    </a:ln>
                  </pic:spPr>
                </pic:pic>
              </a:graphicData>
            </a:graphic>
          </wp:inline>
        </w:drawing>
      </w:r>
    </w:p>
    <w:p>
      <w:pPr>
        <w:rPr>
          <w:rFonts w:hint="eastAsia"/>
          <w:lang w:val="en-US" w:eastAsia="zh-CN"/>
        </w:rPr>
      </w:pPr>
      <w:r>
        <w:rPr>
          <w:rFonts w:hint="eastAsia"/>
          <w:lang w:val="en-US" w:eastAsia="zh-CN"/>
        </w:rPr>
        <w:br w:type="page"/>
      </w:r>
    </w:p>
    <w:p>
      <w:pPr>
        <w:pStyle w:val="13"/>
        <w:keepNext w:val="0"/>
        <w:keepLines w:val="0"/>
        <w:pageBreakBefore w:val="0"/>
        <w:widowControl w:val="0"/>
        <w:kinsoku/>
        <w:wordWrap w:val="0"/>
        <w:overflowPunct/>
        <w:topLinePunct/>
        <w:autoSpaceDE/>
        <w:autoSpaceDN/>
        <w:bidi w:val="0"/>
        <w:adjustRightInd w:val="0"/>
        <w:snapToGrid w:val="0"/>
        <w:ind w:firstLine="0" w:firstLineChars="0"/>
        <w:textAlignment w:val="auto"/>
        <w:outlineLvl w:val="2"/>
        <w:rPr>
          <w:rFonts w:hint="eastAsia"/>
          <w:lang w:val="en-US" w:eastAsia="zh-CN"/>
        </w:rPr>
      </w:pPr>
      <w:bookmarkStart w:id="9" w:name="_Toc4051"/>
      <w:bookmarkStart w:id="10" w:name="_Toc23033"/>
      <w:r>
        <w:rPr>
          <w:rFonts w:hint="eastAsia"/>
          <w:lang w:val="en-US" w:eastAsia="zh-CN"/>
        </w:rPr>
        <w:t>附件五：环保标志产品政府采购品目清单</w:t>
      </w:r>
      <w:bookmarkEnd w:id="9"/>
      <w:bookmarkEnd w:id="10"/>
    </w:p>
    <w:p>
      <w:pPr>
        <w:pStyle w:val="13"/>
        <w:keepNext w:val="0"/>
        <w:keepLines w:val="0"/>
        <w:pageBreakBefore w:val="0"/>
        <w:widowControl w:val="0"/>
        <w:kinsoku/>
        <w:wordWrap w:val="0"/>
        <w:overflowPunct/>
        <w:topLinePunct/>
        <w:autoSpaceDE/>
        <w:autoSpaceDN/>
        <w:bidi w:val="0"/>
        <w:adjustRightInd w:val="0"/>
        <w:snapToGrid w:val="0"/>
        <w:textAlignment w:val="auto"/>
        <w:outlineLvl w:val="9"/>
        <w:rPr>
          <w:rFonts w:hint="eastAsia"/>
          <w:lang w:val="en-US" w:eastAsia="zh-CN"/>
        </w:rPr>
      </w:pPr>
      <w:r>
        <w:drawing>
          <wp:anchor distT="0" distB="0" distL="114300" distR="114300" simplePos="0" relativeHeight="251661312" behindDoc="1" locked="0" layoutInCell="1" allowOverlap="1">
            <wp:simplePos x="0" y="0"/>
            <wp:positionH relativeFrom="column">
              <wp:posOffset>95885</wp:posOffset>
            </wp:positionH>
            <wp:positionV relativeFrom="paragraph">
              <wp:posOffset>104775</wp:posOffset>
            </wp:positionV>
            <wp:extent cx="5960110" cy="7155180"/>
            <wp:effectExtent l="0" t="0" r="2540" b="7620"/>
            <wp:wrapTight wrapText="bothSides">
              <wp:wrapPolygon>
                <wp:start x="0" y="0"/>
                <wp:lineTo x="0" y="21565"/>
                <wp:lineTo x="21575" y="21565"/>
                <wp:lineTo x="21575" y="0"/>
                <wp:lineTo x="0" y="0"/>
              </wp:wrapPolygon>
            </wp:wrapTight>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20"/>
                    <a:stretch>
                      <a:fillRect/>
                    </a:stretch>
                  </pic:blipFill>
                  <pic:spPr>
                    <a:xfrm>
                      <a:off x="0" y="0"/>
                      <a:ext cx="5960110" cy="7155180"/>
                    </a:xfrm>
                    <a:prstGeom prst="rect">
                      <a:avLst/>
                    </a:prstGeom>
                    <a:noFill/>
                    <a:ln>
                      <a:noFill/>
                    </a:ln>
                  </pic:spPr>
                </pic:pic>
              </a:graphicData>
            </a:graphic>
          </wp:anchor>
        </w:drawing>
      </w:r>
    </w:p>
    <w:p>
      <w:pPr>
        <w:rPr>
          <w:rFonts w:hint="eastAsia"/>
          <w:lang w:val="en-US" w:eastAsia="zh-CN"/>
        </w:rPr>
      </w:pPr>
      <w:r>
        <w:rPr>
          <w:rFonts w:hint="eastAsia"/>
          <w:lang w:val="en-US" w:eastAsia="zh-CN"/>
        </w:rPr>
        <w:br w:type="page"/>
      </w:r>
    </w:p>
    <w:p>
      <w:pPr>
        <w:pStyle w:val="13"/>
        <w:keepNext w:val="0"/>
        <w:keepLines w:val="0"/>
        <w:pageBreakBefore w:val="0"/>
        <w:widowControl w:val="0"/>
        <w:kinsoku/>
        <w:wordWrap w:val="0"/>
        <w:overflowPunct/>
        <w:topLinePunct/>
        <w:autoSpaceDE/>
        <w:autoSpaceDN/>
        <w:bidi w:val="0"/>
        <w:adjustRightInd w:val="0"/>
        <w:snapToGrid w:val="0"/>
        <w:textAlignment w:val="auto"/>
        <w:outlineLvl w:val="2"/>
        <w:rPr>
          <w:rFonts w:hint="eastAsia"/>
          <w:lang w:val="en-US" w:eastAsia="zh-CN"/>
        </w:rPr>
        <w:sectPr>
          <w:headerReference r:id="rId6" w:type="first"/>
          <w:footerReference r:id="rId8" w:type="first"/>
          <w:headerReference r:id="rId5" w:type="default"/>
          <w:footerReference r:id="rId7" w:type="default"/>
          <w:pgSz w:w="11906" w:h="16838"/>
          <w:pgMar w:top="1440" w:right="1080" w:bottom="1440" w:left="1080" w:header="851" w:footer="992" w:gutter="0"/>
          <w:pgNumType w:fmt="decimal" w:start="1"/>
          <w:cols w:space="0" w:num="1"/>
          <w:titlePg/>
          <w:docGrid w:linePitch="312" w:charSpace="0"/>
        </w:sectPr>
      </w:pPr>
    </w:p>
    <w:p>
      <w:pPr>
        <w:pStyle w:val="13"/>
        <w:keepNext w:val="0"/>
        <w:keepLines w:val="0"/>
        <w:pageBreakBefore w:val="0"/>
        <w:widowControl w:val="0"/>
        <w:kinsoku/>
        <w:wordWrap w:val="0"/>
        <w:overflowPunct/>
        <w:topLinePunct/>
        <w:autoSpaceDE/>
        <w:autoSpaceDN/>
        <w:bidi w:val="0"/>
        <w:adjustRightInd w:val="0"/>
        <w:snapToGrid w:val="0"/>
        <w:textAlignment w:val="auto"/>
        <w:outlineLvl w:val="2"/>
        <w:rPr>
          <w:rFonts w:hint="eastAsia"/>
          <w:lang w:val="en-US" w:eastAsia="zh-CN"/>
        </w:rPr>
        <w:sectPr>
          <w:pgSz w:w="11906" w:h="16838"/>
          <w:pgMar w:top="1440" w:right="1080" w:bottom="1440" w:left="1080" w:header="851" w:footer="992" w:gutter="0"/>
          <w:pgNumType w:fmt="decimal"/>
          <w:cols w:space="0" w:num="1"/>
          <w:titlePg/>
          <w:docGrid w:linePitch="312" w:charSpace="0"/>
        </w:sectPr>
      </w:pPr>
      <w:r>
        <w:drawing>
          <wp:anchor distT="0" distB="0" distL="114300" distR="114300" simplePos="0" relativeHeight="251662336" behindDoc="1" locked="0" layoutInCell="1" allowOverlap="1">
            <wp:simplePos x="0" y="0"/>
            <wp:positionH relativeFrom="column">
              <wp:posOffset>-12065</wp:posOffset>
            </wp:positionH>
            <wp:positionV relativeFrom="paragraph">
              <wp:posOffset>168275</wp:posOffset>
            </wp:positionV>
            <wp:extent cx="6058535" cy="8411210"/>
            <wp:effectExtent l="0" t="0" r="8890" b="8890"/>
            <wp:wrapTight wrapText="bothSides">
              <wp:wrapPolygon>
                <wp:start x="0" y="0"/>
                <wp:lineTo x="0" y="21574"/>
                <wp:lineTo x="21564" y="21574"/>
                <wp:lineTo x="21564" y="0"/>
                <wp:lineTo x="0" y="0"/>
              </wp:wrapPolygon>
            </wp:wrapTight>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1"/>
                    <a:stretch>
                      <a:fillRect/>
                    </a:stretch>
                  </pic:blipFill>
                  <pic:spPr>
                    <a:xfrm>
                      <a:off x="0" y="0"/>
                      <a:ext cx="6058535" cy="8411210"/>
                    </a:xfrm>
                    <a:prstGeom prst="rect">
                      <a:avLst/>
                    </a:prstGeom>
                    <a:noFill/>
                    <a:ln>
                      <a:noFill/>
                    </a:ln>
                  </pic:spPr>
                </pic:pic>
              </a:graphicData>
            </a:graphic>
          </wp:anchor>
        </w:drawing>
      </w:r>
    </w:p>
    <w:p>
      <w:pPr>
        <w:pStyle w:val="13"/>
        <w:keepNext w:val="0"/>
        <w:keepLines w:val="0"/>
        <w:pageBreakBefore w:val="0"/>
        <w:widowControl w:val="0"/>
        <w:kinsoku/>
        <w:wordWrap w:val="0"/>
        <w:overflowPunct/>
        <w:topLinePunct/>
        <w:autoSpaceDE/>
        <w:autoSpaceDN/>
        <w:bidi w:val="0"/>
        <w:adjustRightInd w:val="0"/>
        <w:snapToGrid w:val="0"/>
        <w:textAlignment w:val="auto"/>
        <w:outlineLvl w:val="2"/>
        <w:rPr>
          <w:rFonts w:hint="eastAsia"/>
          <w:lang w:val="en-US" w:eastAsia="zh-CN"/>
        </w:rPr>
        <w:sectPr>
          <w:pgSz w:w="11906" w:h="16838"/>
          <w:pgMar w:top="1440" w:right="1080" w:bottom="1440" w:left="1080" w:header="851" w:footer="992" w:gutter="0"/>
          <w:pgNumType w:fmt="decimal"/>
          <w:cols w:space="0" w:num="1"/>
          <w:titlePg/>
          <w:docGrid w:linePitch="312" w:charSpace="0"/>
        </w:sectPr>
      </w:pPr>
      <w:r>
        <w:drawing>
          <wp:anchor distT="0" distB="0" distL="114300" distR="114300" simplePos="0" relativeHeight="251663360" behindDoc="1" locked="0" layoutInCell="1" allowOverlap="1">
            <wp:simplePos x="0" y="0"/>
            <wp:positionH relativeFrom="column">
              <wp:posOffset>-63500</wp:posOffset>
            </wp:positionH>
            <wp:positionV relativeFrom="paragraph">
              <wp:posOffset>211455</wp:posOffset>
            </wp:positionV>
            <wp:extent cx="6181725" cy="7914640"/>
            <wp:effectExtent l="0" t="0" r="0" b="635"/>
            <wp:wrapTight wrapText="bothSides">
              <wp:wrapPolygon>
                <wp:start x="0" y="0"/>
                <wp:lineTo x="0" y="21576"/>
                <wp:lineTo x="21567" y="21576"/>
                <wp:lineTo x="21567" y="0"/>
                <wp:lineTo x="0" y="0"/>
              </wp:wrapPolygon>
            </wp:wrapTight>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2"/>
                    <a:stretch>
                      <a:fillRect/>
                    </a:stretch>
                  </pic:blipFill>
                  <pic:spPr>
                    <a:xfrm>
                      <a:off x="0" y="0"/>
                      <a:ext cx="6181725" cy="7914640"/>
                    </a:xfrm>
                    <a:prstGeom prst="rect">
                      <a:avLst/>
                    </a:prstGeom>
                    <a:noFill/>
                    <a:ln>
                      <a:noFill/>
                    </a:ln>
                  </pic:spPr>
                </pic:pic>
              </a:graphicData>
            </a:graphic>
          </wp:anchor>
        </w:drawing>
      </w:r>
    </w:p>
    <w:p>
      <w:pPr>
        <w:pStyle w:val="13"/>
        <w:keepNext w:val="0"/>
        <w:keepLines w:val="0"/>
        <w:pageBreakBefore w:val="0"/>
        <w:widowControl w:val="0"/>
        <w:kinsoku/>
        <w:wordWrap w:val="0"/>
        <w:overflowPunct/>
        <w:topLinePunct/>
        <w:autoSpaceDE/>
        <w:autoSpaceDN/>
        <w:bidi w:val="0"/>
        <w:adjustRightInd w:val="0"/>
        <w:snapToGrid w:val="0"/>
        <w:textAlignment w:val="auto"/>
        <w:outlineLvl w:val="2"/>
        <w:rPr>
          <w:rFonts w:hint="eastAsia"/>
          <w:lang w:val="en-US" w:eastAsia="zh-CN"/>
        </w:rPr>
        <w:sectPr>
          <w:pgSz w:w="11906" w:h="16838"/>
          <w:pgMar w:top="1440" w:right="1080" w:bottom="1440" w:left="1080" w:header="851" w:footer="992" w:gutter="0"/>
          <w:pgNumType w:fmt="decimal"/>
          <w:cols w:space="0" w:num="1"/>
          <w:titlePg/>
          <w:docGrid w:linePitch="312" w:charSpace="0"/>
        </w:sectPr>
      </w:pPr>
      <w:r>
        <w:drawing>
          <wp:anchor distT="0" distB="0" distL="114300" distR="114300" simplePos="0" relativeHeight="251664384" behindDoc="1" locked="0" layoutInCell="1" allowOverlap="1">
            <wp:simplePos x="0" y="0"/>
            <wp:positionH relativeFrom="column">
              <wp:posOffset>-62865</wp:posOffset>
            </wp:positionH>
            <wp:positionV relativeFrom="paragraph">
              <wp:posOffset>153670</wp:posOffset>
            </wp:positionV>
            <wp:extent cx="6182995" cy="7993380"/>
            <wp:effectExtent l="0" t="0" r="8255" b="7620"/>
            <wp:wrapTight wrapText="bothSides">
              <wp:wrapPolygon>
                <wp:start x="0" y="0"/>
                <wp:lineTo x="0" y="21569"/>
                <wp:lineTo x="21562" y="21569"/>
                <wp:lineTo x="21562" y="0"/>
                <wp:lineTo x="0" y="0"/>
              </wp:wrapPolygon>
            </wp:wrapTight>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3"/>
                    <a:stretch>
                      <a:fillRect/>
                    </a:stretch>
                  </pic:blipFill>
                  <pic:spPr>
                    <a:xfrm>
                      <a:off x="0" y="0"/>
                      <a:ext cx="6182995" cy="7993380"/>
                    </a:xfrm>
                    <a:prstGeom prst="rect">
                      <a:avLst/>
                    </a:prstGeom>
                    <a:noFill/>
                    <a:ln>
                      <a:noFill/>
                    </a:ln>
                  </pic:spPr>
                </pic:pic>
              </a:graphicData>
            </a:graphic>
          </wp:anchor>
        </w:drawing>
      </w:r>
    </w:p>
    <w:p>
      <w:pPr>
        <w:pStyle w:val="13"/>
        <w:keepNext w:val="0"/>
        <w:keepLines w:val="0"/>
        <w:pageBreakBefore w:val="0"/>
        <w:widowControl w:val="0"/>
        <w:kinsoku/>
        <w:wordWrap w:val="0"/>
        <w:overflowPunct/>
        <w:topLinePunct/>
        <w:autoSpaceDE/>
        <w:autoSpaceDN/>
        <w:bidi w:val="0"/>
        <w:adjustRightInd w:val="0"/>
        <w:snapToGrid w:val="0"/>
        <w:textAlignment w:val="auto"/>
        <w:outlineLvl w:val="2"/>
        <w:rPr>
          <w:rFonts w:hint="eastAsia"/>
          <w:lang w:val="en-US" w:eastAsia="zh-CN"/>
        </w:rPr>
        <w:sectPr>
          <w:pgSz w:w="11906" w:h="16838"/>
          <w:pgMar w:top="1440" w:right="1080" w:bottom="1440" w:left="1080" w:header="851" w:footer="992" w:gutter="0"/>
          <w:pgNumType w:fmt="decimal"/>
          <w:cols w:space="0" w:num="1"/>
          <w:titlePg/>
          <w:docGrid w:linePitch="312" w:charSpace="0"/>
        </w:sectPr>
      </w:pPr>
      <w:r>
        <w:drawing>
          <wp:anchor distT="0" distB="0" distL="114300" distR="114300" simplePos="0" relativeHeight="251665408" behindDoc="1" locked="0" layoutInCell="1" allowOverlap="1">
            <wp:simplePos x="0" y="0"/>
            <wp:positionH relativeFrom="column">
              <wp:posOffset>0</wp:posOffset>
            </wp:positionH>
            <wp:positionV relativeFrom="paragraph">
              <wp:posOffset>52705</wp:posOffset>
            </wp:positionV>
            <wp:extent cx="6187440" cy="7530465"/>
            <wp:effectExtent l="0" t="0" r="3810" b="3810"/>
            <wp:wrapTight wrapText="bothSides">
              <wp:wrapPolygon>
                <wp:start x="0" y="0"/>
                <wp:lineTo x="0" y="21584"/>
                <wp:lineTo x="21580" y="21584"/>
                <wp:lineTo x="21580" y="0"/>
                <wp:lineTo x="0" y="0"/>
              </wp:wrapPolygon>
            </wp:wrapTight>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4"/>
                    <a:stretch>
                      <a:fillRect/>
                    </a:stretch>
                  </pic:blipFill>
                  <pic:spPr>
                    <a:xfrm>
                      <a:off x="0" y="0"/>
                      <a:ext cx="6187440" cy="7530465"/>
                    </a:xfrm>
                    <a:prstGeom prst="rect">
                      <a:avLst/>
                    </a:prstGeom>
                    <a:noFill/>
                    <a:ln>
                      <a:noFill/>
                    </a:ln>
                  </pic:spPr>
                </pic:pic>
              </a:graphicData>
            </a:graphic>
          </wp:anchor>
        </w:drawing>
      </w:r>
    </w:p>
    <w:p>
      <w:pPr>
        <w:pStyle w:val="13"/>
        <w:keepNext w:val="0"/>
        <w:keepLines w:val="0"/>
        <w:pageBreakBefore w:val="0"/>
        <w:widowControl w:val="0"/>
        <w:kinsoku/>
        <w:wordWrap w:val="0"/>
        <w:overflowPunct/>
        <w:topLinePunct/>
        <w:autoSpaceDE/>
        <w:autoSpaceDN/>
        <w:bidi w:val="0"/>
        <w:adjustRightInd w:val="0"/>
        <w:snapToGrid w:val="0"/>
        <w:ind w:firstLine="0" w:firstLineChars="0"/>
        <w:textAlignment w:val="auto"/>
        <w:outlineLvl w:val="2"/>
        <w:rPr>
          <w:rFonts w:hint="eastAsia"/>
          <w:lang w:val="en-US" w:eastAsia="zh-CN"/>
        </w:rPr>
      </w:pPr>
      <w:bookmarkStart w:id="11" w:name="_Toc11695"/>
      <w:bookmarkStart w:id="12" w:name="_Toc16440"/>
      <w:r>
        <w:rPr>
          <w:rFonts w:hint="eastAsia"/>
          <w:lang w:val="en-US" w:eastAsia="zh-CN"/>
        </w:rPr>
        <w:t>附件六：节能产品政府采购品目清单</w:t>
      </w:r>
      <w:bookmarkEnd w:id="11"/>
      <w:bookmarkEnd w:id="12"/>
    </w:p>
    <w:p>
      <w:pPr>
        <w:pStyle w:val="13"/>
        <w:keepNext w:val="0"/>
        <w:keepLines w:val="0"/>
        <w:pageBreakBefore w:val="0"/>
        <w:widowControl w:val="0"/>
        <w:kinsoku/>
        <w:wordWrap w:val="0"/>
        <w:overflowPunct/>
        <w:topLinePunct/>
        <w:autoSpaceDE/>
        <w:autoSpaceDN/>
        <w:bidi w:val="0"/>
        <w:adjustRightInd w:val="0"/>
        <w:snapToGrid w:val="0"/>
        <w:textAlignment w:val="auto"/>
        <w:outlineLvl w:val="9"/>
        <w:rPr>
          <w:rFonts w:hint="eastAsia"/>
          <w:lang w:val="en-US" w:eastAsia="zh-CN"/>
        </w:rPr>
      </w:pPr>
      <w:r>
        <w:drawing>
          <wp:anchor distT="0" distB="0" distL="114300" distR="114300" simplePos="0" relativeHeight="251666432" behindDoc="1" locked="0" layoutInCell="1" allowOverlap="1">
            <wp:simplePos x="0" y="0"/>
            <wp:positionH relativeFrom="column">
              <wp:posOffset>80645</wp:posOffset>
            </wp:positionH>
            <wp:positionV relativeFrom="paragraph">
              <wp:posOffset>40005</wp:posOffset>
            </wp:positionV>
            <wp:extent cx="5941695" cy="7299325"/>
            <wp:effectExtent l="0" t="0" r="1905" b="6350"/>
            <wp:wrapTight wrapText="bothSides">
              <wp:wrapPolygon>
                <wp:start x="0" y="0"/>
                <wp:lineTo x="0" y="21562"/>
                <wp:lineTo x="21572" y="21562"/>
                <wp:lineTo x="21572" y="0"/>
                <wp:lineTo x="0" y="0"/>
              </wp:wrapPolygon>
            </wp:wrapTight>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25"/>
                    <a:stretch>
                      <a:fillRect/>
                    </a:stretch>
                  </pic:blipFill>
                  <pic:spPr>
                    <a:xfrm>
                      <a:off x="0" y="0"/>
                      <a:ext cx="5941695" cy="7299325"/>
                    </a:xfrm>
                    <a:prstGeom prst="rect">
                      <a:avLst/>
                    </a:prstGeom>
                    <a:noFill/>
                    <a:ln>
                      <a:noFill/>
                    </a:ln>
                  </pic:spPr>
                </pic:pic>
              </a:graphicData>
            </a:graphic>
          </wp:anchor>
        </w:drawing>
      </w:r>
    </w:p>
    <w:p>
      <w:pPr>
        <w:pStyle w:val="13"/>
        <w:keepNext w:val="0"/>
        <w:keepLines w:val="0"/>
        <w:pageBreakBefore w:val="0"/>
        <w:widowControl w:val="0"/>
        <w:kinsoku/>
        <w:wordWrap w:val="0"/>
        <w:overflowPunct/>
        <w:topLinePunct/>
        <w:autoSpaceDE/>
        <w:autoSpaceDN/>
        <w:bidi w:val="0"/>
        <w:adjustRightInd w:val="0"/>
        <w:snapToGrid w:val="0"/>
        <w:textAlignment w:val="auto"/>
        <w:outlineLvl w:val="2"/>
        <w:rPr>
          <w:rFonts w:hint="eastAsia"/>
          <w:lang w:val="en-US" w:eastAsia="zh-CN"/>
        </w:rPr>
        <w:sectPr>
          <w:pgSz w:w="11906" w:h="16838"/>
          <w:pgMar w:top="1440" w:right="1080" w:bottom="1440" w:left="1080" w:header="851" w:footer="992" w:gutter="0"/>
          <w:pgNumType w:fmt="decimal"/>
          <w:cols w:space="0" w:num="1"/>
          <w:titlePg/>
          <w:docGrid w:linePitch="312" w:charSpace="0"/>
        </w:sectPr>
      </w:pPr>
    </w:p>
    <w:p>
      <w:pPr>
        <w:pStyle w:val="13"/>
        <w:keepNext w:val="0"/>
        <w:keepLines w:val="0"/>
        <w:pageBreakBefore w:val="0"/>
        <w:widowControl w:val="0"/>
        <w:kinsoku/>
        <w:wordWrap w:val="0"/>
        <w:overflowPunct/>
        <w:topLinePunct/>
        <w:autoSpaceDE/>
        <w:autoSpaceDN/>
        <w:bidi w:val="0"/>
        <w:adjustRightInd w:val="0"/>
        <w:snapToGrid w:val="0"/>
        <w:textAlignment w:val="auto"/>
        <w:outlineLvl w:val="2"/>
        <w:rPr>
          <w:rFonts w:hint="eastAsia"/>
          <w:lang w:val="en-US" w:eastAsia="zh-CN"/>
        </w:rPr>
        <w:sectPr>
          <w:pgSz w:w="11906" w:h="16838"/>
          <w:pgMar w:top="1440" w:right="1080" w:bottom="1440" w:left="1080" w:header="851" w:footer="992" w:gutter="0"/>
          <w:pgNumType w:fmt="decimal"/>
          <w:cols w:space="0" w:num="1"/>
          <w:titlePg/>
          <w:docGrid w:linePitch="312" w:charSpace="0"/>
        </w:sectPr>
      </w:pPr>
      <w:r>
        <w:drawing>
          <wp:anchor distT="0" distB="0" distL="114300" distR="114300" simplePos="0" relativeHeight="251667456" behindDoc="1" locked="0" layoutInCell="1" allowOverlap="1">
            <wp:simplePos x="0" y="0"/>
            <wp:positionH relativeFrom="column">
              <wp:posOffset>0</wp:posOffset>
            </wp:positionH>
            <wp:positionV relativeFrom="paragraph">
              <wp:posOffset>4445</wp:posOffset>
            </wp:positionV>
            <wp:extent cx="5880735" cy="8602345"/>
            <wp:effectExtent l="0" t="0" r="5715" b="8255"/>
            <wp:wrapTight wrapText="bothSides">
              <wp:wrapPolygon>
                <wp:start x="0" y="0"/>
                <wp:lineTo x="0" y="21573"/>
                <wp:lineTo x="21551" y="21573"/>
                <wp:lineTo x="21551" y="0"/>
                <wp:lineTo x="0" y="0"/>
              </wp:wrapPolygon>
            </wp:wrapTight>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6"/>
                    <a:stretch>
                      <a:fillRect/>
                    </a:stretch>
                  </pic:blipFill>
                  <pic:spPr>
                    <a:xfrm>
                      <a:off x="0" y="0"/>
                      <a:ext cx="5880735" cy="8602345"/>
                    </a:xfrm>
                    <a:prstGeom prst="rect">
                      <a:avLst/>
                    </a:prstGeom>
                    <a:noFill/>
                    <a:ln>
                      <a:noFill/>
                    </a:ln>
                  </pic:spPr>
                </pic:pic>
              </a:graphicData>
            </a:graphic>
          </wp:anchor>
        </w:drawing>
      </w:r>
    </w:p>
    <w:p>
      <w:pPr>
        <w:pStyle w:val="13"/>
        <w:keepNext w:val="0"/>
        <w:keepLines w:val="0"/>
        <w:pageBreakBefore w:val="0"/>
        <w:widowControl w:val="0"/>
        <w:kinsoku/>
        <w:wordWrap w:val="0"/>
        <w:overflowPunct/>
        <w:topLinePunct/>
        <w:autoSpaceDE/>
        <w:autoSpaceDN/>
        <w:bidi w:val="0"/>
        <w:adjustRightInd w:val="0"/>
        <w:snapToGrid w:val="0"/>
        <w:textAlignment w:val="auto"/>
        <w:outlineLvl w:val="2"/>
        <w:rPr>
          <w:rFonts w:hint="eastAsia"/>
          <w:lang w:val="en-US" w:eastAsia="zh-CN"/>
        </w:rPr>
        <w:sectPr>
          <w:pgSz w:w="11906" w:h="16838"/>
          <w:pgMar w:top="1440" w:right="1080" w:bottom="1440" w:left="1080" w:header="851" w:footer="992" w:gutter="0"/>
          <w:pgNumType w:fmt="decimal"/>
          <w:cols w:space="0" w:num="1"/>
          <w:titlePg/>
          <w:docGrid w:linePitch="312" w:charSpace="0"/>
        </w:sectPr>
      </w:pPr>
      <w:r>
        <w:drawing>
          <wp:anchor distT="0" distB="0" distL="114300" distR="114300" simplePos="0" relativeHeight="251668480" behindDoc="1" locked="0" layoutInCell="1" allowOverlap="1">
            <wp:simplePos x="0" y="0"/>
            <wp:positionH relativeFrom="column">
              <wp:posOffset>194945</wp:posOffset>
            </wp:positionH>
            <wp:positionV relativeFrom="paragraph">
              <wp:posOffset>24130</wp:posOffset>
            </wp:positionV>
            <wp:extent cx="5781675" cy="8566150"/>
            <wp:effectExtent l="0" t="0" r="0" b="6350"/>
            <wp:wrapTight wrapText="bothSides">
              <wp:wrapPolygon>
                <wp:start x="0" y="0"/>
                <wp:lineTo x="0" y="21568"/>
                <wp:lineTo x="21564" y="21568"/>
                <wp:lineTo x="21564" y="0"/>
                <wp:lineTo x="0" y="0"/>
              </wp:wrapPolygon>
            </wp:wrapTight>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7"/>
                    <a:stretch>
                      <a:fillRect/>
                    </a:stretch>
                  </pic:blipFill>
                  <pic:spPr>
                    <a:xfrm>
                      <a:off x="0" y="0"/>
                      <a:ext cx="5781675" cy="8566150"/>
                    </a:xfrm>
                    <a:prstGeom prst="rect">
                      <a:avLst/>
                    </a:prstGeom>
                    <a:noFill/>
                    <a:ln>
                      <a:noFill/>
                    </a:ln>
                  </pic:spPr>
                </pic:pic>
              </a:graphicData>
            </a:graphic>
          </wp:anchor>
        </w:drawing>
      </w:r>
    </w:p>
    <w:p>
      <w:pPr>
        <w:pStyle w:val="13"/>
        <w:keepNext w:val="0"/>
        <w:keepLines w:val="0"/>
        <w:pageBreakBefore w:val="0"/>
        <w:widowControl w:val="0"/>
        <w:kinsoku/>
        <w:wordWrap w:val="0"/>
        <w:overflowPunct/>
        <w:topLinePunct/>
        <w:autoSpaceDE/>
        <w:autoSpaceDN/>
        <w:bidi w:val="0"/>
        <w:adjustRightInd w:val="0"/>
        <w:snapToGrid w:val="0"/>
        <w:textAlignment w:val="auto"/>
        <w:outlineLvl w:val="9"/>
        <w:rPr>
          <w:rFonts w:hint="eastAsia"/>
          <w:lang w:val="en-US" w:eastAsia="zh-CN"/>
        </w:rPr>
        <w:sectPr>
          <w:pgSz w:w="11906" w:h="16838"/>
          <w:pgMar w:top="1440" w:right="1080" w:bottom="1440" w:left="1080" w:header="851" w:footer="992" w:gutter="0"/>
          <w:pgNumType w:fmt="decimal"/>
          <w:cols w:space="0" w:num="1"/>
          <w:titlePg/>
          <w:docGrid w:linePitch="312" w:charSpace="0"/>
        </w:sectPr>
      </w:pPr>
      <w:r>
        <w:drawing>
          <wp:anchor distT="0" distB="0" distL="114300" distR="114300" simplePos="0" relativeHeight="251669504" behindDoc="1" locked="0" layoutInCell="1" allowOverlap="1">
            <wp:simplePos x="0" y="0"/>
            <wp:positionH relativeFrom="column">
              <wp:posOffset>110490</wp:posOffset>
            </wp:positionH>
            <wp:positionV relativeFrom="paragraph">
              <wp:posOffset>139065</wp:posOffset>
            </wp:positionV>
            <wp:extent cx="5744210" cy="8425815"/>
            <wp:effectExtent l="0" t="0" r="8890" b="3810"/>
            <wp:wrapTight wrapText="bothSides">
              <wp:wrapPolygon>
                <wp:start x="0" y="0"/>
                <wp:lineTo x="0" y="21585"/>
                <wp:lineTo x="21562" y="21585"/>
                <wp:lineTo x="21562" y="0"/>
                <wp:lineTo x="0" y="0"/>
              </wp:wrapPolygon>
            </wp:wrapTight>
            <wp:docPr id="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
                    <pic:cNvPicPr>
                      <a:picLocks noChangeAspect="1"/>
                    </pic:cNvPicPr>
                  </pic:nvPicPr>
                  <pic:blipFill>
                    <a:blip r:embed="rId28"/>
                    <a:stretch>
                      <a:fillRect/>
                    </a:stretch>
                  </pic:blipFill>
                  <pic:spPr>
                    <a:xfrm>
                      <a:off x="0" y="0"/>
                      <a:ext cx="5744210" cy="8425815"/>
                    </a:xfrm>
                    <a:prstGeom prst="rect">
                      <a:avLst/>
                    </a:prstGeom>
                    <a:noFill/>
                    <a:ln>
                      <a:noFill/>
                    </a:ln>
                  </pic:spPr>
                </pic:pic>
              </a:graphicData>
            </a:graphic>
          </wp:anchor>
        </w:drawing>
      </w:r>
    </w:p>
    <w:p>
      <w:pPr>
        <w:pStyle w:val="13"/>
        <w:keepNext w:val="0"/>
        <w:keepLines w:val="0"/>
        <w:pageBreakBefore w:val="0"/>
        <w:widowControl w:val="0"/>
        <w:kinsoku/>
        <w:wordWrap w:val="0"/>
        <w:overflowPunct/>
        <w:topLinePunct/>
        <w:autoSpaceDE/>
        <w:autoSpaceDN/>
        <w:bidi w:val="0"/>
        <w:adjustRightInd w:val="0"/>
        <w:snapToGrid w:val="0"/>
        <w:textAlignment w:val="auto"/>
        <w:outlineLvl w:val="2"/>
        <w:rPr>
          <w:rFonts w:hint="eastAsia"/>
          <w:lang w:val="en-US" w:eastAsia="zh-CN"/>
        </w:rPr>
        <w:sectPr>
          <w:pgSz w:w="11906" w:h="16838"/>
          <w:pgMar w:top="1440" w:right="1080" w:bottom="1440" w:left="1080" w:header="851" w:footer="992" w:gutter="0"/>
          <w:pgNumType w:fmt="decimal"/>
          <w:cols w:space="0" w:num="1"/>
          <w:titlePg/>
          <w:docGrid w:linePitch="312" w:charSpace="0"/>
        </w:sectPr>
      </w:pPr>
      <w:r>
        <w:drawing>
          <wp:anchor distT="0" distB="0" distL="114300" distR="114300" simplePos="0" relativeHeight="251670528" behindDoc="1" locked="0" layoutInCell="1" allowOverlap="1">
            <wp:simplePos x="0" y="0"/>
            <wp:positionH relativeFrom="column">
              <wp:posOffset>59055</wp:posOffset>
            </wp:positionH>
            <wp:positionV relativeFrom="paragraph">
              <wp:posOffset>174625</wp:posOffset>
            </wp:positionV>
            <wp:extent cx="6010910" cy="7803515"/>
            <wp:effectExtent l="0" t="0" r="8890" b="6985"/>
            <wp:wrapTight wrapText="bothSides">
              <wp:wrapPolygon>
                <wp:start x="0" y="0"/>
                <wp:lineTo x="0" y="21567"/>
                <wp:lineTo x="21563" y="21567"/>
                <wp:lineTo x="21563" y="0"/>
                <wp:lineTo x="0" y="0"/>
              </wp:wrapPolygon>
            </wp:wrapTight>
            <wp:docPr id="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6"/>
                    <pic:cNvPicPr>
                      <a:picLocks noChangeAspect="1"/>
                    </pic:cNvPicPr>
                  </pic:nvPicPr>
                  <pic:blipFill>
                    <a:blip r:embed="rId29"/>
                    <a:stretch>
                      <a:fillRect/>
                    </a:stretch>
                  </pic:blipFill>
                  <pic:spPr>
                    <a:xfrm>
                      <a:off x="0" y="0"/>
                      <a:ext cx="6010910" cy="7803515"/>
                    </a:xfrm>
                    <a:prstGeom prst="rect">
                      <a:avLst/>
                    </a:prstGeom>
                    <a:noFill/>
                    <a:ln>
                      <a:noFill/>
                    </a:ln>
                  </pic:spPr>
                </pic:pic>
              </a:graphicData>
            </a:graphic>
          </wp:anchor>
        </w:drawing>
      </w:r>
    </w:p>
    <w:p>
      <w:pPr>
        <w:pStyle w:val="13"/>
        <w:keepNext w:val="0"/>
        <w:keepLines w:val="0"/>
        <w:pageBreakBefore w:val="0"/>
        <w:widowControl w:val="0"/>
        <w:kinsoku/>
        <w:wordWrap w:val="0"/>
        <w:overflowPunct/>
        <w:topLinePunct/>
        <w:autoSpaceDE/>
        <w:autoSpaceDN/>
        <w:bidi w:val="0"/>
        <w:adjustRightInd w:val="0"/>
        <w:snapToGrid w:val="0"/>
        <w:ind w:firstLine="0" w:firstLineChars="0"/>
        <w:textAlignment w:val="auto"/>
        <w:outlineLvl w:val="2"/>
        <w:rPr>
          <w:rFonts w:hint="eastAsia"/>
          <w:lang w:val="en-US" w:eastAsia="zh-CN"/>
        </w:rPr>
      </w:pPr>
      <w:bookmarkStart w:id="13" w:name="_Toc23156"/>
      <w:bookmarkStart w:id="14" w:name="_Toc32150"/>
      <w:r>
        <w:rPr>
          <w:rFonts w:hint="eastAsia"/>
          <w:lang w:val="en-US" w:eastAsia="zh-CN"/>
        </w:rPr>
        <w:t>附件七：《商品包装政府采购需求标准(试行)》、 《快递包装政府采购需求标准(试行)》(财办库〔2020〕123号)</w:t>
      </w:r>
      <w:bookmarkEnd w:id="13"/>
      <w:bookmarkEnd w:id="14"/>
    </w:p>
    <w:p>
      <w:pPr>
        <w:pStyle w:val="13"/>
        <w:keepNext w:val="0"/>
        <w:keepLines w:val="0"/>
        <w:pageBreakBefore w:val="0"/>
        <w:widowControl w:val="0"/>
        <w:kinsoku/>
        <w:wordWrap w:val="0"/>
        <w:overflowPunct/>
        <w:topLinePunct/>
        <w:autoSpaceDE/>
        <w:autoSpaceDN/>
        <w:bidi w:val="0"/>
        <w:adjustRightInd w:val="0"/>
        <w:snapToGrid w:val="0"/>
        <w:spacing w:line="520" w:lineRule="exact"/>
        <w:jc w:val="center"/>
        <w:textAlignment w:val="auto"/>
        <w:outlineLvl w:val="9"/>
        <w:rPr>
          <w:rFonts w:hint="default"/>
          <w:b w:val="0"/>
          <w:bCs/>
          <w:lang w:val="en-US" w:eastAsia="zh-CN"/>
        </w:rPr>
      </w:pPr>
      <w:r>
        <w:rPr>
          <w:rFonts w:hint="eastAsia"/>
          <w:b w:val="0"/>
          <w:bCs/>
          <w:lang w:val="en-US" w:eastAsia="zh-CN"/>
        </w:rPr>
        <w:t>商品包装要求</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一、商品包装环保要求：</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1.商品包装层数不得超过3层，空隙率不大于40%；</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2.商品包装尽可能使用单一材质的包装材料，如因功能需求必需使用不同材质，不同材质间应便于分离；</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3.商品包装中铅、汞、镉、六价铬的总含量应不大于100mg/kg；</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4.商品包装印刷使用的油墨中挥发性有机化合物(VOCs)含量应不大于5%(以重量计)；</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5.塑料材质商品包装上呈现的印刷颜色不得超过6色；</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6.纸质商品包装应使用75%以上的可再生纤维原料生产；</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7.木质商品包装的原料应来源于可持续性森林。</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二、商品包装的检测方法：</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1.商品包装中重金属(铅、汞、镉、六价铬)总量的检测按照GB/T10004-2008《包装用塑料复合膜、袋干法复合、挤出复合》规定的方法进行；</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2.商品包装印刷使用的油墨中挥发性有机化合物(VOCs)的检测按照GB/T23986-2009《色漆和清漆挥发性有机化合物(VOC)含量的测定气相色谱法》规定的方法进行。</w:t>
      </w:r>
    </w:p>
    <w:p>
      <w:pPr>
        <w:pStyle w:val="13"/>
        <w:keepNext w:val="0"/>
        <w:keepLines w:val="0"/>
        <w:pageBreakBefore w:val="0"/>
        <w:widowControl w:val="0"/>
        <w:kinsoku/>
        <w:wordWrap w:val="0"/>
        <w:overflowPunct/>
        <w:topLinePunct/>
        <w:autoSpaceDE/>
        <w:autoSpaceDN/>
        <w:bidi w:val="0"/>
        <w:adjustRightInd w:val="0"/>
        <w:snapToGrid w:val="0"/>
        <w:spacing w:line="520" w:lineRule="exact"/>
        <w:jc w:val="center"/>
        <w:textAlignment w:val="auto"/>
        <w:outlineLvl w:val="9"/>
        <w:rPr>
          <w:rFonts w:hint="default"/>
          <w:b w:val="0"/>
          <w:bCs/>
          <w:lang w:val="en-US" w:eastAsia="zh-CN"/>
        </w:rPr>
      </w:pPr>
      <w:r>
        <w:rPr>
          <w:rFonts w:hint="eastAsia"/>
          <w:b w:val="0"/>
          <w:bCs/>
          <w:lang w:val="en-US" w:eastAsia="zh-CN"/>
        </w:rPr>
        <w:t>快递包装要求</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一、快递包装环保要求</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根据《快递包装政府采购需求标准(试行)》，本标准中的快递包装主要指快递封装材料，包括封套、胶带、面单、包装袋/箱、填充物、集装袋、周转箱等。</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1.快递包装中重金属(铅、汞、镉、六价铬)总量应不大于100mg/kg；</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2.快递包装印刷使用的油墨中不应添加邻苯二甲酸酯，其挥发性有机化合物(VOCs)含量应不大于5%(以重量计)；</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3.快递包装中使用纸基材的包装材料，纸基材中的有机氯的含量应不大于150mg/kg；</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4.快递包装中使用塑料基材的包装材料不得使用邻苯二甲酸二异壬酯、邻苯二甲酸二正辛酯、邻苯二甲酸二(2-乙基)己酯、邻苯二甲酸二异癸酯、邻苯二甲酸丁基苄基酯、邻苯二甲酸二丁酯等作为增塑剂；</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5.快递中使用的塑料包装袋不得使用聚氯乙烯作为原料，且原料应为单一材质制成，生物分解率大于60%；</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6.快递中使用的充气类填充物不得使用聚氯乙烯作为原料，且原料为单一材质制成，生物分解率大于60%；</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7.快递中使用的集装袋应为单一材质制成，其重复使用次数应不小于80次；</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8.快递中应使用幅宽不大于45mm的生物降解胶带；</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9.快递包装中不得使用溶剂型胶粘剂；</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10.快递应使用电子面单；</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11.直接使用商品包装作为快递包装的商品，其商品包装满足《商品包装政府采购需求标准(试行)》即可；</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12.快递包装产品质量和封装方式应符合相关国家或行业标准技术指标要求。</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二、快递包装的检测方法：</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1.快递包装中重金属(铅、汞、镉、六价铬)总量的检测按照GB/T10004-2008《包装用塑料复合膜、袋干法复合、挤出复合》规定的方法进行。</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2.快递包装印刷使用的油墨中挥发性有机化合物(VOCs)的检测按照GB/T23986-2009《色漆和清漆挥发性有机化合物(VOC)含量的测定气相色谱法》规定的方法进行。</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3.快递包装所使用的塑料包装的生物降解率的检测按照GB/T20197-2006《降解塑料的定义、分类、标识和降解性能要求》规定的方法进行。</w:t>
      </w:r>
    </w:p>
    <w:p>
      <w:pPr>
        <w:pStyle w:val="13"/>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b w:val="0"/>
          <w:bCs/>
          <w:lang w:val="en-US" w:eastAsia="zh-CN"/>
        </w:rPr>
      </w:pPr>
      <w:r>
        <w:rPr>
          <w:rFonts w:hint="eastAsia"/>
          <w:b w:val="0"/>
          <w:bCs/>
          <w:lang w:val="en-US" w:eastAsia="zh-CN"/>
        </w:rPr>
        <w:t>4.快递包装使用纸基材的包装材料中有机氯的检测按照GB/T22904-2008《纸浆、纸和纸板总氯和有机氯的检定》规定的方法进行。</w:t>
      </w:r>
    </w:p>
    <w:p>
      <w:pPr>
        <w:rPr>
          <w:rFonts w:hint="eastAsia"/>
          <w:b w:val="0"/>
          <w:bCs/>
          <w:lang w:val="en-US" w:eastAsia="zh-CN"/>
        </w:rPr>
      </w:pPr>
      <w:r>
        <w:rPr>
          <w:rFonts w:hint="eastAsia"/>
          <w:b w:val="0"/>
          <w:bCs/>
          <w:lang w:val="en-US" w:eastAsia="zh-CN"/>
        </w:rPr>
        <w:t>5.快递包装中使用的生物降解胶带的生物降解率的检测按照GB/T19277.1《受控堆肥条件下材料最终需氧生物分解能力的测定采用测定释放的二氧化碳的方法第1部分：通用方法》规定的方法进行。</w:t>
      </w:r>
    </w:p>
    <w:p>
      <w:pPr>
        <w:rPr>
          <w:rFonts w:hint="eastAsia"/>
          <w:b w:val="0"/>
          <w:bCs/>
          <w:lang w:val="en-US" w:eastAsia="zh-CN"/>
        </w:rPr>
      </w:pPr>
      <w:r>
        <w:rPr>
          <w:rFonts w:hint="eastAsia"/>
          <w:b w:val="0"/>
          <w:bCs/>
          <w:lang w:val="en-US" w:eastAsia="zh-CN"/>
        </w:rPr>
        <w:br w:type="page"/>
      </w:r>
    </w:p>
    <w:p>
      <w:pPr>
        <w:pStyle w:val="2"/>
        <w:keepNext w:val="0"/>
        <w:keepLines w:val="0"/>
        <w:pageBreakBefore w:val="0"/>
        <w:widowControl w:val="0"/>
        <w:kinsoku/>
        <w:wordWrap/>
        <w:overflowPunct/>
        <w:topLinePunct w:val="0"/>
        <w:autoSpaceDE/>
        <w:autoSpaceDN/>
        <w:bidi w:val="0"/>
        <w:adjustRightInd w:val="0"/>
        <w:snapToGrid w:val="0"/>
        <w:textAlignment w:val="auto"/>
        <w:outlineLvl w:val="2"/>
        <w:rPr>
          <w:rFonts w:hint="eastAsia"/>
          <w:b/>
          <w:bCs/>
          <w:lang w:val="en-US" w:eastAsia="zh-CN"/>
        </w:rPr>
      </w:pPr>
      <w:r>
        <w:rPr>
          <w:rFonts w:hint="eastAsia"/>
          <w:b/>
          <w:bCs/>
          <w:lang w:val="en-US" w:eastAsia="zh-CN"/>
        </w:rPr>
        <w:t>附件八：《关于进一步提高政府采购透明度和采购效率相关事项的通知》 财办库〔2023〕243号</w:t>
      </w:r>
    </w:p>
    <w:p>
      <w:pPr>
        <w:rPr>
          <w:rFonts w:hint="eastAsia"/>
          <w:lang w:val="en-US" w:eastAsia="zh-CN"/>
        </w:rPr>
      </w:pPr>
      <w:r>
        <w:rPr>
          <w:rFonts w:hint="eastAsia"/>
          <w:lang w:val="en-US" w:eastAsia="zh-CN"/>
        </w:rPr>
        <w:t>各中央预算单位办公厅（室），各省、自治区、直辖市、计划单列市财政厅（局），新疆生产建设兵团财政局，有关集中采购机构：</w:t>
      </w:r>
    </w:p>
    <w:p>
      <w:pPr>
        <w:rPr>
          <w:rFonts w:hint="eastAsia"/>
          <w:lang w:val="en-US" w:eastAsia="zh-CN"/>
        </w:rPr>
      </w:pPr>
      <w:r>
        <w:rPr>
          <w:rFonts w:hint="eastAsia"/>
          <w:lang w:val="en-US" w:eastAsia="zh-CN"/>
        </w:rPr>
        <w:t>　　为打造市场化法治化国际化营商环境，进一步提高政府采购透明度和采购效率，方便各类经营主体参与政府采购活动，现就相关事项通知如下：</w:t>
      </w:r>
    </w:p>
    <w:p>
      <w:pPr>
        <w:rPr>
          <w:rFonts w:hint="eastAsia"/>
          <w:lang w:val="en-US" w:eastAsia="zh-CN"/>
        </w:rPr>
      </w:pPr>
      <w:r>
        <w:rPr>
          <w:rFonts w:hint="eastAsia"/>
          <w:lang w:val="en-US" w:eastAsia="zh-CN"/>
        </w:rPr>
        <w:t>　　一、推进政府采购合同变更信息公开。政府采购合同的双方当事人不得擅自变更合同，依照政府采购法确需变更政府采购合同内容的，采购人应当自合同变更之日起2个工作日内在省级以上财政部门指定的媒体上发布政府采购合同变更公告，但涉及国家秘密、商业秘密的信息和其他依法不得公开的信息除外。政府采购合同变更公告应当包括原合同编号、名称和文本，原合同变更的条款号，变更后作为原合同组成部分的补充合同文本，合同变更时间，变更公告日期等。</w:t>
      </w:r>
    </w:p>
    <w:p>
      <w:pPr>
        <w:rPr>
          <w:rFonts w:hint="eastAsia"/>
          <w:lang w:val="en-US" w:eastAsia="zh-CN"/>
        </w:rPr>
      </w:pPr>
      <w:r>
        <w:rPr>
          <w:rFonts w:hint="eastAsia"/>
          <w:lang w:val="en-US" w:eastAsia="zh-CN"/>
        </w:rPr>
        <w:t>　　二、完善中标、成交结果信息公开。采购人、采购代理机构应当按照政府采购法、政府采购法实施条例以及《政府采购信息发布管理办法》等法律制度规定，进一步做好信息公开工作。项目采购采用最低评标（审）价法的，公告中标、成交结果时应当同时公告因落实政府采购政策等原因进行价格扣除后中标、成交供应商的评审报价；项目采购采用综合评分法的，公告中标、成交结果时应当同时公告中标、成交供应商的评审总得分。</w:t>
      </w:r>
    </w:p>
    <w:p>
      <w:pPr>
        <w:rPr>
          <w:rFonts w:hint="eastAsia"/>
          <w:lang w:val="en-US" w:eastAsia="zh-CN"/>
        </w:rPr>
      </w:pPr>
      <w:r>
        <w:rPr>
          <w:rFonts w:hint="eastAsia"/>
          <w:lang w:val="en-US" w:eastAsia="zh-CN"/>
        </w:rPr>
        <w:t>　　三、推进采购项目电子化实施。鼓励各部门、各地区利用数据电文形式和电子信息网络开展政府采购活动，除涉密政府采购项目外，具备电子化实施条件的部门和地区，应当推进政府采购项目全流程电子化交易，实现在线公开采购意向、发布采购公告、提供采购文件、提交投标（响应）文件、提交投标（履约）保证金（包括金融机构、担保机构出具的保函、保险等）、签订采购合同、提交发票、支付资金，并逐步完善履约验收、信用评价、用户反馈等功能。省级财政部门可以按照统一规范和技术标准组织建设本地区政府采购全流程电子化平台。各电子化政府采购平台应当完善平台注册供应商查询功能，方便各方主体及时了解供应商信息。</w:t>
      </w:r>
    </w:p>
    <w:p>
      <w:pPr>
        <w:rPr>
          <w:rFonts w:hint="eastAsia"/>
          <w:lang w:val="en-US" w:eastAsia="zh-CN"/>
        </w:rPr>
      </w:pPr>
      <w:r>
        <w:rPr>
          <w:rFonts w:hint="eastAsia"/>
          <w:lang w:val="en-US" w:eastAsia="zh-CN"/>
        </w:rPr>
        <w:t>　　四、提高采购合同签订效率。采购人应当严格按照政府采购法有关规定，在中标、成交通知书发出之日起30日内，按照采购文件确定的事项与中标、成交供应商签订政府采购合同。采购人因不可抗力原因迟延签订合同的，应当自不可抗力事由消除之日起7日内完成合同签订事宜。鼓励采购人通过完善内部流程进一步缩短合同签订期限。</w:t>
      </w:r>
    </w:p>
    <w:p>
      <w:pPr>
        <w:rPr>
          <w:rFonts w:hint="eastAsia"/>
          <w:lang w:val="en-US" w:eastAsia="zh-CN"/>
        </w:rPr>
      </w:pPr>
      <w:r>
        <w:rPr>
          <w:rFonts w:hint="eastAsia"/>
          <w:lang w:val="en-US" w:eastAsia="zh-CN"/>
        </w:rPr>
        <w:t>　　五、加快支付采购资金。采购人要进一步落实《关于促进政府采购公平竞争优化营商环境的通知》（财库〔2019〕38号）有关要求，在政府采购合同中约定资金支付的方式、时间和条件，明确逾期支付资金的违约责任。对于有预付安排的合同，鼓励采购人将合同预付款比例提高到30%以上。对于满足合同约定支付条件的，采购人原则上应当自收到发票后10个工作日内将资金支付到合同约定的供应商账户，鼓励采购人完善内部流程，自收到发票后1个工作日内完成资金支付事宜。采购人和供应商对资金支付产生争议的，应当按照法律规定和合同约定及时解决，保证资金支付效率。</w:t>
      </w:r>
    </w:p>
    <w:p>
      <w:pPr>
        <w:rPr>
          <w:rFonts w:hint="eastAsia"/>
          <w:lang w:val="en-US" w:eastAsia="zh-CN"/>
        </w:rPr>
      </w:pPr>
      <w:r>
        <w:rPr>
          <w:rFonts w:hint="eastAsia"/>
          <w:lang w:val="en-US" w:eastAsia="zh-CN"/>
        </w:rPr>
        <w:t>　　六、支持开展政府采购融资。省级财政部门要以省为单位，积极推进与银行业金融机构共享本省范围内的政府采购信息，支持银行业金融机构以政府采购合同为基础向中标、成交供应商提供融资。要优化完善政府采购融资业务办理，推动银行业金融机构逐步实现供应商在线申请、在线审批、在线提款的全流程电子化运行，为供应商提供快捷高效的融资服务。</w:t>
      </w:r>
    </w:p>
    <w:p>
      <w:pPr>
        <w:rPr>
          <w:rFonts w:hint="eastAsia"/>
          <w:lang w:val="en-US" w:eastAsia="zh-CN"/>
        </w:rPr>
      </w:pPr>
      <w:r>
        <w:rPr>
          <w:rFonts w:hint="eastAsia"/>
          <w:lang w:val="en-US" w:eastAsia="zh-CN"/>
        </w:rPr>
        <w:t>　　各部门、各地区要充分认识优化政府采购营商环境，提高政府采购透明度和采购效率的重要意义，加强组织领导，积极协调推动，细化落实举措，强化监督检查，确保各项要求落实到位。</w:t>
      </w:r>
    </w:p>
    <w:p>
      <w:pPr>
        <w:rPr>
          <w:rFonts w:hint="eastAsia"/>
          <w:lang w:val="en-US" w:eastAsia="zh-CN"/>
        </w:rPr>
      </w:pPr>
      <w:r>
        <w:rPr>
          <w:rFonts w:hint="eastAsia"/>
          <w:lang w:val="en-US" w:eastAsia="zh-CN"/>
        </w:rPr>
        <w:t>　　本通知自印发之日起施行。</w:t>
      </w:r>
    </w:p>
    <w:p>
      <w:pPr>
        <w:jc w:val="right"/>
        <w:rPr>
          <w:rFonts w:hint="eastAsia"/>
          <w:lang w:val="en-US" w:eastAsia="zh-CN"/>
        </w:rPr>
      </w:pPr>
      <w:r>
        <w:rPr>
          <w:rFonts w:hint="eastAsia"/>
          <w:lang w:val="en-US" w:eastAsia="zh-CN"/>
        </w:rPr>
        <w:t>财</w:t>
      </w:r>
      <w:bookmarkStart w:id="15" w:name="_GoBack"/>
      <w:bookmarkEnd w:id="15"/>
      <w:r>
        <w:rPr>
          <w:rFonts w:hint="eastAsia"/>
          <w:lang w:val="en-US" w:eastAsia="zh-CN"/>
        </w:rPr>
        <w:t>政部办公厅</w:t>
      </w:r>
    </w:p>
    <w:p>
      <w:pPr>
        <w:jc w:val="right"/>
        <w:rPr>
          <w:rFonts w:hint="eastAsia"/>
          <w:lang w:val="en-US" w:eastAsia="zh-CN"/>
        </w:rPr>
      </w:pPr>
      <w:r>
        <w:rPr>
          <w:rFonts w:hint="eastAsia"/>
          <w:lang w:val="en-US" w:eastAsia="zh-CN"/>
        </w:rPr>
        <w:t>2023年12月8日</w:t>
      </w:r>
    </w:p>
    <w:p>
      <w:pPr>
        <w:rPr>
          <w:rFonts w:hint="eastAsia"/>
          <w:lang w:val="en-US" w:eastAsia="zh-CN"/>
        </w:rPr>
      </w:pPr>
    </w:p>
    <w:sectPr>
      <w:pgSz w:w="11906" w:h="16838"/>
      <w:pgMar w:top="1440" w:right="1080" w:bottom="1440" w:left="108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57A6D4B5-DEE3-412B-BD10-34F43BC96B6D}"/>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方正小标宋简体">
    <w:panose1 w:val="02000000000000000000"/>
    <w:charset w:val="86"/>
    <w:family w:val="auto"/>
    <w:pitch w:val="default"/>
    <w:sig w:usb0="00000001" w:usb1="08000000" w:usb2="00000000" w:usb3="00000000" w:csb0="00040000" w:csb1="00000000"/>
    <w:embedRegular r:id="rId2" w:fontKey="{89813C19-5871-4A70-88D0-71D42169313E}"/>
  </w:font>
  <w:font w:name="方正仿宋_GBK">
    <w:panose1 w:val="02000000000000000000"/>
    <w:charset w:val="86"/>
    <w:family w:val="script"/>
    <w:pitch w:val="default"/>
    <w:sig w:usb0="A00002BF" w:usb1="38CF7CFA" w:usb2="00082016" w:usb3="00000000" w:csb0="00040001" w:csb1="00000000"/>
    <w:embedRegular r:id="rId3" w:fontKey="{93BBD275-E2E7-4381-96F4-AA384CBE7BAA}"/>
  </w:font>
  <w:font w:name="方正小标宋_GBK">
    <w:panose1 w:val="02000000000000000000"/>
    <w:charset w:val="86"/>
    <w:family w:val="script"/>
    <w:pitch w:val="default"/>
    <w:sig w:usb0="A00002BF" w:usb1="38CF7CFA" w:usb2="00082016" w:usb3="00000000" w:csb0="00040001" w:csb1="00000000"/>
    <w:embedRegular r:id="rId4" w:fontKey="{7A2A0C37-08E3-4AAE-B356-61EE2B85D26E}"/>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tabs>
        <w:tab w:val="center" w:pos="4153"/>
        <w:tab w:val="right" w:pos="8306"/>
        <w:tab w:val="clear" w:pos="0"/>
      </w:tabs>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tabs>
        <w:tab w:val="center" w:pos="4153"/>
        <w:tab w:val="right" w:pos="8306"/>
        <w:tab w:val="clear" w:pos="0"/>
      </w:tabs>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1"/>
      </w:pBdr>
      <w:tabs>
        <w:tab w:val="center" w:pos="4153"/>
        <w:tab w:val="right" w:pos="8306"/>
        <w:tab w:val="clear" w:pos="0"/>
      </w:tabs>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1"/>
      </w:pBdr>
      <w:tabs>
        <w:tab w:val="center" w:pos="4153"/>
        <w:tab w:val="right" w:pos="8306"/>
        <w:tab w:val="clear" w:pos="0"/>
      </w:tabs>
      <w:jc w:val="left"/>
      <w:rPr>
        <w:rFonts w:asciiTheme="minorEastAsia" w:hAnsiTheme="minorEastAsia" w:cstheme="minorEastAsia"/>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ExM2YwMDRkOWM2YTgxN2Y2MzNiODk3YTZlZDIwZjMifQ=="/>
  </w:docVars>
  <w:rsids>
    <w:rsidRoot w:val="00000000"/>
    <w:rsid w:val="125F6226"/>
    <w:rsid w:val="5F2F40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tabs>
        <w:tab w:val="left" w:pos="0"/>
      </w:tabs>
      <w:adjustRightInd w:val="0"/>
      <w:snapToGrid w:val="0"/>
      <w:spacing w:line="440" w:lineRule="exact"/>
      <w:ind w:firstLine="0" w:firstLineChars="0"/>
      <w:jc w:val="left"/>
    </w:pPr>
    <w:rPr>
      <w:rFonts w:ascii="宋体" w:hAnsi="宋体" w:eastAsia="宋体" w:cstheme="minorBidi"/>
      <w:kern w:val="2"/>
      <w:sz w:val="24"/>
      <w:szCs w:val="24"/>
      <w:lang w:val="en-US" w:eastAsia="zh-CN" w:bidi="ar-SA"/>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10">
    <w:name w:val="Default Paragraph Font"/>
    <w:autoRedefine/>
    <w:semiHidden/>
    <w:qFormat/>
    <w:uiPriority w:val="0"/>
  </w:style>
  <w:style w:type="table" w:default="1" w:styleId="9">
    <w:name w:val="Normal Table"/>
    <w:autoRedefine/>
    <w:semiHidden/>
    <w:qFormat/>
    <w:uiPriority w:val="0"/>
    <w:tblPr>
      <w:tblCellMar>
        <w:top w:w="0" w:type="dxa"/>
        <w:left w:w="108" w:type="dxa"/>
        <w:bottom w:w="0" w:type="dxa"/>
        <w:right w:w="108" w:type="dxa"/>
      </w:tblCellMar>
    </w:tblPr>
  </w:style>
  <w:style w:type="paragraph" w:styleId="2">
    <w:name w:val="Body Text"/>
    <w:basedOn w:val="1"/>
    <w:next w:val="1"/>
    <w:autoRedefine/>
    <w:qFormat/>
    <w:uiPriority w:val="0"/>
    <w:pPr>
      <w:spacing w:after="120" w:afterLines="0"/>
    </w:pPr>
    <w:rPr>
      <w:rFonts w:ascii="Times New Roman"/>
      <w:sz w:val="24"/>
      <w:szCs w:val="24"/>
    </w:rPr>
  </w:style>
  <w:style w:type="paragraph" w:styleId="4">
    <w:name w:val="annotation text"/>
    <w:basedOn w:val="1"/>
    <w:qFormat/>
    <w:uiPriority w:val="0"/>
    <w:pPr>
      <w:jc w:val="left"/>
    </w:pPr>
  </w:style>
  <w:style w:type="paragraph" w:styleId="5">
    <w:name w:val="Body Text Indent"/>
    <w:basedOn w:val="1"/>
    <w:qFormat/>
    <w:uiPriority w:val="0"/>
    <w:pPr>
      <w:ind w:firstLine="538" w:firstLineChars="168"/>
      <w:jc w:val="left"/>
    </w:pPr>
    <w:rPr>
      <w:rFonts w:ascii="仿宋_GB2312" w:eastAsia="仿宋_GB2312"/>
      <w:sz w:val="32"/>
    </w:rPr>
  </w:style>
  <w:style w:type="paragraph" w:styleId="6">
    <w:name w:val="footer"/>
    <w:basedOn w:val="1"/>
    <w:autoRedefine/>
    <w:qFormat/>
    <w:uiPriority w:val="0"/>
    <w:pPr>
      <w:snapToGrid w:val="0"/>
      <w:spacing w:line="240" w:lineRule="auto"/>
      <w:ind w:firstLine="0" w:firstLineChars="0"/>
      <w:jc w:val="left"/>
    </w:pPr>
    <w:rPr>
      <w:rFonts w:ascii="宋体" w:hAnsi="宋体" w:eastAsia="宋体"/>
      <w:sz w:val="18"/>
      <w:szCs w:val="18"/>
    </w:rPr>
  </w:style>
  <w:style w:type="paragraph" w:styleId="7">
    <w:name w:val="header"/>
    <w:basedOn w:val="1"/>
    <w:autoRedefine/>
    <w:qFormat/>
    <w:uiPriority w:val="0"/>
    <w:pPr>
      <w:pBdr>
        <w:bottom w:val="single" w:color="auto" w:sz="6" w:space="1"/>
      </w:pBdr>
      <w:wordWrap w:val="0"/>
      <w:topLinePunct/>
      <w:snapToGrid w:val="0"/>
      <w:spacing w:line="240" w:lineRule="auto"/>
      <w:ind w:firstLine="0" w:firstLineChars="0"/>
      <w:jc w:val="center"/>
    </w:pPr>
    <w:rPr>
      <w:rFonts w:ascii="宋体" w:hAnsi="宋体" w:eastAsia="宋体"/>
      <w:sz w:val="18"/>
      <w:szCs w:val="18"/>
    </w:rPr>
  </w:style>
  <w:style w:type="paragraph" w:styleId="8">
    <w:name w:val="Normal (Web)"/>
    <w:basedOn w:val="1"/>
    <w:autoRedefine/>
    <w:qFormat/>
    <w:uiPriority w:val="0"/>
    <w:pPr>
      <w:spacing w:before="0" w:beforeAutospacing="1" w:after="0" w:afterAutospacing="1"/>
      <w:ind w:left="0" w:right="0"/>
      <w:jc w:val="left"/>
    </w:pPr>
    <w:rPr>
      <w:kern w:val="0"/>
      <w:sz w:val="24"/>
      <w:lang w:val="en-US" w:eastAsia="zh-CN" w:bidi="ar"/>
    </w:rPr>
  </w:style>
  <w:style w:type="character" w:styleId="11">
    <w:name w:val="Hyperlink"/>
    <w:basedOn w:val="10"/>
    <w:autoRedefine/>
    <w:qFormat/>
    <w:uiPriority w:val="0"/>
    <w:rPr>
      <w:color w:val="0000FF"/>
      <w:u w:val="single"/>
    </w:rPr>
  </w:style>
  <w:style w:type="paragraph" w:customStyle="1" w:styleId="12">
    <w:name w:val="01、普通正文"/>
    <w:basedOn w:val="1"/>
    <w:qFormat/>
    <w:uiPriority w:val="0"/>
    <w:pPr>
      <w:wordWrap w:val="0"/>
      <w:topLinePunct/>
      <w:ind w:firstLine="0" w:firstLineChars="0"/>
    </w:pPr>
    <w:rPr>
      <w:rFonts w:ascii="宋体" w:hAnsi="宋体" w:eastAsia="宋体"/>
      <w:snapToGrid w:val="0"/>
    </w:rPr>
  </w:style>
  <w:style w:type="paragraph" w:customStyle="1" w:styleId="13">
    <w:name w:val="03、“注：”正文(加粗，首行缩进2字符)"/>
    <w:basedOn w:val="12"/>
    <w:qFormat/>
    <w:uiPriority w:val="0"/>
    <w:pPr>
      <w:ind w:firstLine="480" w:firstLineChars="200"/>
    </w:pPr>
    <w:rPr>
      <w:b/>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GIF"/><Relationship Id="rId10" Type="http://schemas.openxmlformats.org/officeDocument/2006/relationships/image" Target="media/image1.GIF"/><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2023-10-30T08:45:00Z</dcterms:created>
  <dc:creator>苏三金</dc:creator>
  <cp:lastModifiedBy>lenovo用户</cp:lastModifiedBy>
  <dcterms:modified xsi:type="dcterms:W3CDTF">2024-01-03T04:22:30Z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97EE42039FEA4F58AF2E7BB89301AEDF_12</vt:lpwstr>
  </property>
</Properties>
</file>