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329A2">
      <w:pPr>
        <w:pStyle w:val="10"/>
        <w:numPr>
          <w:ilvl w:val="0"/>
          <w:numId w:val="0"/>
        </w:numPr>
        <w:spacing w:before="120" w:after="120"/>
        <w:ind w:leftChars="0"/>
        <w:jc w:val="center"/>
      </w:pPr>
      <w:bookmarkStart w:id="0" w:name="_Toc23376"/>
      <w:bookmarkStart w:id="1" w:name="_Toc25032"/>
      <w:bookmarkStart w:id="2" w:name="_Toc3995"/>
      <w:bookmarkStart w:id="3" w:name="_Toc25122"/>
      <w:bookmarkStart w:id="4" w:name="_Toc30586"/>
      <w:r>
        <w:rPr>
          <w:rFonts w:hint="eastAsia"/>
          <w:lang w:val="en-US" w:eastAsia="zh-CN"/>
        </w:rPr>
        <w:t>技术、服务及其他要求响应</w:t>
      </w:r>
      <w:r>
        <w:rPr>
          <w:rFonts w:hint="eastAsia"/>
        </w:rPr>
        <w:t>表</w:t>
      </w:r>
      <w:bookmarkEnd w:id="0"/>
      <w:bookmarkEnd w:id="1"/>
      <w:bookmarkEnd w:id="2"/>
      <w:bookmarkEnd w:id="3"/>
      <w:bookmarkEnd w:id="4"/>
    </w:p>
    <w:p w14:paraId="70F9B37F">
      <w:pPr>
        <w:pStyle w:val="11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</w:t>
      </w:r>
    </w:p>
    <w:p w14:paraId="13B1CE49">
      <w:pPr>
        <w:pStyle w:val="11"/>
        <w:rPr>
          <w:color w:val="FF0000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                        </w:t>
      </w:r>
      <w:r>
        <w:rPr>
          <w:rFonts w:hint="eastAsia"/>
          <w:color w:val="FF0000"/>
        </w:rPr>
        <w:t xml:space="preserve">  </w:t>
      </w:r>
    </w:p>
    <w:tbl>
      <w:tblPr>
        <w:tblStyle w:val="7"/>
        <w:tblW w:w="9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66"/>
        <w:gridCol w:w="3387"/>
        <w:gridCol w:w="1631"/>
      </w:tblGrid>
      <w:tr w14:paraId="346B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center"/>
          </w:tcPr>
          <w:p w14:paraId="46C4D5B7">
            <w:pPr>
              <w:pStyle w:val="1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166" w:type="dxa"/>
            <w:vAlign w:val="center"/>
          </w:tcPr>
          <w:p w14:paraId="6FE92E28">
            <w:pPr>
              <w:ind w:firstLine="86" w:firstLineChars="41"/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招标文件第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章“技术、服务及其他要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”</w:t>
            </w:r>
          </w:p>
        </w:tc>
        <w:tc>
          <w:tcPr>
            <w:tcW w:w="3387" w:type="dxa"/>
            <w:vAlign w:val="center"/>
          </w:tcPr>
          <w:p w14:paraId="058CF01E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投标文件响应情况</w:t>
            </w:r>
          </w:p>
        </w:tc>
        <w:tc>
          <w:tcPr>
            <w:tcW w:w="1631" w:type="dxa"/>
            <w:vAlign w:val="center"/>
          </w:tcPr>
          <w:p w14:paraId="06DFA9A1">
            <w:pPr>
              <w:pStyle w:val="1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 w14:paraId="0D69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05" w:type="dxa"/>
            <w:gridSpan w:val="4"/>
            <w:vAlign w:val="center"/>
          </w:tcPr>
          <w:p w14:paraId="7AEB60B1">
            <w:pPr>
              <w:pStyle w:val="12"/>
              <w:jc w:val="both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/>
              </w:rPr>
              <w:t>我公司承诺响应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招标文件第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“技术、服务及其他要求”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的所有条款，如有偏离的条款，均已在下方列出。</w:t>
            </w:r>
          </w:p>
        </w:tc>
      </w:tr>
      <w:tr w14:paraId="1567A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63E128D8">
            <w:pPr>
              <w:pStyle w:val="12"/>
              <w:rPr>
                <w:b/>
                <w:bCs/>
              </w:rPr>
            </w:pPr>
          </w:p>
        </w:tc>
        <w:tc>
          <w:tcPr>
            <w:tcW w:w="4166" w:type="dxa"/>
          </w:tcPr>
          <w:p w14:paraId="71D4FEEE">
            <w:pPr>
              <w:pStyle w:val="12"/>
              <w:rPr>
                <w:b/>
                <w:bCs/>
              </w:rPr>
            </w:pPr>
          </w:p>
        </w:tc>
        <w:tc>
          <w:tcPr>
            <w:tcW w:w="3387" w:type="dxa"/>
          </w:tcPr>
          <w:p w14:paraId="12D320AF">
            <w:pPr>
              <w:pStyle w:val="12"/>
              <w:rPr>
                <w:b/>
                <w:bCs/>
              </w:rPr>
            </w:pPr>
          </w:p>
        </w:tc>
        <w:tc>
          <w:tcPr>
            <w:tcW w:w="1631" w:type="dxa"/>
          </w:tcPr>
          <w:p w14:paraId="60F6CCD5">
            <w:pPr>
              <w:pStyle w:val="12"/>
              <w:rPr>
                <w:b/>
                <w:bCs/>
              </w:rPr>
            </w:pPr>
          </w:p>
        </w:tc>
      </w:tr>
      <w:tr w14:paraId="26C2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26081B08">
            <w:pPr>
              <w:pStyle w:val="12"/>
              <w:rPr>
                <w:b/>
                <w:bCs/>
              </w:rPr>
            </w:pPr>
          </w:p>
        </w:tc>
        <w:tc>
          <w:tcPr>
            <w:tcW w:w="4166" w:type="dxa"/>
          </w:tcPr>
          <w:p w14:paraId="756B8D39">
            <w:pPr>
              <w:pStyle w:val="12"/>
              <w:rPr>
                <w:b/>
                <w:bCs/>
              </w:rPr>
            </w:pPr>
          </w:p>
        </w:tc>
        <w:tc>
          <w:tcPr>
            <w:tcW w:w="3387" w:type="dxa"/>
          </w:tcPr>
          <w:p w14:paraId="70F4302C">
            <w:pPr>
              <w:pStyle w:val="12"/>
              <w:rPr>
                <w:b/>
                <w:bCs/>
              </w:rPr>
            </w:pPr>
          </w:p>
        </w:tc>
        <w:tc>
          <w:tcPr>
            <w:tcW w:w="1631" w:type="dxa"/>
          </w:tcPr>
          <w:p w14:paraId="53649AD9">
            <w:pPr>
              <w:pStyle w:val="12"/>
              <w:rPr>
                <w:b/>
                <w:bCs/>
              </w:rPr>
            </w:pPr>
          </w:p>
        </w:tc>
      </w:tr>
      <w:tr w14:paraId="7911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18A663E4">
            <w:pPr>
              <w:pStyle w:val="12"/>
              <w:rPr>
                <w:b/>
                <w:bCs/>
              </w:rPr>
            </w:pPr>
          </w:p>
        </w:tc>
        <w:tc>
          <w:tcPr>
            <w:tcW w:w="4166" w:type="dxa"/>
          </w:tcPr>
          <w:p w14:paraId="284ECE6C">
            <w:pPr>
              <w:pStyle w:val="12"/>
              <w:rPr>
                <w:b/>
                <w:bCs/>
              </w:rPr>
            </w:pPr>
          </w:p>
        </w:tc>
        <w:tc>
          <w:tcPr>
            <w:tcW w:w="3387" w:type="dxa"/>
          </w:tcPr>
          <w:p w14:paraId="6FD9CC7F">
            <w:pPr>
              <w:pStyle w:val="12"/>
              <w:rPr>
                <w:b/>
                <w:bCs/>
              </w:rPr>
            </w:pPr>
          </w:p>
        </w:tc>
        <w:tc>
          <w:tcPr>
            <w:tcW w:w="1631" w:type="dxa"/>
          </w:tcPr>
          <w:p w14:paraId="6B10CEC9">
            <w:pPr>
              <w:pStyle w:val="12"/>
              <w:rPr>
                <w:b/>
                <w:bCs/>
              </w:rPr>
            </w:pPr>
          </w:p>
        </w:tc>
      </w:tr>
    </w:tbl>
    <w:p w14:paraId="6A812C89">
      <w:pPr>
        <w:pStyle w:val="13"/>
        <w:rPr>
          <w:b w:val="0"/>
          <w:bCs/>
        </w:rPr>
      </w:pPr>
      <w:r>
        <w:rPr>
          <w:rFonts w:hint="eastAsia"/>
          <w:b w:val="0"/>
          <w:bCs/>
        </w:rPr>
        <w:t>注：①如与</w:t>
      </w:r>
      <w:r>
        <w:rPr>
          <w:rFonts w:hint="eastAsia"/>
          <w:b/>
          <w:bCs w:val="0"/>
        </w:rPr>
        <w:t>招标文件</w:t>
      </w:r>
      <w:r>
        <w:rPr>
          <w:rFonts w:hint="eastAsia"/>
          <w:b/>
          <w:bCs w:val="0"/>
          <w:sz w:val="24"/>
          <w:szCs w:val="24"/>
        </w:rPr>
        <w:t>第</w:t>
      </w:r>
      <w:r>
        <w:rPr>
          <w:rFonts w:hint="eastAsia"/>
          <w:b w:val="0"/>
          <w:bCs/>
          <w:lang w:val="en-US" w:eastAsia="zh-CN"/>
        </w:rPr>
        <w:t>三</w:t>
      </w:r>
      <w:r>
        <w:rPr>
          <w:rFonts w:hint="eastAsia"/>
          <w:b/>
          <w:bCs w:val="0"/>
          <w:sz w:val="24"/>
          <w:szCs w:val="24"/>
        </w:rPr>
        <w:t>章“</w:t>
      </w:r>
      <w:r>
        <w:rPr>
          <w:rFonts w:hint="eastAsia"/>
          <w:b/>
          <w:bCs w:val="0"/>
          <w:sz w:val="24"/>
          <w:szCs w:val="24"/>
          <w:lang w:eastAsia="zh-CN"/>
        </w:rPr>
        <w:t>技术、服务及其他要求</w:t>
      </w:r>
      <w:r>
        <w:rPr>
          <w:rFonts w:hint="eastAsia"/>
          <w:b/>
          <w:bCs w:val="0"/>
          <w:sz w:val="24"/>
          <w:szCs w:val="24"/>
        </w:rPr>
        <w:t>”</w:t>
      </w:r>
      <w:r>
        <w:rPr>
          <w:rFonts w:hint="eastAsia"/>
          <w:b w:val="0"/>
          <w:bCs/>
        </w:rPr>
        <w:t>有偏离(包括正偏离和负偏离)，</w:t>
      </w:r>
      <w:r>
        <w:rPr>
          <w:rFonts w:hint="eastAsia"/>
        </w:rPr>
        <w:t>请将偏离条款逐条应答</w:t>
      </w:r>
      <w:r>
        <w:rPr>
          <w:rFonts w:hint="eastAsia"/>
          <w:b w:val="0"/>
          <w:bCs/>
        </w:rPr>
        <w:t>，未在此表中进行应答或未明确偏离的条款视为默认完全响应和接受，投标人不得以未作应答而拒不接受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第五章“</w:t>
      </w:r>
      <w:r>
        <w:rPr>
          <w:rFonts w:hint="eastAsia"/>
        </w:rPr>
        <w:t>评标细则及标准</w:t>
      </w:r>
      <w:r>
        <w:rPr>
          <w:rFonts w:hint="eastAsia"/>
          <w:lang w:val="en-US" w:eastAsia="zh-CN"/>
        </w:rPr>
        <w:t>”或第三章</w:t>
      </w:r>
      <w:r>
        <w:rPr>
          <w:rFonts w:hint="eastAsia"/>
          <w:b/>
          <w:bCs w:val="0"/>
          <w:sz w:val="24"/>
          <w:szCs w:val="24"/>
        </w:rPr>
        <w:t>“</w:t>
      </w:r>
      <w:r>
        <w:rPr>
          <w:rFonts w:hint="eastAsia"/>
          <w:b/>
          <w:bCs w:val="0"/>
          <w:sz w:val="24"/>
          <w:szCs w:val="24"/>
          <w:lang w:eastAsia="zh-CN"/>
        </w:rPr>
        <w:t>技术、服务及其他要求</w:t>
      </w:r>
      <w:r>
        <w:rPr>
          <w:rFonts w:hint="eastAsia"/>
          <w:b/>
          <w:bCs w:val="0"/>
          <w:sz w:val="24"/>
          <w:szCs w:val="24"/>
        </w:rPr>
        <w:t>”</w:t>
      </w:r>
      <w:r>
        <w:rPr>
          <w:rFonts w:hint="eastAsia"/>
        </w:rPr>
        <w:t>要求</w:t>
      </w:r>
      <w:r>
        <w:rPr>
          <w:rFonts w:hint="eastAsia"/>
          <w:lang w:val="en-US" w:eastAsia="zh-CN"/>
        </w:rPr>
        <w:t>单独</w:t>
      </w:r>
      <w:r>
        <w:rPr>
          <w:rFonts w:hint="eastAsia"/>
        </w:rPr>
        <w:t>提供承诺函或证明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的条款，以投标人提供的承诺函或证明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为准，如未提供则不予认可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如有要求可提供在本表</w:t>
      </w:r>
      <w:r>
        <w:rPr>
          <w:rFonts w:hint="eastAsia"/>
          <w:sz w:val="40"/>
          <w:szCs w:val="40"/>
          <w:lang w:val="en-US" w:eastAsia="zh-CN"/>
        </w:rPr>
        <w:t>附表</w:t>
      </w:r>
      <w:r>
        <w:rPr>
          <w:rFonts w:hint="eastAsia"/>
          <w:lang w:val="en-US" w:eastAsia="zh-CN"/>
        </w:rPr>
        <w:t>中</w:t>
      </w:r>
      <w:r>
        <w:rPr>
          <w:rFonts w:hint="eastAsia"/>
          <w:b w:val="0"/>
          <w:bCs/>
        </w:rPr>
        <w:t>。</w:t>
      </w:r>
      <w:r>
        <w:rPr>
          <w:rFonts w:hint="eastAsia"/>
        </w:rPr>
        <w:t>)</w:t>
      </w:r>
    </w:p>
    <w:p w14:paraId="45C3CEA8">
      <w:pPr>
        <w:pStyle w:val="13"/>
        <w:rPr>
          <w:b w:val="0"/>
          <w:bCs/>
        </w:rPr>
      </w:pPr>
      <w:r>
        <w:rPr>
          <w:rFonts w:hint="eastAsia"/>
          <w:b w:val="0"/>
          <w:bCs/>
        </w:rPr>
        <w:t>②投标人必须据实填写有偏离的条款，不得虚假应答，否则将取消其中标资格。</w:t>
      </w:r>
    </w:p>
    <w:p w14:paraId="3E51CA46">
      <w:pPr>
        <w:pStyle w:val="13"/>
        <w:ind w:firstLine="482"/>
      </w:pPr>
      <w:r>
        <w:rPr>
          <w:rFonts w:hint="eastAsia"/>
          <w:b w:val="0"/>
          <w:bCs/>
        </w:rPr>
        <w:t>③评标时如对投标文件中</w:t>
      </w:r>
      <w:r>
        <w:rPr>
          <w:rFonts w:hint="eastAsia"/>
          <w:lang w:val="en-US" w:eastAsia="zh-CN"/>
        </w:rPr>
        <w:t>技术、服务及其他要求</w:t>
      </w:r>
      <w:r>
        <w:rPr>
          <w:rFonts w:hint="eastAsia"/>
        </w:rPr>
        <w:t>表</w:t>
      </w:r>
      <w:r>
        <w:rPr>
          <w:rFonts w:hint="eastAsia"/>
          <w:b w:val="0"/>
          <w:bCs/>
        </w:rPr>
        <w:t>的应答内容存在歧义的，可要求投标人进行澄清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8C4B05D">
      <w:pPr>
        <w:pStyle w:val="9"/>
        <w:rPr>
          <w:rFonts w:hint="eastAsia"/>
        </w:rPr>
      </w:pPr>
    </w:p>
    <w:p w14:paraId="66C2E804">
      <w:pPr>
        <w:pStyle w:val="9"/>
        <w:rPr>
          <w:rFonts w:hint="eastAsia"/>
        </w:rPr>
      </w:pPr>
    </w:p>
    <w:p w14:paraId="6983261E">
      <w:pPr>
        <w:pStyle w:val="9"/>
      </w:pPr>
      <w:r>
        <w:rPr>
          <w:rFonts w:hint="eastAsia"/>
        </w:rPr>
        <w:t>投标人名称：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71181233">
      <w:pPr>
        <w:pStyle w:val="9"/>
      </w:pPr>
    </w:p>
    <w:p w14:paraId="613037AD">
      <w:pPr>
        <w:ind w:firstLine="480" w:firstLineChars="200"/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/>
        </w:rPr>
        <w:t>投标日期：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4134F82D">
      <w:pPr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u w:val="single"/>
        </w:rPr>
        <w:br w:type="page"/>
      </w:r>
    </w:p>
    <w:p w14:paraId="24D454DC">
      <w:pPr>
        <w:pStyle w:val="2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技术、服务及其他要求</w:t>
      </w:r>
      <w:r>
        <w:rPr>
          <w:rFonts w:hint="eastAsia"/>
          <w:b/>
          <w:bCs/>
          <w:sz w:val="32"/>
          <w:szCs w:val="32"/>
          <w:lang w:eastAsia="zh-CN"/>
        </w:rPr>
        <w:t>表：</w:t>
      </w:r>
      <w:r>
        <w:rPr>
          <w:rFonts w:hint="eastAsia"/>
          <w:b/>
          <w:bCs/>
          <w:sz w:val="32"/>
          <w:szCs w:val="32"/>
          <w:lang w:val="en-US" w:eastAsia="zh-CN"/>
        </w:rPr>
        <w:t>附表（格式自拟）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M2YwMDRkOWM2YTgxN2Y2MzNiODk3YTZlZDIwZjMifQ=="/>
  </w:docVars>
  <w:rsids>
    <w:rsidRoot w:val="00000000"/>
    <w:rsid w:val="0F511D6E"/>
    <w:rsid w:val="0F9D2C6D"/>
    <w:rsid w:val="10C973FE"/>
    <w:rsid w:val="12745F08"/>
    <w:rsid w:val="184410B8"/>
    <w:rsid w:val="1BC53330"/>
    <w:rsid w:val="1D590332"/>
    <w:rsid w:val="1DF038EC"/>
    <w:rsid w:val="1FDE3E4D"/>
    <w:rsid w:val="203A603E"/>
    <w:rsid w:val="277F2F2D"/>
    <w:rsid w:val="2EF50BE6"/>
    <w:rsid w:val="31E7531F"/>
    <w:rsid w:val="33D20888"/>
    <w:rsid w:val="36EE59D9"/>
    <w:rsid w:val="379F4261"/>
    <w:rsid w:val="39EF319F"/>
    <w:rsid w:val="3BB54D17"/>
    <w:rsid w:val="3D0D2931"/>
    <w:rsid w:val="3E1B5648"/>
    <w:rsid w:val="4589591A"/>
    <w:rsid w:val="490E78BE"/>
    <w:rsid w:val="496D6C31"/>
    <w:rsid w:val="4C0A087F"/>
    <w:rsid w:val="4E2B0E69"/>
    <w:rsid w:val="4E760336"/>
    <w:rsid w:val="4EBD5F65"/>
    <w:rsid w:val="4F2273D9"/>
    <w:rsid w:val="5389696A"/>
    <w:rsid w:val="5A397BA6"/>
    <w:rsid w:val="5AF55909"/>
    <w:rsid w:val="5EEF4799"/>
    <w:rsid w:val="65F77B57"/>
    <w:rsid w:val="66732BE6"/>
    <w:rsid w:val="66E31E89"/>
    <w:rsid w:val="6B5133B6"/>
    <w:rsid w:val="6B663685"/>
    <w:rsid w:val="6C314B66"/>
    <w:rsid w:val="71D065E1"/>
    <w:rsid w:val="721A5525"/>
    <w:rsid w:val="72702031"/>
    <w:rsid w:val="7C2B52C7"/>
    <w:rsid w:val="7C89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autoRedefine/>
    <w:unhideWhenUsed/>
    <w:qFormat/>
    <w:uiPriority w:val="99"/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405</Characters>
  <Lines>0</Lines>
  <Paragraphs>0</Paragraphs>
  <TotalTime>2</TotalTime>
  <ScaleCrop>false</ScaleCrop>
  <LinksUpToDate>false</LinksUpToDate>
  <CharactersWithSpaces>525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2023-07-10T10:24:00Z</dcterms:created>
  <dc:creator>苏三金</dc:creator>
  <cp:lastModifiedBy>苟杞</cp:lastModifiedBy>
  <dcterms:modified xsi:type="dcterms:W3CDTF">2025-03-19T07:51:33Z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9097000CDC7C4E7E9B2B1FBE0327B10B_12</vt:lpwstr>
  </property>
  <property fmtid="{D5CDD505-2E9C-101B-9397-08002B2CF9AE}" pid="4" name="KSOTemplateDocerSaveRecord">
    <vt:lpwstr>eyJoZGlkIjoiZjVkZjE3OWRjYTE4OWE5ODEwNGMyOTc1ZGEwNjRiNDEiLCJ1c2VySWQiOiIyMDMwNzUzMDgifQ==</vt:lpwstr>
  </property>
</Properties>
</file>